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color w:val="1A3A6E"/>
          <w:sz w:val="28"/>
        </w:rPr>
        <w:t>━━━━━━━━━━━━━━━━━━━━━━━━━━━━━━━━━━━━━━━━━━━━━━━━━━━━━━━━━━━━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宋体" w:hAnsi="宋体" w:eastAsia="宋体"/>
          <w:color w:val="666666"/>
          <w:sz w:val="28"/>
        </w:rPr>
        <w:t>审 计 / 咨 询 报 告</w:t>
      </w:r>
    </w:p>
    <w:p/>
    <w:p>
      <w:pPr>
        <w:jc w:val="center"/>
      </w:pPr>
      <w:r>
        <w:rPr>
          <w:rFonts w:ascii="黑体" w:hAnsi="黑体" w:eastAsia="黑体"/>
          <w:b/>
          <w:color w:val="1A3A6E"/>
          <w:sz w:val="52"/>
        </w:rPr>
        <w:t>[请输入报告标题]</w:t>
      </w:r>
    </w:p>
    <w:p/>
    <w:p>
      <w:pPr>
        <w:jc w:val="center"/>
      </w:pPr>
      <w:r>
        <w:rPr>
          <w:rFonts w:ascii="宋体" w:hAnsi="宋体" w:eastAsia="宋体"/>
          <w:color w:val="333333"/>
          <w:sz w:val="30"/>
        </w:rPr>
        <w:t>[请输入报告副标题（可选）]</w:t>
      </w:r>
    </w:p>
    <w:p/>
    <w:p/>
    <w:p>
      <w:r>
        <w:rPr>
          <w:rFonts w:ascii="黑体" w:hAnsi="黑体" w:eastAsia="黑体"/>
          <w:b/>
          <w:color w:val="1A3A6E"/>
          <w:sz w:val="26"/>
        </w:rPr>
        <w:t>核心发现摘要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►  </w:t>
      </w:r>
      <w:r>
        <w:rPr>
          <w:rFonts w:ascii="宋体" w:hAnsi="宋体" w:eastAsia="宋体"/>
          <w:color w:val="333333"/>
          <w:sz w:val="21"/>
        </w:rPr>
        <w:t>[请填写核心发现1：用一句话概括最重要的审计发现或咨询结论]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►  </w:t>
      </w:r>
      <w:r>
        <w:rPr>
          <w:rFonts w:ascii="宋体" w:hAnsi="宋体" w:eastAsia="宋体"/>
          <w:color w:val="333333"/>
          <w:sz w:val="21"/>
        </w:rPr>
        <w:t>[请填写核心发现2：概括第二重要的发现或建议]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►  </w:t>
      </w:r>
      <w:r>
        <w:rPr>
          <w:rFonts w:ascii="宋体" w:hAnsi="宋体" w:eastAsia="宋体"/>
          <w:color w:val="333333"/>
          <w:sz w:val="21"/>
        </w:rPr>
        <w:t>[请填写核心发现3：概括第三重要的发现或建议]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eef2f9"/>
          </w:tcPr>
          <w:p>
            <w:r/>
            <w:r>
              <w:rPr>
                <w:rFonts w:ascii="宋体" w:hAnsi="宋体" w:eastAsia="宋体"/>
                <w:b/>
                <w:color w:val="1A3A6E"/>
                <w:sz w:val="20"/>
              </w:rPr>
              <w:t>委托单位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color w:val="333333"/>
                <w:sz w:val="20"/>
              </w:rPr>
              <w:t>[请输入委托单位全称]</w:t>
            </w:r>
          </w:p>
        </w:tc>
      </w:tr>
      <w:tr>
        <w:tc>
          <w:tcPr>
            <w:tcW w:type="dxa" w:w="4156"/>
            <w:shd w:fill="eef2f9"/>
          </w:tcPr>
          <w:p>
            <w:r/>
            <w:r>
              <w:rPr>
                <w:rFonts w:ascii="宋体" w:hAnsi="宋体" w:eastAsia="宋体"/>
                <w:b/>
                <w:color w:val="1A3A6E"/>
                <w:sz w:val="20"/>
              </w:rPr>
              <w:t>被审计/咨询单位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color w:val="333333"/>
                <w:sz w:val="20"/>
              </w:rPr>
              <w:t>[请输入被审计单位全称]</w:t>
            </w:r>
          </w:p>
        </w:tc>
      </w:tr>
      <w:tr>
        <w:tc>
          <w:tcPr>
            <w:tcW w:type="dxa" w:w="4156"/>
            <w:shd w:fill="eef2f9"/>
          </w:tcPr>
          <w:p>
            <w:r/>
            <w:r>
              <w:rPr>
                <w:rFonts w:ascii="宋体" w:hAnsi="宋体" w:eastAsia="宋体"/>
                <w:b/>
                <w:color w:val="1A3A6E"/>
                <w:sz w:val="20"/>
              </w:rPr>
              <w:t>项目类型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color w:val="333333"/>
                <w:sz w:val="20"/>
              </w:rPr>
              <w:t>□ 绩效评价  □ 资产清查  □ 专项债审计</w:t>
              <w:br/>
              <w:t>□ 工程结算  □ 预算编制  □ 其他：____</w:t>
            </w:r>
          </w:p>
        </w:tc>
      </w:tr>
      <w:tr>
        <w:tc>
          <w:tcPr>
            <w:tcW w:type="dxa" w:w="4156"/>
            <w:shd w:fill="eef2f9"/>
          </w:tcPr>
          <w:p>
            <w:r/>
            <w:r>
              <w:rPr>
                <w:rFonts w:ascii="宋体" w:hAnsi="宋体" w:eastAsia="宋体"/>
                <w:b/>
                <w:color w:val="1A3A6E"/>
                <w:sz w:val="20"/>
              </w:rPr>
              <w:t>报告日期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color w:val="333333"/>
                <w:sz w:val="20"/>
              </w:rPr>
              <w:t>2026年05月12日</w:t>
            </w:r>
          </w:p>
        </w:tc>
      </w:tr>
      <w:tr>
        <w:tc>
          <w:tcPr>
            <w:tcW w:type="dxa" w:w="4156"/>
            <w:shd w:fill="eef2f9"/>
          </w:tcPr>
          <w:p>
            <w:r/>
            <w:r>
              <w:rPr>
                <w:rFonts w:ascii="宋体" w:hAnsi="宋体" w:eastAsia="宋体"/>
                <w:b/>
                <w:color w:val="1A3A6E"/>
                <w:sz w:val="20"/>
              </w:rPr>
              <w:t>编制单位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color w:val="333333"/>
                <w:sz w:val="20"/>
              </w:rPr>
              <w:t>四川融策会计师事务所 / 四川融策工程咨询公司</w:t>
            </w:r>
          </w:p>
        </w:tc>
      </w:tr>
      <w:tr>
        <w:tc>
          <w:tcPr>
            <w:tcW w:type="dxa" w:w="4156"/>
            <w:shd w:fill="eef2f9"/>
          </w:tcPr>
          <w:p>
            <w:r/>
            <w:r>
              <w:rPr>
                <w:rFonts w:ascii="宋体" w:hAnsi="宋体" w:eastAsia="宋体"/>
                <w:b/>
                <w:color w:val="1A3A6E"/>
                <w:sz w:val="20"/>
              </w:rPr>
              <w:t>风险评级</w:t>
            </w:r>
          </w:p>
        </w:tc>
        <w:tc>
          <w:tcPr>
            <w:tcW w:type="dxa" w:w="4156"/>
          </w:tcPr>
          <w:p>
            <w:r/>
            <w:r>
              <w:rPr>
                <w:rFonts w:ascii="宋体" w:hAnsi="宋体" w:eastAsia="宋体"/>
                <w:color w:val="333333"/>
                <w:sz w:val="20"/>
              </w:rPr>
              <w:t>□ 高风险    □ 中风险    □ 低风险</w:t>
            </w:r>
          </w:p>
        </w:tc>
      </w:tr>
    </w:tbl>
    <w:p>
      <w:r>
        <w:br w:type="page"/>
      </w:r>
    </w:p>
    <w:p>
      <w:pPr>
        <w:pStyle w:val="Heading1"/>
        <w:spacing w:before="240" w:after="120" w:line="276" w:lineRule="auto"/>
      </w:pPr>
      <w:r>
        <w:rPr>
          <w:color w:val="1A3A6E"/>
          <w:sz w:val="36"/>
        </w:rPr>
        <w:t>目  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6803"/>
            <w:shd w:fill="eef2f9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1A3A6E"/>
                <w:sz w:val="20"/>
              </w:rPr>
              <w:t>章节</w:t>
            </w:r>
          </w:p>
        </w:tc>
        <w:tc>
          <w:tcPr>
            <w:tcW w:type="dxa" w:w="1701"/>
            <w:shd w:fill="eef2f9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A3A6E"/>
                <w:sz w:val="20"/>
              </w:rPr>
              <w:t>页码</w:t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/>
                <w:color w:val="1A3A6E"/>
                <w:sz w:val="20"/>
              </w:rPr>
              <w:t>一、项目概述</w:t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  <w:t>3</w:t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  <w:t xml:space="preserve">    1.1 项目背景</w:t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  <w:t>3</w:t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  <w:t xml:space="preserve">    1.2 审计/咨询目标</w:t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  <w:t>3</w:t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  <w:t xml:space="preserve">    1.3 审计/咨询范围与方法</w:t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  <w:t>4</w:t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/>
                <w:color w:val="1A3A6E"/>
                <w:sz w:val="20"/>
              </w:rPr>
              <w:t>二、项目总体情况</w:t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  <w:t>5</w:t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  <w:t xml:space="preserve">    2.1 基本情况概述</w:t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  <w:t>5</w:t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  <w:t xml:space="preserve">    2.2 主要指标分析</w:t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  <w:t>5</w:t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  <w:t xml:space="preserve">    2.3 资金使用总体评价</w:t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  <w:t>6</w:t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/>
                <w:color w:val="1A3A6E"/>
                <w:sz w:val="20"/>
              </w:rPr>
              <w:t>三、重点问题分析</w:t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  <w:t>7</w:t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  <w:t xml:space="preserve">    3.1 预算执行方面</w:t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  <w:t>7</w:t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  <w:t xml:space="preserve">    3.2 资金管理方面</w:t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  <w:t>8</w:t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  <w:t xml:space="preserve">    3.3 项目管理方面</w:t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  <w:t>9</w:t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  <w:t xml:space="preserve">    3.4 内部控制方面</w:t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  <w:t>10</w:t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/>
                <w:color w:val="1A3A6E"/>
                <w:sz w:val="20"/>
              </w:rPr>
              <w:t>四、问题发现汇总</w:t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  <w:t>11</w:t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/>
                <w:color w:val="1A3A6E"/>
                <w:sz w:val="20"/>
              </w:rPr>
              <w:t>五、改进建议</w:t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  <w:t>12</w:t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/>
                <w:color w:val="1A3A6E"/>
                <w:sz w:val="20"/>
              </w:rPr>
              <w:t>六、结论与总体评价</w:t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  <w:t>14</w:t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 w:val="0"/>
                <w:color w:val="333333"/>
                <w:sz w:val="20"/>
              </w:rPr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/>
                <w:color w:val="1A3A6E"/>
                <w:sz w:val="20"/>
              </w:rPr>
              <w:t>附录一：图表索引</w:t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  <w:t>15</w:t>
            </w:r>
          </w:p>
        </w:tc>
      </w:tr>
      <w:tr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r/>
            <w:r>
              <w:rPr>
                <w:rFonts w:ascii="宋体" w:hAnsi="宋体" w:eastAsia="宋体"/>
                <w:b/>
                <w:color w:val="1A3A6E"/>
                <w:sz w:val="20"/>
              </w:rPr>
              <w:t>附录二：配色与排版规范</w:t>
            </w:r>
          </w:p>
        </w:tc>
        <w:tc>
          <w:tcPr>
            <w:tcW w:type="dxa" w:w="4156"/>
            <w:tcBorders>
              <w:top w:val="single" w:sz="0" w:space="0" w:color="FFFFFF"/>
              <w:bottom w:val="single" w:sz="0" w:space="0" w:color="FFFFFF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20"/>
              </w:rPr>
              <w:t>16</w:t>
            </w:r>
          </w:p>
        </w:tc>
      </w:tr>
    </w:tbl>
    <w:p>
      <w:r>
        <w:br w:type="page"/>
      </w:r>
    </w:p>
    <w:p>
      <w:pPr>
        <w:pStyle w:val="Heading1"/>
        <w:spacing w:before="240" w:after="120" w:line="276" w:lineRule="auto"/>
      </w:pPr>
      <w:r>
        <w:rPr>
          <w:color w:val="1A3A6E"/>
          <w:sz w:val="36"/>
        </w:rPr>
        <w:t>一、项目概述</w:t>
      </w:r>
    </w:p>
    <w:p>
      <w:pPr>
        <w:pStyle w:val="Heading2"/>
        <w:spacing w:before="240" w:after="120" w:line="276" w:lineRule="auto"/>
      </w:pPr>
      <w:r>
        <w:rPr>
          <w:color w:val="1A3A6E"/>
          <w:sz w:val="30"/>
        </w:rPr>
        <w:t>1.1 项目背景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color w:val="333333"/>
          <w:sz w:val="21"/>
        </w:rPr>
        <w:t>根据[委托文件/合同编号]，[委托单位]委托我单位对[被审计单位]开展[项目类型]。本报告旨在全面反映[项目名称]的实施情况、资金使用效果及存在问题，并提出针对性的改进建议。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color w:val="333333"/>
          <w:sz w:val="21"/>
        </w:rPr>
        <w:t>本项目于[开始日期]启动，现场工作自[现场日期]至[现场结束日期]，历时[天数]天，累计投入[人数]人次。项目组通过资料审查、现场勘查、访谈调研、数据分析等多种方式开展工作，共查阅凭证[数量]份、合同[数量]份、工程资料[数量]份。</w:t>
      </w:r>
    </w:p>
    <w:p>
      <w:pPr>
        <w:pStyle w:val="Heading2"/>
        <w:spacing w:before="240" w:after="120" w:line="276" w:lineRule="auto"/>
      </w:pPr>
      <w:r>
        <w:rPr>
          <w:color w:val="1A3A6E"/>
          <w:sz w:val="30"/>
        </w:rPr>
        <w:t>1.2 审计/咨询目标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color w:val="333333"/>
          <w:sz w:val="21"/>
        </w:rPr>
        <w:t>本次审计/咨询工作的主要目标如下：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①  </w:t>
      </w:r>
      <w:r>
        <w:rPr>
          <w:rFonts w:ascii="宋体" w:hAnsi="宋体" w:eastAsia="宋体"/>
          <w:color w:val="333333"/>
          <w:sz w:val="21"/>
        </w:rPr>
        <w:t>核实项目资金的拨付、使用及结余情况，评价资金使用合规性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①  </w:t>
      </w:r>
      <w:r>
        <w:rPr>
          <w:rFonts w:ascii="宋体" w:hAnsi="宋体" w:eastAsia="宋体"/>
          <w:color w:val="333333"/>
          <w:sz w:val="21"/>
        </w:rPr>
        <w:t>检查项目实施进度与质量，评价项目管理规范性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①  </w:t>
      </w:r>
      <w:r>
        <w:rPr>
          <w:rFonts w:ascii="宋体" w:hAnsi="宋体" w:eastAsia="宋体"/>
          <w:color w:val="333333"/>
          <w:sz w:val="21"/>
        </w:rPr>
        <w:t>识别项目实施过程中的风险点和薄弱环节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①  </w:t>
      </w:r>
      <w:r>
        <w:rPr>
          <w:rFonts w:ascii="宋体" w:hAnsi="宋体" w:eastAsia="宋体"/>
          <w:color w:val="333333"/>
          <w:sz w:val="21"/>
        </w:rPr>
        <w:t>评估项目绩效目标完成情况，提出优化建议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①  </w:t>
      </w:r>
      <w:r>
        <w:rPr>
          <w:rFonts w:ascii="宋体" w:hAnsi="宋体" w:eastAsia="宋体"/>
          <w:color w:val="333333"/>
          <w:sz w:val="21"/>
        </w:rPr>
        <w:t>为单位决策和改进管理提供参考依据</w:t>
      </w:r>
    </w:p>
    <w:p>
      <w:pPr>
        <w:pStyle w:val="Heading2"/>
        <w:spacing w:before="240" w:after="120" w:line="276" w:lineRule="auto"/>
      </w:pPr>
      <w:r>
        <w:rPr>
          <w:color w:val="1A3A6E"/>
          <w:sz w:val="30"/>
        </w:rPr>
        <w:t>1.3 审计/咨询范围与方法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color w:val="333333"/>
          <w:sz w:val="21"/>
        </w:rPr>
        <w:t>本次审计/咨询工作采取以下方法：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1a3a6e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审计方法</w:t>
            </w:r>
          </w:p>
        </w:tc>
        <w:tc>
          <w:tcPr>
            <w:tcW w:type="dxa" w:w="5669"/>
            <w:shd w:fill="1a3a6e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方法说明</w:t>
            </w:r>
          </w:p>
        </w:tc>
        <w:tc>
          <w:tcPr>
            <w:tcW w:type="dxa" w:w="1701"/>
            <w:shd w:fill="1a3a6e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覆盖范围</w:t>
            </w:r>
          </w:p>
        </w:tc>
      </w:tr>
      <w:tr>
        <w:tc>
          <w:tcPr>
            <w:tcW w:type="dxa" w:w="1701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资料审查法</w:t>
            </w:r>
          </w:p>
        </w:tc>
        <w:tc>
          <w:tcPr>
            <w:tcW w:type="dxa" w:w="5669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核查财务凭证、合同文件、项目管理档案等原始资料</w:t>
            </w:r>
          </w:p>
        </w:tc>
        <w:tc>
          <w:tcPr>
            <w:tcW w:type="dxa" w:w="1701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全面覆盖</w:t>
            </w:r>
          </w:p>
        </w:tc>
      </w:tr>
      <w:tr>
        <w:tc>
          <w:tcPr>
            <w:tcW w:type="dxa" w:w="1701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现场勘查法</w:t>
            </w:r>
          </w:p>
        </w:tc>
        <w:tc>
          <w:tcPr>
            <w:tcW w:type="dxa" w:w="5669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实地走访项目现场，核查工程进度及质量</w:t>
            </w:r>
          </w:p>
        </w:tc>
        <w:tc>
          <w:tcPr>
            <w:tcW w:type="dxa" w:w="1701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重点抽查</w:t>
            </w:r>
          </w:p>
        </w:tc>
      </w:tr>
      <w:tr>
        <w:tc>
          <w:tcPr>
            <w:tcW w:type="dxa" w:w="1701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数据分析法</w:t>
            </w:r>
          </w:p>
        </w:tc>
        <w:tc>
          <w:tcPr>
            <w:tcW w:type="dxa" w:w="5669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运用统计分析、趋势分析等方法对资金数据进行深度分析</w:t>
            </w:r>
          </w:p>
        </w:tc>
        <w:tc>
          <w:tcPr>
            <w:tcW w:type="dxa" w:w="1701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全面覆盖</w:t>
            </w:r>
          </w:p>
        </w:tc>
      </w:tr>
      <w:tr>
        <w:tc>
          <w:tcPr>
            <w:tcW w:type="dxa" w:w="1701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访谈调研法</w:t>
            </w:r>
          </w:p>
        </w:tc>
        <w:tc>
          <w:tcPr>
            <w:tcW w:type="dxa" w:w="5669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对项目负责人、财务人员、施工单位等进行结构化访谈</w:t>
            </w:r>
          </w:p>
        </w:tc>
        <w:tc>
          <w:tcPr>
            <w:tcW w:type="dxa" w:w="1701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关键人员</w:t>
            </w:r>
          </w:p>
        </w:tc>
      </w:tr>
      <w:tr>
        <w:tc>
          <w:tcPr>
            <w:tcW w:type="dxa" w:w="1701"/>
            <w:vAlign w:val="center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比对核验法</w:t>
            </w:r>
          </w:p>
        </w:tc>
        <w:tc>
          <w:tcPr>
            <w:tcW w:type="dxa" w:w="5669"/>
            <w:vAlign w:val="center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将实际执行情况与立项批复、预算方案进行逐项比对</w:t>
            </w:r>
          </w:p>
        </w:tc>
        <w:tc>
          <w:tcPr>
            <w:tcW w:type="dxa" w:w="1701"/>
            <w:vAlign w:val="center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重点事项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 w:line="276" w:lineRule="auto"/>
      </w:pPr>
      <w:r>
        <w:rPr>
          <w:color w:val="1A3A6E"/>
          <w:sz w:val="36"/>
        </w:rPr>
        <w:t>二、项目总体情况</w:t>
      </w:r>
    </w:p>
    <w:p>
      <w:pPr>
        <w:pStyle w:val="Heading2"/>
        <w:spacing w:before="240" w:after="120" w:line="276" w:lineRule="auto"/>
      </w:pPr>
      <w:r>
        <w:rPr>
          <w:color w:val="1A3A6E"/>
          <w:sz w:val="30"/>
        </w:rPr>
        <w:t>2.1 基本情况概述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color w:val="333333"/>
          <w:sz w:val="21"/>
        </w:rPr>
        <w:t>[请填写项目基本情况，包括项目立项背景、总投资额、资金来源构成、建设内容、实施周期等关键信息。建议用精炼的语言在2-3段内完成。]</w:t>
      </w:r>
    </w:p>
    <w:p>
      <w:pPr>
        <w:pStyle w:val="Heading2"/>
        <w:spacing w:before="240" w:after="120" w:line="276" w:lineRule="auto"/>
      </w:pPr>
      <w:r>
        <w:rPr>
          <w:color w:val="1A3A6E"/>
          <w:sz w:val="30"/>
        </w:rPr>
        <w:t>2.2 主要指标分析</w:t>
      </w:r>
    </w:p>
    <w:p>
      <w:pPr>
        <w:spacing w:before="40" w:after="80" w:line="324" w:lineRule="auto"/>
      </w:pPr>
      <w:r>
        <w:rPr>
          <w:rFonts w:ascii="宋体" w:hAnsi="宋体" w:eastAsia="宋体"/>
          <w:b/>
          <w:color w:val="333333"/>
          <w:sz w:val="20"/>
        </w:rPr>
        <w:t>预算执行情况对比表：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2268"/>
            <w:shd w:fill="1a3a6e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项目名称</w:t>
            </w:r>
          </w:p>
        </w:tc>
        <w:tc>
          <w:tcPr>
            <w:tcW w:type="dxa" w:w="1984"/>
            <w:shd w:fill="1a3a6e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预算金额(万元)</w:t>
            </w:r>
          </w:p>
        </w:tc>
        <w:tc>
          <w:tcPr>
            <w:tcW w:type="dxa" w:w="1984"/>
            <w:shd w:fill="1a3a6e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实际支出(万元)</w:t>
            </w:r>
          </w:p>
        </w:tc>
        <w:tc>
          <w:tcPr>
            <w:tcW w:type="dxa" w:w="1701"/>
            <w:shd w:fill="1a3a6e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执行率</w:t>
            </w:r>
          </w:p>
        </w:tc>
        <w:tc>
          <w:tcPr>
            <w:tcW w:type="dxa" w:w="1134"/>
            <w:shd w:fill="1a3a6e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268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项目A</w:t>
            </w:r>
          </w:p>
        </w:tc>
        <w:tc>
          <w:tcPr>
            <w:tcW w:type="dxa" w:w="1984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1,000.00</w:t>
            </w:r>
          </w:p>
        </w:tc>
        <w:tc>
          <w:tcPr>
            <w:tcW w:type="dxa" w:w="1984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856.32</w:t>
            </w:r>
          </w:p>
        </w:tc>
        <w:tc>
          <w:tcPr>
            <w:tcW w:type="dxa" w:w="1701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85.6%</w:t>
            </w:r>
          </w:p>
        </w:tc>
        <w:tc>
          <w:tcPr>
            <w:tcW w:type="dxa" w:w="1134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正常</w:t>
            </w:r>
          </w:p>
        </w:tc>
      </w:tr>
      <w:tr>
        <w:tc>
          <w:tcPr>
            <w:tcW w:type="dxa" w:w="2268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项目B</w:t>
            </w:r>
          </w:p>
        </w:tc>
        <w:tc>
          <w:tcPr>
            <w:tcW w:type="dxa" w:w="1984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500.00</w:t>
            </w:r>
          </w:p>
        </w:tc>
        <w:tc>
          <w:tcPr>
            <w:tcW w:type="dxa" w:w="1984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423.15</w:t>
            </w:r>
          </w:p>
        </w:tc>
        <w:tc>
          <w:tcPr>
            <w:tcW w:type="dxa" w:w="1701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84.6%</w:t>
            </w:r>
          </w:p>
        </w:tc>
        <w:tc>
          <w:tcPr>
            <w:tcW w:type="dxa" w:w="1134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正常</w:t>
            </w:r>
          </w:p>
        </w:tc>
      </w:tr>
      <w:tr>
        <w:tc>
          <w:tcPr>
            <w:tcW w:type="dxa" w:w="2268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项目C</w:t>
            </w:r>
          </w:p>
        </w:tc>
        <w:tc>
          <w:tcPr>
            <w:tcW w:type="dxa" w:w="1984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300.00</w:t>
            </w:r>
          </w:p>
        </w:tc>
        <w:tc>
          <w:tcPr>
            <w:tcW w:type="dxa" w:w="1984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298.70</w:t>
            </w:r>
          </w:p>
        </w:tc>
        <w:tc>
          <w:tcPr>
            <w:tcW w:type="dxa" w:w="1701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99.6%</w:t>
            </w:r>
          </w:p>
        </w:tc>
        <w:tc>
          <w:tcPr>
            <w:tcW w:type="dxa" w:w="1134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正常</w:t>
            </w:r>
          </w:p>
        </w:tc>
      </w:tr>
      <w:tr>
        <w:tc>
          <w:tcPr>
            <w:tcW w:type="dxa" w:w="2268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项目D</w:t>
            </w:r>
          </w:p>
        </w:tc>
        <w:tc>
          <w:tcPr>
            <w:tcW w:type="dxa" w:w="1984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200.00</w:t>
            </w:r>
          </w:p>
        </w:tc>
        <w:tc>
          <w:tcPr>
            <w:tcW w:type="dxa" w:w="1984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67.50</w:t>
            </w:r>
          </w:p>
        </w:tc>
        <w:tc>
          <w:tcPr>
            <w:tcW w:type="dxa" w:w="1701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33.8%</w:t>
            </w:r>
          </w:p>
        </w:tc>
        <w:tc>
          <w:tcPr>
            <w:tcW w:type="dxa" w:w="1134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⚠ 偏低</w:t>
            </w:r>
          </w:p>
        </w:tc>
      </w:tr>
      <w:tr>
        <w:tc>
          <w:tcPr>
            <w:tcW w:type="dxa" w:w="2268"/>
            <w:vAlign w:val="center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合计</w:t>
            </w:r>
          </w:p>
        </w:tc>
        <w:tc>
          <w:tcPr>
            <w:tcW w:type="dxa" w:w="1984"/>
            <w:vAlign w:val="center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2,000.00</w:t>
            </w:r>
          </w:p>
        </w:tc>
        <w:tc>
          <w:tcPr>
            <w:tcW w:type="dxa" w:w="1984"/>
            <w:vAlign w:val="center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1,645.67</w:t>
            </w:r>
          </w:p>
        </w:tc>
        <w:tc>
          <w:tcPr>
            <w:tcW w:type="dxa" w:w="1701"/>
            <w:vAlign w:val="center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82.3%</w:t>
            </w:r>
          </w:p>
        </w:tc>
        <w:tc>
          <w:tcPr>
            <w:tcW w:type="dxa" w:w="1134"/>
            <w:vAlign w:val="center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—</w:t>
            </w:r>
          </w:p>
        </w:tc>
      </w:tr>
    </w:tbl>
    <w:p>
      <w:pPr>
        <w:spacing w:before="0" w:after="160" w:line="276" w:lineRule="auto"/>
      </w:pPr>
      <w:r>
        <w:rPr>
          <w:rFonts w:ascii="宋体" w:hAnsi="宋体" w:eastAsia="宋体"/>
          <w:i/>
          <w:color w:val="666666"/>
          <w:sz w:val="16"/>
        </w:rPr>
        <w:t>数据来源：[数据来源说明，如：根据项目财务台账及银行对账单汇总，统计截至202X年X月X日</w:t>
      </w:r>
    </w:p>
    <w:p/>
    <w:p>
      <w:pPr>
        <w:spacing w:before="200" w:after="40" w:line="276" w:lineRule="auto"/>
        <w:jc w:val="center"/>
      </w:pPr>
      <w:r>
        <w:rPr>
          <w:rFonts w:ascii="宋体" w:hAnsi="宋体" w:eastAsia="宋体"/>
          <w:b/>
          <w:color w:val="1A3A6E"/>
          <w:sz w:val="20"/>
        </w:rPr>
        <w:t>图表1：项目资金构成分布</w:t>
      </w:r>
    </w:p>
    <w:p>
      <w:pPr>
        <w:jc w:val="center"/>
      </w:pPr>
      <w:r>
        <w:rPr>
          <w:rFonts w:ascii="宋体" w:hAnsi="宋体" w:eastAsia="宋体"/>
          <w:i/>
          <w:color w:val="666666"/>
          <w:sz w:val="18"/>
        </w:rPr>
        <w:t>[饼图/环形图：主色：深蓝#1a3a6e渐变，建议蓝灰色调色盘，标注占比百分比]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饼图/环形图区域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饼图/环形图区域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饼图/环形图区域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饼图/环形图区域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饼图/环形图区域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饼图/环形图区域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饼图/环形图区域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饼图/环形图区域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饼图/环形图区域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饼图/环形图区域 - 建议配色：主色1A3A6E / 强调色E86A17 / 灰色系辅助  </w:t>
            </w:r>
          </w:p>
        </w:tc>
      </w:tr>
    </w:tbl>
    <w:p>
      <w:pPr>
        <w:spacing w:before="40" w:after="240" w:line="276" w:lineRule="auto"/>
        <w:jc w:val="left"/>
      </w:pPr>
      <w:r>
        <w:rPr>
          <w:rFonts w:ascii="宋体" w:hAnsi="宋体" w:eastAsia="宋体"/>
          <w:i/>
          <w:color w:val="666666"/>
          <w:sz w:val="16"/>
        </w:rPr>
        <w:t>数据来源：[请填写具体数据来源及取证方式]</w:t>
      </w:r>
    </w:p>
    <w:p>
      <w:pPr>
        <w:spacing w:before="0" w:after="160" w:line="276" w:lineRule="auto"/>
      </w:pPr>
      <w:r>
        <w:rPr>
          <w:rFonts w:ascii="宋体" w:hAnsi="宋体" w:eastAsia="宋体"/>
          <w:i/>
          <w:color w:val="666666"/>
          <w:sz w:val="16"/>
        </w:rPr>
        <w:t>数据来源：[数据来源]</w:t>
      </w:r>
    </w:p>
    <w:p/>
    <w:p>
      <w:pPr>
        <w:spacing w:before="200" w:after="40" w:line="276" w:lineRule="auto"/>
        <w:jc w:val="center"/>
      </w:pPr>
      <w:r>
        <w:rPr>
          <w:rFonts w:ascii="宋体" w:hAnsi="宋体" w:eastAsia="宋体"/>
          <w:b/>
          <w:color w:val="1A3A6E"/>
          <w:sz w:val="20"/>
        </w:rPr>
        <w:t>图表2：各项目预算执行率对比</w:t>
      </w:r>
    </w:p>
    <w:p>
      <w:pPr>
        <w:jc w:val="center"/>
      </w:pPr>
      <w:r>
        <w:rPr>
          <w:rFonts w:ascii="宋体" w:hAnsi="宋体" w:eastAsia="宋体"/>
          <w:i/>
          <w:color w:val="666666"/>
          <w:sz w:val="18"/>
        </w:rPr>
        <w:t>[柱状图：单色渐变柱状图，主色#1a3a6e，达标线用绿色虚线标注]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柱状图区域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柱状图区域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柱状图区域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柱状图区域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柱状图区域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柱状图区域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柱状图区域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柱状图区域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柱状图区域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柱状图区域 - 建议配色：主色1A3A6E / 强调色E86A17 / 灰色系辅助  </w:t>
            </w:r>
          </w:p>
        </w:tc>
      </w:tr>
    </w:tbl>
    <w:p>
      <w:pPr>
        <w:spacing w:before="40" w:after="240" w:line="276" w:lineRule="auto"/>
        <w:jc w:val="left"/>
      </w:pPr>
      <w:r>
        <w:rPr>
          <w:rFonts w:ascii="宋体" w:hAnsi="宋体" w:eastAsia="宋体"/>
          <w:i/>
          <w:color w:val="666666"/>
          <w:sz w:val="16"/>
        </w:rPr>
        <w:t>数据来源：[请填写具体数据来源及取证方式]</w:t>
      </w:r>
    </w:p>
    <w:p>
      <w:pPr>
        <w:spacing w:before="0" w:after="160" w:line="276" w:lineRule="auto"/>
      </w:pPr>
      <w:r>
        <w:rPr>
          <w:rFonts w:ascii="宋体" w:hAnsi="宋体" w:eastAsia="宋体"/>
          <w:i/>
          <w:color w:val="666666"/>
          <w:sz w:val="16"/>
        </w:rPr>
        <w:t>数据来源：[数据来源]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color w:val="1A3A6E"/>
          <w:sz w:val="36"/>
        </w:rPr>
        <w:t>三、重点问题分析</w:t>
      </w:r>
    </w:p>
    <w:p>
      <w:pPr>
        <w:pStyle w:val="Heading2"/>
        <w:spacing w:before="240" w:after="120" w:line="276" w:lineRule="auto"/>
      </w:pPr>
      <w:r>
        <w:rPr>
          <w:color w:val="1A3A6E"/>
          <w:sz w:val="30"/>
        </w:rPr>
        <w:t>3.1 预算执行方面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color w:val="333333"/>
          <w:sz w:val="21"/>
        </w:rPr>
        <w:t>[请描述预算执行方面发现的问题，包括：预算编制是否合理、预算调整是否合规、执行偏差的原因分析等。]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color w:val="333333"/>
          <w:sz w:val="21"/>
        </w:rPr>
        <w:t>示例：经核查，项目D预算执行率仅为33.8%，主要原因为：① 项目前期论证不充分，立项条件不成熟；② 实施过程中遇到[具体困难]，导致进度严重滞后。涉及未执行预算资金132.50万元。</w:t>
      </w:r>
    </w:p>
    <w:p>
      <w:pPr>
        <w:spacing w:before="200" w:after="40" w:line="276" w:lineRule="auto"/>
        <w:jc w:val="center"/>
      </w:pPr>
      <w:r>
        <w:rPr>
          <w:rFonts w:ascii="宋体" w:hAnsi="宋体" w:eastAsia="宋体"/>
          <w:b/>
          <w:color w:val="1A3A6E"/>
          <w:sz w:val="20"/>
        </w:rPr>
        <w:t>图表3：月度预算执行进度趋势</w:t>
      </w:r>
    </w:p>
    <w:p>
      <w:pPr>
        <w:jc w:val="center"/>
      </w:pPr>
      <w:r>
        <w:rPr>
          <w:rFonts w:ascii="宋体" w:hAnsi="宋体" w:eastAsia="宋体"/>
          <w:i/>
          <w:color w:val="666666"/>
          <w:sz w:val="18"/>
        </w:rPr>
        <w:t>[折线图+柱状图组合：折线图：月度累计执行率（蓝色实线），柱状图：月度支出额（浅蓝色），计划线：红色虚线]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折线图+柱状图组合区域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折线图+柱状图组合区域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折线图+柱状图组合区域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折线图+柱状图组合区域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折线图+柱状图组合区域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折线图+柱状图组合区域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折线图+柱状图组合区域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折线图+柱状图组合区域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折线图+柱状图组合区域 - 建议配色：主色1A3A6E / 强调色E86A17 / 灰色系辅助  </w:t>
            </w:r>
          </w:p>
        </w:tc>
      </w:tr>
      <w:tr>
        <w:tc>
          <w:tcPr>
            <w:tcW w:type="dxa" w:w="8312"/>
            <w:shd w:fill="f5f7fa"/>
          </w:tcPr>
          <w:p>
            <w:pPr>
              <w:jc w:val="center"/>
            </w:pPr>
            <w:r>
              <w:rPr>
                <w:rFonts w:ascii="宋体" w:hAnsi="宋体" w:eastAsia="宋体"/>
                <w:color w:val="666666"/>
                <w:sz w:val="15"/>
              </w:rPr>
              <w:t xml:space="preserve">  折线图+柱状图组合区域 - 建议配色：主色1A3A6E / 强调色E86A17 / 灰色系辅助  </w:t>
            </w:r>
          </w:p>
        </w:tc>
      </w:tr>
    </w:tbl>
    <w:p>
      <w:pPr>
        <w:spacing w:before="40" w:after="240" w:line="276" w:lineRule="auto"/>
        <w:jc w:val="left"/>
      </w:pPr>
      <w:r>
        <w:rPr>
          <w:rFonts w:ascii="宋体" w:hAnsi="宋体" w:eastAsia="宋体"/>
          <w:i/>
          <w:color w:val="666666"/>
          <w:sz w:val="16"/>
        </w:rPr>
        <w:t>数据来源：[请填写具体数据来源及取证方式]</w:t>
      </w:r>
    </w:p>
    <w:p>
      <w:pPr>
        <w:spacing w:before="0" w:after="160" w:line="276" w:lineRule="auto"/>
      </w:pPr>
      <w:r>
        <w:rPr>
          <w:rFonts w:ascii="宋体" w:hAnsi="宋体" w:eastAsia="宋体"/>
          <w:i/>
          <w:color w:val="666666"/>
          <w:sz w:val="16"/>
        </w:rPr>
        <w:t>数据来源：[数据来源]</w:t>
      </w:r>
    </w:p>
    <w:p/>
    <w:p>
      <w:pPr>
        <w:pStyle w:val="Heading2"/>
        <w:spacing w:before="240" w:after="120" w:line="276" w:lineRule="auto"/>
      </w:pPr>
      <w:r>
        <w:rPr>
          <w:color w:val="1A3A6E"/>
          <w:sz w:val="30"/>
        </w:rPr>
        <w:t>3.2 资金管理方面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color w:val="333333"/>
          <w:sz w:val="21"/>
        </w:rPr>
        <w:t>[请描述资金管理方面发现的问题，包括：资金拨付及时性、专款专用情况、资金沉淀问题等。]</w:t>
      </w:r>
    </w:p>
    <w:p>
      <w:pPr>
        <w:pStyle w:val="Heading2"/>
        <w:spacing w:before="240" w:after="120" w:line="276" w:lineRule="auto"/>
      </w:pPr>
      <w:r>
        <w:rPr>
          <w:color w:val="1A3A6E"/>
          <w:sz w:val="30"/>
        </w:rPr>
        <w:t>3.3 项目管理方面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color w:val="333333"/>
          <w:sz w:val="21"/>
        </w:rPr>
        <w:t>[请描述项目管理方面发现的问题，包括：招投标合规性、合同管理、工程变更、验收程序等。]</w:t>
      </w:r>
    </w:p>
    <w:p>
      <w:pPr>
        <w:pStyle w:val="Heading2"/>
        <w:spacing w:before="240" w:after="120" w:line="276" w:lineRule="auto"/>
      </w:pPr>
      <w:r>
        <w:rPr>
          <w:color w:val="1A3A6E"/>
          <w:sz w:val="30"/>
        </w:rPr>
        <w:t>3.4 内部控制方面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color w:val="333333"/>
          <w:sz w:val="21"/>
        </w:rPr>
        <w:t>[请描述内控方面发现的问题，包括：制度建设、岗位设置、审批流程、档案管理等。]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color w:val="1A3A6E"/>
          <w:sz w:val="36"/>
        </w:rPr>
        <w:t>四、问题发现汇总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color w:val="333333"/>
          <w:sz w:val="21"/>
        </w:rPr>
        <w:t>经审计/核查，本次共发现[数量]项问题，按风险等级分类如下：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268"/>
            <w:shd w:fill="1a3a6e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风险等级</w:t>
            </w:r>
          </w:p>
        </w:tc>
        <w:tc>
          <w:tcPr>
            <w:tcW w:type="dxa" w:w="1701"/>
            <w:shd w:fill="1a3a6e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问题数量</w:t>
            </w:r>
          </w:p>
        </w:tc>
        <w:tc>
          <w:tcPr>
            <w:tcW w:type="dxa" w:w="1701"/>
            <w:shd w:fill="1a3a6e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占比</w:t>
            </w:r>
          </w:p>
        </w:tc>
        <w:tc>
          <w:tcPr>
            <w:tcW w:type="dxa" w:w="3402"/>
            <w:shd w:fill="1a3a6e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处理建议</w:t>
            </w:r>
          </w:p>
        </w:tc>
      </w:tr>
      <w:tr>
        <w:tc>
          <w:tcPr>
            <w:tcW w:type="dxa" w:w="2268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高风险</w:t>
            </w:r>
          </w:p>
        </w:tc>
        <w:tc>
          <w:tcPr>
            <w:tcW w:type="dxa" w:w="1701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3</w:t>
            </w:r>
          </w:p>
        </w:tc>
        <w:tc>
          <w:tcPr>
            <w:tcW w:type="dxa" w:w="1701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15.8%</w:t>
            </w:r>
          </w:p>
        </w:tc>
        <w:tc>
          <w:tcPr>
            <w:tcW w:type="dxa" w:w="3402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需立即整改</w:t>
            </w:r>
          </w:p>
        </w:tc>
      </w:tr>
      <w:tr>
        <w:tc>
          <w:tcPr>
            <w:tcW w:type="dxa" w:w="2268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中风险</w:t>
            </w:r>
          </w:p>
        </w:tc>
        <w:tc>
          <w:tcPr>
            <w:tcW w:type="dxa" w:w="1701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8</w:t>
            </w:r>
          </w:p>
        </w:tc>
        <w:tc>
          <w:tcPr>
            <w:tcW w:type="dxa" w:w="1701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42.1%</w:t>
            </w:r>
          </w:p>
        </w:tc>
        <w:tc>
          <w:tcPr>
            <w:tcW w:type="dxa" w:w="3402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限期整改</w:t>
            </w:r>
          </w:p>
        </w:tc>
      </w:tr>
      <w:tr>
        <w:tc>
          <w:tcPr>
            <w:tcW w:type="dxa" w:w="2268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低风险</w:t>
            </w:r>
          </w:p>
        </w:tc>
        <w:tc>
          <w:tcPr>
            <w:tcW w:type="dxa" w:w="1701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8</w:t>
            </w:r>
          </w:p>
        </w:tc>
        <w:tc>
          <w:tcPr>
            <w:tcW w:type="dxa" w:w="1701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42.1%</w:t>
            </w:r>
          </w:p>
        </w:tc>
        <w:tc>
          <w:tcPr>
            <w:tcW w:type="dxa" w:w="3402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持续关注</w:t>
            </w:r>
          </w:p>
        </w:tc>
      </w:tr>
      <w:tr>
        <w:tc>
          <w:tcPr>
            <w:tcW w:type="dxa" w:w="2268"/>
            <w:vAlign w:val="center"/>
            <w:shd w:fill="f5f7fa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合计</w:t>
            </w:r>
          </w:p>
        </w:tc>
        <w:tc>
          <w:tcPr>
            <w:tcW w:type="dxa" w:w="1701"/>
            <w:vAlign w:val="center"/>
            <w:shd w:fill="f5f7fa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19</w:t>
            </w:r>
          </w:p>
        </w:tc>
        <w:tc>
          <w:tcPr>
            <w:tcW w:type="dxa" w:w="1701"/>
            <w:vAlign w:val="center"/>
            <w:shd w:fill="f5f7fa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100%</w:t>
            </w:r>
          </w:p>
        </w:tc>
        <w:tc>
          <w:tcPr>
            <w:tcW w:type="dxa" w:w="3402"/>
            <w:vAlign w:val="center"/>
            <w:shd w:fill="f5f7fa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—</w:t>
            </w:r>
          </w:p>
        </w:tc>
      </w:tr>
    </w:tbl>
    <w:p/>
    <w:p>
      <w:pPr>
        <w:spacing w:before="40" w:after="80" w:line="324" w:lineRule="auto"/>
      </w:pPr>
      <w:r>
        <w:rPr>
          <w:rFonts w:ascii="宋体" w:hAnsi="宋体" w:eastAsia="宋体"/>
          <w:b/>
          <w:color w:val="333333"/>
          <w:sz w:val="20"/>
        </w:rPr>
        <w:t>具体问题发现清单如下：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fill="1a3a6e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3118"/>
            <w:shd w:fill="1a3a6e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问题描述</w:t>
            </w:r>
          </w:p>
        </w:tc>
        <w:tc>
          <w:tcPr>
            <w:tcW w:type="dxa" w:w="1417"/>
            <w:shd w:fill="1a3a6e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涉及金额(万元)</w:t>
            </w:r>
          </w:p>
        </w:tc>
        <w:tc>
          <w:tcPr>
            <w:tcW w:type="dxa" w:w="850"/>
            <w:shd w:fill="1a3a6e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风险等级</w:t>
            </w:r>
          </w:p>
        </w:tc>
        <w:tc>
          <w:tcPr>
            <w:tcW w:type="dxa" w:w="3118"/>
            <w:shd w:fill="1a3a6e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整改建议</w:t>
            </w:r>
          </w:p>
        </w:tc>
      </w:tr>
      <w:tr>
        <w:tc>
          <w:tcPr>
            <w:tcW w:type="dxa" w:w="567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17"/>
              </w:rPr>
              <w:t>F-001</w:t>
            </w:r>
          </w:p>
        </w:tc>
        <w:tc>
          <w:tcPr>
            <w:tcW w:type="dxa" w:w="3118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项目D预算执行率仅33.8%，立项审批与实际脱节，项目推进严重滞后</w:t>
            </w:r>
          </w:p>
        </w:tc>
        <w:tc>
          <w:tcPr>
            <w:tcW w:type="dxa" w:w="1417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132.50</w:t>
            </w:r>
          </w:p>
        </w:tc>
        <w:tc>
          <w:tcPr>
            <w:tcW w:type="dxa" w:w="850"/>
            <w:shd w:fill="fdeded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CC3333"/>
                <w:sz w:val="17"/>
              </w:rPr>
              <w:t>高</w:t>
            </w:r>
          </w:p>
        </w:tc>
        <w:tc>
          <w:tcPr>
            <w:tcW w:type="dxa" w:w="3118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建议重新评估项目可行性，必要时终止或调整方案，收回结余资金</w:t>
            </w:r>
          </w:p>
        </w:tc>
      </w:tr>
      <w:tr>
        <w:tc>
          <w:tcPr>
            <w:tcW w:type="dxa" w:w="567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17"/>
              </w:rPr>
              <w:t>F-002</w:t>
            </w:r>
          </w:p>
        </w:tc>
        <w:tc>
          <w:tcPr>
            <w:tcW w:type="dxa" w:w="3118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部分支出未按规定取得合规发票，涉及金额45.30万元</w:t>
            </w:r>
          </w:p>
        </w:tc>
        <w:tc>
          <w:tcPr>
            <w:tcW w:type="dxa" w:w="1417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45.30</w:t>
            </w:r>
          </w:p>
        </w:tc>
        <w:tc>
          <w:tcPr>
            <w:tcW w:type="dxa" w:w="850"/>
            <w:shd w:fill="fdeded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CC3333"/>
                <w:sz w:val="17"/>
              </w:rPr>
              <w:t>高</w:t>
            </w:r>
          </w:p>
        </w:tc>
        <w:tc>
          <w:tcPr>
            <w:tcW w:type="dxa" w:w="3118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限期补充取得合规票据，对无法补救的按税法规定处理</w:t>
            </w:r>
          </w:p>
        </w:tc>
      </w:tr>
      <w:tr>
        <w:tc>
          <w:tcPr>
            <w:tcW w:type="dxa" w:w="567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17"/>
              </w:rPr>
              <w:t>F-003</w:t>
            </w:r>
          </w:p>
        </w:tc>
        <w:tc>
          <w:tcPr>
            <w:tcW w:type="dxa" w:w="3118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项目A未经批准擅自调整部分建设内容，涉及变更金额85.00万元</w:t>
            </w:r>
          </w:p>
        </w:tc>
        <w:tc>
          <w:tcPr>
            <w:tcW w:type="dxa" w:w="1417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85.00</w:t>
            </w:r>
          </w:p>
        </w:tc>
        <w:tc>
          <w:tcPr>
            <w:tcW w:type="dxa" w:w="850"/>
            <w:shd w:fill="fdeded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CC3333"/>
                <w:sz w:val="17"/>
              </w:rPr>
              <w:t>高</w:t>
            </w:r>
          </w:p>
        </w:tc>
        <w:tc>
          <w:tcPr>
            <w:tcW w:type="dxa" w:w="3118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补充变更审批手续，追究相关人员责任，完善变更管理制度</w:t>
            </w:r>
          </w:p>
        </w:tc>
      </w:tr>
      <w:tr>
        <w:tc>
          <w:tcPr>
            <w:tcW w:type="dxa" w:w="567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17"/>
              </w:rPr>
              <w:t>F-004</w:t>
            </w:r>
          </w:p>
        </w:tc>
        <w:tc>
          <w:tcPr>
            <w:tcW w:type="dxa" w:w="3118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部分合同签订不规范，存在要素缺失、条款模糊等问题</w:t>
            </w:r>
          </w:p>
        </w:tc>
        <w:tc>
          <w:tcPr>
            <w:tcW w:type="dxa" w:w="1417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—</w:t>
            </w:r>
          </w:p>
        </w:tc>
        <w:tc>
          <w:tcPr>
            <w:tcW w:type="dxa" w:w="850"/>
            <w:shd w:fill="fef9e7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E86A17"/>
                <w:sz w:val="17"/>
              </w:rPr>
              <w:t>中</w:t>
            </w:r>
          </w:p>
        </w:tc>
        <w:tc>
          <w:tcPr>
            <w:tcW w:type="dxa" w:w="3118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修订完善合同模板，加强合同审核流程建设</w:t>
            </w:r>
          </w:p>
        </w:tc>
      </w:tr>
      <w:tr>
        <w:tc>
          <w:tcPr>
            <w:tcW w:type="dxa" w:w="567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17"/>
              </w:rPr>
              <w:t>F-005</w:t>
            </w:r>
          </w:p>
        </w:tc>
        <w:tc>
          <w:tcPr>
            <w:tcW w:type="dxa" w:w="3118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专项资金存在短期挪用现象，虽然已在期末归还但内部控制存在漏洞</w:t>
            </w:r>
          </w:p>
        </w:tc>
        <w:tc>
          <w:tcPr>
            <w:tcW w:type="dxa" w:w="1417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120.00</w:t>
            </w:r>
          </w:p>
        </w:tc>
        <w:tc>
          <w:tcPr>
            <w:tcW w:type="dxa" w:w="850"/>
            <w:shd w:fill="fef9e7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E86A17"/>
                <w:sz w:val="17"/>
              </w:rPr>
              <w:t>中</w:t>
            </w:r>
          </w:p>
        </w:tc>
        <w:tc>
          <w:tcPr>
            <w:tcW w:type="dxa" w:w="3118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强化专项资金专户管理，建立定期对账机制</w:t>
            </w:r>
          </w:p>
        </w:tc>
      </w:tr>
      <w:tr>
        <w:tc>
          <w:tcPr>
            <w:tcW w:type="dxa" w:w="567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17"/>
              </w:rPr>
              <w:t>F-006</w:t>
            </w:r>
          </w:p>
        </w:tc>
        <w:tc>
          <w:tcPr>
            <w:tcW w:type="dxa" w:w="3118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项目C虽执行率正常但成果交付存在部分质量缺陷</w:t>
            </w:r>
          </w:p>
        </w:tc>
        <w:tc>
          <w:tcPr>
            <w:tcW w:type="dxa" w:w="1417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—</w:t>
            </w:r>
          </w:p>
        </w:tc>
        <w:tc>
          <w:tcPr>
            <w:tcW w:type="dxa" w:w="850"/>
            <w:shd w:fill="fef9e7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E86A17"/>
                <w:sz w:val="17"/>
              </w:rPr>
              <w:t>中</w:t>
            </w:r>
          </w:p>
        </w:tc>
        <w:tc>
          <w:tcPr>
            <w:tcW w:type="dxa" w:w="3118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督促整改，建立质量验收标准及扣款机制</w:t>
            </w:r>
          </w:p>
        </w:tc>
      </w:tr>
      <w:tr>
        <w:tc>
          <w:tcPr>
            <w:tcW w:type="dxa" w:w="567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17"/>
              </w:rPr>
              <w:t>F-007</w:t>
            </w:r>
          </w:p>
        </w:tc>
        <w:tc>
          <w:tcPr>
            <w:tcW w:type="dxa" w:w="3118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档案管理不够规范，部分过程性文件缺失</w:t>
            </w:r>
          </w:p>
        </w:tc>
        <w:tc>
          <w:tcPr>
            <w:tcW w:type="dxa" w:w="1417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—</w:t>
            </w:r>
          </w:p>
        </w:tc>
        <w:tc>
          <w:tcPr>
            <w:tcW w:type="dxa" w:w="850"/>
            <w:shd w:fill="e8f8f0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339933"/>
                <w:sz w:val="17"/>
              </w:rPr>
              <w:t>低</w:t>
            </w:r>
          </w:p>
        </w:tc>
        <w:tc>
          <w:tcPr>
            <w:tcW w:type="dxa" w:w="3118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建立完整的项目档案管理制度和归档清单</w:t>
            </w:r>
          </w:p>
        </w:tc>
      </w:tr>
      <w:tr>
        <w:tc>
          <w:tcPr>
            <w:tcW w:type="dxa" w:w="567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color w:val="666666"/>
                <w:sz w:val="17"/>
              </w:rPr>
              <w:t>F-008</w:t>
            </w:r>
          </w:p>
        </w:tc>
        <w:tc>
          <w:tcPr>
            <w:tcW w:type="dxa" w:w="3118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绩效自评报告数据与财务数据存在口径不一致</w:t>
            </w:r>
          </w:p>
        </w:tc>
        <w:tc>
          <w:tcPr>
            <w:tcW w:type="dxa" w:w="1417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righ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—</w:t>
            </w:r>
          </w:p>
        </w:tc>
        <w:tc>
          <w:tcPr>
            <w:tcW w:type="dxa" w:w="850"/>
            <w:shd w:fill="e8f8f0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339933"/>
                <w:sz w:val="17"/>
              </w:rPr>
              <w:t>低</w:t>
            </w:r>
          </w:p>
        </w:tc>
        <w:tc>
          <w:tcPr>
            <w:tcW w:type="dxa" w:w="3118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7"/>
              </w:rPr>
              <w:t>统一数据口径，规范绩效指标填报要求</w:t>
            </w:r>
          </w:p>
        </w:tc>
      </w:tr>
    </w:tbl>
    <w:p>
      <w:pPr>
        <w:spacing w:before="0" w:after="160" w:line="276" w:lineRule="auto"/>
      </w:pPr>
      <w:r>
        <w:rPr>
          <w:rFonts w:ascii="宋体" w:hAnsi="宋体" w:eastAsia="宋体"/>
          <w:i/>
          <w:color w:val="666666"/>
          <w:sz w:val="16"/>
        </w:rPr>
        <w:t>数据来源：以上问题分类依据《政府会计制度》及相关审计准则。风险等级按涉及金额、性质严重程度、整改难度综合判定。</w:t>
      </w:r>
    </w:p>
    <w:p/>
    <w:p>
      <w:r>
        <w:br w:type="page"/>
      </w:r>
    </w:p>
    <w:p>
      <w:pPr>
        <w:pStyle w:val="Heading1"/>
        <w:spacing w:before="240" w:after="120" w:line="276" w:lineRule="auto"/>
      </w:pPr>
      <w:r>
        <w:rPr>
          <w:color w:val="1A3A6E"/>
          <w:sz w:val="36"/>
        </w:rPr>
        <w:t>五、改进建议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color w:val="333333"/>
          <w:sz w:val="21"/>
        </w:rPr>
        <w:t>针对上述发现的问题，提出以下改进建议：</w:t>
      </w:r>
    </w:p>
    <w:p>
      <w:pPr>
        <w:spacing w:before="80" w:after="160" w:line="336" w:lineRule="auto"/>
        <w:ind w:left="283"/>
      </w:pPr>
      <w:r>
        <w:rPr>
          <w:b/>
          <w:color w:val="1A3A6E"/>
          <w:sz w:val="22"/>
        </w:rPr>
        <w:t xml:space="preserve">1. </w:t>
      </w:r>
      <w:r>
        <w:rPr>
          <w:rFonts w:ascii="宋体" w:hAnsi="宋体" w:eastAsia="宋体"/>
          <w:b/>
          <w:color w:val="1A3A6E"/>
          <w:sz w:val="22"/>
        </w:rPr>
        <w:t xml:space="preserve">加强项目前期论证  </w:t>
      </w:r>
      <w:r>
        <w:rPr>
          <w:rFonts w:ascii="宋体" w:hAnsi="宋体" w:eastAsia="宋体"/>
          <w:color w:val="333333"/>
          <w:sz w:val="20"/>
        </w:rPr>
        <w:t>建议在项目立项阶段增加可行性研究深度，引入专家评审机制，确保立项条件充分、预算编制合理，从源头杜绝"先天不足"项目。</w:t>
      </w:r>
    </w:p>
    <w:p>
      <w:pPr>
        <w:spacing w:before="80" w:after="160" w:line="336" w:lineRule="auto"/>
        <w:ind w:left="283"/>
      </w:pPr>
      <w:r>
        <w:rPr>
          <w:b/>
          <w:color w:val="1A3A6E"/>
          <w:sz w:val="22"/>
        </w:rPr>
        <w:t xml:space="preserve">2. </w:t>
      </w:r>
      <w:r>
        <w:rPr>
          <w:rFonts w:ascii="宋体" w:hAnsi="宋体" w:eastAsia="宋体"/>
          <w:b/>
          <w:color w:val="1A3A6E"/>
          <w:sz w:val="22"/>
        </w:rPr>
        <w:t xml:space="preserve">完善资金管理制度  </w:t>
      </w:r>
      <w:r>
        <w:rPr>
          <w:rFonts w:ascii="宋体" w:hAnsi="宋体" w:eastAsia="宋体"/>
          <w:color w:val="333333"/>
          <w:sz w:val="20"/>
        </w:rPr>
        <w:t>建立专项资金全流程监控机制，实行专户管理、专款专用。完善资金拨付与项目进度的联动机制，杜绝资金闲置或挪用。</w:t>
      </w:r>
    </w:p>
    <w:p>
      <w:pPr>
        <w:spacing w:before="80" w:after="160" w:line="336" w:lineRule="auto"/>
        <w:ind w:left="283"/>
      </w:pPr>
      <w:r>
        <w:rPr>
          <w:b/>
          <w:color w:val="1A3A6E"/>
          <w:sz w:val="22"/>
        </w:rPr>
        <w:t xml:space="preserve">3. </w:t>
      </w:r>
      <w:r>
        <w:rPr>
          <w:rFonts w:ascii="宋体" w:hAnsi="宋体" w:eastAsia="宋体"/>
          <w:b/>
          <w:color w:val="1A3A6E"/>
          <w:sz w:val="22"/>
        </w:rPr>
        <w:t xml:space="preserve">规范合同与变更管理  </w:t>
      </w:r>
      <w:r>
        <w:rPr>
          <w:rFonts w:ascii="宋体" w:hAnsi="宋体" w:eastAsia="宋体"/>
          <w:color w:val="333333"/>
          <w:sz w:val="20"/>
        </w:rPr>
        <w:t>制定统一的合同模板体系，加强合同审核流程。建立变更审批的层级管理制度，重大变更须经集体决策并书面审批。</w:t>
      </w:r>
    </w:p>
    <w:p>
      <w:pPr>
        <w:spacing w:before="80" w:after="160" w:line="336" w:lineRule="auto"/>
        <w:ind w:left="283"/>
      </w:pPr>
      <w:r>
        <w:rPr>
          <w:b/>
          <w:color w:val="1A3A6E"/>
          <w:sz w:val="22"/>
        </w:rPr>
        <w:t xml:space="preserve">4. </w:t>
      </w:r>
      <w:r>
        <w:rPr>
          <w:rFonts w:ascii="宋体" w:hAnsi="宋体" w:eastAsia="宋体"/>
          <w:b/>
          <w:color w:val="1A3A6E"/>
          <w:sz w:val="22"/>
        </w:rPr>
        <w:t xml:space="preserve">强化绩效评价闭环  </w:t>
      </w:r>
      <w:r>
        <w:rPr>
          <w:rFonts w:ascii="宋体" w:hAnsi="宋体" w:eastAsia="宋体"/>
          <w:color w:val="333333"/>
          <w:sz w:val="20"/>
        </w:rPr>
        <w:t>建立"目标设定→过程监控→结果评价→反馈应用"的全链条绩效管理体系，将评价结果与下年度预算安排挂钩。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color w:val="1A3A6E"/>
          <w:sz w:val="36"/>
        </w:rPr>
        <w:t>六、结论与总体评价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color w:val="333333"/>
          <w:sz w:val="21"/>
        </w:rPr>
        <w:t>[请撰写总体评价和结论，包括：对项目整体实施效果的评价、主要成绩和亮点、存在的突出问题、改进建议的优先级排序等。]</w:t>
      </w:r>
    </w:p>
    <w:p>
      <w:pPr>
        <w:spacing w:before="40" w:after="80" w:line="324" w:lineRule="auto"/>
      </w:pPr>
      <w:r>
        <w:rPr>
          <w:rFonts w:ascii="宋体" w:hAnsi="宋体" w:eastAsia="宋体"/>
          <w:b/>
          <w:color w:val="333333"/>
          <w:sz w:val="22"/>
        </w:rPr>
        <w:t>综合评价：□ 优秀    □ 良好    □ 一般    □ 较差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color w:val="1A3A6E"/>
          <w:sz w:val="36"/>
        </w:rPr>
        <w:t>附录一：图表索引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color w:val="333333"/>
          <w:sz w:val="21"/>
        </w:rPr>
        <w:t>本报告所含图表清单如下（借鉴券商研报图表目录格式）：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134"/>
            <w:shd w:fill="1a3a6e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969"/>
            <w:shd w:fill="1a3a6e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图表名称</w:t>
            </w:r>
          </w:p>
        </w:tc>
        <w:tc>
          <w:tcPr>
            <w:tcW w:type="dxa" w:w="2268"/>
            <w:shd w:fill="1a3a6e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图表类型</w:t>
            </w:r>
          </w:p>
        </w:tc>
        <w:tc>
          <w:tcPr>
            <w:tcW w:type="dxa" w:w="1701"/>
            <w:shd w:fill="1a3a6e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所在页码</w:t>
            </w:r>
          </w:p>
        </w:tc>
      </w:tr>
      <w:tr>
        <w:tc>
          <w:tcPr>
            <w:tcW w:type="dxa" w:w="1134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图表1</w:t>
            </w:r>
          </w:p>
        </w:tc>
        <w:tc>
          <w:tcPr>
            <w:tcW w:type="dxa" w:w="3969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项目资金构成分布</w:t>
            </w:r>
          </w:p>
        </w:tc>
        <w:tc>
          <w:tcPr>
            <w:tcW w:type="dxa" w:w="2268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饼图/环形图</w:t>
            </w:r>
          </w:p>
        </w:tc>
        <w:tc>
          <w:tcPr>
            <w:tcW w:type="dxa" w:w="1701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第5页</w:t>
            </w:r>
          </w:p>
        </w:tc>
      </w:tr>
      <w:tr>
        <w:tc>
          <w:tcPr>
            <w:tcW w:type="dxa" w:w="1134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图表2</w:t>
            </w:r>
          </w:p>
        </w:tc>
        <w:tc>
          <w:tcPr>
            <w:tcW w:type="dxa" w:w="3969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各项目预算执行率对比</w:t>
            </w:r>
          </w:p>
        </w:tc>
        <w:tc>
          <w:tcPr>
            <w:tcW w:type="dxa" w:w="2268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柱状图</w:t>
            </w:r>
          </w:p>
        </w:tc>
        <w:tc>
          <w:tcPr>
            <w:tcW w:type="dxa" w:w="1701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第5页</w:t>
            </w:r>
          </w:p>
        </w:tc>
      </w:tr>
      <w:tr>
        <w:tc>
          <w:tcPr>
            <w:tcW w:type="dxa" w:w="1134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图表3</w:t>
            </w:r>
          </w:p>
        </w:tc>
        <w:tc>
          <w:tcPr>
            <w:tcW w:type="dxa" w:w="3969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月度预算执行进度趋势</w:t>
            </w:r>
          </w:p>
        </w:tc>
        <w:tc>
          <w:tcPr>
            <w:tcW w:type="dxa" w:w="2268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折线图+柱状图</w:t>
            </w:r>
          </w:p>
        </w:tc>
        <w:tc>
          <w:tcPr>
            <w:tcW w:type="dxa" w:w="1701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第7页</w:t>
            </w:r>
          </w:p>
        </w:tc>
      </w:tr>
      <w:tr>
        <w:tc>
          <w:tcPr>
            <w:tcW w:type="dxa" w:w="1134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表1</w:t>
            </w:r>
          </w:p>
        </w:tc>
        <w:tc>
          <w:tcPr>
            <w:tcW w:type="dxa" w:w="3969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预算执行情况对比表</w:t>
            </w:r>
          </w:p>
        </w:tc>
        <w:tc>
          <w:tcPr>
            <w:tcW w:type="dxa" w:w="2268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三线表</w:t>
            </w:r>
          </w:p>
        </w:tc>
        <w:tc>
          <w:tcPr>
            <w:tcW w:type="dxa" w:w="1701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第5页</w:t>
            </w:r>
          </w:p>
        </w:tc>
      </w:tr>
      <w:tr>
        <w:tc>
          <w:tcPr>
            <w:tcW w:type="dxa" w:w="1134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表2</w:t>
            </w:r>
          </w:p>
        </w:tc>
        <w:tc>
          <w:tcPr>
            <w:tcW w:type="dxa" w:w="3969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问题风险等级统计表</w:t>
            </w:r>
          </w:p>
        </w:tc>
        <w:tc>
          <w:tcPr>
            <w:tcW w:type="dxa" w:w="2268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三线表</w:t>
            </w:r>
          </w:p>
        </w:tc>
        <w:tc>
          <w:tcPr>
            <w:tcW w:type="dxa" w:w="1701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第11页</w:t>
            </w:r>
          </w:p>
        </w:tc>
      </w:tr>
      <w:tr>
        <w:tc>
          <w:tcPr>
            <w:tcW w:type="dxa" w:w="1134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表3</w:t>
            </w:r>
          </w:p>
        </w:tc>
        <w:tc>
          <w:tcPr>
            <w:tcW w:type="dxa" w:w="3969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问题发现清单</w:t>
            </w:r>
          </w:p>
        </w:tc>
        <w:tc>
          <w:tcPr>
            <w:tcW w:type="dxa" w:w="2268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风险分类表</w:t>
            </w:r>
          </w:p>
        </w:tc>
        <w:tc>
          <w:tcPr>
            <w:tcW w:type="dxa" w:w="1701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第11-12页</w:t>
            </w:r>
          </w:p>
        </w:tc>
      </w:tr>
      <w:tr>
        <w:tc>
          <w:tcPr>
            <w:tcW w:type="dxa" w:w="1134"/>
            <w:vAlign w:val="center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表4</w:t>
            </w:r>
          </w:p>
        </w:tc>
        <w:tc>
          <w:tcPr>
            <w:tcW w:type="dxa" w:w="3969"/>
            <w:vAlign w:val="center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审计方法清单</w:t>
            </w:r>
          </w:p>
        </w:tc>
        <w:tc>
          <w:tcPr>
            <w:tcW w:type="dxa" w:w="2268"/>
            <w:vAlign w:val="center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三线表</w:t>
            </w:r>
          </w:p>
        </w:tc>
        <w:tc>
          <w:tcPr>
            <w:tcW w:type="dxa" w:w="1701"/>
            <w:vAlign w:val="center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第4页</w:t>
            </w:r>
          </w:p>
        </w:tc>
      </w:tr>
    </w:tbl>
    <w:p>
      <w:r>
        <w:br w:type="page"/>
      </w:r>
    </w:p>
    <w:p>
      <w:pPr>
        <w:pStyle w:val="Heading1"/>
        <w:spacing w:before="240" w:after="120" w:line="276" w:lineRule="auto"/>
      </w:pPr>
      <w:r>
        <w:rPr>
          <w:color w:val="1A3A6E"/>
          <w:sz w:val="36"/>
        </w:rPr>
        <w:t>附录二：配色与排版规范</w:t>
      </w:r>
    </w:p>
    <w:p>
      <w:pPr>
        <w:spacing w:before="40" w:after="80" w:line="324" w:lineRule="auto"/>
      </w:pPr>
      <w:r>
        <w:rPr>
          <w:rFonts w:ascii="宋体" w:hAnsi="宋体" w:eastAsia="宋体"/>
          <w:b/>
          <w:color w:val="333333"/>
          <w:sz w:val="21"/>
        </w:rPr>
        <w:t>本模板配色与排版设计参考中银证券行业深度研报，遵循"克制、统一、专业"原则。</w:t>
      </w:r>
    </w:p>
    <w:p>
      <w:pPr>
        <w:pStyle w:val="Heading2"/>
        <w:spacing w:before="240" w:after="120" w:line="276" w:lineRule="auto"/>
      </w:pPr>
      <w:r>
        <w:rPr>
          <w:color w:val="1A3A6E"/>
          <w:sz w:val="30"/>
        </w:rPr>
        <w:t>一、配色方案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1a3a6e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835"/>
            <w:shd w:fill="1a3a6e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颜色值</w:t>
            </w:r>
          </w:p>
        </w:tc>
        <w:tc>
          <w:tcPr>
            <w:tcW w:type="dxa" w:w="4535"/>
            <w:shd w:fill="1a3a6e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主色</w:t>
            </w:r>
          </w:p>
        </w:tc>
        <w:tc>
          <w:tcPr>
            <w:tcW w:type="dxa" w:w="2835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深蓝 #1a3a6e</w:t>
            </w:r>
          </w:p>
        </w:tc>
        <w:tc>
          <w:tcPr>
            <w:tcW w:type="dxa" w:w="4535"/>
            <w:vAlign w:val="center"/>
            <w:tcBorders>
              <w:top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标题、表头、重点文字、图表主色</w:t>
            </w:r>
          </w:p>
        </w:tc>
      </w:tr>
      <w:tr>
        <w:tc>
          <w:tcPr>
            <w:tcW w:type="dxa" w:w="1701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强调色</w:t>
            </w:r>
          </w:p>
        </w:tc>
        <w:tc>
          <w:tcPr>
            <w:tcW w:type="dxa" w:w="2835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橙色 #e86a17</w:t>
            </w:r>
          </w:p>
        </w:tc>
        <w:tc>
          <w:tcPr>
            <w:tcW w:type="dxa" w:w="4535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图表对比色、关键数据标注</w:t>
            </w:r>
          </w:p>
        </w:tc>
      </w:tr>
      <w:tr>
        <w:tc>
          <w:tcPr>
            <w:tcW w:type="dxa" w:w="1701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正文色</w:t>
            </w:r>
          </w:p>
        </w:tc>
        <w:tc>
          <w:tcPr>
            <w:tcW w:type="dxa" w:w="2835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深灰 #333333</w:t>
            </w:r>
          </w:p>
        </w:tc>
        <w:tc>
          <w:tcPr>
            <w:tcW w:type="dxa" w:w="4535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正文段落文字</w:t>
            </w:r>
          </w:p>
        </w:tc>
      </w:tr>
      <w:tr>
        <w:tc>
          <w:tcPr>
            <w:tcW w:type="dxa" w:w="1701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辅助色</w:t>
            </w:r>
          </w:p>
        </w:tc>
        <w:tc>
          <w:tcPr>
            <w:tcW w:type="dxa" w:w="2835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灰色 #666666</w:t>
            </w:r>
          </w:p>
        </w:tc>
        <w:tc>
          <w:tcPr>
            <w:tcW w:type="dxa" w:w="4535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数据来源、页码、次要信息</w:t>
            </w:r>
          </w:p>
        </w:tc>
      </w:tr>
      <w:tr>
        <w:tc>
          <w:tcPr>
            <w:tcW w:type="dxa" w:w="1701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高风险</w:t>
            </w:r>
          </w:p>
        </w:tc>
        <w:tc>
          <w:tcPr>
            <w:tcW w:type="dxa" w:w="2835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红色 #cc3333</w:t>
            </w:r>
          </w:p>
        </w:tc>
        <w:tc>
          <w:tcPr>
            <w:tcW w:type="dxa" w:w="4535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高风险问题标识</w:t>
            </w:r>
          </w:p>
        </w:tc>
      </w:tr>
      <w:tr>
        <w:tc>
          <w:tcPr>
            <w:tcW w:type="dxa" w:w="1701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中风险</w:t>
            </w:r>
          </w:p>
        </w:tc>
        <w:tc>
          <w:tcPr>
            <w:tcW w:type="dxa" w:w="2835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橙色 #e86a17</w:t>
            </w:r>
          </w:p>
        </w:tc>
        <w:tc>
          <w:tcPr>
            <w:tcW w:type="dxa" w:w="4535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中风险问题标识</w:t>
            </w:r>
          </w:p>
        </w:tc>
      </w:tr>
      <w:tr>
        <w:tc>
          <w:tcPr>
            <w:tcW w:type="dxa" w:w="1701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低风险</w:t>
            </w:r>
          </w:p>
        </w:tc>
        <w:tc>
          <w:tcPr>
            <w:tcW w:type="dxa" w:w="2835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绿色 #339933</w:t>
            </w:r>
          </w:p>
        </w:tc>
        <w:tc>
          <w:tcPr>
            <w:tcW w:type="dxa" w:w="4535"/>
            <w:vAlign w:val="center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低风险问题标识</w:t>
            </w:r>
          </w:p>
        </w:tc>
      </w:tr>
      <w:tr>
        <w:tc>
          <w:tcPr>
            <w:tcW w:type="dxa" w:w="1701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浅蓝背景</w:t>
            </w:r>
          </w:p>
        </w:tc>
        <w:tc>
          <w:tcPr>
            <w:tcW w:type="dxa" w:w="2835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#eef2f9</w:t>
            </w:r>
          </w:p>
        </w:tc>
        <w:tc>
          <w:tcPr>
            <w:tcW w:type="dxa" w:w="4535"/>
            <w:vAlign w:val="center"/>
            <w:shd w:fill="f5f7fa"/>
            <w:tcBorders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封面信息表左侧列、目录表头</w:t>
            </w:r>
          </w:p>
        </w:tc>
      </w:tr>
      <w:tr>
        <w:tc>
          <w:tcPr>
            <w:tcW w:type="dxa" w:w="1701"/>
            <w:vAlign w:val="center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交替行色</w:t>
            </w:r>
          </w:p>
        </w:tc>
        <w:tc>
          <w:tcPr>
            <w:tcW w:type="dxa" w:w="2835"/>
            <w:vAlign w:val="center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#f5f7fa</w:t>
            </w:r>
          </w:p>
        </w:tc>
        <w:tc>
          <w:tcPr>
            <w:tcW w:type="dxa" w:w="4535"/>
            <w:vAlign w:val="center"/>
            <w:tcBorders>
              <w:bottom w:val="single" w:sz="12" w:space="0" w:color="999999"/>
              <w:left w:val="single" w:sz="0" w:space="0" w:color="FFFFFF"/>
              <w:right w:val="single" w:sz="0" w:space="0" w:color="FFFFFF"/>
            </w:tcBorders>
          </w:tcPr>
          <w:p>
            <w:pPr>
              <w:jc w:val="left"/>
            </w:pPr>
            <w:r/>
            <w:r>
              <w:rPr>
                <w:rFonts w:ascii="宋体" w:hAnsi="宋体" w:eastAsia="宋体"/>
                <w:color w:val="333333"/>
                <w:sz w:val="18"/>
              </w:rPr>
              <w:t>表格数据行交替底色</w:t>
            </w:r>
          </w:p>
        </w:tc>
      </w:tr>
    </w:tbl>
    <w:p/>
    <w:p>
      <w:pPr>
        <w:pStyle w:val="Heading2"/>
        <w:spacing w:before="240" w:after="120" w:line="276" w:lineRule="auto"/>
      </w:pPr>
      <w:r>
        <w:rPr>
          <w:color w:val="1A3A6E"/>
          <w:sz w:val="30"/>
        </w:rPr>
        <w:t>二、表格规范</w:t>
      </w:r>
    </w:p>
    <w:p>
      <w:pPr>
        <w:spacing w:before="40" w:after="80" w:line="324" w:lineRule="auto"/>
      </w:pPr>
      <w:r>
        <w:rPr>
          <w:rFonts w:ascii="宋体" w:hAnsi="宋体" w:eastAsia="宋体"/>
          <w:b w:val="0"/>
          <w:color w:val="333333"/>
          <w:sz w:val="21"/>
        </w:rPr>
        <w:t>本模板所有正式表格均采用"三线表"（顶线、表头下线、底线）设计，这是学术论文和政府报告的通用标准：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顶线和底线用粗线（1.5pt），表头下线用粗线（1.5pt），其余位置无线条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表头用深蓝色底色+白色文字，与主色调统一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数据行使用交替浅色底色（斑马条纹），提高长表格可读性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数字列右对齐，文字列左对齐，表头居中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每个表格下方标注"数据来源"，格式与券商研报一致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金额列标注单位（万元/亿元），不可省略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负值使用括号表示，如（5.50），比红色更专业</w:t>
      </w:r>
    </w:p>
    <w:p/>
    <w:p>
      <w:pPr>
        <w:pStyle w:val="Heading2"/>
        <w:spacing w:before="240" w:after="120" w:line="276" w:lineRule="auto"/>
      </w:pPr>
      <w:r>
        <w:rPr>
          <w:color w:val="1A3A6E"/>
          <w:sz w:val="30"/>
        </w:rPr>
        <w:t>三、图表规范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默认图表配色：主色（深蓝）为主，强调色（橙）用于对比，灰色系辅助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饼图使用深蓝色系渐变调色盘，不宜超过5个扇区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柱状图使用单色渐变，不建议多色柱子（除非必须对比）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折线图主趋势线深蓝色加粗，辅助线灰色虚线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每张图表必须有标题（居中、加粗、深蓝色）和数据来源标注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图表风格全报告保持一致，不混用不同风格的默认配色</w:t>
      </w:r>
    </w:p>
    <w:p/>
    <w:p>
      <w:pPr>
        <w:pStyle w:val="Heading2"/>
        <w:spacing w:before="240" w:after="120" w:line="276" w:lineRule="auto"/>
      </w:pPr>
      <w:r>
        <w:rPr>
          <w:color w:val="1A3A6E"/>
          <w:sz w:val="30"/>
        </w:rPr>
        <w:t>四、文字排版规范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正文：宋体 10.5pt，行距1.35倍，段间距4pt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一级标题：黑体 18pt，深蓝色，段前12pt/段后6pt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二级标题：黑体 15pt，深蓝色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三级标题：黑体 13pt，深蓝色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页眉：宋体 8pt，灰色，左侧项目名称+右侧日期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页脚：宋体 8pt，灰色，居中页码（第X页/共Y页）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关键发现：使用 ► 或 · 符号引导，缩进0.5cm</w:t>
      </w:r>
    </w:p>
    <w:p>
      <w:pPr>
        <w:spacing w:before="40" w:after="80" w:line="324" w:lineRule="auto"/>
        <w:ind w:left="283"/>
      </w:pPr>
      <w:r>
        <w:rPr>
          <w:b/>
          <w:color w:val="1A3A6E"/>
          <w:sz w:val="22"/>
        </w:rPr>
        <w:t xml:space="preserve">·  </w:t>
      </w:r>
      <w:r>
        <w:rPr>
          <w:rFonts w:ascii="宋体" w:hAnsi="宋体" w:eastAsia="宋体"/>
          <w:color w:val="333333"/>
          <w:sz w:val="21"/>
        </w:rPr>
        <w:t>段落首行不缩进（现代排版风格），段间距替代首行缩进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>
      <w:rPr>
        <w:color w:val="666666"/>
        <w:sz w:val="16"/>
      </w:rPr>
      <w:fldChar w:fldCharType="end"/>
    </w:r>
    <w:r>
      <w:rPr>
        <w:color w:val="666666"/>
        <w:sz w:val="16"/>
      </w:rPr>
      <w:t xml:space="preserve"> /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NUMPAGES </w:instrText>
    </w:r>
    <w:r>
      <w:rPr>
        <w:color w:val="666666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color w:val="666666"/>
        <w:sz w:val="16"/>
      </w:rPr>
      <w:t>[项目名称]  ｜  审计/咨询报告</w:t>
    </w:r>
  </w:p>
  <w:p>
    <w:pPr>
      <w:jc w:val="right"/>
    </w:pPr>
    <w:r>
      <w:rPr>
        <w:rFonts w:ascii="宋体" w:hAnsi="宋体" w:eastAsia="宋体"/>
        <w:color w:val="666666"/>
        <w:sz w:val="16"/>
      </w:rPr>
      <w:t>2026年05月12日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