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ac563b8418d4579" /><Relationship Type="http://schemas.openxmlformats.org/package/2006/relationships/metadata/core-properties" Target="/docProps/core.xml" Id="R43330b71612c4f69" /><Relationship Type="http://schemas.openxmlformats.org/officeDocument/2006/relationships/extended-properties" Target="/docProps/app.xml" Id="R6e20ece776c7483d" /><Relationship Type="http://schemas.openxmlformats.org/officeDocument/2006/relationships/custom-properties" Target="/docProps/custom.xml" Id="R0610859128354664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2E" w14:textId="0010002F">
      <w:pPr>
        <w:pStyle w:val="TOCHeading"/>
      </w:pPr>
      <w:r>
        <w:t>目  录</w:t>
      </w:r>
    </w:p>
    <w:p w14:paraId="00100030" w14:textId="00100031">
      <w:r>
        <w:fldChar w:fldCharType="begin"/>
      </w:r>
      <w:r>
        <w:instrText xml:space="preserve"> TOC \o "1-2" \h \u </w:instrText>
      </w:r>
      <w:r>
        <w:fldChar w:fldCharType="separate"/>
      </w:r>
      <w:r>
        <w:t xml:space="preserve">Update field to see table of contents</w:t>
      </w:r>
      <w:r>
        <w:fldChar w:fldCharType="end"/>
      </w:r>
    </w:p>
    <w:p w14:paraId="00100000" w14:textId="00100001">
      <w:pPr>
        <w:shd w:val="clear" w:fill="0A1F3F"/>
        <w:spacing w:before="0" w:after="0"/>
      </w:pPr>
      <w:r>
        <w:rPr>
          <w:sz w:val="48"/>
        </w:rPr>
        <w:t xml:space="preserve"/>
      </w:r>
    </w:p>
    <w:p w14:paraId="00100002" w14:textId="00100003">
      <w:pPr>
        <w:spacing w:before="960" w:after="0"/>
      </w:pPr>
      <w:r>
        <w:rPr/>
        <w:t xml:space="preserve"/>
      </w:r>
    </w:p>
    <w:p w14:paraId="00100004" w14:textId="00100005">
      <w:pPr>
        <w:spacing w:after="160"/>
        <w:jc w:val="center"/>
      </w:pPr>
      <w:r>
        <w:rPr>
          <w:rFonts w:ascii="SimHei" w:hAnsi="SimHei" w:eastAsia="SimHei"/>
          <w:color w:val="0A1F3F"/>
          <w:sz w:val="28"/>
        </w:rPr>
        <w:t xml:space="preserve">四川融策会计师事务所</w:t>
      </w:r>
    </w:p>
    <w:p w14:paraId="00100006" w14:textId="00100007">
      <w:pPr>
        <w:spacing w:after="80"/>
        <w:jc w:val="center"/>
      </w:pPr>
      <w:r>
        <w:rPr>
          <w:rFonts w:ascii="SimHei" w:hAnsi="SimHei" w:eastAsia="SimHei"/>
          <w:b/>
          <w:color w:val="0A1F3F"/>
          <w:sz w:val="52"/>
        </w:rPr>
        <w:t xml:space="preserve">北京智能体新政 × 融策·审盾</w:t>
      </w:r>
    </w:p>
    <w:p w14:paraId="00100008" w14:textId="00100009">
      <w:pPr>
        <w:spacing w:after="320"/>
        <w:jc w:val="center"/>
      </w:pPr>
      <w:r>
        <w:rPr>
          <w:rFonts w:ascii="SimHei" w:hAnsi="SimHei" w:eastAsia="SimHei"/>
          <w:b/>
          <w:color w:val="0A1F3F"/>
          <w:sz w:val="52"/>
        </w:rPr>
        <w:t xml:space="preserve">战略对标分析</w:t>
      </w:r>
    </w:p>
    <w:p w14:paraId="0010000A" w14:textId="0010000B">
      <w:pPr>
        <w:spacing w:after="720"/>
        <w:jc w:val="center"/>
      </w:pPr>
      <w:r>
        <w:rPr>
          <w:rFonts w:ascii="KaiTi" w:hAnsi="KaiTi" w:eastAsia="KaiTi"/>
          <w:color w:val="1A5C6E"/>
          <w:sz w:val="28"/>
        </w:rPr>
        <w:t xml:space="preserve">——基于《北京市关于加快智能体引领发展的若干措施》的七大概念对标</w:t>
      </w:r>
    </w:p>
    <w:p w14:paraId="0010000C" w14:textId="0010000D">
      <w:pPr>
        <w:shd w:val="clear" w:fill="C5955C"/>
        <w:spacing w:before="0" w:after="480"/>
      </w:pPr>
      <w:r>
        <w:rPr>
          <w:sz w:val="8"/>
        </w:rPr>
        <w:t xml:space="preserve"/>
      </w:r>
    </w:p>
    <w:p w14:paraId="0010000E" w14:textId="0010000F">
      <w:pPr>
        <w:spacing w:after="120"/>
        <w:jc w:val="center"/>
      </w:pPr>
      <w:r>
        <w:rPr>
          <w:rFonts w:ascii="SimSun" w:hAnsi="SimSun" w:eastAsia="SimSun"/>
          <w:color w:val="444444"/>
          <w:sz w:val="22"/>
        </w:rPr>
        <w:t xml:space="preserve">分析日期：2026年7月23日</w:t>
      </w:r>
    </w:p>
    <w:p w14:paraId="00100010" w14:textId="00100011">
      <w:pPr>
        <w:spacing w:after="720"/>
        <w:jc w:val="center"/>
      </w:pPr>
      <w:r>
        <w:rPr>
          <w:rFonts w:ascii="SimSun" w:hAnsi="SimSun" w:eastAsia="SimSun"/>
          <w:color w:val="666666"/>
          <w:sz w:val="20"/>
        </w:rPr>
        <w:t xml:space="preserve">依据：《北京市关于加快智能体引领发展的若干措施》+ 融策审盾战略 + 十五五战略分析</w:t>
      </w:r>
    </w:p>
    <w:p w14:paraId="00100012" w14:textId="00100013">
      <w:pPr>
        <w:shd w:val="clear" w:fill="EBF3FB"/>
        <w:spacing w:before="0" w:after="0"/>
      </w:pPr>
      <w:r>
        <w:rPr>
          <w:sz w:val="8"/>
        </w:rPr>
        <w:t xml:space="preserve"/>
      </w:r>
    </w:p>
    <w:p w14:paraId="00100014" w14:textId="00100015">
      <w:pPr>
        <w:shd w:val="clear" w:fill="EBF3FB"/>
        <w:spacing w:before="200" w:after="160"/>
        <w:jc w:val="center"/>
      </w:pPr>
      <w:r>
        <w:rPr>
          <w:rFonts w:ascii="SimHei" w:hAnsi="SimHei" w:eastAsia="SimHei"/>
          <w:b/>
          <w:color w:val="0A1F3F"/>
          <w:sz w:val="20"/>
        </w:rPr>
        <w:t xml:space="preserve">核心发现</w:t>
      </w:r>
    </w:p>
    <w:p w14:paraId="00100016" w14:textId="00100017">
      <w:pPr>
        <w:shd w:val="clear" w:fill="EBF3FB"/>
        <w:spacing w:before="0" w:after="200"/>
        <w:ind w:left="360" w:right="360"/>
        <w:jc w:val="center"/>
      </w:pPr>
      <w:r>
        <w:rPr>
          <w:rFonts w:ascii="KaiTi" w:hAnsi="KaiTi" w:eastAsia="KaiTi"/>
          <w:i/>
          <w:color w:val="444444"/>
          <w:sz w:val="20"/>
        </w:rPr>
        <w:t xml:space="preserve">这份政策不是「AI行业利好」，是给审盾发了一份官方背书的战略路线图。文件里 Harness Engineering、RaaS、OPC、需求智能、Token经济五大概念，恰好对应审盾从技术架构到商业模式到组织形态的五个关键维度。</w:t>
      </w:r>
    </w:p>
    <w:p w14:paraId="00100018" w14:textId="00100019">
      <w:pPr>
        <w:shd w:val="clear" w:fill="EBF3FB"/>
        <w:spacing w:before="0" w:after="480"/>
      </w:pPr>
      <w:r>
        <w:rPr>
          <w:sz w:val="8"/>
        </w:rPr>
        <w:t xml:space="preserve"/>
      </w:r>
    </w:p>
    <w:p w14:paraId="0010001A" w14:textId="0010001B">
      <w:pPr>
        <w:shd w:val="clear" w:fill="0A1F3F"/>
        <w:spacing w:before="0" w:after="120"/>
      </w:pPr>
      <w:r>
        <w:rPr>
          <w:sz w:val="28"/>
        </w:rPr>
        <w:t xml:space="preserve"/>
      </w:r>
    </w:p>
    <w:p w14:paraId="0010001C" w14:textId="0010001D">
      <w:pPr>
        <w:spacing w:after="0"/>
        <w:jc w:val="center"/>
      </w:pPr>
      <w:r>
        <w:rPr>
          <w:rFonts w:ascii="SimHei" w:hAnsi="SimHei" w:eastAsia="SimHei"/>
          <w:color w:val="C5955C"/>
          <w:sz w:val="20"/>
        </w:rPr>
        <w:t xml:space="preserve">融策·审盾 —— 让你敢签字。</w:t>
      </w:r>
    </w:p>
    <w:p w14:paraId="0010001E" w14:textId="0010001F">
      <w:r>
        <w:br w:type="page"/>
      </w:r>
    </w:p>
    <w:p w14:paraId="00100020" w14:textId="00100021">
      <w:r>
        <w:br w:type="page"/>
      </w:r>
    </w:p>
    <w:p w14:paraId="00100022" w14:textId="00100023">
      <w:pPr>
        <w:pStyle w:val="Heading1"/>
      </w:pPr>
      <w:r>
        <w:rPr/>
        <w:t xml:space="preserve">一、总判断</w:t>
      </w:r>
    </w:p>
    <w:p w14:paraId="00100024" w14:textId="00100025">
      <w:pPr>
        <w:spacing w:after="240" w:line="360" w:lineRule="auto"/>
      </w:pPr>
      <w:r>
        <w:rPr>
          <w:rFonts w:ascii="SimSun" w:hAnsi="SimSun" w:eastAsia="SimSun"/>
          <w:sz w:val="24"/>
        </w:rPr>
        <w:t xml:space="preserve">这份政策不是「AI行业利好」，是给审盾发了一份官方背书的战略路线图。文件里 Harness Engineering、RaaS、OPC、需求智能、Token经济五大概念，恰好对应审盾从技术架构到商业模式到组织形态的五个关键维度。审盾的战略方向不需要调整——需要的是用这些概念把现有思路讲得更清楚、卖得更贵。</w:t>
      </w:r>
    </w:p>
    <w:p w14:paraId="00100026" w14:textId="00100027">
      <w:pPr>
        <w:pStyle w:val="Heading1"/>
      </w:pPr>
      <w:r>
        <w:rPr/>
        <w:t xml:space="preserve">二、七大概念逐一对标</w:t>
      </w:r>
    </w:p>
    <w:p w14:paraId="00100028" w14:textId="00100029">
      <w:pPr>
        <w:pStyle w:val="Heading2"/>
      </w:pPr>
      <w:r>
        <w:rPr/>
        <w:t xml:space="preserve">2.1 Harness Engineering（驾驭层工程）↔ 审盾技术架构</w:t>
      </w:r>
    </w:p>
    <w:p w14:paraId="0010002A" w14:textId="0010002B">
      <w:pPr>
        <w:spacing w:after="160"/>
      </w:pPr>
      <w:r>
        <w:rPr>
          <w:rFonts w:ascii="KaiTi" w:hAnsi="KaiTi" w:eastAsia="KaiTi"/>
          <w:color w:val="666666"/>
          <w:sz w:val="22"/>
        </w:rPr>
        <w:t xml:space="preserve">政策原文：「上下文工程优化、任务持久化、多智能体协作、系统可扩展」</w:t>
      </w:r>
    </w:p>
    <w:p w14:paraId="0010002C" w14:textId="0010002D">
      <w:pPr>
        <w:spacing w:after="160" w:line="360" w:lineRule="auto"/>
      </w:pPr>
      <w:r>
        <w:rPr>
          <w:rFonts w:ascii="SimSun" w:hAnsi="SimSun" w:eastAsia="SimSun"/>
          <w:sz w:val="24"/>
        </w:rPr>
        <w:t xml:space="preserve">审盾本质上就是一个审计领域的 Harness 系统。把审盾架构拆开看：</w:t>
      </w:r>
    </w:p>
    <w:tbl>
      <w:tblPr>
        <w:tblStyle w:val="TableGrid"/>
        <w:tblW w:w="5000" w:type="pct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ook w:val="04A0"/>
      </w:tblPr>
      <w:tblGrid>
        <w:gridCol w:w="2182"/>
        <w:gridCol w:w="2182"/>
        <w:gridCol w:w="2182"/>
        <w:gridCol w:w="2182"/>
      </w:tblGrid>
      <w:tr>
        <w:trPr>
          <w:tblHeader/>
        </w:trPr>
        <w:tc>
          <w:tcPr>
            <w:shd w:val="clear" w:fill="0A1F3F"/>
          </w:tcPr>
          <w:p w14:paraId="00100032" w14:textId="00100033">
            <w:r>
              <w:rPr>
                <w:rFonts w:ascii="SimHei" w:hAnsi="SimHei" w:eastAsia="SimHei"/>
                <w:b/>
                <w:color w:val="FFFFFF"/>
                <w:sz w:val="20"/>
              </w:rPr>
              <w:t xml:space="preserve">Harness 组件</w:t>
            </w:r>
          </w:p>
        </w:tc>
        <w:tc>
          <w:tcPr>
            <w:shd w:val="clear" w:fill="0A1F3F"/>
          </w:tcPr>
          <w:p w14:paraId="00100034" w14:textId="00100035">
            <w:r>
              <w:rPr>
                <w:rFonts w:ascii="SimHei" w:hAnsi="SimHei" w:eastAsia="SimHei"/>
                <w:b/>
                <w:color w:val="FFFFFF"/>
                <w:sz w:val="20"/>
              </w:rPr>
              <w:t xml:space="preserve">政策概念</w:t>
            </w:r>
          </w:p>
        </w:tc>
        <w:tc>
          <w:tcPr>
            <w:shd w:val="clear" w:fill="0A1F3F"/>
          </w:tcPr>
          <w:p w14:paraId="00100036" w14:textId="00100037">
            <w:r>
              <w:rPr>
                <w:rFonts w:ascii="SimHei" w:hAnsi="SimHei" w:eastAsia="SimHei"/>
                <w:b/>
                <w:color w:val="FFFFFF"/>
                <w:sz w:val="20"/>
              </w:rPr>
              <w:t xml:space="preserve">审盾对应物</w:t>
            </w:r>
          </w:p>
        </w:tc>
        <w:tc>
          <w:tcPr>
            <w:shd w:val="clear" w:fill="0A1F3F"/>
          </w:tcPr>
          <w:p w14:paraId="00100038" w14:textId="00100039">
            <w:r>
              <w:rPr>
                <w:rFonts w:ascii="SimHei" w:hAnsi="SimHei" w:eastAsia="SimHei"/>
                <w:b/>
                <w:color w:val="FFFFFF"/>
                <w:sz w:val="20"/>
              </w:rPr>
              <w:t xml:space="preserve">成熟度</w:t>
            </w:r>
          </w:p>
        </w:tc>
      </w:tr>
      <w:tr>
        <w:trPr/>
        <w:tc>
          <w:p w14:paraId="0010003A" w14:textId="0010003B">
            <w:r>
              <w:t xml:space="preserve">上下文管理</w:t>
            </w:r>
          </w:p>
        </w:tc>
        <w:tc>
          <w:p w14:paraId="0010003C" w14:textId="0010003D">
            <w:r>
              <w:t xml:space="preserve">上下文工程优化</w:t>
            </w:r>
          </w:p>
        </w:tc>
        <w:tc>
          <w:p w14:paraId="0010003E" w14:textId="0010003F">
            <w:r>
              <w:t xml:space="preserve">RAG知识库（17,933 chunks）+ 法规匹配</w:t>
            </w:r>
          </w:p>
        </w:tc>
        <w:tc>
          <w:p w14:paraId="00100040" w14:textId="00100041">
            <w:r>
              <w:t xml:space="preserve">✅ 已建</w:t>
            </w:r>
          </w:p>
        </w:tc>
      </w:tr>
      <w:tr>
        <w:trPr/>
        <w:tc>
          <w:p w14:paraId="00100042" w14:textId="00100043">
            <w:r>
              <w:t xml:space="preserve">工具调用</w:t>
            </w:r>
          </w:p>
        </w:tc>
        <w:tc>
          <w:p w14:paraId="00100044" w14:textId="00100045">
            <w:r>
              <w:t xml:space="preserve">工具编排</w:t>
            </w:r>
          </w:p>
        </w:tc>
        <w:tc>
          <w:p w14:paraId="00100046" w14:textId="00100047">
            <w:r>
              <w:t xml:space="preserve">RAG查询→法规匹配→金额核验→逻辑检查</w:t>
            </w:r>
          </w:p>
        </w:tc>
        <w:tc>
          <w:p w14:paraId="00100048" w14:textId="00100049">
            <w:r>
              <w:t xml:space="preserve">✅ 部分</w:t>
            </w:r>
          </w:p>
        </w:tc>
      </w:tr>
      <w:tr>
        <w:trPr/>
        <w:tc>
          <w:p w14:paraId="0010004A" w14:textId="0010004B">
            <w:r>
              <w:t xml:space="preserve">任务拆解</w:t>
            </w:r>
          </w:p>
        </w:tc>
        <w:tc>
          <w:p w14:paraId="0010004C" w14:textId="0010004D">
            <w:r>
              <w:t xml:space="preserve">任务持久化</w:t>
            </w:r>
          </w:p>
        </w:tc>
        <w:tc>
          <w:p w14:paraId="0010004E" w14:textId="0010004F">
            <w:r>
              <w:t xml:space="preserve">15维度复核检查清单</w:t>
            </w:r>
          </w:p>
        </w:tc>
        <w:tc>
          <w:p w14:paraId="00100050" w14:textId="00100051">
            <w:r>
              <w:t xml:space="preserve">✅ 已建</w:t>
            </w:r>
          </w:p>
        </w:tc>
      </w:tr>
      <w:tr>
        <w:trPr/>
        <w:tc>
          <w:p w14:paraId="00100052" w14:textId="00100053">
            <w:r>
              <w:t xml:space="preserve">权限控制</w:t>
            </w:r>
          </w:p>
        </w:tc>
        <w:tc>
          <w:p w14:paraId="00100054" w14:textId="00100055">
            <w:r>
              <w:t xml:space="preserve">安全治理</w:t>
            </w:r>
          </w:p>
        </w:tc>
        <w:tc>
          <w:p w14:paraId="00100056" w14:textId="00100057">
            <w:r>
              <w:t xml:space="preserve">人工确认制度（5类必确认）</w:t>
            </w:r>
          </w:p>
        </w:tc>
        <w:tc>
          <w:p w14:paraId="00100058" w14:textId="00100059">
            <w:r>
              <w:t xml:space="preserve">✅ 已建</w:t>
            </w:r>
          </w:p>
        </w:tc>
      </w:tr>
      <w:tr>
        <w:trPr/>
        <w:tc>
          <w:p w14:paraId="0010005A" w14:textId="0010005B">
            <w:r>
              <w:t xml:space="preserve">状态保存</w:t>
            </w:r>
          </w:p>
        </w:tc>
        <w:tc>
          <w:p w14:paraId="0010005C" w14:textId="0010005D">
            <w:r>
              <w:t xml:space="preserve">长期记忆</w:t>
            </w:r>
          </w:p>
        </w:tc>
        <w:tc>
          <w:p w14:paraId="0010005E" w14:textId="0010005F">
            <w:r>
              <w:t xml:space="preserve">项目闭环沉淀 + 留痕导出</w:t>
            </w:r>
          </w:p>
        </w:tc>
        <w:tc>
          <w:p w14:paraId="00100060" w14:textId="00100061">
            <w:r>
              <w:t xml:space="preserve">✅ 已建</w:t>
            </w:r>
          </w:p>
        </w:tc>
      </w:tr>
      <w:tr>
        <w:trPr/>
        <w:tc>
          <w:p w14:paraId="00100062" w14:textId="00100063">
            <w:r>
              <w:t xml:space="preserve">失败重试</w:t>
            </w:r>
          </w:p>
        </w:tc>
        <w:tc>
          <w:p w14:paraId="00100064" w14:textId="00100065">
            <w:r>
              <w:t xml:space="preserve">任务持久化</w:t>
            </w:r>
          </w:p>
        </w:tc>
        <w:tc>
          <w:p w14:paraId="00100066" w14:textId="00100067">
            <w:r>
              <w:t xml:space="preserve">模型fallback链（14层）</w:t>
            </w:r>
          </w:p>
        </w:tc>
        <w:tc>
          <w:p w14:paraId="00100068" w14:textId="00100069">
            <w:r>
              <w:t xml:space="preserve">✅ 已建</w:t>
            </w:r>
          </w:p>
        </w:tc>
      </w:tr>
      <w:tr>
        <w:trPr/>
        <w:tc>
          <w:p w14:paraId="0010006A" w14:textId="0010006B">
            <w:r>
              <w:t xml:space="preserve">结果验证</w:t>
            </w:r>
          </w:p>
        </w:tc>
        <w:tc>
          <w:p w14:paraId="0010006C" w14:textId="0010006D">
            <w:r>
              <w:t xml:space="preserve">结果评测</w:t>
            </w:r>
          </w:p>
        </w:tc>
        <w:tc>
          <w:p w14:paraId="0010006E" w14:textId="0010006F">
            <w:r>
              <w:t xml:space="preserve">业务骨干逐条校验（30天实验）</w:t>
            </w:r>
          </w:p>
        </w:tc>
        <w:tc>
          <w:p w14:paraId="00100070" w14:textId="00100071">
            <w:r>
              <w:t xml:space="preserve">🔄 进行中</w:t>
            </w:r>
          </w:p>
        </w:tc>
      </w:tr>
      <w:tr>
        <w:trPr/>
        <w:tc>
          <w:p w14:paraId="00100072" w14:textId="00100073">
            <w:r>
              <w:t xml:space="preserve">Agent观测</w:t>
            </w:r>
          </w:p>
        </w:tc>
        <w:tc>
          <w:p w14:paraId="00100074" w14:textId="00100075">
            <w:r>
              <w:t xml:space="preserve">可观测系统</w:t>
            </w:r>
          </w:p>
        </w:tc>
        <w:tc>
          <w:p w14:paraId="00100076" w14:textId="00100077">
            <w:r>
              <w:t xml:space="preserve">AI输出留痕制度</w:t>
            </w:r>
          </w:p>
        </w:tc>
        <w:tc>
          <w:p w14:paraId="00100078" w14:textId="00100079">
            <w:r>
              <w:t xml:space="preserve">✅ 已建</w:t>
            </w:r>
          </w:p>
        </w:tc>
      </w:tr>
      <w:tr>
        <w:trPr/>
        <w:tc>
          <w:p w14:paraId="0010007A" w14:textId="0010007B">
            <w:r>
              <w:t xml:space="preserve">跨模型路由</w:t>
            </w:r>
          </w:p>
        </w:tc>
        <w:tc>
          <w:p w14:paraId="0010007C" w14:textId="0010007D">
            <w:r>
              <w:t xml:space="preserve">多模型协同</w:t>
            </w:r>
          </w:p>
        </w:tc>
        <w:tc>
          <w:p w14:paraId="0010007E" w14:textId="0010007F">
            <w:r>
              <w:t xml:space="preserve">14模型路由体系</w:t>
            </w:r>
          </w:p>
        </w:tc>
        <w:tc>
          <w:p w14:paraId="00100080" w14:textId="00100081">
            <w:r>
              <w:t xml:space="preserve">✅ 已建</w:t>
            </w:r>
          </w:p>
        </w:tc>
      </w:tr>
      <w:tr>
        <w:trPr/>
        <w:tc>
          <w:p w14:paraId="00100082" w14:textId="00100083">
            <w:r>
              <w:t xml:space="preserve">多Agent编排</w:t>
            </w:r>
          </w:p>
        </w:tc>
        <w:tc>
          <w:p w14:paraId="00100084" w14:textId="00100085">
            <w:r>
              <w:t xml:space="preserve">多智能体协作</w:t>
            </w:r>
          </w:p>
        </w:tc>
        <w:tc>
          <w:p w14:paraId="00100086" w14:textId="00100087">
            <w:r>
              <w:t xml:space="preserve">22 Agent + 黑板模式 + H-packet交接</w:t>
            </w:r>
          </w:p>
        </w:tc>
        <w:tc>
          <w:p w14:paraId="00100088" w14:textId="00100089">
            <w:r>
              <w:t xml:space="preserve">✅ 已建</w:t>
            </w:r>
          </w:p>
        </w:tc>
      </w:tr>
    </w:tbl>
    <w:p w14:paraId="0010008A" w14:textId="0010008B">
      <w:pPr>
        <w:spacing w:after="120" w:line="360" w:lineRule="auto"/>
      </w:pPr>
      <w:r>
        <w:rPr>
          <w:rFonts w:ascii="SimSun" w:hAnsi="SimSun" w:eastAsia="SimSun"/>
          <w:b/>
          <w:sz w:val="24"/>
        </w:rPr>
        <w:t xml:space="preserve">核心发现：审盾的 Harness 层在审计行业已经非常厚实。政策里提到的 Harness 组件，审盾几乎全有对应物。问题不在于「有没有」，而在于「有没有产品化包装」。</w:t>
      </w:r>
    </w:p>
    <w:p w14:paraId="0010008C" w14:textId="0010008D">
      <w:pPr>
        <w:spacing w:after="160"/>
        <w:ind w:left="360" w:right="360"/>
      </w:pPr>
      <w:r>
        <w:rPr>
          <w:rFonts w:ascii="KaiTi" w:hAnsi="KaiTi" w:eastAsia="KaiTi"/>
          <w:color w:val="1A5C6E"/>
          <w:sz w:val="22"/>
        </w:rPr>
        <w:t xml:space="preserve">战略启示：论文《Agentic Harness Engineering》验证——不改模型，只优化 Harness，10轮迭代后 Pass@1 从 69.7%→77.0%。审盾的护城河不在模型，在 Harness——这跟政策判断完全一致。</w:t>
      </w:r>
    </w:p>
    <w:p w14:paraId="0010008E" w14:textId="0010008F">
      <w:pPr>
        <w:spacing w:after="80"/>
      </w:pPr>
      <w:r>
        <w:rPr>
          <w:rFonts w:ascii="SimHei" w:hAnsi="SimHei" w:eastAsia="SimHei"/>
          <w:b/>
          <w:sz w:val="24"/>
        </w:rPr>
        <w:t xml:space="preserve">行动建议：</w:t>
      </w:r>
    </w:p>
    <w:p w14:paraId="00100090" w14:textId="00100091">
      <w:pPr>
        <w:numPr>
          <w:ilvl w:val="0"/>
          <w:numId w:val="1"/>
        </w:numPr>
        <w:spacing w:after="80"/>
      </w:pPr>
      <w:r>
        <w:rPr>
          <w:rFonts w:ascii="SimSun" w:hAnsi="SimSun" w:eastAsia="SimSun"/>
          <w:sz w:val="24"/>
        </w:rPr>
        <w:t xml:space="preserve">审盾对外宣传时，主动使用「驾驭层工程」概念，把15维复核+RAG+留痕+路由包装成「审计领域 Harness 系统」</w:t>
      </w:r>
    </w:p>
    <w:p w14:paraId="00100092" w14:textId="00100093">
      <w:pPr>
        <w:numPr>
          <w:ilvl w:val="0"/>
          <w:numId w:val="1"/>
        </w:numPr>
        <w:spacing w:after="80"/>
      </w:pPr>
      <w:r>
        <w:rPr>
          <w:rFonts w:ascii="SimSun" w:hAnsi="SimSun" w:eastAsia="SimSun"/>
          <w:sz w:val="24"/>
        </w:rPr>
        <w:t xml:space="preserve">审盾一期验证报告里增加一章：「Harness 层对复核准确率的独立贡献」（对比裸模型 vs Harness增强的差异）</w:t>
      </w:r>
    </w:p>
    <w:p w14:paraId="00100094" w14:textId="00100095">
      <w:pPr>
        <w:numPr>
          <w:ilvl w:val="0"/>
          <w:numId w:val="1"/>
        </w:numPr>
        <w:spacing w:after="240"/>
      </w:pPr>
      <w:r>
        <w:rPr>
          <w:rFonts w:ascii="SimSun" w:hAnsi="SimSun" w:eastAsia="SimSun"/>
          <w:sz w:val="24"/>
        </w:rPr>
        <w:t xml:space="preserve">投标材料里引用政策原文「实施驾驭层工程（Harness Engineering）」，建立政策合规性背书</w:t>
      </w:r>
    </w:p>
    <w:p w14:paraId="00100096" w14:textId="00100097">
      <w:pPr>
        <w:pStyle w:val="Heading2"/>
      </w:pPr>
      <w:r>
        <w:rPr/>
        <w:t xml:space="preserve">2.2 RaaS（结果即服务）↔ 审盾商业模式</w:t>
      </w:r>
    </w:p>
    <w:p w14:paraId="00100098" w14:textId="00100099">
      <w:pPr>
        <w:spacing w:after="160"/>
      </w:pPr>
      <w:r>
        <w:rPr>
          <w:rFonts w:ascii="KaiTi" w:hAnsi="KaiTi" w:eastAsia="KaiTi"/>
          <w:color w:val="666666"/>
          <w:sz w:val="22"/>
        </w:rPr>
        <w:t xml:space="preserve">政策原文：「鼓励创新主体从Token消耗量计费转向价值计费」→ TaaS → AaaS → RaaS</w:t>
      </w:r>
    </w:p>
    <w:p w14:paraId="0010009A" w14:textId="0010009B">
      <w:pPr>
        <w:spacing w:after="160"/>
      </w:pPr>
      <w:r>
        <w:rPr>
          <w:rFonts w:ascii="SimHei" w:hAnsi="SimHei" w:eastAsia="SimHei"/>
          <w:b/>
          <w:sz w:val="24"/>
        </w:rPr>
        <w:t xml:space="preserve">审盾三层对应：</w:t>
      </w:r>
    </w:p>
    <w:tbl>
      <w:tblPr>
        <w:tblStyle w:val="TableGrid"/>
        <w:tblW w:w="5000" w:type="pct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ook w:val="04A0"/>
      </w:tblPr>
      <w:tblGrid>
        <w:gridCol w:w="2182"/>
        <w:gridCol w:w="2182"/>
        <w:gridCol w:w="2182"/>
        <w:gridCol w:w="2182"/>
      </w:tblGrid>
      <w:tr>
        <w:trPr>
          <w:tblHeader/>
        </w:trPr>
        <w:tc>
          <w:tcPr>
            <w:shd w:val="clear" w:fill="1A5C6E"/>
          </w:tcPr>
          <w:p w14:paraId="0010009C" w14:textId="0010009D">
            <w:r>
              <w:rPr>
                <w:rFonts w:ascii="SimHei" w:hAnsi="SimHei" w:eastAsia="SimHei"/>
                <w:b/>
                <w:color w:val="FFFFFF"/>
                <w:sz w:val="20"/>
              </w:rPr>
              <w:t xml:space="preserve">层级</w:t>
            </w:r>
          </w:p>
        </w:tc>
        <w:tc>
          <w:tcPr>
            <w:shd w:val="clear" w:fill="1A5C6E"/>
          </w:tcPr>
          <w:p w14:paraId="0010009E" w14:textId="0010009F">
            <w:r>
              <w:rPr>
                <w:rFonts w:ascii="SimHei" w:hAnsi="SimHei" w:eastAsia="SimHei"/>
                <w:b/>
                <w:color w:val="FFFFFF"/>
                <w:sz w:val="20"/>
              </w:rPr>
              <w:t xml:space="preserve">定义</w:t>
            </w:r>
          </w:p>
        </w:tc>
        <w:tc>
          <w:tcPr>
            <w:shd w:val="clear" w:fill="1A5C6E"/>
          </w:tcPr>
          <w:p w14:paraId="001000A0" w14:textId="001000A1">
            <w:r>
              <w:rPr>
                <w:rFonts w:ascii="SimHei" w:hAnsi="SimHei" w:eastAsia="SimHei"/>
                <w:b/>
                <w:color w:val="FFFFFF"/>
                <w:sz w:val="20"/>
              </w:rPr>
              <w:t xml:space="preserve">审盾阶段</w:t>
            </w:r>
          </w:p>
        </w:tc>
        <w:tc>
          <w:tcPr>
            <w:shd w:val="clear" w:fill="1A5C6E"/>
          </w:tcPr>
          <w:p w14:paraId="001000A2" w14:textId="001000A3">
            <w:r>
              <w:rPr>
                <w:rFonts w:ascii="SimHei" w:hAnsi="SimHei" w:eastAsia="SimHei"/>
                <w:b/>
                <w:color w:val="FFFFFF"/>
                <w:sz w:val="20"/>
              </w:rPr>
              <w:t xml:space="preserve">定价逻辑</w:t>
            </w:r>
          </w:p>
        </w:tc>
      </w:tr>
      <w:tr>
        <w:trPr/>
        <w:tc>
          <w:p w14:paraId="001000A4" w14:textId="001000A5">
            <w:r>
              <w:t xml:space="preserve">TaaS</w:t>
            </w:r>
          </w:p>
        </w:tc>
        <w:tc>
          <w:p w14:paraId="001000A6" w14:textId="001000A7">
            <w:r>
              <w:t xml:space="preserve">卖Token/推理</w:t>
            </w:r>
          </w:p>
        </w:tc>
        <w:tc>
          <w:p w14:paraId="001000A8" w14:textId="001000A9">
            <w:r>
              <w:t xml:space="preserve">❌ 不碰</w:t>
            </w:r>
          </w:p>
        </w:tc>
        <w:tc>
          <w:p w14:paraId="001000AA" w14:textId="001000AB">
            <w:r>
              <w:t xml:space="preserve">不是融策的局</w:t>
            </w:r>
          </w:p>
        </w:tc>
      </w:tr>
      <w:tr>
        <w:trPr/>
        <w:tc>
          <w:p w14:paraId="001000AC" w14:textId="001000AD">
            <w:r>
              <w:t xml:space="preserve">AaaS</w:t>
            </w:r>
          </w:p>
        </w:tc>
        <w:tc>
          <w:p w14:paraId="001000AE" w14:textId="001000AF">
            <w:r>
              <w:t xml:space="preserve">卖Agent能力</w:t>
            </w:r>
          </w:p>
        </w:tc>
        <w:tc>
          <w:p w14:paraId="001000B0" w14:textId="001000B1">
            <w:r>
              <w:t xml:space="preserve">审盾二期→三期</w:t>
            </w:r>
          </w:p>
        </w:tc>
        <w:tc>
          <w:p w14:paraId="001000B2" w14:textId="001000B3">
            <w:r>
              <w:t xml:space="preserve">按报告类型/业务线订阅</w:t>
            </w:r>
          </w:p>
        </w:tc>
      </w:tr>
      <w:tr>
        <w:trPr/>
        <w:tc>
          <w:p w14:paraId="001000B4" w14:textId="001000B5">
            <w:r>
              <w:t xml:space="preserve">RaaS</w:t>
            </w:r>
          </w:p>
        </w:tc>
        <w:tc>
          <w:p w14:paraId="001000B6" w14:textId="001000B7">
            <w:r>
              <w:t xml:space="preserve">卖审计结果</w:t>
            </w:r>
          </w:p>
        </w:tc>
        <w:tc>
          <w:p w14:paraId="001000B8" w14:textId="001000B9">
            <w:r>
              <w:t xml:space="preserve">审盾终局</w:t>
            </w:r>
          </w:p>
        </w:tc>
        <w:tc>
          <w:p w14:paraId="001000BA" w14:textId="001000BB">
            <w:r>
              <w:t xml:space="preserve">「让你敢签字」= 按复核结果收费</w:t>
            </w:r>
          </w:p>
        </w:tc>
      </w:tr>
    </w:tbl>
    <w:p w14:paraId="001000BC" w14:textId="001000BD">
      <w:pPr>
        <w:spacing w:after="160" w:line="360" w:lineRule="auto"/>
      </w:pPr>
      <w:r>
        <w:rPr>
          <w:rFonts w:ascii="SimSun" w:hAnsi="SimSun" w:eastAsia="SimSun"/>
          <w:sz w:val="24"/>
        </w:rPr>
        <w:t xml:space="preserve">关键洞察：政策里那句「供应商要承担任务失败、重复执行、成本波动、质量验收、结果归因和赔偿责任」——这恰恰是审盾一期在做的验证。在没验证完成率之前，绝对不敢对外卖RaaS。一期的30天实验，本质上是在测 Cost per Successful Task。</w:t>
      </w:r>
    </w:p>
    <w:p w14:paraId="001000BE" w14:textId="001000BF">
      <w:pPr>
        <w:spacing w:after="160"/>
        <w:ind w:left="360" w:right="360"/>
      </w:pPr>
      <w:r>
        <w:rPr>
          <w:rFonts w:ascii="KaiTi" w:hAnsi="KaiTi" w:eastAsia="KaiTi"/>
          <w:color w:val="1A5C6E"/>
          <w:sz w:val="22"/>
        </w:rPr>
        <w:t xml:space="preserve">审盾应该盯的核心指标：Cost per Successful Task（每次成功复核的真实成本）= 模型推理 + 工具调用 + 失败重跑 + 人工接管 + 延迟损失 + 错误风险。而不是 Cost per Token——那是模型厂的指标，不是审盾的。</w:t>
      </w:r>
    </w:p>
    <w:p w14:paraId="001000C0" w14:textId="001000C1">
      <w:pPr>
        <w:spacing w:after="120"/>
      </w:pPr>
      <w:r>
        <w:rPr>
          <w:rFonts w:ascii="SimHei" w:hAnsi="SimHei" w:eastAsia="SimHei"/>
          <w:b/>
          <w:sz w:val="24"/>
        </w:rPr>
        <w:t xml:space="preserve">审盾定价策略预判：</w:t>
      </w:r>
    </w:p>
    <w:tbl>
      <w:tblPr>
        <w:tblStyle w:val="TableGrid"/>
        <w:tblW w:w="5000" w:type="pct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ook w:val="04A0"/>
      </w:tblPr>
      <w:tblGrid>
        <w:gridCol w:w="2182"/>
        <w:gridCol w:w="2182"/>
        <w:gridCol w:w="2182"/>
        <w:gridCol w:w="2182"/>
      </w:tblGrid>
      <w:tr>
        <w:trPr>
          <w:tblHeader/>
        </w:trPr>
        <w:tc>
          <w:tcPr>
            <w:shd w:val="clear" w:fill="C5955C"/>
          </w:tcPr>
          <w:p w14:paraId="001000C2" w14:textId="001000C3">
            <w:r>
              <w:rPr>
                <w:rFonts w:ascii="SimHei" w:hAnsi="SimHei" w:eastAsia="SimHei"/>
                <w:b/>
                <w:color w:val="FFFFFF"/>
                <w:sz w:val="20"/>
              </w:rPr>
              <w:t xml:space="preserve">阶段</w:t>
            </w:r>
          </w:p>
        </w:tc>
        <w:tc>
          <w:tcPr>
            <w:shd w:val="clear" w:fill="C5955C"/>
          </w:tcPr>
          <w:p w14:paraId="001000C4" w14:textId="001000C5">
            <w:r>
              <w:rPr>
                <w:rFonts w:ascii="SimHei" w:hAnsi="SimHei" w:eastAsia="SimHei"/>
                <w:b/>
                <w:color w:val="FFFFFF"/>
                <w:sz w:val="20"/>
              </w:rPr>
              <w:t xml:space="preserve">模式</w:t>
            </w:r>
          </w:p>
        </w:tc>
        <w:tc>
          <w:tcPr>
            <w:shd w:val="clear" w:fill="C5955C"/>
          </w:tcPr>
          <w:p w14:paraId="001000C6" w14:textId="001000C7">
            <w:r>
              <w:rPr>
                <w:rFonts w:ascii="SimHei" w:hAnsi="SimHei" w:eastAsia="SimHei"/>
                <w:b/>
                <w:color w:val="FFFFFF"/>
                <w:sz w:val="20"/>
              </w:rPr>
              <w:t xml:space="preserve">定价锚点</w:t>
            </w:r>
          </w:p>
        </w:tc>
        <w:tc>
          <w:tcPr>
            <w:shd w:val="clear" w:fill="C5955C"/>
          </w:tcPr>
          <w:p w14:paraId="001000C8" w14:textId="001000C9">
            <w:r>
              <w:rPr>
                <w:rFonts w:ascii="SimHei" w:hAnsi="SimHei" w:eastAsia="SimHei"/>
                <w:b/>
                <w:color w:val="FFFFFF"/>
                <w:sz w:val="20"/>
              </w:rPr>
              <w:t xml:space="preserve">风险</w:t>
            </w:r>
          </w:p>
        </w:tc>
      </w:tr>
      <w:tr>
        <w:trPr/>
        <w:tc>
          <w:p w14:paraId="001000CA" w14:textId="001000CB">
            <w:r>
              <w:t xml:space="preserve">内部工具</w:t>
            </w:r>
          </w:p>
        </w:tc>
        <w:tc>
          <w:p w14:paraId="001000CC" w14:textId="001000CD">
            <w:r>
              <w:t xml:space="preserve">成本中心</w:t>
            </w:r>
          </w:p>
        </w:tc>
        <w:tc>
          <w:p w14:paraId="001000CE" w14:textId="001000CF">
            <w:r>
              <w:t xml:space="preserve">节省的人工成本</w:t>
            </w:r>
          </w:p>
        </w:tc>
        <w:tc>
          <w:p w14:paraId="001000D0" w14:textId="001000D1">
            <w:r>
              <w:t xml:space="preserve">无</w:t>
            </w:r>
          </w:p>
        </w:tc>
      </w:tr>
      <w:tr>
        <w:trPr/>
        <w:tc>
          <w:p w14:paraId="001000D2" w14:textId="001000D3">
            <w:r>
              <w:t xml:space="preserve">AaaS（外部）</w:t>
            </w:r>
          </w:p>
        </w:tc>
        <w:tc>
          <w:p w14:paraId="001000D4" w14:textId="001000D5">
            <w:r>
              <w:t xml:space="preserve">按报告/按月</w:t>
            </w:r>
          </w:p>
        </w:tc>
        <w:tc>
          <w:p w14:paraId="001000D6" w14:textId="001000D7">
            <w:r>
              <w:t xml:space="preserve">人工复核市场价的50-70%</w:t>
            </w:r>
          </w:p>
        </w:tc>
        <w:tc>
          <w:p w14:paraId="001000D8" w14:textId="001000D9">
            <w:r>
              <w:t xml:space="preserve">中等</w:t>
            </w:r>
          </w:p>
        </w:tc>
      </w:tr>
      <w:tr>
        <w:trPr/>
        <w:tc>
          <w:p w14:paraId="001000DA" w14:textId="001000DB">
            <w:r>
              <w:t xml:space="preserve">RaaS（终局）</w:t>
            </w:r>
          </w:p>
        </w:tc>
        <w:tc>
          <w:p w14:paraId="001000DC" w14:textId="001000DD">
            <w:r>
              <w:t xml:space="preserve">按结果/按保险</w:t>
            </w:r>
          </w:p>
        </w:tc>
        <w:tc>
          <w:p w14:paraId="001000DE" w14:textId="001000DF">
            <w:r>
              <w:t xml:space="preserve">报告出错的风险溢价</w:t>
            </w:r>
          </w:p>
        </w:tc>
        <w:tc>
          <w:p w14:paraId="001000E0" w14:textId="001000E1">
            <w:r>
              <w:t xml:space="preserve">高</w:t>
            </w:r>
          </w:p>
        </w:tc>
      </w:tr>
    </w:tbl>
    <w:p w14:paraId="001000E2" w14:textId="001000E3">
      <w:pPr>
        <w:pStyle w:val="Heading2"/>
      </w:pPr>
      <w:r>
        <w:rPr/>
        <w:t xml:space="preserve">2.3 OPC（一人公司）↔ 审盾组织形态</w:t>
      </w:r>
    </w:p>
    <w:p w14:paraId="001000E4" w14:textId="001000E5">
      <w:pPr>
        <w:spacing w:after="160"/>
      </w:pPr>
      <w:r>
        <w:rPr>
          <w:rFonts w:ascii="KaiTi" w:hAnsi="KaiTi" w:eastAsia="KaiTi"/>
          <w:color w:val="666666"/>
          <w:sz w:val="22"/>
        </w:rPr>
        <w:t xml:space="preserve">政策原文：「支持以 OPC（一人公司）为代表的创新创业新模式」</w:t>
      </w:r>
    </w:p>
    <w:p w14:paraId="001000E6" w14:textId="001000E7">
      <w:pPr>
        <w:spacing w:after="160" w:line="360" w:lineRule="auto"/>
      </w:pPr>
      <w:r>
        <w:rPr>
          <w:rFonts w:ascii="SimSun" w:hAnsi="SimSun" w:eastAsia="SimSun"/>
          <w:sz w:val="24"/>
        </w:rPr>
        <w:t xml:space="preserve">审盾一期本质上就是一个 OPC 实验：一个业务骨干 + 一套Agent系统 = 一个人完成原来3个审计经理的复核工作量。科斯的公司边界理论在这里被直接验证——Agent压低了执行成本和协调成本，企业最小可行规模下降。</w:t>
      </w:r>
    </w:p>
    <w:p w14:paraId="001000E8" w14:textId="001000E9">
      <w:pPr>
        <w:spacing w:after="120"/>
      </w:pPr>
      <w:r>
        <w:rPr>
          <w:rFonts w:ascii="SimHei" w:hAnsi="SimHei" w:eastAsia="SimHei"/>
          <w:b/>
          <w:sz w:val="24"/>
        </w:rPr>
        <w:t xml:space="preserve">审盾一期与 OPC 的精确映射：</w:t>
      </w:r>
    </w:p>
    <w:tbl>
      <w:tblPr>
        <w:tblStyle w:val="TableGrid"/>
        <w:tblW w:w="5000" w:type="pct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ook w:val="04A0"/>
      </w:tblPr>
      <w:tblGrid>
        <w:gridCol w:w="4365"/>
        <w:gridCol w:w="4365"/>
      </w:tblGrid>
      <w:tr>
        <w:trPr>
          <w:tblHeader/>
        </w:trPr>
        <w:tc>
          <w:tcPr>
            <w:shd w:val="clear" w:fill="0A1F3F"/>
          </w:tcPr>
          <w:p w14:paraId="001000EA" w14:textId="001000EB">
            <w:r>
              <w:rPr>
                <w:rFonts w:ascii="SimHei" w:hAnsi="SimHei" w:eastAsia="SimHei"/>
                <w:b/>
                <w:color w:val="FFFFFF"/>
                <w:sz w:val="20"/>
              </w:rPr>
              <w:t xml:space="preserve">OPC 要素</w:t>
            </w:r>
          </w:p>
        </w:tc>
        <w:tc>
          <w:tcPr>
            <w:shd w:val="clear" w:fill="0A1F3F"/>
          </w:tcPr>
          <w:p w14:paraId="001000EC" w14:textId="001000ED">
            <w:r>
              <w:rPr>
                <w:rFonts w:ascii="SimHei" w:hAnsi="SimHei" w:eastAsia="SimHei"/>
                <w:b/>
                <w:color w:val="FFFFFF"/>
                <w:sz w:val="20"/>
              </w:rPr>
              <w:t xml:space="preserve">审盾一期</w:t>
            </w:r>
          </w:p>
        </w:tc>
      </w:tr>
      <w:tr>
        <w:trPr/>
        <w:tc>
          <w:p w14:paraId="001000EE" w14:textId="001000EF">
            <w:r>
              <w:t xml:space="preserve">个人能力</w:t>
            </w:r>
          </w:p>
        </w:tc>
        <w:tc>
          <w:p w14:paraId="001000F0" w14:textId="001000F1">
            <w:r>
              <w:t xml:space="preserve">最懂绩效评价的业务骨干</w:t>
            </w:r>
          </w:p>
        </w:tc>
      </w:tr>
      <w:tr>
        <w:trPr/>
        <w:tc>
          <w:p w14:paraId="001000F2" w14:textId="001000F3">
            <w:r>
              <w:t xml:space="preserve">Agent系统</w:t>
            </w:r>
          </w:p>
        </w:tc>
        <w:tc>
          <w:p w14:paraId="001000F4" w14:textId="001000F5">
            <w:r>
              <w:t xml:space="preserve">15维复核 + RAG + 法规匹配</w:t>
            </w:r>
          </w:p>
        </w:tc>
      </w:tr>
      <w:tr>
        <w:trPr/>
        <w:tc>
          <w:p w14:paraId="001000F6" w14:textId="001000F7">
            <w:r>
              <w:t xml:space="preserve">可复用资产</w:t>
            </w:r>
          </w:p>
        </w:tc>
        <w:tc>
          <w:p w14:paraId="001000F8" w14:textId="001000F9">
            <w:r>
              <w:t xml:space="preserve">复核检查清单 + 采纳率数据 + 轨迹沉淀</w:t>
            </w:r>
          </w:p>
        </w:tc>
      </w:tr>
      <w:tr>
        <w:trPr/>
        <w:tc>
          <w:p w14:paraId="001000FA" w14:textId="001000FB">
            <w:r>
              <w:t xml:space="preserve">基础设施</w:t>
            </w:r>
          </w:p>
        </w:tc>
        <w:tc>
          <w:p w14:paraId="001000FC" w14:textId="001000FD">
            <w:r>
              <w:t xml:space="preserve">14模型路由 + 22 Agent + 知识库</w:t>
            </w:r>
          </w:p>
        </w:tc>
      </w:tr>
      <w:tr>
        <w:trPr/>
        <w:tc>
          <w:p w14:paraId="001000FE" w14:textId="001000FF">
            <w:r>
              <w:t xml:space="preserve">结果交付</w:t>
            </w:r>
          </w:p>
        </w:tc>
        <w:tc>
          <w:p w14:paraId="00100100" w14:textId="00100101">
            <w:r>
              <w:t xml:space="preserve">复核意见清单（可独立对客户交付）</w:t>
            </w:r>
          </w:p>
        </w:tc>
      </w:tr>
    </w:tbl>
    <w:p w14:paraId="00100102" w14:textId="00100103">
      <w:pPr>
        <w:spacing w:after="160"/>
        <w:ind w:left="360" w:right="360"/>
      </w:pPr>
      <w:r>
        <w:rPr>
          <w:rFonts w:ascii="KaiTi" w:hAnsi="KaiTi" w:eastAsia="KaiTi"/>
          <w:color w:val="1A5C6E"/>
          <w:sz w:val="22"/>
        </w:rPr>
        <w:t xml:space="preserve">战略启示：政策提 OPC 不只是「一个人开公司」，它背后是企业边界正在被Agent改写。审盾的秘密武器不是让10个人更高效，是让1个人能干10个人的活——这是比「提效30%」性感得多的话术。</w:t>
      </w:r>
    </w:p>
    <w:p w14:paraId="00100104" w14:textId="00100105">
      <w:pPr>
        <w:spacing w:after="80"/>
      </w:pPr>
      <w:r>
        <w:rPr>
          <w:rFonts w:ascii="SimHei" w:hAnsi="SimHei" w:eastAsia="SimHei"/>
          <w:b/>
          <w:sz w:val="24"/>
        </w:rPr>
        <w:t xml:space="preserve">行动建议：</w:t>
      </w:r>
    </w:p>
    <w:p w14:paraId="00100106" w14:textId="00100107">
      <w:pPr>
        <w:numPr>
          <w:ilvl w:val="0"/>
          <w:numId w:val="2"/>
        </w:numPr>
        <w:spacing w:after="80"/>
      </w:pPr>
      <w:r>
        <w:rPr>
          <w:rFonts w:ascii="SimSun" w:hAnsi="SimSun" w:eastAsia="SimSun"/>
          <w:sz w:val="24"/>
        </w:rPr>
        <w:t xml:space="preserve">审盾一期验证报告标题建议：「OPC模式下的绩效评价报告AI复核——1人+AI=3位审计经理？」</w:t>
      </w:r>
    </w:p>
    <w:p w14:paraId="00100108" w14:textId="00100109">
      <w:pPr>
        <w:numPr>
          <w:ilvl w:val="0"/>
          <w:numId w:val="2"/>
        </w:numPr>
        <w:spacing w:after="80"/>
      </w:pPr>
      <w:r>
        <w:rPr>
          <w:rFonts w:ascii="SimSun" w:hAnsi="SimSun" w:eastAsia="SimSun"/>
          <w:sz w:val="24"/>
        </w:rPr>
        <w:t xml:space="preserve">投标时用 OPC 概念包装：「融策审盾实现了审计领域的OPC模式，一人+AI系统完成传统3-5人的复核工作量」</w:t>
      </w:r>
    </w:p>
    <w:p w14:paraId="0010010A" w14:textId="0010010B">
      <w:pPr>
        <w:numPr>
          <w:ilvl w:val="0"/>
          <w:numId w:val="2"/>
        </w:numPr>
        <w:spacing w:after="240"/>
      </w:pPr>
      <w:r>
        <w:rPr>
          <w:rFonts w:ascii="SimSun" w:hAnsi="SimSun" w:eastAsia="SimSun"/>
          <w:sz w:val="24"/>
        </w:rPr>
        <w:t xml:space="preserve">申请「专精特新」时，把审盾定位为「审计OPC基础设施」</w:t>
      </w:r>
    </w:p>
    <w:p w14:paraId="0010010C" w14:textId="0010010D">
      <w:pPr>
        <w:pStyle w:val="Heading2"/>
      </w:pPr>
      <w:r>
        <w:rPr/>
        <w:t xml:space="preserve">2.4 需求智能 ↔ 审盾 UX 范式</w:t>
      </w:r>
    </w:p>
    <w:p w14:paraId="0010010E" w14:textId="0010010F">
      <w:pPr>
        <w:spacing w:after="160"/>
      </w:pPr>
      <w:r>
        <w:rPr>
          <w:rFonts w:ascii="KaiTi" w:hAnsi="KaiTi" w:eastAsia="KaiTi"/>
          <w:color w:val="666666"/>
          <w:sz w:val="22"/>
        </w:rPr>
        <w:t xml:space="preserve">政策原文：「以需求智能为核心驱动的原生AI软件和超级软件」</w:t>
      </w:r>
    </w:p>
    <w:p w14:paraId="00100110" w14:textId="00100111">
      <w:pPr>
        <w:spacing w:after="240" w:line="360" w:lineRule="auto"/>
      </w:pPr>
      <w:r>
        <w:rPr>
          <w:rFonts w:ascii="SimSun" w:hAnsi="SimSun" w:eastAsia="SimSun"/>
          <w:sz w:val="24"/>
        </w:rPr>
        <w:t xml:space="preserve">审盾已经在做需求智能：「上传报告→输出复核意见清单」——用户不需要点15个按钮、不需要选法规库、不需要手动查金额。这正是政策的「需求智能」范式。审盾如果跨过报告复核→法规查询→问题定性→整改建议→底稿管理→质量留痕这些边界，统一理解审计需求，把分散能力编排起来——那就是审计领域的「超级软件」。</w:t>
      </w:r>
    </w:p>
    <w:p w14:paraId="00100112" w14:textId="00100113">
      <w:pPr>
        <w:pStyle w:val="Heading2"/>
      </w:pPr>
      <w:r>
        <w:rPr/>
        <w:t xml:space="preserve">2.5 Token经济 ↔ 审盾价值度量</w:t>
      </w:r>
    </w:p>
    <w:p w14:paraId="00100114" w14:textId="00100115">
      <w:pPr>
        <w:spacing w:after="120"/>
      </w:pPr>
      <w:r>
        <w:rPr>
          <w:rFonts w:ascii="KaiTi" w:hAnsi="KaiTi" w:eastAsia="KaiTi"/>
          <w:color w:val="666666"/>
          <w:sz w:val="22"/>
        </w:rPr>
        <w:t xml:space="preserve">政策核心：「从Token消耗量计费转向价值计费」</w:t>
      </w:r>
    </w:p>
    <w:p w14:paraId="00100116" w14:textId="00100117">
      <w:pPr>
        <w:spacing w:after="160" w:line="360" w:lineRule="auto"/>
      </w:pPr>
      <w:r>
        <w:rPr>
          <w:rFonts w:ascii="SimSun" w:hAnsi="SimSun" w:eastAsia="SimSun"/>
          <w:sz w:val="24"/>
        </w:rPr>
        <w:t xml:space="preserve">旧思维（模型厂视角）：这次复核花了多少Token？→ 降Prompt长度、选便宜模型。新思维（审盾视角）：这次复核为客户创造了多少价值？= 避免了多少金额的错误 × 错误被发现的概率 + 节省了多少人工复核时间 × 人工时薪 + 提升了多少报告质量（客户续约率）。</w:t>
      </w:r>
    </w:p>
    <w:p w14:paraId="00100118" w14:textId="00100119">
      <w:pPr>
        <w:spacing w:after="240"/>
        <w:ind w:left="360" w:right="360"/>
      </w:pPr>
      <w:r>
        <w:rPr>
          <w:rFonts w:ascii="KaiTi" w:hAnsi="KaiTi" w:eastAsia="KaiTi"/>
          <w:color w:val="1A5C6E"/>
          <w:sz w:val="22"/>
        </w:rPr>
        <w:t xml:space="preserve">Token券/服务券机会：政策提出「探索Token券和智能体服务券」——如果落地，审盾可以申请政府服务券补贴客户使用成本，这是直接的价格竞争力。</w:t>
      </w:r>
    </w:p>
    <w:p w14:paraId="0010011A" w14:textId="0010011B">
      <w:pPr>
        <w:pStyle w:val="Heading2"/>
      </w:pPr>
      <w:r>
        <w:rPr/>
        <w:t xml:space="preserve">2.6 安全治理 ↔ 审盾质控体系</w:t>
      </w:r>
    </w:p>
    <w:p w14:paraId="0010011C" w14:textId="0010011D">
      <w:pPr>
        <w:spacing w:after="120"/>
      </w:pPr>
      <w:r>
        <w:rPr>
          <w:rFonts w:ascii="SimHei" w:hAnsi="SimHei" w:eastAsia="SimHei"/>
          <w:b/>
          <w:sz w:val="24"/>
        </w:rPr>
        <w:t xml:space="preserve">Agent 安全五个问题与审盾对应：</w:t>
      </w:r>
    </w:p>
    <w:tbl>
      <w:tblPr>
        <w:tblStyle w:val="TableGrid"/>
        <w:tblW w:w="5000" w:type="pct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ook w:val="04A0"/>
      </w:tblPr>
      <w:tblGrid>
        <w:gridCol w:w="2910"/>
        <w:gridCol w:w="2910"/>
        <w:gridCol w:w="2910"/>
      </w:tblGrid>
      <w:tr>
        <w:trPr>
          <w:tblHeader/>
        </w:trPr>
        <w:tc>
          <w:tcPr>
            <w:shd w:val="clear" w:fill="1A5C6E"/>
          </w:tcPr>
          <w:p w14:paraId="0010011E" w14:textId="0010011F">
            <w:r>
              <w:rPr>
                <w:rFonts w:ascii="SimHei" w:hAnsi="SimHei" w:eastAsia="SimHei"/>
                <w:b/>
                <w:color w:val="FFFFFF"/>
                <w:sz w:val="20"/>
              </w:rPr>
              <w:t xml:space="preserve">政策安全问题</w:t>
            </w:r>
          </w:p>
        </w:tc>
        <w:tc>
          <w:tcPr>
            <w:shd w:val="clear" w:fill="1A5C6E"/>
          </w:tcPr>
          <w:p w14:paraId="00100120" w14:textId="00100121">
            <w:r>
              <w:rPr>
                <w:rFonts w:ascii="SimHei" w:hAnsi="SimHei" w:eastAsia="SimHei"/>
                <w:b/>
                <w:color w:val="FFFFFF"/>
                <w:sz w:val="20"/>
              </w:rPr>
              <w:t xml:space="preserve">审盾对应机制</w:t>
            </w:r>
          </w:p>
        </w:tc>
        <w:tc>
          <w:tcPr>
            <w:shd w:val="clear" w:fill="1A5C6E"/>
          </w:tcPr>
          <w:p w14:paraId="00100122" w14:textId="00100123">
            <w:r>
              <w:rPr>
                <w:rFonts w:ascii="SimHei" w:hAnsi="SimHei" w:eastAsia="SimHei"/>
                <w:b/>
                <w:color w:val="FFFFFF"/>
                <w:sz w:val="20"/>
              </w:rPr>
              <w:t xml:space="preserve">状态</w:t>
            </w:r>
          </w:p>
        </w:tc>
      </w:tr>
      <w:tr>
        <w:trPr/>
        <w:tc>
          <w:p w14:paraId="00100124" w14:textId="00100125">
            <w:r>
              <w:t xml:space="preserve">目标理解错了</w:t>
            </w:r>
          </w:p>
        </w:tc>
        <w:tc>
          <w:p w14:paraId="00100126" w14:textId="00100127">
            <w:r>
              <w:t xml:space="preserve">人工确认「问题定性」</w:t>
            </w:r>
          </w:p>
        </w:tc>
        <w:tc>
          <w:p w14:paraId="00100128" w14:textId="00100129">
            <w:r>
              <w:t xml:space="preserve">✅</w:t>
            </w:r>
          </w:p>
        </w:tc>
      </w:tr>
      <w:tr>
        <w:trPr/>
        <w:tc>
          <w:p w14:paraId="0010012A" w14:textId="0010012B">
            <w:r>
              <w:t xml:space="preserve">权限越界了</w:t>
            </w:r>
          </w:p>
        </w:tc>
        <w:tc>
          <w:p w14:paraId="0010012C" w14:textId="0010012D">
            <w:r>
              <w:t xml:space="preserve">AI输出必须人工采纳</w:t>
            </w:r>
          </w:p>
        </w:tc>
        <w:tc>
          <w:p w14:paraId="0010012E" w14:textId="0010012F">
            <w:r>
              <w:t xml:space="preserve">✅</w:t>
            </w:r>
          </w:p>
        </w:tc>
      </w:tr>
      <w:tr>
        <w:trPr/>
        <w:tc>
          <w:p w14:paraId="00100130" w14:textId="00100131">
            <w:r>
              <w:t xml:space="preserve">提示词注入操控</w:t>
            </w:r>
          </w:p>
        </w:tc>
        <w:tc>
          <w:p w14:paraId="00100132" w14:textId="00100133">
            <w:r>
              <w:t xml:space="preserve">输入文件脱敏</w:t>
            </w:r>
          </w:p>
        </w:tc>
        <w:tc>
          <w:p w14:paraId="00100134" w14:textId="00100135">
            <w:r>
              <w:t xml:space="preserve">⚠️ 待建</w:t>
            </w:r>
          </w:p>
        </w:tc>
      </w:tr>
      <w:tr>
        <w:trPr/>
        <w:tc>
          <w:p w14:paraId="00100136" w14:textId="00100137">
            <w:r>
              <w:t xml:space="preserve">长期记忆被污染</w:t>
            </w:r>
          </w:p>
        </w:tc>
        <w:tc>
          <w:p w14:paraId="00100138" w14:textId="00100139">
            <w:r>
              <w:t xml:space="preserve">知识入库质控制度</w:t>
            </w:r>
          </w:p>
        </w:tc>
        <w:tc>
          <w:p w14:paraId="0010013A" w14:textId="0010013B">
            <w:r>
              <w:t xml:space="preserve">✅</w:t>
            </w:r>
          </w:p>
        </w:tc>
      </w:tr>
      <w:tr>
        <w:trPr/>
        <w:tc>
          <w:p w14:paraId="0010013C" w14:textId="0010013D">
            <w:r>
              <w:t xml:space="preserve">多Agent连锁放大</w:t>
            </w:r>
          </w:p>
        </w:tc>
        <w:tc>
          <w:p w14:paraId="0010013E" w14:textId="0010013F">
            <w:r>
              <w:t xml:space="preserve">15维框架作为容隔离</w:t>
            </w:r>
          </w:p>
        </w:tc>
        <w:tc>
          <w:p w14:paraId="00100140" w14:textId="00100141">
            <w:r>
              <w:t xml:space="preserve">✅ 部分</w:t>
            </w:r>
          </w:p>
        </w:tc>
      </w:tr>
    </w:tbl>
    <w:p w14:paraId="00100142" w14:textId="00100143">
      <w:pPr>
        <w:spacing w:after="240"/>
        <w:ind w:left="360" w:right="360"/>
      </w:pPr>
      <w:r>
        <w:rPr>
          <w:rFonts w:ascii="KaiTi" w:hAnsi="KaiTi" w:eastAsia="KaiTi"/>
          <w:color w:val="1A5C6E"/>
          <w:sz w:val="22"/>
        </w:rPr>
        <w:t xml:space="preserve">关键机会：政策提出「分级分类监管」——低风险任务自测上线，高风险任务严格检测+人类确认。审盾可以主动对标这套框架，在投标时引用：「审盾的安全治理体系对齐北京市智能体安全分级标准」。</w:t>
      </w:r>
    </w:p>
    <w:p w14:paraId="00100144" w14:textId="00100145">
      <w:pPr>
        <w:pStyle w:val="Heading2"/>
      </w:pPr>
      <w:r>
        <w:rPr/>
        <w:t xml:space="preserve">2.7 银河算廊 + FDE ↔ 审盾实施路径</w:t>
      </w:r>
    </w:p>
    <w:p w14:paraId="00100146" w14:textId="00100147">
      <w:pPr>
        <w:spacing w:after="160" w:line="360" w:lineRule="auto"/>
      </w:pPr>
      <w:r>
        <w:rPr>
          <w:rFonts w:ascii="SimSun" w:hAnsi="SimSun" w:eastAsia="SimSun"/>
          <w:sz w:val="24"/>
        </w:rPr>
        <w:t xml:space="preserve">银河算廊：云边端协同算力调度。对审盾的现实意义——审盾不需要自己的GPU集群，但需要稳定的推理供给。当前14模型路由 + fallback链就是一套轻量级「算力路由」——哪个模型便宜用哪个、哪个挂了切哪个。</w:t>
      </w:r>
    </w:p>
    <w:p w14:paraId="00100148" w14:textId="00100149">
      <w:pPr>
        <w:spacing w:after="160" w:line="360" w:lineRule="auto"/>
      </w:pPr>
      <w:r>
        <w:rPr>
          <w:rFonts w:ascii="SimSun" w:hAnsi="SimSun" w:eastAsia="SimSun"/>
          <w:sz w:val="24"/>
        </w:rPr>
        <w:t xml:space="preserve">FDE（前沿部署工程师）：政策提出「进入客户现场，跟业务人员一起拆流程、接系统、清数据，把新问题带回产品里」。这就是审盾一期的业务骨干角色。他不只是「验证AI」，他本质上是融策的第一个 FDE——拆流程（绩效评价复核拆成15维）、接系统（RAG、模型路由、复核清单）、清数据（脱敏10份历史报告）、带回问题（统计误报/漏报，迭代规则）。</w:t>
      </w:r>
    </w:p>
    <w:p w14:paraId="0010014A" w14:textId="0010014B">
      <w:pPr>
        <w:spacing w:after="240"/>
        <w:ind w:left="360" w:right="360"/>
      </w:pPr>
      <w:r>
        <w:rPr>
          <w:rFonts w:ascii="KaiTi" w:hAnsi="KaiTi" w:eastAsia="KaiTi"/>
          <w:color w:val="1A5C6E"/>
          <w:sz w:val="22"/>
        </w:rPr>
        <w:t xml:space="preserve">FDE 路径的产品化逻辑：服务1个客户 → 沉淀一套轨迹 → 服务10个客户 → 找出共性结构 → 共性足够稳定 → 服务变成产品。这就是审盾从内部工具→外部产品的标准路径。</w:t>
      </w:r>
    </w:p>
    <w:p w14:paraId="0010014C" w14:textId="0010014D">
      <w:pPr>
        <w:pStyle w:val="Heading1"/>
      </w:pPr>
      <w:r>
        <w:rPr/>
        <w:t xml:space="preserve">三、五大场景判断标准（选标杆场景用）</w:t>
      </w:r>
    </w:p>
    <w:p w14:paraId="0010014E" w14:textId="0010014F">
      <w:pPr>
        <w:spacing w:after="160" w:line="360" w:lineRule="auto"/>
      </w:pPr>
      <w:r>
        <w:rPr>
          <w:rFonts w:ascii="SimSun" w:hAnsi="SimSun" w:eastAsia="SimSun"/>
          <w:sz w:val="24"/>
        </w:rPr>
        <w:t xml:space="preserve">政策分析中给出的Agent场景选择五条件，直接用于审盾业务线扩展决策：</w:t>
      </w:r>
    </w:p>
    <w:tbl>
      <w:tblPr>
        <w:tblStyle w:val="TableGrid"/>
        <w:tblW w:w="5000" w:type="pct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ook w:val="04A0"/>
      </w:tblPr>
      <w:tblGrid>
        <w:gridCol w:w="1455"/>
        <w:gridCol w:w="1455"/>
        <w:gridCol w:w="1455"/>
        <w:gridCol w:w="1455"/>
        <w:gridCol w:w="1455"/>
        <w:gridCol w:w="1455"/>
      </w:tblGrid>
      <w:tr>
        <w:trPr>
          <w:tblHeader/>
        </w:trPr>
        <w:tc>
          <w:tcPr>
            <w:shd w:val="clear" w:fill="0A1F3F"/>
          </w:tcPr>
          <w:p w14:paraId="00100150" w14:textId="00100151">
            <w:r>
              <w:rPr>
                <w:rFonts w:ascii="SimHei" w:hAnsi="SimHei" w:eastAsia="SimHei"/>
                <w:b/>
                <w:color w:val="FFFFFF"/>
                <w:sz w:val="18"/>
              </w:rPr>
              <w:t xml:space="preserve">条件</w:t>
            </w:r>
          </w:p>
        </w:tc>
        <w:tc>
          <w:tcPr>
            <w:shd w:val="clear" w:fill="0A1F3F"/>
          </w:tcPr>
          <w:p w14:paraId="00100152" w14:textId="00100153">
            <w:r>
              <w:rPr>
                <w:rFonts w:ascii="SimHei" w:hAnsi="SimHei" w:eastAsia="SimHei"/>
                <w:b/>
                <w:color w:val="FFFFFF"/>
                <w:sz w:val="18"/>
              </w:rPr>
              <w:t xml:space="preserve">绩效评价</w:t>
            </w:r>
          </w:p>
        </w:tc>
        <w:tc>
          <w:tcPr>
            <w:shd w:val="clear" w:fill="0A1F3F"/>
          </w:tcPr>
          <w:p w14:paraId="00100154" w14:textId="00100155">
            <w:r>
              <w:rPr>
                <w:rFonts w:ascii="SimHei" w:hAnsi="SimHei" w:eastAsia="SimHei"/>
                <w:b/>
                <w:color w:val="FFFFFF"/>
                <w:sz w:val="18"/>
              </w:rPr>
              <w:t xml:space="preserve">专项资金</w:t>
            </w:r>
          </w:p>
        </w:tc>
        <w:tc>
          <w:tcPr>
            <w:shd w:val="clear" w:fill="0A1F3F"/>
          </w:tcPr>
          <w:p w14:paraId="00100156" w14:textId="00100157">
            <w:r>
              <w:rPr>
                <w:rFonts w:ascii="SimHei" w:hAnsi="SimHei" w:eastAsia="SimHei"/>
                <w:b/>
                <w:color w:val="FFFFFF"/>
                <w:sz w:val="18"/>
              </w:rPr>
              <w:t xml:space="preserve">招投标</w:t>
            </w:r>
          </w:p>
        </w:tc>
        <w:tc>
          <w:tcPr>
            <w:shd w:val="clear" w:fill="0A1F3F"/>
          </w:tcPr>
          <w:p w14:paraId="00100158" w14:textId="00100159">
            <w:r>
              <w:rPr>
                <w:rFonts w:ascii="SimHei" w:hAnsi="SimHei" w:eastAsia="SimHei"/>
                <w:b/>
                <w:color w:val="FFFFFF"/>
                <w:sz w:val="18"/>
              </w:rPr>
              <w:t xml:space="preserve">经责审计</w:t>
            </w:r>
          </w:p>
        </w:tc>
        <w:tc>
          <w:tcPr>
            <w:shd w:val="clear" w:fill="0A1F3F"/>
          </w:tcPr>
          <w:p w14:paraId="0010015A" w14:textId="0010015B">
            <w:r>
              <w:rPr>
                <w:rFonts w:ascii="SimHei" w:hAnsi="SimHei" w:eastAsia="SimHei"/>
                <w:b/>
                <w:color w:val="FFFFFF"/>
                <w:sz w:val="18"/>
              </w:rPr>
              <w:t xml:space="preserve">资产清查</w:t>
            </w:r>
          </w:p>
        </w:tc>
      </w:tr>
      <w:tr>
        <w:trPr/>
        <w:tc>
          <w:p w14:paraId="0010015C" w14:textId="0010015D">
            <w:r>
              <w:t xml:space="preserve">任务频率高</w:t>
            </w:r>
          </w:p>
        </w:tc>
        <w:tc>
          <w:p w14:paraId="0010015E" w14:textId="0010015F">
            <w:r>
              <w:t xml:space="preserve">✅</w:t>
            </w:r>
          </w:p>
        </w:tc>
        <w:tc>
          <w:p w14:paraId="00100160" w14:textId="00100161">
            <w:r>
              <w:t xml:space="preserve">✅</w:t>
            </w:r>
          </w:p>
        </w:tc>
        <w:tc>
          <w:p w14:paraId="00100162" w14:textId="00100163">
            <w:r>
              <w:t xml:space="preserve">✅</w:t>
            </w:r>
          </w:p>
        </w:tc>
        <w:tc>
          <w:p w14:paraId="00100164" w14:textId="00100165">
            <w:r>
              <w:t xml:space="preserve">🟡</w:t>
            </w:r>
          </w:p>
        </w:tc>
        <w:tc>
          <w:p w14:paraId="00100166" w14:textId="00100167">
            <w:r>
              <w:t xml:space="preserve">🟡</w:t>
            </w:r>
          </w:p>
        </w:tc>
      </w:tr>
      <w:tr>
        <w:trPr/>
        <w:tc>
          <w:p w14:paraId="00100168" w14:textId="00100169">
            <w:r>
              <w:t xml:space="preserve">人工成本高</w:t>
            </w:r>
          </w:p>
        </w:tc>
        <w:tc>
          <w:p w14:paraId="0010016A" w14:textId="0010016B">
            <w:r>
              <w:t xml:space="preserve">✅</w:t>
            </w:r>
          </w:p>
        </w:tc>
        <w:tc>
          <w:p w14:paraId="0010016C" w14:textId="0010016D">
            <w:r>
              <w:t xml:space="preserve">✅</w:t>
            </w:r>
          </w:p>
        </w:tc>
        <w:tc>
          <w:p w14:paraId="0010016E" w14:textId="0010016F">
            <w:r>
              <w:t xml:space="preserve">🟡</w:t>
            </w:r>
          </w:p>
        </w:tc>
        <w:tc>
          <w:p w14:paraId="00100170" w14:textId="00100171">
            <w:r>
              <w:t xml:space="preserve">✅</w:t>
            </w:r>
          </w:p>
        </w:tc>
        <w:tc>
          <w:p w14:paraId="00100172" w14:textId="00100173">
            <w:r>
              <w:t xml:space="preserve">🟡</w:t>
            </w:r>
          </w:p>
        </w:tc>
      </w:tr>
      <w:tr>
        <w:trPr/>
        <w:tc>
          <w:p w14:paraId="00100174" w14:textId="00100175">
            <w:r>
              <w:t xml:space="preserve">数字化程度高</w:t>
            </w:r>
          </w:p>
        </w:tc>
        <w:tc>
          <w:p w14:paraId="00100176" w14:textId="00100177">
            <w:r>
              <w:t xml:space="preserve">✅</w:t>
            </w:r>
          </w:p>
        </w:tc>
        <w:tc>
          <w:p w14:paraId="00100178" w14:textId="00100179">
            <w:r>
              <w:t xml:space="preserve">🟡</w:t>
            </w:r>
          </w:p>
        </w:tc>
        <w:tc>
          <w:p w14:paraId="0010017A" w14:textId="0010017B">
            <w:r>
              <w:t xml:space="preserve">✅</w:t>
            </w:r>
          </w:p>
        </w:tc>
        <w:tc>
          <w:p w14:paraId="0010017C" w14:textId="0010017D">
            <w:r>
              <w:t xml:space="preserve">🟡</w:t>
            </w:r>
          </w:p>
        </w:tc>
        <w:tc>
          <w:p w14:paraId="0010017E" w14:textId="0010017F">
            <w:r>
              <w:t xml:space="preserve">🟡</w:t>
            </w:r>
          </w:p>
        </w:tc>
      </w:tr>
      <w:tr>
        <w:trPr/>
        <w:tc>
          <w:p w14:paraId="00100180" w14:textId="00100181">
            <w:r>
              <w:t xml:space="preserve">结果可验证</w:t>
            </w:r>
          </w:p>
        </w:tc>
        <w:tc>
          <w:p w14:paraId="00100182" w14:textId="00100183">
            <w:r>
              <w:t xml:space="preserve">✅</w:t>
            </w:r>
          </w:p>
        </w:tc>
        <w:tc>
          <w:p w14:paraId="00100184" w14:textId="00100185">
            <w:r>
              <w:t xml:space="preserve">✅</w:t>
            </w:r>
          </w:p>
        </w:tc>
        <w:tc>
          <w:p w14:paraId="00100186" w14:textId="00100187">
            <w:r>
              <w:t xml:space="preserve">✅</w:t>
            </w:r>
          </w:p>
        </w:tc>
        <w:tc>
          <w:p w14:paraId="00100188" w14:textId="00100189">
            <w:r>
              <w:t xml:space="preserve">🟡</w:t>
            </w:r>
          </w:p>
        </w:tc>
        <w:tc>
          <w:p w14:paraId="0010018A" w14:textId="0010018B">
            <w:r>
              <w:t xml:space="preserve">✅</w:t>
            </w:r>
          </w:p>
        </w:tc>
      </w:tr>
      <w:tr>
        <w:trPr/>
        <w:tc>
          <w:p w14:paraId="0010018C" w14:textId="0010018D">
            <w:r>
              <w:t xml:space="preserve">错误可撤销</w:t>
            </w:r>
          </w:p>
        </w:tc>
        <w:tc>
          <w:p w14:paraId="0010018E" w14:textId="0010018F">
            <w:r>
              <w:t xml:space="preserve">✅</w:t>
            </w:r>
          </w:p>
        </w:tc>
        <w:tc>
          <w:p w14:paraId="00100190" w14:textId="00100191">
            <w:r>
              <w:t xml:space="preserve">✅</w:t>
            </w:r>
          </w:p>
        </w:tc>
        <w:tc>
          <w:p w14:paraId="00100192" w14:textId="00100193">
            <w:r>
              <w:t xml:space="preserve">✅</w:t>
            </w:r>
          </w:p>
        </w:tc>
        <w:tc>
          <w:p w14:paraId="00100194" w14:textId="00100195">
            <w:r>
              <w:t xml:space="preserve">✅</w:t>
            </w:r>
          </w:p>
        </w:tc>
        <w:tc>
          <w:p w14:paraId="00100196" w14:textId="00100197">
            <w:r>
              <w:t xml:space="preserve">✅</w:t>
            </w:r>
          </w:p>
        </w:tc>
      </w:tr>
      <w:tr>
        <w:trPr/>
        <w:tc>
          <w:tcPr>
            <w:shd w:val="clear" w:fill="F5F2EC"/>
          </w:tcPr>
          <w:p w14:paraId="00100198" w14:textId="00100199">
            <w:r>
              <w:rPr>
                <w:b/>
              </w:rPr>
              <w:t xml:space="preserve">综合</w:t>
            </w:r>
          </w:p>
        </w:tc>
        <w:tc>
          <w:tcPr>
            <w:shd w:val="clear" w:fill="E8F5E9"/>
          </w:tcPr>
          <w:p w14:paraId="0010019A" w14:textId="0010019B">
            <w:r>
              <w:rPr>
                <w:b/>
              </w:rPr>
              <w:t xml:space="preserve">5/5</w:t>
            </w:r>
          </w:p>
        </w:tc>
        <w:tc>
          <w:tcPr>
            <w:shd w:val="clear" w:fill="E8F5E9"/>
          </w:tcPr>
          <w:p w14:paraId="0010019C" w14:textId="0010019D">
            <w:r>
              <w:rPr>
                <w:b/>
              </w:rPr>
              <w:t xml:space="preserve">4/5</w:t>
            </w:r>
          </w:p>
        </w:tc>
        <w:tc>
          <w:tcPr>
            <w:shd w:val="clear" w:fill="E8F5E9"/>
          </w:tcPr>
          <w:p w14:paraId="0010019E" w14:textId="0010019F">
            <w:r>
              <w:rPr>
                <w:b/>
              </w:rPr>
              <w:t xml:space="preserve">4.5/5</w:t>
            </w:r>
          </w:p>
        </w:tc>
        <w:tc>
          <w:tcPr>
            <w:shd w:val="clear" w:fill="FFF3E0"/>
          </w:tcPr>
          <w:p w14:paraId="001001A0" w14:textId="001001A1">
            <w:r>
              <w:rPr>
                <w:b/>
              </w:rPr>
              <w:t xml:space="preserve">3.5/5</w:t>
            </w:r>
          </w:p>
        </w:tc>
        <w:tc>
          <w:tcPr>
            <w:shd w:val="clear" w:fill="FFF3E0"/>
          </w:tcPr>
          <w:p w14:paraId="001001A2" w14:textId="001001A3">
            <w:r>
              <w:rPr>
                <w:b/>
              </w:rPr>
              <w:t xml:space="preserve">3.5/5</w:t>
            </w:r>
          </w:p>
        </w:tc>
      </w:tr>
    </w:tbl>
    <w:p w14:paraId="001001A4" w14:textId="001001A5">
      <w:pPr>
        <w:spacing w:after="240"/>
        <w:ind w:left="360" w:right="360"/>
      </w:pPr>
      <w:r>
        <w:rPr>
          <w:rFonts w:ascii="KaiTi" w:hAnsi="KaiTi" w:eastAsia="KaiTi"/>
          <w:color w:val="1A5C6E"/>
          <w:sz w:val="22"/>
        </w:rPr>
        <w:t xml:space="preserve">绩效评价 5/5 全满分——审盾一期选它作为首发场景，不是巧合，是必然。扩展顺序建议：绩效评价→招投标审计→专项资金→经责审计→资产清查。</w:t>
      </w:r>
    </w:p>
    <w:p w14:paraId="001001A6" w14:textId="001001A7">
      <w:pPr>
        <w:pStyle w:val="Heading1"/>
      </w:pPr>
      <w:r>
        <w:rPr/>
        <w:t xml:space="preserve">四、战略叙事升级建议</w:t>
      </w:r>
    </w:p>
    <w:p w14:paraId="001001A8" w14:textId="001001A9">
      <w:pPr>
        <w:pStyle w:val="Heading2"/>
      </w:pPr>
      <w:r>
        <w:rPr/>
        <w:t xml:space="preserve">4.1 旧叙事 vs 新叙事</w:t>
      </w:r>
    </w:p>
    <w:tbl>
      <w:tblPr>
        <w:tblStyle w:val="TableGrid"/>
        <w:tblW w:w="5000" w:type="pct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ook w:val="04A0"/>
      </w:tblPr>
      <w:tblGrid>
        <w:gridCol w:w="2910"/>
        <w:gridCol w:w="2910"/>
        <w:gridCol w:w="2910"/>
      </w:tblGrid>
      <w:tr>
        <w:trPr>
          <w:tblHeader/>
        </w:trPr>
        <w:tc>
          <w:tcPr>
            <w:shd w:val="clear" w:fill="1A5C6E"/>
          </w:tcPr>
          <w:p w14:paraId="001001AA" w14:textId="001001AB">
            <w:r>
              <w:rPr>
                <w:rFonts w:ascii="SimHei" w:hAnsi="SimHei" w:eastAsia="SimHei"/>
                <w:b/>
                <w:color w:val="FFFFFF"/>
                <w:sz w:val="20"/>
              </w:rPr>
              <w:t xml:space="preserve">维度</w:t>
            </w:r>
          </w:p>
        </w:tc>
        <w:tc>
          <w:tcPr>
            <w:shd w:val="clear" w:fill="1A5C6E"/>
          </w:tcPr>
          <w:p w14:paraId="001001AC" w14:textId="001001AD">
            <w:r>
              <w:rPr>
                <w:rFonts w:ascii="SimHei" w:hAnsi="SimHei" w:eastAsia="SimHei"/>
                <w:b/>
                <w:color w:val="FFFFFF"/>
                <w:sz w:val="20"/>
              </w:rPr>
              <w:t xml:space="preserve">旧叙事</w:t>
            </w:r>
          </w:p>
        </w:tc>
        <w:tc>
          <w:tcPr>
            <w:shd w:val="clear" w:fill="1A5C6E"/>
          </w:tcPr>
          <w:p w14:paraId="001001AE" w14:textId="001001AF">
            <w:r>
              <w:rPr>
                <w:rFonts w:ascii="SimHei" w:hAnsi="SimHei" w:eastAsia="SimHei"/>
                <w:b/>
                <w:color w:val="FFFFFF"/>
                <w:sz w:val="20"/>
              </w:rPr>
              <w:t xml:space="preserve">新叙事（政策对齐）</w:t>
            </w:r>
          </w:p>
        </w:tc>
      </w:tr>
      <w:tr>
        <w:trPr/>
        <w:tc>
          <w:p w14:paraId="001001B0" w14:textId="001001B1">
            <w:r>
              <w:t xml:space="preserve">技术定位</w:t>
            </w:r>
          </w:p>
        </w:tc>
        <w:tc>
          <w:p w14:paraId="001001B2" w14:textId="001001B3">
            <w:r>
              <w:t xml:space="preserve">AI辅助审计工具</w:t>
            </w:r>
          </w:p>
        </w:tc>
        <w:tc>
          <w:p w14:paraId="001001B4" w14:textId="001001B5">
            <w:r>
              <w:t xml:space="preserve">审计领域 Harness 工程系统</w:t>
            </w:r>
          </w:p>
        </w:tc>
      </w:tr>
      <w:tr>
        <w:trPr/>
        <w:tc>
          <w:p w14:paraId="001001B6" w14:textId="001001B7">
            <w:r>
              <w:t xml:space="preserve">价值主张</w:t>
            </w:r>
          </w:p>
        </w:tc>
        <w:tc>
          <w:p w14:paraId="001001B8" w14:textId="001001B9">
            <w:r>
              <w:t xml:space="preserve">让复核更快更准</w:t>
            </w:r>
          </w:p>
        </w:tc>
        <w:tc>
          <w:p w14:paraId="001001BA" w14:textId="001001BB">
            <w:r>
              <w:t xml:space="preserve">审计领域的 RaaS——让你敢签字</w:t>
            </w:r>
          </w:p>
        </w:tc>
      </w:tr>
      <w:tr>
        <w:trPr/>
        <w:tc>
          <w:p w14:paraId="001001BC" w14:textId="001001BD">
            <w:r>
              <w:t xml:space="preserve">组织形态</w:t>
            </w:r>
          </w:p>
        </w:tc>
        <w:tc>
          <w:p w14:paraId="001001BE" w14:textId="001001BF">
            <w:r>
              <w:t xml:space="preserve">事务所+AI</w:t>
            </w:r>
          </w:p>
        </w:tc>
        <w:tc>
          <w:p w14:paraId="001001C0" w14:textId="001001C1">
            <w:r>
              <w:t xml:space="preserve">审计OPC模式先行者</w:t>
            </w:r>
          </w:p>
        </w:tc>
      </w:tr>
      <w:tr>
        <w:trPr/>
        <w:tc>
          <w:p w14:paraId="001001C2" w14:textId="001001C3">
            <w:r>
              <w:t xml:space="preserve">产品逻辑</w:t>
            </w:r>
          </w:p>
        </w:tc>
        <w:tc>
          <w:p w14:paraId="001001C4" w14:textId="001001C5">
            <w:r>
              <w:t xml:space="preserve">功能软件</w:t>
            </w:r>
          </w:p>
        </w:tc>
        <w:tc>
          <w:p w14:paraId="001001C6" w14:textId="001001C7">
            <w:r>
              <w:t xml:space="preserve">需求智能驱动的审计超级软件</w:t>
            </w:r>
          </w:p>
        </w:tc>
      </w:tr>
      <w:tr>
        <w:trPr/>
        <w:tc>
          <w:p w14:paraId="001001C8" w14:textId="001001C9">
            <w:r>
              <w:t xml:space="preserve">商业模式</w:t>
            </w:r>
          </w:p>
        </w:tc>
        <w:tc>
          <w:p w14:paraId="001001CA" w14:textId="001001CB">
            <w:r>
              <w:t xml:space="preserve">按项目收费</w:t>
            </w:r>
          </w:p>
        </w:tc>
        <w:tc>
          <w:p w14:paraId="001001CC" w14:textId="001001CD">
            <w:r>
              <w:t xml:space="preserve">从TaaS→AaaS→RaaS三级跃迁</w:t>
            </w:r>
          </w:p>
        </w:tc>
      </w:tr>
      <w:tr>
        <w:trPr/>
        <w:tc>
          <w:p w14:paraId="001001CE" w14:textId="001001CF">
            <w:r>
              <w:t xml:space="preserve">竞争壁垒</w:t>
            </w:r>
          </w:p>
        </w:tc>
        <w:tc>
          <w:p w14:paraId="001001D0" w14:textId="001001D1">
            <w:r>
              <w:t xml:space="preserve">审计经验</w:t>
            </w:r>
          </w:p>
        </w:tc>
        <w:tc>
          <w:p w14:paraId="001001D2" w14:textId="001001D3">
            <w:r>
              <w:t xml:space="preserve">12大类审计隐性知识 × Harness系统工程化</w:t>
            </w:r>
          </w:p>
        </w:tc>
      </w:tr>
    </w:tbl>
    <w:p w14:paraId="001001D4" w14:textId="001001D5">
      <w:pPr>
        <w:pStyle w:val="Heading2"/>
      </w:pPr>
      <w:r>
        <w:rPr/>
        <w:t xml:space="preserve">4.2 一句话电梯演讲</w:t>
      </w:r>
    </w:p>
    <w:p w14:paraId="001001D6" w14:textId="001001D7">
      <w:pPr>
        <w:spacing w:after="240" w:line="360" w:lineRule="auto"/>
        <w:ind w:left="360" w:right="360"/>
      </w:pPr>
      <w:r>
        <w:rPr>
          <w:rFonts w:ascii="KaiTi" w:hAnsi="KaiTi" w:eastAsia="KaiTi"/>
          <w:b/>
          <w:color w:val="0A1F3F"/>
          <w:sz w:val="24"/>
        </w:rPr>
        <w:t xml:space="preserve">融策·审盾是政府审计领域的 Harness 工程系统——我们不卖模型，我们卖的是「让你敢签字」的结果。1个审计师 + 审盾 = 传统3-5人的复核产能。这是审计OPC模式的中国首批验证。</w:t>
      </w:r>
    </w:p>
    <w:p w14:paraId="001001D8" w14:textId="001001D9">
      <w:pPr>
        <w:pStyle w:val="Heading1"/>
      </w:pPr>
      <w:r>
        <w:rPr/>
        <w:t xml:space="preserve">五、立即行动清单</w:t>
      </w:r>
    </w:p>
    <w:tbl>
      <w:tblPr>
        <w:tblStyle w:val="TableGrid"/>
        <w:tblW w:w="5000" w:type="pct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ook w:val="04A0"/>
      </w:tblPr>
      <w:tblGrid>
        <w:gridCol w:w="2182"/>
        <w:gridCol w:w="2182"/>
        <w:gridCol w:w="2182"/>
        <w:gridCol w:w="2182"/>
      </w:tblGrid>
      <w:tr>
        <w:trPr>
          <w:tblHeader/>
        </w:trPr>
        <w:tc>
          <w:tcPr>
            <w:shd w:val="clear" w:fill="C5955C"/>
          </w:tcPr>
          <w:p w14:paraId="001001DA" w14:textId="001001DB">
            <w:r>
              <w:rPr>
                <w:rFonts w:ascii="SimHei" w:hAnsi="SimHei" w:eastAsia="SimHei"/>
                <w:b/>
                <w:color w:val="FFFFFF"/>
                <w:sz w:val="20"/>
              </w:rPr>
              <w:t xml:space="preserve">优先级</w:t>
            </w:r>
          </w:p>
        </w:tc>
        <w:tc>
          <w:tcPr>
            <w:shd w:val="clear" w:fill="C5955C"/>
          </w:tcPr>
          <w:p w14:paraId="001001DC" w14:textId="001001DD">
            <w:r>
              <w:rPr>
                <w:rFonts w:ascii="SimHei" w:hAnsi="SimHei" w:eastAsia="SimHei"/>
                <w:b/>
                <w:color w:val="FFFFFF"/>
                <w:sz w:val="20"/>
              </w:rPr>
              <w:t xml:space="preserve">行动</w:t>
            </w:r>
          </w:p>
        </w:tc>
        <w:tc>
          <w:tcPr>
            <w:shd w:val="clear" w:fill="C5955C"/>
          </w:tcPr>
          <w:p w14:paraId="001001DE" w14:textId="001001DF">
            <w:r>
              <w:rPr>
                <w:rFonts w:ascii="SimHei" w:hAnsi="SimHei" w:eastAsia="SimHei"/>
                <w:b/>
                <w:color w:val="FFFFFF"/>
                <w:sz w:val="20"/>
              </w:rPr>
              <w:t xml:space="preserve">时限</w:t>
            </w:r>
          </w:p>
        </w:tc>
        <w:tc>
          <w:tcPr>
            <w:shd w:val="clear" w:fill="C5955C"/>
          </w:tcPr>
          <w:p w14:paraId="001001E0" w14:textId="001001E1">
            <w:r>
              <w:rPr>
                <w:rFonts w:ascii="SimHei" w:hAnsi="SimHei" w:eastAsia="SimHei"/>
                <w:b/>
                <w:color w:val="FFFFFF"/>
                <w:sz w:val="20"/>
              </w:rPr>
              <w:t xml:space="preserve">产出</w:t>
            </w:r>
          </w:p>
        </w:tc>
      </w:tr>
      <w:tr>
        <w:trPr/>
        <w:tc>
          <w:p w14:paraId="001001E2" w14:textId="001001E3">
            <w:r>
              <w:t xml:space="preserve">🔴 P0</w:t>
            </w:r>
          </w:p>
        </w:tc>
        <w:tc>
          <w:p w14:paraId="001001E4" w14:textId="001001E5">
            <w:r>
              <w:t xml:space="preserve">审盾一期验证报告加入「Harness贡献度」章节</w:t>
            </w:r>
          </w:p>
        </w:tc>
        <w:tc>
          <w:p w14:paraId="001001E6" w14:textId="001001E7">
            <w:r>
              <w:t xml:space="preserve">7月底</w:t>
            </w:r>
          </w:p>
        </w:tc>
        <w:tc>
          <w:p w14:paraId="001001E8" w14:textId="001001E9">
            <w:r>
              <w:t xml:space="preserve">对比裸模型 vs Harness增强的准确率差异</w:t>
            </w:r>
          </w:p>
        </w:tc>
      </w:tr>
      <w:tr>
        <w:trPr/>
        <w:tc>
          <w:p w14:paraId="001001EA" w14:textId="001001EB">
            <w:r>
              <w:t xml:space="preserve">🔴 P0</w:t>
            </w:r>
          </w:p>
        </w:tc>
        <w:tc>
          <w:p w14:paraId="001001EC" w14:textId="001001ED">
            <w:r>
              <w:t xml:space="preserve">投标材料引用北京智能体新政原文</w:t>
            </w:r>
          </w:p>
        </w:tc>
        <w:tc>
          <w:p w14:paraId="001001EE" w14:textId="001001EF">
            <w:r>
              <w:t xml:space="preserve">下次投标前</w:t>
            </w:r>
          </w:p>
        </w:tc>
        <w:tc>
          <w:p w14:paraId="001001F0" w14:textId="001001F1">
            <w:r>
              <w:t xml:space="preserve">「政策合规性」章节</w:t>
            </w:r>
          </w:p>
        </w:tc>
      </w:tr>
      <w:tr>
        <w:trPr/>
        <w:tc>
          <w:p w14:paraId="001001F2" w14:textId="001001F3">
            <w:r>
              <w:t xml:space="preserve">🟠 P1</w:t>
            </w:r>
          </w:p>
        </w:tc>
        <w:tc>
          <w:p w14:paraId="001001F4" w14:textId="001001F5">
            <w:r>
              <w:t xml:space="preserve">用五条件矩阵评估第二批业务线</w:t>
            </w:r>
          </w:p>
        </w:tc>
        <w:tc>
          <w:p w14:paraId="001001F6" w14:textId="001001F7">
            <w:r>
              <w:t xml:space="preserve">8月中旬</w:t>
            </w:r>
          </w:p>
        </w:tc>
        <w:tc>
          <w:p w14:paraId="001001F8" w14:textId="001001F9">
            <w:r>
              <w:t xml:space="preserve">审盾二期场景选择报告</w:t>
            </w:r>
          </w:p>
        </w:tc>
      </w:tr>
      <w:tr>
        <w:trPr/>
        <w:tc>
          <w:p w14:paraId="001001FA" w14:textId="001001FB">
            <w:r>
              <w:t xml:space="preserve">🟠 P1</w:t>
            </w:r>
          </w:p>
        </w:tc>
        <w:tc>
          <w:p w14:paraId="001001FC" w14:textId="001001FD">
            <w:r>
              <w:t xml:space="preserve">对外宣传材料升级到新叙事框架</w:t>
            </w:r>
          </w:p>
        </w:tc>
        <w:tc>
          <w:p w14:paraId="001001FE" w14:textId="001001FF">
            <w:r>
              <w:t xml:space="preserve">8月底</w:t>
            </w:r>
          </w:p>
        </w:tc>
        <w:tc>
          <w:p w14:paraId="00100200" w14:textId="00100201">
            <w:r>
              <w:t xml:space="preserve">公司官网/宣传册/投标标准文本</w:t>
            </w:r>
          </w:p>
        </w:tc>
      </w:tr>
      <w:tr>
        <w:trPr/>
        <w:tc>
          <w:p w14:paraId="00100202" w14:textId="00100203">
            <w:r>
              <w:t xml:space="preserve">🟡 P2</w:t>
            </w:r>
          </w:p>
        </w:tc>
        <w:tc>
          <w:p w14:paraId="00100204" w14:textId="00100205">
            <w:r>
              <w:t xml:space="preserve">跟踪Token券/服务券政策落地</w:t>
            </w:r>
          </w:p>
        </w:tc>
        <w:tc>
          <w:p w14:paraId="00100206" w14:textId="00100207">
            <w:r>
              <w:t xml:space="preserve">持续</w:t>
            </w:r>
          </w:p>
        </w:tc>
        <w:tc>
          <w:p w14:paraId="00100208" w14:textId="00100209">
            <w:r>
              <w:t xml:space="preserve">补贴申请材料</w:t>
            </w:r>
          </w:p>
        </w:tc>
      </w:tr>
      <w:tr>
        <w:trPr/>
        <w:tc>
          <w:p w14:paraId="0010020A" w14:textId="0010020B">
            <w:r>
              <w:t xml:space="preserve">🟡 P2</w:t>
            </w:r>
          </w:p>
        </w:tc>
        <w:tc>
          <w:p w14:paraId="0010020C" w14:textId="0010020D">
            <w:r>
              <w:t xml:space="preserve">主动向省注协介绍「审计Harness工程」概念</w:t>
            </w:r>
          </w:p>
        </w:tc>
        <w:tc>
          <w:p w14:paraId="0010020E" w14:textId="0010020F">
            <w:r>
              <w:t xml:space="preserve">8月汇报</w:t>
            </w:r>
          </w:p>
        </w:tc>
        <w:tc>
          <w:p w14:paraId="00100210" w14:textId="00100211">
            <w:r>
              <w:t xml:space="preserve">建立政策话语权</w:t>
            </w:r>
          </w:p>
        </w:tc>
      </w:tr>
    </w:tbl>
    <w:p w14:paraId="00100212" w14:textId="00100213">
      <w:pPr>
        <w:pStyle w:val="Heading1"/>
      </w:pPr>
      <w:r>
        <w:rPr/>
        <w:t xml:space="preserve">六、风险与注意事项</w:t>
      </w:r>
    </w:p>
    <w:p w14:paraId="00100214" w14:textId="00100215">
      <w:pPr>
        <w:pStyle w:val="Heading3"/>
      </w:pPr>
      <w:r>
        <w:rPr/>
        <w:t xml:space="preserve">1. 概念泡沫风险</w:t>
      </w:r>
    </w:p>
    <w:p w14:paraId="00100216" w14:textId="00100217">
      <w:pPr>
        <w:spacing w:after="160" w:line="360" w:lineRule="auto"/>
      </w:pPr>
      <w:r>
        <w:rPr>
          <w:rFonts w:ascii="SimSun" w:hAnsi="SimSun" w:eastAsia="SimSun"/>
          <w:sz w:val="24"/>
        </w:rPr>
        <w:t xml:space="preserve">Harness、RaaS、OPC 这些词很新，客户可能听不懂。对内用真概念做架构，对外用「AI复核系统」做沟通。不要炫概念吓跑客户。</w:t>
      </w:r>
    </w:p>
    <w:p w14:paraId="00100218" w14:textId="00100219">
      <w:pPr>
        <w:pStyle w:val="Heading3"/>
      </w:pPr>
      <w:r>
        <w:rPr/>
        <w:t xml:space="preserve">2. RaaS 责任风险</w:t>
      </w:r>
    </w:p>
    <w:p w14:paraId="0010021A" w14:textId="0010021B">
      <w:pPr>
        <w:spacing w:after="160" w:line="360" w:lineRule="auto"/>
      </w:pPr>
      <w:r>
        <w:rPr>
          <w:rFonts w:ascii="SimSun" w:hAnsi="SimSun" w:eastAsia="SimSun"/>
          <w:sz w:val="24"/>
        </w:rPr>
        <w:t xml:space="preserve">政策明确说RaaS供应商要承担「结果归因和赔偿责任」。审盾在对外承诺「让你敢签字」之前，必须有法律条款限定责任范围。</w:t>
      </w:r>
    </w:p>
    <w:p w14:paraId="0010021C" w14:textId="0010021D">
      <w:pPr>
        <w:pStyle w:val="Heading3"/>
      </w:pPr>
      <w:r>
        <w:rPr/>
        <w:t xml:space="preserve">3. OPC 不等于不雇人</w:t>
      </w:r>
    </w:p>
    <w:p w14:paraId="0010021E" w14:textId="0010021F">
      <w:pPr>
        <w:spacing w:after="240" w:line="360" w:lineRule="auto"/>
      </w:pPr>
      <w:r>
        <w:rPr>
          <w:rFonts w:ascii="SimSun" w:hAnsi="SimSun" w:eastAsia="SimSun"/>
          <w:sz w:val="24"/>
        </w:rPr>
        <w:t xml:space="preserve">OPC是效率杠杆，不是裁员工具。对外讲「1人+AI=3人产能」比「用AI替代审计师」安全一百倍。</w:t>
      </w:r>
    </w:p>
    <w:p w14:paraId="00100220" w14:textId="00100221">
      <w:pPr>
        <w:shd w:val="clear" w:fill="0A1F3F"/>
        <w:spacing w:before="480" w:after="240"/>
      </w:pPr>
      <w:r>
        <w:rPr>
          <w:sz w:val="16"/>
        </w:rPr>
        <w:t xml:space="preserve"/>
      </w:r>
    </w:p>
    <w:p w14:paraId="00100222" w14:textId="00100223">
      <w:pPr>
        <w:spacing w:after="120"/>
        <w:jc w:val="center"/>
      </w:pPr>
      <w:r>
        <w:rPr>
          <w:rFonts w:ascii="KaiTi" w:hAnsi="KaiTi" w:eastAsia="KaiTi"/>
          <w:color w:val="666666"/>
          <w:sz w:val="22"/>
        </w:rPr>
        <w:t xml:space="preserve">对标分析完成。下一步：待平头哥确认后，更新审盾一期验证报告框架，加入Harness贡献度分析章节。</w:t>
      </w:r>
    </w:p>
    <w:p w14:paraId="00100224" w14:textId="00100225">
      <w:pPr>
        <w:spacing w:after="80"/>
        <w:jc w:val="center"/>
      </w:pPr>
      <w:r>
        <w:rPr>
          <w:rFonts w:ascii="SimHei" w:hAnsi="SimHei" w:eastAsia="SimHei"/>
          <w:color w:val="C5955C"/>
          <w:sz w:val="20"/>
        </w:rPr>
        <w:t xml:space="preserve">融策·审盾 —— 让你敢签字。</w:t>
      </w:r>
    </w:p>
    <w:p w14:paraId="00100226" w14:textId="00100227">
      <w:pPr>
        <w:spacing w:after="0"/>
        <w:jc w:val="center"/>
      </w:pPr>
      <w:r>
        <w:rPr>
          <w:rFonts w:ascii="SimSun" w:hAnsi="SimSun" w:eastAsia="SimSun"/>
          <w:color w:val="AAAAAA"/>
          <w:sz w:val="18"/>
        </w:rPr>
        <w:t xml:space="preserve">© 2026 四川融策会计师事务所 | 本文件为内部战略分析，未经授权不得对外传播</w:t>
      </w:r>
    </w:p>
    <w:sectPr>
      <w:pgSz w:w="11906" w:h="16838"/>
      <w:pgMar w:top="1417" w:right="1588" w:bottom="1134" w:left="1588"/>
      <w:docGrid w:type="default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eastAsia="zh-CN"/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Calibri" w:hAnsi="Calibri" w:eastAsia="Calibri" w:cs="Calibri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  <w:style w:type="paragraph" w:styleId="Heading1">
    <w:name w:val="Heading 1"/>
    <w:pPr>
      <w:keepNext xmlns:w="http://schemas.openxmlformats.org/wordprocessingml/2006/main" w:val="1"/>
      <w:spacing w:before="480" w:after="240"/>
    </w:pPr>
    <w:rPr>
      <w:rFonts w:ascii="SimHei" w:hAnsi="SimHei" w:eastAsia="SimHei"/>
      <w:b/>
      <w:color w:val="0A1F3F"/>
      <w:sz w:val="36"/>
    </w:rPr>
  </w:style>
  <w:style w:type="paragraph" w:styleId="Heading2">
    <w:name w:val="Heading 2"/>
    <w:pPr>
      <w:keepNext xmlns:w="http://schemas.openxmlformats.org/wordprocessingml/2006/main" w:val="1"/>
      <w:spacing w:before="360" w:after="120"/>
    </w:pPr>
    <w:rPr>
      <w:rFonts w:ascii="SimHei" w:hAnsi="SimHei" w:eastAsia="SimHei"/>
      <w:b/>
      <w:color w:val="1A5C6E"/>
      <w:sz w:val="28"/>
    </w:rPr>
  </w:style>
  <w:style w:type="paragraph" w:styleId="Heading3">
    <w:name w:val="Heading 3"/>
    <w:pPr>
      <w:keepNext xmlns:w="http://schemas.openxmlformats.org/wordprocessingml/2006/main" w:val="1"/>
      <w:spacing w:before="240" w:after="120"/>
    </w:pPr>
    <w:rPr>
      <w:rFonts w:ascii="KaiTi" w:hAnsi="KaiTi" w:eastAsia="KaiTi"/>
      <w:b/>
      <w:color w:val="0A1F3F"/>
      <w:sz w:val="24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114d8c441f7542f7" /><Relationship Type="http://schemas.openxmlformats.org/officeDocument/2006/relationships/styles" Target="/word/styles.xml" Id="R3454a17129d34fc6" /><Relationship Type="http://schemas.openxmlformats.org/officeDocument/2006/relationships/theme" Target="/word/theme/theme1.xml" Id="Rb7fb20595b1f4bc4" /><Relationship Type="http://schemas.openxmlformats.org/officeDocument/2006/relationships/numbering" Target="/word/numbering.xml" Id="R3236278f98b4433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等线"/>
        <a:cs typeface=""/>
      </a:majorFont>
      <a:minorFont>
        <a:latin typeface="Calibri"/>
        <a:ea typeface="等线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OfficeCLI/1.0.139</ap:Application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四川融策会计师事务所</dc:creator>
  <dcterms:created xsi:type="dcterms:W3CDTF">2026-07-23T06:20:17.0000000Z</dcterms:created>
  <lastModifiedBy>OfficeCLI</lastModifiedBy>
  <dcterms:modified xsi:type="dcterms:W3CDTF">2026-07-23T06:20:17.0000000Z</dcterms:modified>
  <dc:title>北京智能体新政×融策·审盾 战略对标分析</dc:title>
</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1.0.139</vt:lpwstr>
  </op:property>
  <op:property fmtid="{D5CDD505-2E9C-101B-9397-08002B2CF9AE}" pid="3" name="OfficeCLI.LastModified">
    <vt:lpwstr xmlns:vt="http://schemas.openxmlformats.org/officeDocument/2006/docPropsVTypes">2026-07-23T06:29:23Z</vt:lpwstr>
  </op:property>
</op:Properties>
</file>