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黑体" w:hAnsi="黑体" w:eastAsia="黑体"/>
          <w:b/>
          <w:sz w:val="32"/>
        </w:rPr>
        <w:t>融策公司员工绩效考核办法</w:t>
      </w:r>
    </w:p>
    <w:p>
      <w:pPr>
        <w:spacing w:after="80"/>
        <w:jc w:val="center"/>
      </w:pPr>
      <w:r>
        <w:rPr>
          <w:rFonts w:ascii="宋体" w:hAnsi="宋体" w:eastAsia="宋体"/>
          <w:b w:val="0"/>
          <w:sz w:val="20"/>
        </w:rPr>
        <w:t>制度编号：RC-HR-005  版本：V2.0  修订日期：2026年7月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第一章  总  则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第一条  </w:t>
      </w:r>
      <w:r>
        <w:rPr>
          <w:rFonts w:ascii="仿宋" w:hAnsi="仿宋" w:eastAsia="仿宋"/>
          <w:sz w:val="24"/>
        </w:rPr>
        <w:t>为建立"业绩导向、量化到人"的绩效考核体系，制定本办法。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第二条  </w:t>
      </w:r>
      <w:r>
        <w:rPr>
          <w:rFonts w:ascii="仿宋" w:hAnsi="仿宋" w:eastAsia="仿宋"/>
          <w:sz w:val="24"/>
        </w:rPr>
        <w:t>原则：公平公正公开；量化优先；鼓励差异化。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第三条  </w:t>
      </w:r>
      <w:r>
        <w:rPr>
          <w:rFonts w:ascii="仿宋" w:hAnsi="仿宋" w:eastAsia="仿宋"/>
          <w:sz w:val="24"/>
        </w:rPr>
        <w:t>适用于除总经理外全体在岗员工。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第四条  </w:t>
      </w:r>
      <w:r>
        <w:rPr>
          <w:rFonts w:ascii="仿宋" w:hAnsi="仿宋" w:eastAsia="仿宋"/>
          <w:sz w:val="24"/>
        </w:rPr>
        <w:t>【民主程序】本办法经全体职工大会讨论通过。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第二章  考核体系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第五条  </w:t>
      </w:r>
      <w:r>
        <w:rPr>
          <w:rFonts w:ascii="仿宋" w:hAnsi="仿宋" w:eastAsia="仿宋"/>
          <w:sz w:val="24"/>
        </w:rPr>
        <w:t>实行"季度绩效+年度KPI"双层考核。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第六条  </w:t>
      </w:r>
      <w:r>
        <w:rPr>
          <w:rFonts w:ascii="仿宋" w:hAnsi="仿宋" w:eastAsia="仿宋"/>
          <w:sz w:val="24"/>
        </w:rPr>
        <w:t>绩效基数随公司年度目标动态调整。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第七条  </w:t>
      </w:r>
      <w:r>
        <w:rPr>
          <w:rFonts w:ascii="仿宋" w:hAnsi="仿宋" w:eastAsia="仿宋"/>
          <w:sz w:val="24"/>
        </w:rPr>
        <w:t>业务部门绩效基数上浮10%。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第三章  季度考核——标准评级制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第八条  </w:t>
      </w:r>
      <w:r>
        <w:rPr>
          <w:rFonts w:ascii="仿宋" w:hAnsi="仿宋" w:eastAsia="仿宋"/>
          <w:sz w:val="24"/>
        </w:rPr>
        <w:t>季度考核采用"3+1"结构：3项定量(70%)+1项重点工作(30%)。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第九条  </w:t>
      </w:r>
      <w:r>
        <w:rPr>
          <w:rFonts w:ascii="仿宋" w:hAnsi="仿宋" w:eastAsia="仿宋"/>
          <w:sz w:val="24"/>
        </w:rPr>
        <w:t>每季度首月10日前确认指标和目标值。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第十条  </w:t>
      </w:r>
      <w:r>
        <w:rPr>
          <w:rFonts w:ascii="仿宋" w:hAnsi="仿宋" w:eastAsia="仿宋"/>
          <w:sz w:val="24"/>
        </w:rPr>
        <w:t>标准评级制（达标即评，非强制分布）：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等级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分数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系数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A（优秀）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≥90分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1.2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显著超出预期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B（良好）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75-89分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1.0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达到预期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C（合格）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60-74分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0.8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基本达到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D（待改进）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&lt;60分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0.5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未达要求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第十一条  </w:t>
      </w:r>
      <w:r>
        <w:rPr>
          <w:rFonts w:ascii="仿宋" w:hAnsi="仿宋" w:eastAsia="仿宋"/>
          <w:sz w:val="24"/>
        </w:rPr>
        <w:t>【D级评定要求】D级须逐项说明扣分理由并附客观材料。无客观依据的D级，人力资源不予核定。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第十二条  </w:t>
      </w:r>
      <w:r>
        <w:rPr>
          <w:rFonts w:ascii="仿宋" w:hAnsi="仿宋" w:eastAsia="仿宋"/>
          <w:sz w:val="24"/>
        </w:rPr>
        <w:t>【待岗培训】连续两季D级→待岗培训（≤2个月）：</w:t>
        <w:br/>
        <w:t>（一）培训期间发基本工资，暂停绩效；</w:t>
        <w:br/>
        <w:t>（二）合格→恢复原岗原薪；</w:t>
        <w:br/>
        <w:t>（三）不合格→协商调岗，协商不成按《劳动合同法》处理。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第十三条  </w:t>
      </w:r>
      <w:r>
        <w:rPr>
          <w:rFonts w:ascii="仿宋" w:hAnsi="仿宋" w:eastAsia="仿宋"/>
          <w:sz w:val="24"/>
        </w:rPr>
        <w:t>考核流程：员工自评→部门负责人评分→C级以下面谈（A/B级群体通报）→人力资源汇总→总经理审批。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第四章  年度KPI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第十四条  </w:t>
      </w:r>
      <w:r>
        <w:rPr>
          <w:rFonts w:ascii="仿宋" w:hAnsi="仿宋" w:eastAsia="仿宋"/>
          <w:sz w:val="24"/>
        </w:rPr>
        <w:t>年度KPI奖金 = 基数 × 公司营收完成率 × 部门得分/100 × 个人得分/100。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第十五条  </w:t>
      </w:r>
      <w:r>
        <w:rPr>
          <w:rFonts w:ascii="仿宋" w:hAnsi="仿宋" w:eastAsia="仿宋"/>
          <w:sz w:val="24"/>
        </w:rPr>
        <w:t>连续两季A级须附突出业绩书面材料，经总经理审批。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第五章  考核纪律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第十六条  </w:t>
      </w:r>
      <w:r>
        <w:rPr>
          <w:rFonts w:ascii="仿宋" w:hAnsi="仿宋" w:eastAsia="仿宋"/>
          <w:sz w:val="24"/>
        </w:rPr>
        <w:t>考核不规范情形：全员同分无说明、C级以下无面谈、D级无客观材料→一周内补考核。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第十七条  </w:t>
      </w:r>
      <w:r>
        <w:rPr>
          <w:rFonts w:ascii="仿宋" w:hAnsi="仿宋" w:eastAsia="仿宋"/>
          <w:sz w:val="24"/>
        </w:rPr>
        <w:t>申诉：3个工作日内书面提出。申诉期不影响执行，成功后追溯补发。禁止打击报复。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第六章  附  则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第十八条  </w:t>
      </w:r>
      <w:r>
        <w:rPr>
          <w:rFonts w:ascii="仿宋" w:hAnsi="仿宋" w:eastAsia="仿宋"/>
          <w:sz w:val="24"/>
        </w:rPr>
        <w:t>本办法自2026年  月  日起施行。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第十九条  </w:t>
      </w:r>
      <w:r>
        <w:rPr>
          <w:rFonts w:ascii="仿宋" w:hAnsi="仿宋" w:eastAsia="仿宋"/>
          <w:sz w:val="24"/>
        </w:rPr>
        <w:t>由人力资源负责解释。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《员工绩效考核办法》签收确认表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岗位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签收日期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签字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声明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</w:tbl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注：本表由人力资源统一保管，作为制度已告知员工的书面证据。</w:t>
      </w:r>
    </w:p>
    <w:sectPr w:rsidR="00FC693F" w:rsidRPr="0006063C" w:rsidSect="00034616">
      <w:pgSz w:w="12240" w:h="15840"/>
      <w:pgMar w:top="1417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