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黑体" w:hAnsi="黑体" w:eastAsia="黑体"/>
          <w:b/>
          <w:sz w:val="32"/>
        </w:rPr>
        <w:t>融策公司投标管理办法</w:t>
      </w:r>
    </w:p>
    <w:p>
      <w:pPr>
        <w:spacing w:after="80"/>
        <w:jc w:val="center"/>
      </w:pPr>
      <w:r>
        <w:rPr>
          <w:rFonts w:ascii="宋体" w:hAnsi="宋体" w:eastAsia="宋体"/>
          <w:b w:val="0"/>
          <w:sz w:val="20"/>
        </w:rPr>
        <w:t>制度编号：RC-BIZ-003    版本：V1.0</w:t>
      </w:r>
    </w:p>
    <w:p>
      <w:pPr>
        <w:spacing w:after="80"/>
      </w:pPr>
      <w:r>
        <w:rPr>
          <w:rFonts w:ascii="宋体" w:hAnsi="宋体" w:eastAsia="宋体"/>
          <w:b w:val="0"/>
          <w:sz w:val="24"/>
        </w:rPr>
      </w:r>
    </w:p>
    <w:p>
      <w:pPr>
        <w:spacing w:before="240" w:after="120"/>
        <w:jc w:val="left"/>
      </w:pPr>
      <w:r>
        <w:rPr>
          <w:rFonts w:ascii="黑体" w:hAnsi="黑体" w:eastAsia="黑体"/>
          <w:b/>
          <w:sz w:val="28"/>
        </w:rPr>
        <w:t>第一章  总  则</w:t>
      </w:r>
    </w:p>
    <w:p>
      <w:pPr>
        <w:spacing w:after="80"/>
        <w:ind w:firstLine="420"/>
      </w:pPr>
      <w:r>
        <w:rPr>
          <w:rFonts w:ascii="黑体" w:hAnsi="黑体" w:eastAsia="黑体"/>
          <w:b/>
          <w:sz w:val="24"/>
        </w:rPr>
        <w:t xml:space="preserve">第一条  </w:t>
      </w:r>
      <w:r>
        <w:rPr>
          <w:rFonts w:ascii="仿宋" w:hAnsi="仿宋" w:eastAsia="仿宋"/>
          <w:sz w:val="24"/>
        </w:rPr>
        <w:t>为规范公司投标工作流程，落实投标责任，预防废标风险，持续提升投标文件编制质量和中标率，结合公司政府审计服务和工程咨询服务的业务特点，特制定本办法。</w:t>
      </w:r>
    </w:p>
    <w:p>
      <w:pPr>
        <w:spacing w:after="80"/>
        <w:ind w:firstLine="420"/>
      </w:pPr>
      <w:r>
        <w:rPr>
          <w:rFonts w:ascii="黑体" w:hAnsi="黑体" w:eastAsia="黑体"/>
          <w:b/>
          <w:sz w:val="24"/>
        </w:rPr>
        <w:t xml:space="preserve">第二条  </w:t>
      </w:r>
      <w:r>
        <w:rPr>
          <w:rFonts w:ascii="仿宋" w:hAnsi="仿宋" w:eastAsia="仿宋"/>
          <w:sz w:val="24"/>
        </w:rPr>
        <w:t>本办法适用于四川融策会计师事务所有限公司和四川融策工程咨询有限公司全部投标项目，包括政府采购公开招标、竞争性磋商、竞争性谈判、询价等各类采购方式。</w:t>
      </w:r>
    </w:p>
    <w:p>
      <w:pPr>
        <w:spacing w:after="80"/>
        <w:ind w:firstLine="420"/>
      </w:pPr>
      <w:r>
        <w:rPr>
          <w:rFonts w:ascii="黑体" w:hAnsi="黑体" w:eastAsia="黑体"/>
          <w:b/>
          <w:sz w:val="24"/>
        </w:rPr>
        <w:t xml:space="preserve">第三条  </w:t>
      </w:r>
      <w:r>
        <w:rPr>
          <w:rFonts w:ascii="仿宋" w:hAnsi="仿宋" w:eastAsia="仿宋"/>
          <w:sz w:val="24"/>
        </w:rPr>
        <w:t>投标工作实行"专人负责、双人复核、责任终身"原则。投标文件出现因编制失误导致废标的，追查编制人和复核人双重责任。</w:t>
      </w:r>
    </w:p>
    <w:p>
      <w:pPr>
        <w:spacing w:before="240" w:after="120"/>
        <w:jc w:val="left"/>
      </w:pPr>
      <w:r>
        <w:rPr>
          <w:rFonts w:ascii="黑体" w:hAnsi="黑体" w:eastAsia="黑体"/>
          <w:b/>
          <w:sz w:val="28"/>
        </w:rPr>
        <w:t>第二章  投标组织</w:t>
      </w:r>
    </w:p>
    <w:p>
      <w:pPr>
        <w:spacing w:after="80"/>
        <w:ind w:firstLine="420"/>
      </w:pPr>
      <w:r>
        <w:rPr>
          <w:rFonts w:ascii="黑体" w:hAnsi="黑体" w:eastAsia="黑体"/>
          <w:b/>
          <w:sz w:val="24"/>
        </w:rPr>
        <w:t xml:space="preserve">第四条  </w:t>
      </w:r>
      <w:r>
        <w:rPr>
          <w:rFonts w:ascii="仿宋" w:hAnsi="仿宋" w:eastAsia="仿宋"/>
          <w:sz w:val="24"/>
        </w:rPr>
        <w:t>公司设立投标工作组，由以下人员组成：</w:t>
        <w:br/>
        <w:t>（一）投标负责人（由工程咨询部经理或指定专人担任）：对投标工作负总责，审核投标策略和最终报价；</w:t>
        <w:br/>
        <w:t>（二）资信编制人（行政综合岗兼任）：负责商务标/资格证明文件编制；</w:t>
        <w:br/>
        <w:t>（三）技术编制人（由项目经验最匹配的业务人员担任）：负责技术方案/服务方案编制；</w:t>
        <w:br/>
        <w:t>（四）报价编制人（部门负责人+财务负责人联合）：负责报价测算和最终报价方案。</w:t>
      </w:r>
    </w:p>
    <w:p>
      <w:pPr>
        <w:spacing w:after="80"/>
        <w:ind w:firstLine="420"/>
      </w:pPr>
      <w:r>
        <w:rPr>
          <w:rFonts w:ascii="黑体" w:hAnsi="黑体" w:eastAsia="黑体"/>
          <w:b/>
          <w:sz w:val="24"/>
        </w:rPr>
        <w:t xml:space="preserve">第五条  </w:t>
      </w:r>
      <w:r>
        <w:rPr>
          <w:rFonts w:ascii="仿宋" w:hAnsi="仿宋" w:eastAsia="仿宋"/>
          <w:sz w:val="24"/>
        </w:rPr>
        <w:t>接到招标公告后，投标负责人在24小时内组织标前评审会，完成《投标可行性评估表》，明确：</w:t>
        <w:br/>
        <w:t>（一）是否满足资格条件（逐一核对）；</w:t>
        <w:br/>
        <w:t>（二）技术方案框架和人员配置；</w:t>
        <w:br/>
        <w:t>（三）报价策略和底线；</w:t>
        <w:br/>
        <w:t>（四）编标分工和时间节点。</w:t>
      </w:r>
    </w:p>
    <w:p>
      <w:pPr>
        <w:spacing w:before="240" w:after="120"/>
        <w:jc w:val="left"/>
      </w:pPr>
      <w:r>
        <w:rPr>
          <w:rFonts w:ascii="黑体" w:hAnsi="黑体" w:eastAsia="黑体"/>
          <w:b/>
          <w:sz w:val="28"/>
        </w:rPr>
        <w:t>第三章  编标流程</w:t>
      </w:r>
    </w:p>
    <w:p>
      <w:pPr>
        <w:spacing w:after="80"/>
        <w:ind w:firstLine="420"/>
      </w:pPr>
      <w:r>
        <w:rPr>
          <w:rFonts w:ascii="黑体" w:hAnsi="黑体" w:eastAsia="黑体"/>
          <w:b/>
          <w:sz w:val="24"/>
        </w:rPr>
        <w:t xml:space="preserve">第六条  </w:t>
      </w:r>
      <w:r>
        <w:rPr>
          <w:rFonts w:ascii="仿宋" w:hAnsi="仿宋" w:eastAsia="仿宋"/>
          <w:sz w:val="24"/>
        </w:rPr>
        <w:t>标准编标流程（倒排工期）：</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Pr>
                <w:rFonts w:ascii="宋体" w:hAnsi="宋体" w:eastAsia="宋体"/>
                <w:b/>
                <w:sz w:val="18"/>
              </w:rPr>
              <w:t>节点</w:t>
            </w:r>
          </w:p>
        </w:tc>
        <w:tc>
          <w:tcPr>
            <w:tcW w:type="dxa" w:w="2266"/>
          </w:tcPr>
          <w:p>
            <w:pPr>
              <w:jc w:val="center"/>
            </w:pPr>
            <w:r>
              <w:rPr>
                <w:rFonts w:ascii="宋体" w:hAnsi="宋体" w:eastAsia="宋体"/>
                <w:b/>
                <w:sz w:val="18"/>
              </w:rPr>
              <w:t>距截标时间</w:t>
            </w:r>
          </w:p>
        </w:tc>
        <w:tc>
          <w:tcPr>
            <w:tcW w:type="dxa" w:w="2266"/>
          </w:tcPr>
          <w:p>
            <w:pPr>
              <w:jc w:val="center"/>
            </w:pPr>
            <w:r>
              <w:rPr>
                <w:rFonts w:ascii="宋体" w:hAnsi="宋体" w:eastAsia="宋体"/>
                <w:b/>
                <w:sz w:val="18"/>
              </w:rPr>
              <w:t>责任人</w:t>
            </w:r>
          </w:p>
        </w:tc>
        <w:tc>
          <w:tcPr>
            <w:tcW w:type="dxa" w:w="2266"/>
          </w:tcPr>
          <w:p>
            <w:pPr>
              <w:jc w:val="center"/>
            </w:pPr>
            <w:r>
              <w:rPr>
                <w:rFonts w:ascii="宋体" w:hAnsi="宋体" w:eastAsia="宋体"/>
                <w:b/>
                <w:sz w:val="18"/>
              </w:rPr>
              <w:t>产出物</w:t>
            </w:r>
          </w:p>
        </w:tc>
      </w:tr>
      <w:tr>
        <w:tc>
          <w:tcPr>
            <w:tcW w:type="dxa" w:w="2266"/>
          </w:tcPr>
          <w:p>
            <w:pPr>
              <w:jc w:val="center"/>
            </w:pPr>
            <w:r>
              <w:rPr>
                <w:rFonts w:ascii="宋体" w:hAnsi="宋体" w:eastAsia="宋体"/>
                <w:sz w:val="18"/>
              </w:rPr>
              <w:t>标前评审</w:t>
            </w:r>
          </w:p>
        </w:tc>
        <w:tc>
          <w:tcPr>
            <w:tcW w:type="dxa" w:w="2266"/>
          </w:tcPr>
          <w:p>
            <w:pPr>
              <w:jc w:val="center"/>
            </w:pPr>
            <w:r>
              <w:rPr>
                <w:rFonts w:ascii="宋体" w:hAnsi="宋体" w:eastAsia="宋体"/>
                <w:sz w:val="18"/>
              </w:rPr>
              <w:t>T-7天</w:t>
            </w:r>
          </w:p>
        </w:tc>
        <w:tc>
          <w:tcPr>
            <w:tcW w:type="dxa" w:w="2266"/>
          </w:tcPr>
          <w:p>
            <w:pPr>
              <w:jc w:val="center"/>
            </w:pPr>
            <w:r>
              <w:rPr>
                <w:rFonts w:ascii="宋体" w:hAnsi="宋体" w:eastAsia="宋体"/>
                <w:sz w:val="18"/>
              </w:rPr>
              <w:t>投标负责人</w:t>
            </w:r>
          </w:p>
        </w:tc>
        <w:tc>
          <w:tcPr>
            <w:tcW w:type="dxa" w:w="2266"/>
          </w:tcPr>
          <w:p>
            <w:pPr>
              <w:jc w:val="center"/>
            </w:pPr>
            <w:r>
              <w:rPr>
                <w:rFonts w:ascii="宋体" w:hAnsi="宋体" w:eastAsia="宋体"/>
                <w:sz w:val="18"/>
              </w:rPr>
              <w:t>投标可行性评估表</w:t>
            </w:r>
          </w:p>
        </w:tc>
      </w:tr>
      <w:tr>
        <w:tc>
          <w:tcPr>
            <w:tcW w:type="dxa" w:w="2266"/>
          </w:tcPr>
          <w:p>
            <w:pPr>
              <w:jc w:val="center"/>
            </w:pPr>
            <w:r>
              <w:rPr>
                <w:rFonts w:ascii="宋体" w:hAnsi="宋体" w:eastAsia="宋体"/>
                <w:sz w:val="18"/>
              </w:rPr>
              <w:t>分工启动</w:t>
            </w:r>
          </w:p>
        </w:tc>
        <w:tc>
          <w:tcPr>
            <w:tcW w:type="dxa" w:w="2266"/>
          </w:tcPr>
          <w:p>
            <w:pPr>
              <w:jc w:val="center"/>
            </w:pPr>
            <w:r>
              <w:rPr>
                <w:rFonts w:ascii="宋体" w:hAnsi="宋体" w:eastAsia="宋体"/>
                <w:sz w:val="18"/>
              </w:rPr>
              <w:t>T-6天</w:t>
            </w:r>
          </w:p>
        </w:tc>
        <w:tc>
          <w:tcPr>
            <w:tcW w:type="dxa" w:w="2266"/>
          </w:tcPr>
          <w:p>
            <w:pPr>
              <w:jc w:val="center"/>
            </w:pPr>
            <w:r>
              <w:rPr>
                <w:rFonts w:ascii="宋体" w:hAnsi="宋体" w:eastAsia="宋体"/>
                <w:sz w:val="18"/>
              </w:rPr>
              <w:t>投标负责人</w:t>
            </w:r>
          </w:p>
        </w:tc>
        <w:tc>
          <w:tcPr>
            <w:tcW w:type="dxa" w:w="2266"/>
          </w:tcPr>
          <w:p>
            <w:pPr>
              <w:jc w:val="center"/>
            </w:pPr>
            <w:r>
              <w:rPr>
                <w:rFonts w:ascii="宋体" w:hAnsi="宋体" w:eastAsia="宋体"/>
                <w:sz w:val="18"/>
              </w:rPr>
              <w:t>编标任务分派单</w:t>
            </w:r>
          </w:p>
        </w:tc>
      </w:tr>
      <w:tr>
        <w:tc>
          <w:tcPr>
            <w:tcW w:type="dxa" w:w="2266"/>
          </w:tcPr>
          <w:p>
            <w:pPr>
              <w:jc w:val="center"/>
            </w:pPr>
            <w:r>
              <w:rPr>
                <w:rFonts w:ascii="宋体" w:hAnsi="宋体" w:eastAsia="宋体"/>
                <w:sz w:val="18"/>
              </w:rPr>
              <w:t>初稿完成</w:t>
            </w:r>
          </w:p>
        </w:tc>
        <w:tc>
          <w:tcPr>
            <w:tcW w:type="dxa" w:w="2266"/>
          </w:tcPr>
          <w:p>
            <w:pPr>
              <w:jc w:val="center"/>
            </w:pPr>
            <w:r>
              <w:rPr>
                <w:rFonts w:ascii="宋体" w:hAnsi="宋体" w:eastAsia="宋体"/>
                <w:sz w:val="18"/>
              </w:rPr>
              <w:t>T-4天</w:t>
            </w:r>
          </w:p>
        </w:tc>
        <w:tc>
          <w:tcPr>
            <w:tcW w:type="dxa" w:w="2266"/>
          </w:tcPr>
          <w:p>
            <w:pPr>
              <w:jc w:val="center"/>
            </w:pPr>
            <w:r>
              <w:rPr>
                <w:rFonts w:ascii="宋体" w:hAnsi="宋体" w:eastAsia="宋体"/>
                <w:sz w:val="18"/>
              </w:rPr>
              <w:t>各编制人</w:t>
            </w:r>
          </w:p>
        </w:tc>
        <w:tc>
          <w:tcPr>
            <w:tcW w:type="dxa" w:w="2266"/>
          </w:tcPr>
          <w:p>
            <w:pPr>
              <w:jc w:val="center"/>
            </w:pPr>
            <w:r>
              <w:rPr>
                <w:rFonts w:ascii="宋体" w:hAnsi="宋体" w:eastAsia="宋体"/>
                <w:sz w:val="18"/>
              </w:rPr>
              <w:t>资信/技术/报价初稿</w:t>
            </w:r>
          </w:p>
        </w:tc>
      </w:tr>
      <w:tr>
        <w:tc>
          <w:tcPr>
            <w:tcW w:type="dxa" w:w="2266"/>
          </w:tcPr>
          <w:p>
            <w:pPr>
              <w:jc w:val="center"/>
            </w:pPr>
            <w:r>
              <w:rPr>
                <w:rFonts w:ascii="宋体" w:hAnsi="宋体" w:eastAsia="宋体"/>
                <w:sz w:val="18"/>
              </w:rPr>
              <w:t>交叉复核</w:t>
            </w:r>
          </w:p>
        </w:tc>
        <w:tc>
          <w:tcPr>
            <w:tcW w:type="dxa" w:w="2266"/>
          </w:tcPr>
          <w:p>
            <w:pPr>
              <w:jc w:val="center"/>
            </w:pPr>
            <w:r>
              <w:rPr>
                <w:rFonts w:ascii="宋体" w:hAnsi="宋体" w:eastAsia="宋体"/>
                <w:sz w:val="18"/>
              </w:rPr>
              <w:t>T-3天</w:t>
            </w:r>
          </w:p>
        </w:tc>
        <w:tc>
          <w:tcPr>
            <w:tcW w:type="dxa" w:w="2266"/>
          </w:tcPr>
          <w:p>
            <w:pPr>
              <w:jc w:val="center"/>
            </w:pPr>
            <w:r>
              <w:rPr>
                <w:rFonts w:ascii="宋体" w:hAnsi="宋体" w:eastAsia="宋体"/>
                <w:sz w:val="18"/>
              </w:rPr>
              <w:t>复核人</w:t>
            </w:r>
          </w:p>
        </w:tc>
        <w:tc>
          <w:tcPr>
            <w:tcW w:type="dxa" w:w="2266"/>
          </w:tcPr>
          <w:p>
            <w:pPr>
              <w:jc w:val="center"/>
            </w:pPr>
            <w:r>
              <w:rPr>
                <w:rFonts w:ascii="宋体" w:hAnsi="宋体" w:eastAsia="宋体"/>
                <w:sz w:val="18"/>
              </w:rPr>
              <w:t>复核意见清单</w:t>
            </w:r>
          </w:p>
        </w:tc>
      </w:tr>
      <w:tr>
        <w:tc>
          <w:tcPr>
            <w:tcW w:type="dxa" w:w="2266"/>
          </w:tcPr>
          <w:p>
            <w:pPr>
              <w:jc w:val="center"/>
            </w:pPr>
            <w:r>
              <w:rPr>
                <w:rFonts w:ascii="宋体" w:hAnsi="宋体" w:eastAsia="宋体"/>
                <w:sz w:val="18"/>
              </w:rPr>
              <w:t>修改定稿</w:t>
            </w:r>
          </w:p>
        </w:tc>
        <w:tc>
          <w:tcPr>
            <w:tcW w:type="dxa" w:w="2266"/>
          </w:tcPr>
          <w:p>
            <w:pPr>
              <w:jc w:val="center"/>
            </w:pPr>
            <w:r>
              <w:rPr>
                <w:rFonts w:ascii="宋体" w:hAnsi="宋体" w:eastAsia="宋体"/>
                <w:sz w:val="18"/>
              </w:rPr>
              <w:t>T-2天</w:t>
            </w:r>
          </w:p>
        </w:tc>
        <w:tc>
          <w:tcPr>
            <w:tcW w:type="dxa" w:w="2266"/>
          </w:tcPr>
          <w:p>
            <w:pPr>
              <w:jc w:val="center"/>
            </w:pPr>
            <w:r>
              <w:rPr>
                <w:rFonts w:ascii="宋体" w:hAnsi="宋体" w:eastAsia="宋体"/>
                <w:sz w:val="18"/>
              </w:rPr>
              <w:t>各编制人</w:t>
            </w:r>
          </w:p>
        </w:tc>
        <w:tc>
          <w:tcPr>
            <w:tcW w:type="dxa" w:w="2266"/>
          </w:tcPr>
          <w:p>
            <w:pPr>
              <w:jc w:val="center"/>
            </w:pPr>
            <w:r>
              <w:rPr>
                <w:rFonts w:ascii="宋体" w:hAnsi="宋体" w:eastAsia="宋体"/>
                <w:sz w:val="18"/>
              </w:rPr>
              <w:t>定稿版投标文件</w:t>
            </w:r>
          </w:p>
        </w:tc>
      </w:tr>
      <w:tr>
        <w:tc>
          <w:tcPr>
            <w:tcW w:type="dxa" w:w="2266"/>
          </w:tcPr>
          <w:p>
            <w:pPr>
              <w:jc w:val="center"/>
            </w:pPr>
            <w:r>
              <w:rPr>
                <w:rFonts w:ascii="宋体" w:hAnsi="宋体" w:eastAsia="宋体"/>
                <w:sz w:val="18"/>
              </w:rPr>
              <w:t>终审签字</w:t>
            </w:r>
          </w:p>
        </w:tc>
        <w:tc>
          <w:tcPr>
            <w:tcW w:type="dxa" w:w="2266"/>
          </w:tcPr>
          <w:p>
            <w:pPr>
              <w:jc w:val="center"/>
            </w:pPr>
            <w:r>
              <w:rPr>
                <w:rFonts w:ascii="宋体" w:hAnsi="宋体" w:eastAsia="宋体"/>
                <w:sz w:val="18"/>
              </w:rPr>
              <w:t>T-1天</w:t>
            </w:r>
          </w:p>
        </w:tc>
        <w:tc>
          <w:tcPr>
            <w:tcW w:type="dxa" w:w="2266"/>
          </w:tcPr>
          <w:p>
            <w:pPr>
              <w:jc w:val="center"/>
            </w:pPr>
            <w:r>
              <w:rPr>
                <w:rFonts w:ascii="宋体" w:hAnsi="宋体" w:eastAsia="宋体"/>
                <w:sz w:val="18"/>
              </w:rPr>
              <w:t>投标负责人</w:t>
            </w:r>
          </w:p>
        </w:tc>
        <w:tc>
          <w:tcPr>
            <w:tcW w:type="dxa" w:w="2266"/>
          </w:tcPr>
          <w:p>
            <w:pPr>
              <w:jc w:val="center"/>
            </w:pPr>
            <w:r>
              <w:rPr>
                <w:rFonts w:ascii="宋体" w:hAnsi="宋体" w:eastAsia="宋体"/>
                <w:sz w:val="18"/>
              </w:rPr>
              <w:t>签字确认单</w:t>
            </w:r>
          </w:p>
        </w:tc>
      </w:tr>
      <w:tr>
        <w:tc>
          <w:tcPr>
            <w:tcW w:type="dxa" w:w="2266"/>
          </w:tcPr>
          <w:p>
            <w:pPr>
              <w:jc w:val="center"/>
            </w:pPr>
            <w:r>
              <w:rPr>
                <w:rFonts w:ascii="宋体" w:hAnsi="宋体" w:eastAsia="宋体"/>
                <w:sz w:val="18"/>
              </w:rPr>
              <w:t>封装递交</w:t>
            </w:r>
          </w:p>
        </w:tc>
        <w:tc>
          <w:tcPr>
            <w:tcW w:type="dxa" w:w="2266"/>
          </w:tcPr>
          <w:p>
            <w:pPr>
              <w:jc w:val="center"/>
            </w:pPr>
            <w:r>
              <w:rPr>
                <w:rFonts w:ascii="宋体" w:hAnsi="宋体" w:eastAsia="宋体"/>
                <w:sz w:val="18"/>
              </w:rPr>
              <w:t>T日</w:t>
            </w:r>
          </w:p>
        </w:tc>
        <w:tc>
          <w:tcPr>
            <w:tcW w:type="dxa" w:w="2266"/>
          </w:tcPr>
          <w:p>
            <w:pPr>
              <w:jc w:val="center"/>
            </w:pPr>
            <w:r>
              <w:rPr>
                <w:rFonts w:ascii="宋体" w:hAnsi="宋体" w:eastAsia="宋体"/>
                <w:sz w:val="18"/>
              </w:rPr>
              <w:t>资信编制人</w:t>
            </w:r>
          </w:p>
        </w:tc>
        <w:tc>
          <w:tcPr>
            <w:tcW w:type="dxa" w:w="2266"/>
          </w:tcPr>
          <w:p>
            <w:pPr>
              <w:jc w:val="center"/>
            </w:pPr>
            <w:r>
              <w:rPr>
                <w:rFonts w:ascii="宋体" w:hAnsi="宋体" w:eastAsia="宋体"/>
                <w:sz w:val="18"/>
              </w:rPr>
              <w:t>密封投标文件+回执</w:t>
            </w:r>
          </w:p>
        </w:tc>
      </w:tr>
    </w:tbl>
    <w:p>
      <w:pPr>
        <w:spacing w:after="80"/>
      </w:pPr>
      <w:r>
        <w:rPr>
          <w:rFonts w:ascii="宋体" w:hAnsi="宋体" w:eastAsia="宋体"/>
          <w:b w:val="0"/>
          <w:sz w:val="24"/>
        </w:rPr>
      </w:r>
    </w:p>
    <w:p>
      <w:pPr>
        <w:spacing w:after="80"/>
        <w:ind w:firstLine="420"/>
      </w:pPr>
      <w:r>
        <w:rPr>
          <w:rFonts w:ascii="黑体" w:hAnsi="黑体" w:eastAsia="黑体"/>
          <w:b/>
          <w:sz w:val="24"/>
        </w:rPr>
        <w:t xml:space="preserve">第七条  </w:t>
      </w:r>
      <w:r>
        <w:rPr>
          <w:rFonts w:ascii="仿宋" w:hAnsi="仿宋" w:eastAsia="仿宋"/>
          <w:sz w:val="24"/>
        </w:rPr>
        <w:t>交叉复核制度：</w:t>
        <w:br/>
        <w:t>（一）资信部分由投标负责人复核，重点检查资质有效性、人员证书有效期、业绩证明材料完整性；</w:t>
        <w:br/>
        <w:t>（二）技术部分由另一名未参与编制的同级或以上人员复核，重点检查评分项响应、格式合规、逻辑一致性；</w:t>
        <w:br/>
        <w:t>（三）报价部分由财务负责人复核，重点检查计算准确、费率合规、大小写一致。</w:t>
        <w:br/>
        <w:t>（四）复核人须在《复核记录表》上签字留底，对复核意见负责。</w:t>
      </w:r>
    </w:p>
    <w:p>
      <w:pPr>
        <w:spacing w:after="80"/>
        <w:ind w:firstLine="420"/>
      </w:pPr>
      <w:r>
        <w:rPr>
          <w:rFonts w:ascii="黑体" w:hAnsi="黑体" w:eastAsia="黑体"/>
          <w:b/>
          <w:sz w:val="24"/>
        </w:rPr>
        <w:t xml:space="preserve">第八条  </w:t>
      </w:r>
      <w:r>
        <w:rPr>
          <w:rFonts w:ascii="仿宋" w:hAnsi="仿宋" w:eastAsia="仿宋"/>
          <w:sz w:val="24"/>
        </w:rPr>
        <w:t>投标文件提交前，投标负责人须逐项核对《投标文件提交检查清单》（至少包含以下30项），全部通过后方可封装：</w:t>
        <w:br/>
        <w:t>（一）资格性检查（12项）：营业执照、资质证书、人员证书、社保、无重大违法记录声明、信用查询截图等；</w:t>
        <w:br/>
        <w:t>（二）符合性检查（10项）：密封要求、签字盖章、报价大小写、工期/服务期响应、技术标页数限制等；</w:t>
        <w:br/>
        <w:t>（三）评审加分检查（8项）：业绩证明材料、人员配置优势、获奖/荣誉、客户评价等。</w:t>
      </w:r>
    </w:p>
    <w:p>
      <w:pPr>
        <w:spacing w:before="240" w:after="120"/>
        <w:jc w:val="left"/>
      </w:pPr>
      <w:r>
        <w:rPr>
          <w:rFonts w:ascii="黑体" w:hAnsi="黑体" w:eastAsia="黑体"/>
          <w:b/>
          <w:sz w:val="28"/>
        </w:rPr>
        <w:t>第四章  基础资料管理</w:t>
      </w:r>
    </w:p>
    <w:p>
      <w:pPr>
        <w:spacing w:after="80"/>
        <w:ind w:firstLine="420"/>
      </w:pPr>
      <w:r>
        <w:rPr>
          <w:rFonts w:ascii="黑体" w:hAnsi="黑体" w:eastAsia="黑体"/>
          <w:b/>
          <w:sz w:val="24"/>
        </w:rPr>
        <w:t xml:space="preserve">第九条  </w:t>
      </w:r>
      <w:r>
        <w:rPr>
          <w:rFonts w:ascii="仿宋" w:hAnsi="仿宋" w:eastAsia="仿宋"/>
          <w:sz w:val="24"/>
        </w:rPr>
        <w:t>行政综合岗负责建立和维护投标基础资料库，按以下分类归档：</w:t>
        <w:br/>
        <w:t>（一）资质证照类：营业执照（正本+副本扫描）、执业许可证、资质证书、各类备案证明；</w:t>
        <w:br/>
        <w:t>（二）人员证书类：注册会计师/造价工程师/评估师等执业证书、职称证书、社保缴纳证明（定期更新）、劳动合同；</w:t>
        <w:br/>
        <w:t>（三）业绩证明类：合同关键页+验收报告/客户评价（分类标注：审计/绩效/工程/专项等）；</w:t>
        <w:br/>
        <w:t>（四）获奖荣誉类：行业协会表彰、客户表扬信、信用评级等。</w:t>
      </w:r>
    </w:p>
    <w:p>
      <w:pPr>
        <w:spacing w:after="80"/>
        <w:ind w:firstLine="420"/>
      </w:pPr>
      <w:r>
        <w:rPr>
          <w:rFonts w:ascii="黑体" w:hAnsi="黑体" w:eastAsia="黑体"/>
          <w:b/>
          <w:sz w:val="24"/>
        </w:rPr>
        <w:t xml:space="preserve">第十条  </w:t>
      </w:r>
      <w:r>
        <w:rPr>
          <w:rFonts w:ascii="仿宋" w:hAnsi="仿宋" w:eastAsia="仿宋"/>
          <w:sz w:val="24"/>
        </w:rPr>
        <w:t>基础资料库每季度更新一次。人员证书到期前60天预警，由行政综合岗通知本人续期。因资料过期导致投标资格不符的，追究行政综合岗管理责任。</w:t>
      </w:r>
    </w:p>
    <w:p>
      <w:pPr>
        <w:spacing w:before="240" w:after="120"/>
        <w:jc w:val="left"/>
      </w:pPr>
      <w:r>
        <w:rPr>
          <w:rFonts w:ascii="黑体" w:hAnsi="黑体" w:eastAsia="黑体"/>
          <w:b/>
          <w:sz w:val="28"/>
        </w:rPr>
        <w:t>第五章  投标激励</w:t>
      </w:r>
    </w:p>
    <w:p>
      <w:pPr>
        <w:spacing w:after="80"/>
        <w:ind w:firstLine="420"/>
      </w:pPr>
      <w:r>
        <w:rPr>
          <w:rFonts w:ascii="黑体" w:hAnsi="黑体" w:eastAsia="黑体"/>
          <w:b/>
          <w:sz w:val="24"/>
        </w:rPr>
        <w:t xml:space="preserve">第十一条  </w:t>
      </w:r>
      <w:r>
        <w:rPr>
          <w:rFonts w:ascii="仿宋" w:hAnsi="仿宋" w:eastAsia="仿宋"/>
          <w:sz w:val="24"/>
        </w:rPr>
        <w:t>投标计件奖励：</w:t>
        <w:br/>
        <w:t>（一）每完成一个完整投标项目（含资信+技术+报价），按以下标准发放编标费：</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jc w:val="center"/>
            </w:pPr>
            <w:r>
              <w:rPr>
                <w:rFonts w:ascii="宋体" w:hAnsi="宋体" w:eastAsia="宋体"/>
                <w:b/>
                <w:sz w:val="18"/>
              </w:rPr>
              <w:t>投标类型</w:t>
            </w:r>
          </w:p>
        </w:tc>
        <w:tc>
          <w:tcPr>
            <w:tcW w:type="dxa" w:w="3022"/>
          </w:tcPr>
          <w:p>
            <w:pPr>
              <w:jc w:val="center"/>
            </w:pPr>
            <w:r>
              <w:rPr>
                <w:rFonts w:ascii="宋体" w:hAnsi="宋体" w:eastAsia="宋体"/>
                <w:b/>
                <w:sz w:val="18"/>
              </w:rPr>
              <w:t>编标费（元/标段）</w:t>
            </w:r>
          </w:p>
        </w:tc>
        <w:tc>
          <w:tcPr>
            <w:tcW w:type="dxa" w:w="3022"/>
          </w:tcPr>
          <w:p>
            <w:pPr>
              <w:jc w:val="center"/>
            </w:pPr>
            <w:r>
              <w:rPr>
                <w:rFonts w:ascii="宋体" w:hAnsi="宋体" w:eastAsia="宋体"/>
                <w:b/>
                <w:sz w:val="18"/>
              </w:rPr>
              <w:t>说明</w:t>
            </w:r>
          </w:p>
        </w:tc>
      </w:tr>
      <w:tr>
        <w:tc>
          <w:tcPr>
            <w:tcW w:type="dxa" w:w="3022"/>
          </w:tcPr>
          <w:p>
            <w:pPr>
              <w:jc w:val="center"/>
            </w:pPr>
            <w:r>
              <w:rPr>
                <w:rFonts w:ascii="宋体" w:hAnsi="宋体" w:eastAsia="宋体"/>
                <w:sz w:val="18"/>
              </w:rPr>
              <w:t>简单（询价/竞争性谈判）</w:t>
            </w:r>
          </w:p>
        </w:tc>
        <w:tc>
          <w:tcPr>
            <w:tcW w:type="dxa" w:w="3022"/>
          </w:tcPr>
          <w:p>
            <w:pPr>
              <w:jc w:val="center"/>
            </w:pPr>
            <w:r>
              <w:rPr>
                <w:rFonts w:ascii="宋体" w:hAnsi="宋体" w:eastAsia="宋体"/>
                <w:sz w:val="18"/>
              </w:rPr>
              <w:t>500</w:t>
            </w:r>
          </w:p>
        </w:tc>
        <w:tc>
          <w:tcPr>
            <w:tcW w:type="dxa" w:w="3022"/>
          </w:tcPr>
          <w:p>
            <w:pPr>
              <w:jc w:val="center"/>
            </w:pPr>
            <w:r>
              <w:rPr>
                <w:rFonts w:ascii="宋体" w:hAnsi="宋体" w:eastAsia="宋体"/>
                <w:sz w:val="18"/>
              </w:rPr>
              <w:t>文件总页码≤50页</w:t>
            </w:r>
          </w:p>
        </w:tc>
      </w:tr>
      <w:tr>
        <w:tc>
          <w:tcPr>
            <w:tcW w:type="dxa" w:w="3022"/>
          </w:tcPr>
          <w:p>
            <w:pPr>
              <w:jc w:val="center"/>
            </w:pPr>
            <w:r>
              <w:rPr>
                <w:rFonts w:ascii="宋体" w:hAnsi="宋体" w:eastAsia="宋体"/>
                <w:sz w:val="18"/>
              </w:rPr>
              <w:t>一般（竞争性磋商）</w:t>
            </w:r>
          </w:p>
        </w:tc>
        <w:tc>
          <w:tcPr>
            <w:tcW w:type="dxa" w:w="3022"/>
          </w:tcPr>
          <w:p>
            <w:pPr>
              <w:jc w:val="center"/>
            </w:pPr>
            <w:r>
              <w:rPr>
                <w:rFonts w:ascii="宋体" w:hAnsi="宋体" w:eastAsia="宋体"/>
                <w:sz w:val="18"/>
              </w:rPr>
              <w:t>800</w:t>
            </w:r>
          </w:p>
        </w:tc>
        <w:tc>
          <w:tcPr>
            <w:tcW w:type="dxa" w:w="3022"/>
          </w:tcPr>
          <w:p>
            <w:pPr>
              <w:jc w:val="center"/>
            </w:pPr>
            <w:r>
              <w:rPr>
                <w:rFonts w:ascii="宋体" w:hAnsi="宋体" w:eastAsia="宋体"/>
                <w:sz w:val="18"/>
              </w:rPr>
              <w:t>文件总页码50-100页</w:t>
            </w:r>
          </w:p>
        </w:tc>
      </w:tr>
      <w:tr>
        <w:tc>
          <w:tcPr>
            <w:tcW w:type="dxa" w:w="3022"/>
          </w:tcPr>
          <w:p>
            <w:pPr>
              <w:jc w:val="center"/>
            </w:pPr>
            <w:r>
              <w:rPr>
                <w:rFonts w:ascii="宋体" w:hAnsi="宋体" w:eastAsia="宋体"/>
                <w:sz w:val="18"/>
              </w:rPr>
              <w:t>较难（公开招标-服务类）</w:t>
            </w:r>
          </w:p>
        </w:tc>
        <w:tc>
          <w:tcPr>
            <w:tcW w:type="dxa" w:w="3022"/>
          </w:tcPr>
          <w:p>
            <w:pPr>
              <w:jc w:val="center"/>
            </w:pPr>
            <w:r>
              <w:rPr>
                <w:rFonts w:ascii="宋体" w:hAnsi="宋体" w:eastAsia="宋体"/>
                <w:sz w:val="18"/>
              </w:rPr>
              <w:t>1200</w:t>
            </w:r>
          </w:p>
        </w:tc>
        <w:tc>
          <w:tcPr>
            <w:tcW w:type="dxa" w:w="3022"/>
          </w:tcPr>
          <w:p>
            <w:pPr>
              <w:jc w:val="center"/>
            </w:pPr>
            <w:r>
              <w:rPr>
                <w:rFonts w:ascii="宋体" w:hAnsi="宋体" w:eastAsia="宋体"/>
                <w:sz w:val="18"/>
              </w:rPr>
              <w:t>文件总页码&gt;100页或有述标</w:t>
            </w:r>
          </w:p>
        </w:tc>
      </w:tr>
      <w:tr>
        <w:tc>
          <w:tcPr>
            <w:tcW w:type="dxa" w:w="3022"/>
          </w:tcPr>
          <w:p>
            <w:pPr>
              <w:jc w:val="center"/>
            </w:pPr>
            <w:r>
              <w:rPr>
                <w:rFonts w:ascii="宋体" w:hAnsi="宋体" w:eastAsia="宋体"/>
                <w:sz w:val="18"/>
              </w:rPr>
              <w:t>复杂（公开招标-工程类）</w:t>
            </w:r>
          </w:p>
        </w:tc>
        <w:tc>
          <w:tcPr>
            <w:tcW w:type="dxa" w:w="3022"/>
          </w:tcPr>
          <w:p>
            <w:pPr>
              <w:jc w:val="center"/>
            </w:pPr>
            <w:r>
              <w:rPr>
                <w:rFonts w:ascii="宋体" w:hAnsi="宋体" w:eastAsia="宋体"/>
                <w:sz w:val="18"/>
              </w:rPr>
              <w:t>1500</w:t>
            </w:r>
          </w:p>
        </w:tc>
        <w:tc>
          <w:tcPr>
            <w:tcW w:type="dxa" w:w="3022"/>
          </w:tcPr>
          <w:p>
            <w:pPr>
              <w:jc w:val="center"/>
            </w:pPr>
            <w:r>
              <w:rPr>
                <w:rFonts w:ascii="宋体" w:hAnsi="宋体" w:eastAsia="宋体"/>
                <w:sz w:val="18"/>
              </w:rPr>
              <w:t>含技术标+商务标+报价全套</w:t>
            </w:r>
          </w:p>
        </w:tc>
      </w:tr>
    </w:tbl>
    <w:p>
      <w:pPr>
        <w:spacing w:after="80"/>
      </w:pPr>
      <w:r>
        <w:rPr>
          <w:rFonts w:ascii="宋体" w:hAnsi="宋体" w:eastAsia="宋体"/>
          <w:b w:val="0"/>
          <w:sz w:val="24"/>
        </w:rPr>
      </w:r>
    </w:p>
    <w:p>
      <w:pPr>
        <w:spacing w:after="80"/>
        <w:ind w:firstLine="420"/>
      </w:pPr>
      <w:r>
        <w:rPr>
          <w:rFonts w:ascii="仿宋" w:hAnsi="仿宋" w:eastAsia="仿宋"/>
          <w:b w:val="0"/>
          <w:sz w:val="24"/>
        </w:rPr>
        <w:t>编标费分配：资信编制人30% + 技术编制人40% + 报价编制人20% + 投标负责人统筹10%。</w:t>
      </w:r>
    </w:p>
    <w:p>
      <w:pPr>
        <w:spacing w:after="80"/>
        <w:ind w:firstLine="420"/>
      </w:pPr>
      <w:r>
        <w:rPr>
          <w:rFonts w:ascii="仿宋" w:hAnsi="仿宋" w:eastAsia="仿宋"/>
          <w:b w:val="0"/>
          <w:sz w:val="24"/>
        </w:rPr>
        <w:t>（二）中标项目在上条标准基础上乘以1.5倍系数；</w:t>
        <w:br/>
        <w:t>（三）编标费在投标完成后次月随工资发放，中标项目系数差额在中标通知书收到后补发。</w:t>
      </w:r>
    </w:p>
    <w:p>
      <w:pPr>
        <w:spacing w:after="80"/>
        <w:ind w:firstLine="420"/>
      </w:pPr>
      <w:r>
        <w:rPr>
          <w:rFonts w:ascii="黑体" w:hAnsi="黑体" w:eastAsia="黑体"/>
          <w:b/>
          <w:sz w:val="24"/>
        </w:rPr>
        <w:t xml:space="preserve">第十二条  </w:t>
      </w:r>
      <w:r>
        <w:rPr>
          <w:rFonts w:ascii="仿宋" w:hAnsi="仿宋" w:eastAsia="仿宋"/>
          <w:sz w:val="24"/>
        </w:rPr>
        <w:t>废标处罚：</w:t>
        <w:br/>
        <w:t>（一）因编制失误导致一类事故（直接废标或非正常扣分导致落标）的：</w:t>
        <w:br/>
        <w:t xml:space="preserve">  · 直接编制人：书面检查 + 扣罚绩效1000元；年度内发生两次的，调离投标岗位；</w:t>
        <w:br/>
        <w:t xml:space="preserve">  · 复核人：批评教育 + 扣罚绩效500元；</w:t>
        <w:br/>
        <w:t>（二）因编制瑕疵导致二类事故（未影响结果但未完全响应招标文件）的：</w:t>
        <w:br/>
        <w:t xml:space="preserve">  · 直接编制人：扣罚绩效500元；</w:t>
        <w:br/>
        <w:t xml:space="preserve">  · 复核人：口头警告。</w:t>
      </w:r>
    </w:p>
    <w:p>
      <w:pPr>
        <w:spacing w:before="240" w:after="120"/>
        <w:jc w:val="left"/>
      </w:pPr>
      <w:r>
        <w:rPr>
          <w:rFonts w:ascii="黑体" w:hAnsi="黑体" w:eastAsia="黑体"/>
          <w:b/>
          <w:sz w:val="28"/>
        </w:rPr>
        <w:t>第六章  附  则</w:t>
      </w:r>
    </w:p>
    <w:p>
      <w:pPr>
        <w:spacing w:after="80"/>
        <w:ind w:firstLine="420"/>
      </w:pPr>
      <w:r>
        <w:rPr>
          <w:rFonts w:ascii="黑体" w:hAnsi="黑体" w:eastAsia="黑体"/>
          <w:b/>
          <w:sz w:val="24"/>
        </w:rPr>
        <w:t xml:space="preserve">第十三条  </w:t>
      </w:r>
      <w:r>
        <w:rPr>
          <w:rFonts w:ascii="仿宋" w:hAnsi="仿宋" w:eastAsia="仿宋"/>
          <w:sz w:val="24"/>
        </w:rPr>
        <w:t>本办法自2026年  月  日起施行。</w:t>
      </w:r>
    </w:p>
    <w:p>
      <w:pPr>
        <w:spacing w:after="80"/>
        <w:ind w:firstLine="420"/>
      </w:pPr>
      <w:r>
        <w:rPr>
          <w:rFonts w:ascii="黑体" w:hAnsi="黑体" w:eastAsia="黑体"/>
          <w:b/>
          <w:sz w:val="24"/>
        </w:rPr>
        <w:t xml:space="preserve">第十四条  </w:t>
      </w:r>
      <w:r>
        <w:rPr>
          <w:rFonts w:ascii="仿宋" w:hAnsi="仿宋" w:eastAsia="仿宋"/>
          <w:sz w:val="24"/>
        </w:rPr>
        <w:t>本办法由工程咨询部负责解释。</w:t>
      </w:r>
    </w:p>
    <w:sectPr w:rsidR="00FC693F" w:rsidRPr="0006063C" w:rsidSect="00034616">
      <w:pgSz w:w="12240" w:h="15840"/>
      <w:pgMar w:top="1417"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