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黑体" w:hAnsi="黑体" w:eastAsia="黑体"/>
          <w:b/>
          <w:sz w:val="32"/>
        </w:rPr>
        <w:t>部门绩效考核办法</w:t>
      </w:r>
    </w:p>
    <w:p>
      <w:pPr>
        <w:spacing w:after="80"/>
        <w:jc w:val="center"/>
      </w:pPr>
      <w:r>
        <w:rPr>
          <w:rFonts w:ascii="宋体" w:hAnsi="宋体" w:eastAsia="宋体"/>
          <w:b w:val="0"/>
          <w:sz w:val="20"/>
        </w:rPr>
        <w:t>制度编号：RC-HR-006  版本：V2.0  修订日期：2026年7月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第一章  总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第一条  </w:t>
      </w:r>
      <w:r>
        <w:rPr>
          <w:rFonts w:ascii="仿宋" w:hAnsi="仿宋" w:eastAsia="仿宋"/>
          <w:sz w:val="24"/>
        </w:rPr>
        <w:t>建立公司经营业绩与部门绩效联动机制。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第二条  </w:t>
      </w:r>
      <w:r>
        <w:rPr>
          <w:rFonts w:ascii="仿宋" w:hAnsi="仿宋" w:eastAsia="仿宋"/>
          <w:sz w:val="24"/>
        </w:rPr>
        <w:t>核心逻辑：公司业绩→公司系数；部门交付→部门系数；部门总额=基数×人数×公司系数×部门系数；部门内按个人绩效差异化分配。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第三条  </w:t>
      </w:r>
      <w:r>
        <w:rPr>
          <w:rFonts w:ascii="仿宋" w:hAnsi="仿宋" w:eastAsia="仿宋"/>
          <w:sz w:val="24"/>
        </w:rPr>
        <w:t>适用于审计业务部、工程咨询部、财务部、行政综合部。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第四条  </w:t>
      </w:r>
      <w:r>
        <w:rPr>
          <w:rFonts w:ascii="仿宋" w:hAnsi="仿宋" w:eastAsia="仿宋"/>
          <w:sz w:val="24"/>
        </w:rPr>
        <w:t>【民主程序】经全体职工大会讨论通过。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第二章  公司业绩系数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第五条  </w:t>
      </w:r>
      <w:r>
        <w:rPr>
          <w:rFonts w:ascii="仿宋" w:hAnsi="仿宋" w:eastAsia="仿宋"/>
          <w:sz w:val="24"/>
        </w:rPr>
        <w:t>公司业绩系数 = 营收完成率得分×70% + 回款完成率得分×30%。（v2.0砍掉利润指标）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第六条  </w:t>
      </w:r>
      <w:r>
        <w:rPr>
          <w:rFonts w:ascii="仿宋" w:hAnsi="仿宋" w:eastAsia="仿宋"/>
          <w:sz w:val="24"/>
        </w:rPr>
        <w:t>得分规则：≥120%→120分，100%→100分，80%→80分，&lt;60%→按实际。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第七条  </w:t>
      </w:r>
      <w:r>
        <w:rPr>
          <w:rFonts w:ascii="仿宋" w:hAnsi="仿宋" w:eastAsia="仿宋"/>
          <w:sz w:val="24"/>
        </w:rPr>
        <w:t>系数映射：≥110→1.3，100→1.0，80→0.7，&lt;70→0.3-0.5。线性插值。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第三章  部门业绩系数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第八条  </w:t>
      </w:r>
      <w:r>
        <w:rPr>
          <w:rFonts w:ascii="仿宋" w:hAnsi="仿宋" w:eastAsia="仿宋"/>
          <w:sz w:val="24"/>
        </w:rPr>
        <w:t>部门业绩系数 = 交付(50%) + 管理(30%) + 贡献(20%)。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第九条  </w:t>
      </w:r>
      <w:r>
        <w:rPr>
          <w:rFonts w:ascii="仿宋" w:hAnsi="仿宋" w:eastAsia="仿宋"/>
          <w:sz w:val="24"/>
        </w:rPr>
        <w:t>业务部门指标：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权重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交付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报告一次通过率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≥95%→100，每降1%扣2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交付准时率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≥90%→100，每降1%扣2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有效投诉率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0次→100，1次→80，≥3次→0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管理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回款完成率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≥100%→100，每降1%扣1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成本控制率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≤预算→100，超5%→80，超15%→0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贡献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客户续约率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≥80%→100，每降5%扣10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知识沉淀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完成计划→100，80%→80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第十条  </w:t>
      </w:r>
      <w:r>
        <w:rPr>
          <w:rFonts w:ascii="仿宋" w:hAnsi="仿宋" w:eastAsia="仿宋"/>
          <w:sz w:val="24"/>
        </w:rPr>
        <w:t>职能部门指标：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维度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指标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权重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交付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工作差错率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0次→100，1次→80，≥3次→0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任务按时完成率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≥95%→100，每降1%扣2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制度合规率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100%→100，每项违规扣10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管理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预算偏差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≤15%→100，15-25%→80，&gt;25%→0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关键事件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15%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业务部门提供正/负面事件，综合评价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贡献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创新提案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≥2项→100，1项→60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协作评价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10%</w:t>
            </w:r>
          </w:p>
        </w:tc>
        <w:tc>
          <w:tcPr>
            <w:tcW w:type="dxa" w:w="2266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360度定性评价</w:t>
            </w:r>
          </w:p>
        </w:tc>
      </w:tr>
    </w:tbl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第十一条  </w:t>
      </w:r>
      <w:r>
        <w:rPr>
          <w:rFonts w:ascii="仿宋" w:hAnsi="仿宋" w:eastAsia="仿宋"/>
          <w:sz w:val="24"/>
        </w:rPr>
        <w:t>部门系数映射：≥95→1.2，85→1.0，75→0.9，&lt;65→0.5。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第四章  部门绩效总额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第十二条  </w:t>
      </w:r>
      <w:r>
        <w:rPr>
          <w:rFonts w:ascii="仿宋" w:hAnsi="仿宋" w:eastAsia="仿宋"/>
          <w:sz w:val="24"/>
        </w:rPr>
        <w:t>部门季度总额 = 基数 × 人数 × 公司系数 × 部门系数。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第十三条  </w:t>
      </w:r>
      <w:r>
        <w:rPr>
          <w:rFonts w:ascii="仿宋" w:hAnsi="仿宋" w:eastAsia="仿宋"/>
          <w:sz w:val="24"/>
        </w:rPr>
        <w:t>【v2.0变更】季度全额发放，不再预留25%清算。年度激励通过年终奖另行安排。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第五章  部门内部分配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第十四条  </w:t>
      </w:r>
      <w:r>
        <w:rPr>
          <w:rFonts w:ascii="仿宋" w:hAnsi="仿宋" w:eastAsia="仿宋"/>
          <w:sz w:val="24"/>
        </w:rPr>
        <w:t>个人绩效 = 总额 × (个人系数×岗位权重) ÷ ∑(全员系数×权重)。权重：负责人1.5/骨干1.2/普通1.0/试用0.6。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第十五条  </w:t>
      </w:r>
      <w:r>
        <w:rPr>
          <w:rFonts w:ascii="仿宋" w:hAnsi="仿宋" w:eastAsia="仿宋"/>
          <w:sz w:val="24"/>
        </w:rPr>
        <w:t>【试用期保底】试用期员工薪酬不低于合同约定80%且不低于最低工资。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第十六条  </w:t>
      </w:r>
      <w:r>
        <w:rPr>
          <w:rFonts w:ascii="仿宋" w:hAnsi="仿宋" w:eastAsia="仿宋"/>
          <w:sz w:val="24"/>
        </w:rPr>
        <w:t>分配流程：负责人提出→面谈→人事备案→总经理审批。</w:t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第六章  附  则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第十七条  </w:t>
      </w:r>
      <w:r>
        <w:rPr>
          <w:rFonts w:ascii="仿宋" w:hAnsi="仿宋" w:eastAsia="仿宋"/>
          <w:sz w:val="24"/>
        </w:rPr>
        <w:t>自2026年  月  日起施行。</w:t>
      </w:r>
    </w:p>
    <w:p>
      <w:pPr>
        <w:spacing w:after="80"/>
        <w:ind w:firstLine="420"/>
      </w:pPr>
      <w:r>
        <w:rPr>
          <w:rFonts w:ascii="黑体" w:hAnsi="黑体" w:eastAsia="黑体"/>
          <w:b/>
          <w:sz w:val="24"/>
        </w:rPr>
        <w:t xml:space="preserve">第十八条  </w:t>
      </w:r>
      <w:r>
        <w:rPr>
          <w:rFonts w:ascii="仿宋" w:hAnsi="仿宋" w:eastAsia="仿宋"/>
          <w:sz w:val="24"/>
        </w:rPr>
        <w:t>由人力资源负责解释。</w:t>
      </w:r>
    </w:p>
    <w:p>
      <w:r>
        <w:br w:type="page"/>
      </w:r>
    </w:p>
    <w:p>
      <w:pPr>
        <w:spacing w:before="240" w:after="120"/>
        <w:jc w:val="left"/>
      </w:pPr>
      <w:r>
        <w:rPr>
          <w:rFonts w:ascii="黑体" w:hAnsi="黑体" w:eastAsia="黑体"/>
          <w:b/>
          <w:sz w:val="28"/>
        </w:rPr>
        <w:t>《部门绩效考核办法》签收确认表</w:t>
      </w:r>
    </w:p>
    <w:p>
      <w:pPr>
        <w:spacing w:after="80"/>
      </w:pPr>
      <w:r>
        <w:rPr>
          <w:rFonts w:ascii="宋体" w:hAnsi="宋体" w:eastAsia="宋体"/>
          <w:b w:val="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姓名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岗位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签收日期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签字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声明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  <w:tr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</w:r>
          </w:p>
        </w:tc>
        <w:tc>
          <w:tcPr>
            <w:tcW w:type="dxa" w:w="1511"/>
          </w:tcPr>
          <w:p>
            <w:pPr>
              <w:jc w:val="center"/>
            </w:pPr>
            <w:r>
              <w:rPr>
                <w:rFonts w:ascii="宋体" w:hAnsi="宋体" w:eastAsia="宋体"/>
                <w:sz w:val="18"/>
              </w:rPr>
              <w:t>本人确认已阅读并理解本制度全部内容</w:t>
            </w:r>
          </w:p>
        </w:tc>
      </w:tr>
    </w:tbl>
    <w:p>
      <w:pPr>
        <w:spacing w:after="80"/>
        <w:ind w:firstLine="420"/>
      </w:pPr>
      <w:r>
        <w:rPr>
          <w:rFonts w:ascii="仿宋" w:hAnsi="仿宋" w:eastAsia="仿宋"/>
          <w:b w:val="0"/>
          <w:sz w:val="24"/>
        </w:rPr>
        <w:t>注：本表由人力资源统一保管，作为制度已告知员工的书面证据。</w:t>
      </w:r>
    </w:p>
    <w:sectPr w:rsidR="00FC693F" w:rsidRPr="0006063C" w:rsidSect="00034616">
      <w:pgSz w:w="12240" w:h="15840"/>
      <w:pgMar w:top="1417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