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宋体" w:hAnsi="宋体" w:eastAsia="宋体"/>
          <w:b/>
          <w:sz w:val="28"/>
        </w:rPr>
        <w:t>四川融策会计师事务所有限公司</w:t>
      </w:r>
    </w:p>
    <w:p>
      <w:pPr>
        <w:spacing w:after="80"/>
        <w:jc w:val="center"/>
      </w:pPr>
      <w:r>
        <w:rPr>
          <w:rFonts w:ascii="宋体" w:hAnsi="宋体" w:eastAsia="宋体"/>
          <w:b/>
          <w:sz w:val="28"/>
        </w:rPr>
        <w:t>四川融策工程咨询有限公司</w:t>
      </w:r>
    </w:p>
    <w:p>
      <w:pPr>
        <w:spacing w:after="80"/>
      </w:pPr>
      <w:r>
        <w:rPr>
          <w:rFonts w:ascii="宋体" w:hAnsi="宋体" w:eastAsia="宋体"/>
          <w:b w:val="0"/>
          <w:sz w:val="24"/>
        </w:rPr>
      </w:r>
    </w:p>
    <w:p>
      <w:pPr>
        <w:spacing w:after="80"/>
        <w:jc w:val="center"/>
      </w:pPr>
      <w:r>
        <w:rPr>
          <w:rFonts w:ascii="仿宋" w:hAnsi="仿宋" w:eastAsia="仿宋"/>
          <w:b w:val="0"/>
          <w:sz w:val="28"/>
        </w:rPr>
        <w:t>融策发〔2026〕  号</w:t>
      </w:r>
    </w:p>
    <w:p>
      <w:pPr>
        <w:spacing w:after="80"/>
      </w:pPr>
      <w:r>
        <w:rPr>
          <w:rFonts w:ascii="宋体" w:hAnsi="宋体" w:eastAsia="宋体"/>
          <w:b w:val="0"/>
          <w:sz w:val="24"/>
        </w:rPr>
      </w:r>
    </w:p>
    <w:p>
      <w:pPr>
        <w:spacing w:before="240" w:after="120"/>
        <w:jc w:val="center"/>
      </w:pPr>
      <w:r>
        <w:rPr>
          <w:rFonts w:ascii="黑体" w:hAnsi="黑体" w:eastAsia="黑体"/>
          <w:b/>
          <w:sz w:val="32"/>
        </w:rPr>
        <w:t>关于印发《部门绩效考核办法》的通知</w:t>
      </w:r>
    </w:p>
    <w:p>
      <w:pPr>
        <w:spacing w:after="80"/>
      </w:pPr>
      <w:r>
        <w:rPr>
          <w:rFonts w:ascii="宋体" w:hAnsi="宋体" w:eastAsia="宋体"/>
          <w:b w:val="0"/>
          <w:sz w:val="24"/>
        </w:rPr>
      </w:r>
    </w:p>
    <w:p>
      <w:pPr>
        <w:spacing w:after="80"/>
        <w:ind w:firstLine="420"/>
      </w:pPr>
      <w:r>
        <w:rPr>
          <w:rFonts w:ascii="宋体" w:hAnsi="宋体" w:eastAsia="宋体"/>
          <w:b w:val="0"/>
          <w:sz w:val="24"/>
        </w:rPr>
        <w:t>公司各部门：</w:t>
      </w:r>
    </w:p>
    <w:p>
      <w:pPr>
        <w:spacing w:after="80"/>
        <w:ind w:firstLine="420"/>
      </w:pPr>
      <w:r>
        <w:rPr>
          <w:rFonts w:ascii="宋体" w:hAnsi="宋体" w:eastAsia="宋体"/>
          <w:b w:val="0"/>
          <w:sz w:val="24"/>
        </w:rPr>
        <w:t>为建立"公司经营业绩决定部门蛋糕大小、部门交付质量决定部门蛋糕切法"的绩效联动机制，打破部门与公司经营脱节、干好干坏一个样的局面，结合公司实际，制定了《部门绩效考核办法》，经公司办公会议审议通过，现予印发，请遵照执行。</w:t>
      </w:r>
    </w:p>
    <w:p>
      <w:pPr>
        <w:spacing w:after="80"/>
      </w:pPr>
      <w:r>
        <w:rPr>
          <w:rFonts w:ascii="宋体" w:hAnsi="宋体" w:eastAsia="宋体"/>
          <w:b w:val="0"/>
          <w:sz w:val="24"/>
        </w:rPr>
      </w:r>
    </w:p>
    <w:p>
      <w:pPr>
        <w:spacing w:after="80"/>
        <w:jc w:val="right"/>
      </w:pPr>
      <w:r>
        <w:rPr>
          <w:rFonts w:ascii="宋体" w:hAnsi="宋体" w:eastAsia="宋体"/>
          <w:b w:val="0"/>
          <w:sz w:val="24"/>
        </w:rPr>
        <w:t>四川融策会计师事务所有限公司</w:t>
      </w:r>
    </w:p>
    <w:p>
      <w:pPr>
        <w:spacing w:after="80"/>
        <w:jc w:val="right"/>
      </w:pPr>
      <w:r>
        <w:rPr>
          <w:rFonts w:ascii="宋体" w:hAnsi="宋体" w:eastAsia="宋体"/>
          <w:b w:val="0"/>
          <w:sz w:val="24"/>
        </w:rPr>
        <w:t>四川融策工程咨询有限公司</w:t>
      </w:r>
    </w:p>
    <w:p>
      <w:pPr>
        <w:spacing w:after="80"/>
        <w:jc w:val="right"/>
      </w:pPr>
      <w:r>
        <w:rPr>
          <w:rFonts w:ascii="宋体" w:hAnsi="宋体" w:eastAsia="宋体"/>
          <w:b w:val="0"/>
          <w:sz w:val="24"/>
        </w:rPr>
        <w:t>2026年  月  日</w:t>
      </w:r>
    </w:p>
    <w:p>
      <w:r>
        <w:br w:type="page"/>
      </w:r>
    </w:p>
    <w:p>
      <w:pPr>
        <w:spacing w:before="240" w:after="120"/>
        <w:jc w:val="center"/>
      </w:pPr>
      <w:r>
        <w:rPr>
          <w:rFonts w:ascii="黑体" w:hAnsi="黑体" w:eastAsia="黑体"/>
          <w:b/>
          <w:sz w:val="32"/>
        </w:rPr>
        <w:t>部门绩效考核办法</w:t>
      </w:r>
    </w:p>
    <w:p>
      <w:pPr>
        <w:spacing w:after="80"/>
      </w:pPr>
      <w:r>
        <w:rPr>
          <w:rFonts w:ascii="宋体" w:hAnsi="宋体" w:eastAsia="宋体"/>
          <w:b w:val="0"/>
          <w:sz w:val="24"/>
        </w:rPr>
      </w:r>
    </w:p>
    <w:p>
      <w:pPr>
        <w:spacing w:before="240" w:after="120"/>
        <w:jc w:val="left"/>
      </w:pPr>
      <w:r>
        <w:rPr>
          <w:rFonts w:ascii="黑体" w:hAnsi="黑体" w:eastAsia="黑体"/>
          <w:b/>
          <w:sz w:val="28"/>
        </w:rPr>
        <w:t>第一章  总  则</w:t>
      </w:r>
    </w:p>
    <w:p>
      <w:pPr>
        <w:spacing w:after="80"/>
        <w:ind w:firstLine="420"/>
      </w:pPr>
      <w:r>
        <w:rPr>
          <w:rFonts w:ascii="黑体" w:hAnsi="黑体" w:eastAsia="黑体"/>
          <w:b/>
          <w:sz w:val="24"/>
        </w:rPr>
        <w:t xml:space="preserve">第一条  </w:t>
      </w:r>
      <w:r>
        <w:rPr>
          <w:rFonts w:ascii="仿宋" w:hAnsi="仿宋" w:eastAsia="仿宋"/>
          <w:sz w:val="24"/>
        </w:rPr>
        <w:t>为建立公司经营业绩与部门绩效的联动机制，使各部门利益与公司整体经营成果紧密挂钩，同时通过部门交付质量考核引导各部门提升服务水平和内部管理水平，特制定本办法。</w:t>
      </w:r>
    </w:p>
    <w:p>
      <w:pPr>
        <w:spacing w:after="80"/>
        <w:ind w:firstLine="420"/>
      </w:pPr>
      <w:r>
        <w:rPr>
          <w:rFonts w:ascii="黑体" w:hAnsi="黑体" w:eastAsia="黑体"/>
          <w:b/>
          <w:sz w:val="24"/>
        </w:rPr>
        <w:t xml:space="preserve">第二条  </w:t>
      </w:r>
      <w:r>
        <w:rPr>
          <w:rFonts w:ascii="仿宋" w:hAnsi="仿宋" w:eastAsia="仿宋"/>
          <w:sz w:val="24"/>
        </w:rPr>
        <w:t>本办法核心逻辑：</w:t>
        <w:br/>
        <w:t>（一）公司整体经营业绩 → 决定公司年度绩效总盘子和公司业绩系数；</w:t>
        <w:br/>
        <w:t>（二）部门交付质量 → 决定部门业绩系数，进而决定各部门在总盘子中分到的份额；</w:t>
        <w:br/>
        <w:t>（三）部门绩效总额 = 部门绩效基数 × 部门人数 × 公司业绩系数 × 部门业绩系数；</w:t>
        <w:br/>
        <w:t>（四）部门内部按个人绩效考核结果差异化分配。</w:t>
      </w:r>
    </w:p>
    <w:p>
      <w:pPr>
        <w:spacing w:after="80"/>
        <w:ind w:firstLine="420"/>
      </w:pPr>
      <w:r>
        <w:rPr>
          <w:rFonts w:ascii="黑体" w:hAnsi="黑体" w:eastAsia="黑体"/>
          <w:b/>
          <w:sz w:val="24"/>
        </w:rPr>
        <w:t xml:space="preserve">第三条  </w:t>
      </w:r>
      <w:r>
        <w:rPr>
          <w:rFonts w:ascii="仿宋" w:hAnsi="仿宋" w:eastAsia="仿宋"/>
          <w:sz w:val="24"/>
        </w:rPr>
        <w:t>本办法适用于公司全部业务部门和职能部门，包括：</w:t>
        <w:br/>
        <w:t>（一）业务部门：审计业务部、工程咨询部；</w:t>
        <w:br/>
        <w:t>（二）职能部门：财务部、行政综合部。</w:t>
      </w:r>
    </w:p>
    <w:p>
      <w:pPr>
        <w:spacing w:before="240" w:after="120"/>
        <w:jc w:val="left"/>
      </w:pPr>
      <w:r>
        <w:rPr>
          <w:rFonts w:ascii="黑体" w:hAnsi="黑体" w:eastAsia="黑体"/>
          <w:b/>
          <w:sz w:val="28"/>
        </w:rPr>
        <w:t>第二章  公司业绩系数（决定蛋糕大小）</w:t>
      </w:r>
    </w:p>
    <w:p>
      <w:pPr>
        <w:spacing w:after="80"/>
        <w:ind w:firstLine="420"/>
      </w:pPr>
      <w:r>
        <w:rPr>
          <w:rFonts w:ascii="黑体" w:hAnsi="黑体" w:eastAsia="黑体"/>
          <w:b/>
          <w:sz w:val="24"/>
        </w:rPr>
        <w:t xml:space="preserve">第四条  </w:t>
      </w:r>
      <w:r>
        <w:rPr>
          <w:rFonts w:ascii="仿宋" w:hAnsi="仿宋" w:eastAsia="仿宋"/>
          <w:sz w:val="24"/>
        </w:rPr>
        <w:t>公司业绩系数反映公司整体经营成果，每季度计算一次，年度清算。计算公式：</w:t>
        <w:br/>
        <w:br/>
        <w:t xml:space="preserve">    公司业绩系数 = 营收完成率得分 × 40% + 利润完成率得分 × 30% + 回款完成率得分 × 30%</w:t>
      </w:r>
    </w:p>
    <w:p>
      <w:pPr>
        <w:spacing w:after="80"/>
        <w:ind w:firstLine="420"/>
      </w:pPr>
      <w:r>
        <w:rPr>
          <w:rFonts w:ascii="黑体" w:hAnsi="黑体" w:eastAsia="黑体"/>
          <w:b/>
          <w:sz w:val="24"/>
        </w:rPr>
        <w:t xml:space="preserve">第五条  </w:t>
      </w:r>
      <w:r>
        <w:rPr>
          <w:rFonts w:ascii="仿宋" w:hAnsi="仿宋" w:eastAsia="仿宋"/>
          <w:sz w:val="24"/>
        </w:rPr>
        <w:t>各项得分计算标准：</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tcPr>
          <w:p>
            <w:pPr>
              <w:jc w:val="center"/>
            </w:pPr>
            <w:r>
              <w:rPr>
                <w:rFonts w:ascii="宋体" w:hAnsi="宋体" w:eastAsia="宋体"/>
                <w:b/>
                <w:sz w:val="18"/>
              </w:rPr>
              <w:t>指标</w:t>
            </w:r>
          </w:p>
        </w:tc>
        <w:tc>
          <w:tcPr>
            <w:tcW w:type="dxa" w:w="2266"/>
          </w:tcPr>
          <w:p>
            <w:pPr>
              <w:jc w:val="center"/>
            </w:pPr>
            <w:r>
              <w:rPr>
                <w:rFonts w:ascii="宋体" w:hAnsi="宋体" w:eastAsia="宋体"/>
                <w:b/>
                <w:sz w:val="18"/>
              </w:rPr>
              <w:t>权重</w:t>
            </w:r>
          </w:p>
        </w:tc>
        <w:tc>
          <w:tcPr>
            <w:tcW w:type="dxa" w:w="2266"/>
          </w:tcPr>
          <w:p>
            <w:pPr>
              <w:jc w:val="center"/>
            </w:pPr>
            <w:r>
              <w:rPr>
                <w:rFonts w:ascii="宋体" w:hAnsi="宋体" w:eastAsia="宋体"/>
                <w:b/>
                <w:sz w:val="18"/>
              </w:rPr>
              <w:t>得分规则</w:t>
            </w:r>
          </w:p>
        </w:tc>
        <w:tc>
          <w:tcPr>
            <w:tcW w:type="dxa" w:w="2266"/>
          </w:tcPr>
          <w:p>
            <w:pPr>
              <w:jc w:val="center"/>
            </w:pPr>
            <w:r>
              <w:rPr>
                <w:rFonts w:ascii="宋体" w:hAnsi="宋体" w:eastAsia="宋体"/>
                <w:b/>
                <w:sz w:val="18"/>
              </w:rPr>
              <w:t>数据来源</w:t>
            </w:r>
          </w:p>
        </w:tc>
      </w:tr>
      <w:tr>
        <w:tc>
          <w:tcPr>
            <w:tcW w:type="dxa" w:w="2266"/>
          </w:tcPr>
          <w:p>
            <w:pPr>
              <w:jc w:val="center"/>
            </w:pPr>
            <w:r>
              <w:rPr>
                <w:rFonts w:ascii="宋体" w:hAnsi="宋体" w:eastAsia="宋体"/>
                <w:sz w:val="18"/>
              </w:rPr>
              <w:t>营收完成率</w:t>
            </w:r>
          </w:p>
        </w:tc>
        <w:tc>
          <w:tcPr>
            <w:tcW w:type="dxa" w:w="2266"/>
          </w:tcPr>
          <w:p>
            <w:pPr>
              <w:jc w:val="center"/>
            </w:pPr>
            <w:r>
              <w:rPr>
                <w:rFonts w:ascii="宋体" w:hAnsi="宋体" w:eastAsia="宋体"/>
                <w:sz w:val="18"/>
              </w:rPr>
              <w:t>40%</w:t>
            </w:r>
          </w:p>
        </w:tc>
        <w:tc>
          <w:tcPr>
            <w:tcW w:type="dxa" w:w="2266"/>
          </w:tcPr>
          <w:p>
            <w:pPr>
              <w:jc w:val="center"/>
            </w:pPr>
            <w:r>
              <w:rPr>
                <w:rFonts w:ascii="宋体" w:hAnsi="宋体" w:eastAsia="宋体"/>
                <w:sz w:val="18"/>
              </w:rPr>
              <w:t>实际营收÷目标营收×100</w:t>
              <w:br/>
              <w:t>完成率≥120%→120分</w:t>
              <w:br/>
              <w:t>100%→100分</w:t>
              <w:br/>
              <w:t>80%→80分</w:t>
              <w:br/>
              <w:t>60%→60分</w:t>
              <w:br/>
              <w:t>&lt;60%→按实际完成率</w:t>
            </w:r>
          </w:p>
        </w:tc>
        <w:tc>
          <w:tcPr>
            <w:tcW w:type="dxa" w:w="2266"/>
          </w:tcPr>
          <w:p>
            <w:pPr>
              <w:jc w:val="center"/>
            </w:pPr>
            <w:r>
              <w:rPr>
                <w:rFonts w:ascii="宋体" w:hAnsi="宋体" w:eastAsia="宋体"/>
                <w:sz w:val="18"/>
              </w:rPr>
              <w:t>财务部月度报表</w:t>
            </w:r>
          </w:p>
        </w:tc>
      </w:tr>
      <w:tr>
        <w:tc>
          <w:tcPr>
            <w:tcW w:type="dxa" w:w="2266"/>
          </w:tcPr>
          <w:p>
            <w:pPr>
              <w:jc w:val="center"/>
            </w:pPr>
            <w:r>
              <w:rPr>
                <w:rFonts w:ascii="宋体" w:hAnsi="宋体" w:eastAsia="宋体"/>
                <w:sz w:val="18"/>
              </w:rPr>
              <w:t>利润完成率</w:t>
            </w:r>
          </w:p>
        </w:tc>
        <w:tc>
          <w:tcPr>
            <w:tcW w:type="dxa" w:w="2266"/>
          </w:tcPr>
          <w:p>
            <w:pPr>
              <w:jc w:val="center"/>
            </w:pPr>
            <w:r>
              <w:rPr>
                <w:rFonts w:ascii="宋体" w:hAnsi="宋体" w:eastAsia="宋体"/>
                <w:sz w:val="18"/>
              </w:rPr>
              <w:t>30%</w:t>
            </w:r>
          </w:p>
        </w:tc>
        <w:tc>
          <w:tcPr>
            <w:tcW w:type="dxa" w:w="2266"/>
          </w:tcPr>
          <w:p>
            <w:pPr>
              <w:jc w:val="center"/>
            </w:pPr>
            <w:r>
              <w:rPr>
                <w:rFonts w:ascii="宋体" w:hAnsi="宋体" w:eastAsia="宋体"/>
                <w:sz w:val="18"/>
              </w:rPr>
              <w:t>实际净利润÷目标净利润×100</w:t>
              <w:br/>
              <w:t>完成率≥120%→120分</w:t>
              <w:br/>
              <w:t>100%→100分</w:t>
              <w:br/>
              <w:t>80%→80分</w:t>
              <w:br/>
              <w:t>60%→60分</w:t>
              <w:br/>
              <w:t>&lt;60%→按实际完成率</w:t>
            </w:r>
          </w:p>
        </w:tc>
        <w:tc>
          <w:tcPr>
            <w:tcW w:type="dxa" w:w="2266"/>
          </w:tcPr>
          <w:p>
            <w:pPr>
              <w:jc w:val="center"/>
            </w:pPr>
            <w:r>
              <w:rPr>
                <w:rFonts w:ascii="宋体" w:hAnsi="宋体" w:eastAsia="宋体"/>
                <w:sz w:val="18"/>
              </w:rPr>
              <w:t>财务部季度决算</w:t>
            </w:r>
          </w:p>
        </w:tc>
      </w:tr>
      <w:tr>
        <w:tc>
          <w:tcPr>
            <w:tcW w:type="dxa" w:w="2266"/>
          </w:tcPr>
          <w:p>
            <w:pPr>
              <w:jc w:val="center"/>
            </w:pPr>
            <w:r>
              <w:rPr>
                <w:rFonts w:ascii="宋体" w:hAnsi="宋体" w:eastAsia="宋体"/>
                <w:sz w:val="18"/>
              </w:rPr>
              <w:t>回款完成率</w:t>
            </w:r>
          </w:p>
        </w:tc>
        <w:tc>
          <w:tcPr>
            <w:tcW w:type="dxa" w:w="2266"/>
          </w:tcPr>
          <w:p>
            <w:pPr>
              <w:jc w:val="center"/>
            </w:pPr>
            <w:r>
              <w:rPr>
                <w:rFonts w:ascii="宋体" w:hAnsi="宋体" w:eastAsia="宋体"/>
                <w:sz w:val="18"/>
              </w:rPr>
              <w:t>30%</w:t>
            </w:r>
          </w:p>
        </w:tc>
        <w:tc>
          <w:tcPr>
            <w:tcW w:type="dxa" w:w="2266"/>
          </w:tcPr>
          <w:p>
            <w:pPr>
              <w:jc w:val="center"/>
            </w:pPr>
            <w:r>
              <w:rPr>
                <w:rFonts w:ascii="宋体" w:hAnsi="宋体" w:eastAsia="宋体"/>
                <w:sz w:val="18"/>
              </w:rPr>
              <w:t>实际回款÷应收目标×100</w:t>
              <w:br/>
              <w:t>完成率≥100%→100分</w:t>
              <w:br/>
              <w:t>80%→80分</w:t>
              <w:br/>
              <w:t>60%→60分</w:t>
              <w:br/>
              <w:t>&lt;60%→按实际完成率</w:t>
            </w:r>
          </w:p>
        </w:tc>
        <w:tc>
          <w:tcPr>
            <w:tcW w:type="dxa" w:w="2266"/>
          </w:tcPr>
          <w:p>
            <w:pPr>
              <w:jc w:val="center"/>
            </w:pPr>
            <w:r>
              <w:rPr>
                <w:rFonts w:ascii="宋体" w:hAnsi="宋体" w:eastAsia="宋体"/>
                <w:sz w:val="18"/>
              </w:rPr>
              <w:t>财务部回款台账</w:t>
            </w:r>
          </w:p>
        </w:tc>
      </w:tr>
    </w:tbl>
    <w:p>
      <w:pPr>
        <w:spacing w:after="80"/>
      </w:pPr>
      <w:r>
        <w:rPr>
          <w:rFonts w:ascii="宋体" w:hAnsi="宋体" w:eastAsia="宋体"/>
          <w:b w:val="0"/>
          <w:sz w:val="24"/>
        </w:rPr>
      </w:r>
    </w:p>
    <w:p>
      <w:pPr>
        <w:spacing w:after="80"/>
        <w:ind w:firstLine="420"/>
      </w:pPr>
      <w:r>
        <w:rPr>
          <w:rFonts w:ascii="黑体" w:hAnsi="黑体" w:eastAsia="黑体"/>
          <w:b/>
          <w:sz w:val="24"/>
        </w:rPr>
        <w:t xml:space="preserve">第六条  </w:t>
      </w:r>
      <w:r>
        <w:rPr>
          <w:rFonts w:ascii="仿宋" w:hAnsi="仿宋" w:eastAsia="仿宋"/>
          <w:sz w:val="24"/>
        </w:rPr>
        <w:t>公司业绩系数与公司业绩得分的对应关系：</w:t>
      </w:r>
    </w:p>
    <w:tbl>
      <w:tblPr>
        <w:tblStyle w:val="TableGrid"/>
        <w:tblW w:type="auto" w:w="0"/>
        <w:jc w:val="center"/>
        <w:tblLook w:firstColumn="1" w:firstRow="1" w:lastColumn="0" w:lastRow="0" w:noHBand="0" w:noVBand="1" w:val="04A0"/>
      </w:tblPr>
      <w:tblGrid>
        <w:gridCol w:w="3022"/>
        <w:gridCol w:w="3022"/>
        <w:gridCol w:w="3022"/>
      </w:tblGrid>
      <w:tr>
        <w:tc>
          <w:tcPr>
            <w:tcW w:type="dxa" w:w="3022"/>
          </w:tcPr>
          <w:p>
            <w:pPr>
              <w:jc w:val="center"/>
            </w:pPr>
            <w:r>
              <w:rPr>
                <w:rFonts w:ascii="宋体" w:hAnsi="宋体" w:eastAsia="宋体"/>
                <w:b/>
                <w:sz w:val="18"/>
              </w:rPr>
              <w:t>公司业绩得分</w:t>
            </w:r>
          </w:p>
        </w:tc>
        <w:tc>
          <w:tcPr>
            <w:tcW w:type="dxa" w:w="3022"/>
          </w:tcPr>
          <w:p>
            <w:pPr>
              <w:jc w:val="center"/>
            </w:pPr>
            <w:r>
              <w:rPr>
                <w:rFonts w:ascii="宋体" w:hAnsi="宋体" w:eastAsia="宋体"/>
                <w:b/>
                <w:sz w:val="18"/>
              </w:rPr>
              <w:t>公司业绩系数</w:t>
            </w:r>
          </w:p>
        </w:tc>
        <w:tc>
          <w:tcPr>
            <w:tcW w:type="dxa" w:w="3022"/>
          </w:tcPr>
          <w:p>
            <w:pPr>
              <w:jc w:val="center"/>
            </w:pPr>
            <w:r>
              <w:rPr>
                <w:rFonts w:ascii="宋体" w:hAnsi="宋体" w:eastAsia="宋体"/>
                <w:b/>
                <w:sz w:val="18"/>
              </w:rPr>
              <w:t>含义</w:t>
            </w:r>
          </w:p>
        </w:tc>
      </w:tr>
      <w:tr>
        <w:tc>
          <w:tcPr>
            <w:tcW w:type="dxa" w:w="3022"/>
          </w:tcPr>
          <w:p>
            <w:pPr>
              <w:jc w:val="center"/>
            </w:pPr>
            <w:r>
              <w:rPr>
                <w:rFonts w:ascii="宋体" w:hAnsi="宋体" w:eastAsia="宋体"/>
                <w:sz w:val="18"/>
              </w:rPr>
              <w:t>≥110</w:t>
            </w:r>
          </w:p>
        </w:tc>
        <w:tc>
          <w:tcPr>
            <w:tcW w:type="dxa" w:w="3022"/>
          </w:tcPr>
          <w:p>
            <w:pPr>
              <w:jc w:val="center"/>
            </w:pPr>
            <w:r>
              <w:rPr>
                <w:rFonts w:ascii="宋体" w:hAnsi="宋体" w:eastAsia="宋体"/>
                <w:sz w:val="18"/>
              </w:rPr>
              <w:t>1.3</w:t>
            </w:r>
          </w:p>
        </w:tc>
        <w:tc>
          <w:tcPr>
            <w:tcW w:type="dxa" w:w="3022"/>
          </w:tcPr>
          <w:p>
            <w:pPr>
              <w:jc w:val="center"/>
            </w:pPr>
            <w:r>
              <w:rPr>
                <w:rFonts w:ascii="宋体" w:hAnsi="宋体" w:eastAsia="宋体"/>
                <w:sz w:val="18"/>
              </w:rPr>
              <w:t>超额完成，部门绩效总盘子上浮30%</w:t>
            </w:r>
          </w:p>
        </w:tc>
      </w:tr>
      <w:tr>
        <w:tc>
          <w:tcPr>
            <w:tcW w:type="dxa" w:w="3022"/>
          </w:tcPr>
          <w:p>
            <w:pPr>
              <w:jc w:val="center"/>
            </w:pPr>
            <w:r>
              <w:rPr>
                <w:rFonts w:ascii="宋体" w:hAnsi="宋体" w:eastAsia="宋体"/>
                <w:sz w:val="18"/>
              </w:rPr>
              <w:t>100-109</w:t>
            </w:r>
          </w:p>
        </w:tc>
        <w:tc>
          <w:tcPr>
            <w:tcW w:type="dxa" w:w="3022"/>
          </w:tcPr>
          <w:p>
            <w:pPr>
              <w:jc w:val="center"/>
            </w:pPr>
            <w:r>
              <w:rPr>
                <w:rFonts w:ascii="宋体" w:hAnsi="宋体" w:eastAsia="宋体"/>
                <w:sz w:val="18"/>
              </w:rPr>
              <w:t>1.0-1.2</w:t>
            </w:r>
          </w:p>
        </w:tc>
        <w:tc>
          <w:tcPr>
            <w:tcW w:type="dxa" w:w="3022"/>
          </w:tcPr>
          <w:p>
            <w:pPr>
              <w:jc w:val="center"/>
            </w:pPr>
            <w:r>
              <w:rPr>
                <w:rFonts w:ascii="宋体" w:hAnsi="宋体" w:eastAsia="宋体"/>
                <w:sz w:val="18"/>
              </w:rPr>
              <w:t>完成目标，线性插值</w:t>
            </w:r>
          </w:p>
        </w:tc>
      </w:tr>
      <w:tr>
        <w:tc>
          <w:tcPr>
            <w:tcW w:type="dxa" w:w="3022"/>
          </w:tcPr>
          <w:p>
            <w:pPr>
              <w:jc w:val="center"/>
            </w:pPr>
            <w:r>
              <w:rPr>
                <w:rFonts w:ascii="宋体" w:hAnsi="宋体" w:eastAsia="宋体"/>
                <w:sz w:val="18"/>
              </w:rPr>
              <w:t>90-99</w:t>
            </w:r>
          </w:p>
        </w:tc>
        <w:tc>
          <w:tcPr>
            <w:tcW w:type="dxa" w:w="3022"/>
          </w:tcPr>
          <w:p>
            <w:pPr>
              <w:jc w:val="center"/>
            </w:pPr>
            <w:r>
              <w:rPr>
                <w:rFonts w:ascii="宋体" w:hAnsi="宋体" w:eastAsia="宋体"/>
                <w:sz w:val="18"/>
              </w:rPr>
              <w:t>0.9-1.0</w:t>
            </w:r>
          </w:p>
        </w:tc>
        <w:tc>
          <w:tcPr>
            <w:tcW w:type="dxa" w:w="3022"/>
          </w:tcPr>
          <w:p>
            <w:pPr>
              <w:jc w:val="center"/>
            </w:pPr>
            <w:r>
              <w:rPr>
                <w:rFonts w:ascii="宋体" w:hAnsi="宋体" w:eastAsia="宋体"/>
                <w:sz w:val="18"/>
              </w:rPr>
              <w:t>基本完成，略有下调</w:t>
            </w:r>
          </w:p>
        </w:tc>
      </w:tr>
      <w:tr>
        <w:tc>
          <w:tcPr>
            <w:tcW w:type="dxa" w:w="3022"/>
          </w:tcPr>
          <w:p>
            <w:pPr>
              <w:jc w:val="center"/>
            </w:pPr>
            <w:r>
              <w:rPr>
                <w:rFonts w:ascii="宋体" w:hAnsi="宋体" w:eastAsia="宋体"/>
                <w:sz w:val="18"/>
              </w:rPr>
              <w:t>80-89</w:t>
            </w:r>
          </w:p>
        </w:tc>
        <w:tc>
          <w:tcPr>
            <w:tcW w:type="dxa" w:w="3022"/>
          </w:tcPr>
          <w:p>
            <w:pPr>
              <w:jc w:val="center"/>
            </w:pPr>
            <w:r>
              <w:rPr>
                <w:rFonts w:ascii="宋体" w:hAnsi="宋体" w:eastAsia="宋体"/>
                <w:sz w:val="18"/>
              </w:rPr>
              <w:t>0.7-0.9</w:t>
            </w:r>
          </w:p>
        </w:tc>
        <w:tc>
          <w:tcPr>
            <w:tcW w:type="dxa" w:w="3022"/>
          </w:tcPr>
          <w:p>
            <w:pPr>
              <w:jc w:val="center"/>
            </w:pPr>
            <w:r>
              <w:rPr>
                <w:rFonts w:ascii="宋体" w:hAnsi="宋体" w:eastAsia="宋体"/>
                <w:sz w:val="18"/>
              </w:rPr>
              <w:t>未达预期，绩效盘子压缩</w:t>
            </w:r>
          </w:p>
        </w:tc>
      </w:tr>
      <w:tr>
        <w:tc>
          <w:tcPr>
            <w:tcW w:type="dxa" w:w="3022"/>
          </w:tcPr>
          <w:p>
            <w:pPr>
              <w:jc w:val="center"/>
            </w:pPr>
            <w:r>
              <w:rPr>
                <w:rFonts w:ascii="宋体" w:hAnsi="宋体" w:eastAsia="宋体"/>
                <w:sz w:val="18"/>
              </w:rPr>
              <w:t>70-79</w:t>
            </w:r>
          </w:p>
        </w:tc>
        <w:tc>
          <w:tcPr>
            <w:tcW w:type="dxa" w:w="3022"/>
          </w:tcPr>
          <w:p>
            <w:pPr>
              <w:jc w:val="center"/>
            </w:pPr>
            <w:r>
              <w:rPr>
                <w:rFonts w:ascii="宋体" w:hAnsi="宋体" w:eastAsia="宋体"/>
                <w:sz w:val="18"/>
              </w:rPr>
              <w:t>0.5-0.7</w:t>
            </w:r>
          </w:p>
        </w:tc>
        <w:tc>
          <w:tcPr>
            <w:tcW w:type="dxa" w:w="3022"/>
          </w:tcPr>
          <w:p>
            <w:pPr>
              <w:jc w:val="center"/>
            </w:pPr>
            <w:r>
              <w:rPr>
                <w:rFonts w:ascii="宋体" w:hAnsi="宋体" w:eastAsia="宋体"/>
                <w:sz w:val="18"/>
              </w:rPr>
              <w:t>明显下滑，严控绩效支出</w:t>
            </w:r>
          </w:p>
        </w:tc>
      </w:tr>
      <w:tr>
        <w:tc>
          <w:tcPr>
            <w:tcW w:type="dxa" w:w="3022"/>
          </w:tcPr>
          <w:p>
            <w:pPr>
              <w:jc w:val="center"/>
            </w:pPr>
            <w:r>
              <w:rPr>
                <w:rFonts w:ascii="宋体" w:hAnsi="宋体" w:eastAsia="宋体"/>
                <w:sz w:val="18"/>
              </w:rPr>
              <w:t>&lt;70</w:t>
            </w:r>
          </w:p>
        </w:tc>
        <w:tc>
          <w:tcPr>
            <w:tcW w:type="dxa" w:w="3022"/>
          </w:tcPr>
          <w:p>
            <w:pPr>
              <w:jc w:val="center"/>
            </w:pPr>
            <w:r>
              <w:rPr>
                <w:rFonts w:ascii="宋体" w:hAnsi="宋体" w:eastAsia="宋体"/>
                <w:sz w:val="18"/>
              </w:rPr>
              <w:t>0.3-0.5</w:t>
            </w:r>
          </w:p>
        </w:tc>
        <w:tc>
          <w:tcPr>
            <w:tcW w:type="dxa" w:w="3022"/>
          </w:tcPr>
          <w:p>
            <w:pPr>
              <w:jc w:val="center"/>
            </w:pPr>
            <w:r>
              <w:rPr>
                <w:rFonts w:ascii="宋体" w:hAnsi="宋体" w:eastAsia="宋体"/>
                <w:sz w:val="18"/>
              </w:rPr>
              <w:t>严重不达标，仅保留基本绩效</w:t>
            </w:r>
          </w:p>
        </w:tc>
      </w:tr>
    </w:tbl>
    <w:p>
      <w:pPr>
        <w:spacing w:after="80"/>
      </w:pPr>
      <w:r>
        <w:rPr>
          <w:rFonts w:ascii="宋体" w:hAnsi="宋体" w:eastAsia="宋体"/>
          <w:b w:val="0"/>
          <w:sz w:val="24"/>
        </w:rPr>
      </w:r>
    </w:p>
    <w:p>
      <w:pPr>
        <w:spacing w:after="80"/>
        <w:ind w:firstLine="420"/>
      </w:pPr>
      <w:r>
        <w:rPr>
          <w:rFonts w:ascii="仿宋" w:hAnsi="仿宋" w:eastAsia="仿宋"/>
          <w:b w:val="0"/>
          <w:sz w:val="24"/>
        </w:rPr>
        <w:t>说明：线性插值规则——例如得分105，系数 = 1.0 + (105-100)×(1.2-1.0)/(110-100) = 1.1。</w:t>
      </w:r>
    </w:p>
    <w:p>
      <w:pPr>
        <w:spacing w:after="80"/>
        <w:ind w:firstLine="420"/>
      </w:pPr>
      <w:r>
        <w:rPr>
          <w:rFonts w:ascii="黑体" w:hAnsi="黑体" w:eastAsia="黑体"/>
          <w:b/>
          <w:sz w:val="24"/>
        </w:rPr>
        <w:t xml:space="preserve">第七条  </w:t>
      </w:r>
      <w:r>
        <w:rPr>
          <w:rFonts w:ascii="仿宋" w:hAnsi="仿宋" w:eastAsia="仿宋"/>
          <w:sz w:val="24"/>
        </w:rPr>
        <w:t>季度预发公司业绩系数按上季度实际得分计算，年度终了按全年实际得分清算，多退少补。</w:t>
      </w:r>
    </w:p>
    <w:p>
      <w:pPr>
        <w:spacing w:before="240" w:after="120"/>
        <w:jc w:val="left"/>
      </w:pPr>
      <w:r>
        <w:rPr>
          <w:rFonts w:ascii="黑体" w:hAnsi="黑体" w:eastAsia="黑体"/>
          <w:b/>
          <w:sz w:val="28"/>
        </w:rPr>
        <w:t>第三章  部门业绩系数（决定蛋糕切法）</w:t>
      </w:r>
    </w:p>
    <w:p>
      <w:pPr>
        <w:spacing w:after="80"/>
        <w:ind w:firstLine="420"/>
      </w:pPr>
      <w:r>
        <w:rPr>
          <w:rFonts w:ascii="黑体" w:hAnsi="黑体" w:eastAsia="黑体"/>
          <w:b/>
          <w:sz w:val="24"/>
        </w:rPr>
        <w:t xml:space="preserve">第八条  </w:t>
      </w:r>
      <w:r>
        <w:rPr>
          <w:rFonts w:ascii="仿宋" w:hAnsi="仿宋" w:eastAsia="仿宋"/>
          <w:sz w:val="24"/>
        </w:rPr>
        <w:t>部门业绩系数反映各部门的交付质量和管理水平，每季度考核一次。计算公式：</w:t>
        <w:br/>
        <w:br/>
        <w:t xml:space="preserve">    部门业绩系数 = 部门交付得分 × 50% + 部门管理得分 × 30% + 部门贡献得分 × 20%</w:t>
      </w:r>
    </w:p>
    <w:p>
      <w:pPr>
        <w:spacing w:after="80"/>
        <w:ind w:firstLine="420"/>
      </w:pPr>
      <w:r>
        <w:rPr>
          <w:rFonts w:ascii="黑体" w:hAnsi="黑体" w:eastAsia="黑体"/>
          <w:b/>
          <w:sz w:val="24"/>
        </w:rPr>
        <w:t xml:space="preserve">第九条  </w:t>
      </w:r>
      <w:r>
        <w:rPr>
          <w:rFonts w:ascii="仿宋" w:hAnsi="仿宋" w:eastAsia="仿宋"/>
          <w:sz w:val="24"/>
        </w:rPr>
        <w:t>业务部门（审计业务部、工程咨询部）考核指标：</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tcPr>
          <w:p>
            <w:pPr>
              <w:jc w:val="center"/>
            </w:pPr>
            <w:r>
              <w:rPr>
                <w:rFonts w:ascii="宋体" w:hAnsi="宋体" w:eastAsia="宋体"/>
                <w:b/>
                <w:sz w:val="18"/>
              </w:rPr>
              <w:t>维度</w:t>
            </w:r>
          </w:p>
        </w:tc>
        <w:tc>
          <w:tcPr>
            <w:tcW w:type="dxa" w:w="2266"/>
          </w:tcPr>
          <w:p>
            <w:pPr>
              <w:jc w:val="center"/>
            </w:pPr>
            <w:r>
              <w:rPr>
                <w:rFonts w:ascii="宋体" w:hAnsi="宋体" w:eastAsia="宋体"/>
                <w:b/>
                <w:sz w:val="18"/>
              </w:rPr>
              <w:t>指标</w:t>
            </w:r>
          </w:p>
        </w:tc>
        <w:tc>
          <w:tcPr>
            <w:tcW w:type="dxa" w:w="2266"/>
          </w:tcPr>
          <w:p>
            <w:pPr>
              <w:jc w:val="center"/>
            </w:pPr>
            <w:r>
              <w:rPr>
                <w:rFonts w:ascii="宋体" w:hAnsi="宋体" w:eastAsia="宋体"/>
                <w:b/>
                <w:sz w:val="18"/>
              </w:rPr>
              <w:t>权重</w:t>
            </w:r>
          </w:p>
        </w:tc>
        <w:tc>
          <w:tcPr>
            <w:tcW w:type="dxa" w:w="2266"/>
          </w:tcPr>
          <w:p>
            <w:pPr>
              <w:jc w:val="center"/>
            </w:pPr>
            <w:r>
              <w:rPr>
                <w:rFonts w:ascii="宋体" w:hAnsi="宋体" w:eastAsia="宋体"/>
                <w:b/>
                <w:sz w:val="18"/>
              </w:rPr>
              <w:t>得分规则</w:t>
            </w:r>
          </w:p>
        </w:tc>
      </w:tr>
      <w:tr>
        <w:tc>
          <w:tcPr>
            <w:tcW w:type="dxa" w:w="2266"/>
          </w:tcPr>
          <w:p>
            <w:pPr>
              <w:jc w:val="center"/>
            </w:pPr>
            <w:r>
              <w:rPr>
                <w:rFonts w:ascii="宋体" w:hAnsi="宋体" w:eastAsia="宋体"/>
                <w:sz w:val="18"/>
              </w:rPr>
              <w:t>交付质量</w:t>
              <w:br/>
              <w:t>（50%）</w:t>
            </w:r>
          </w:p>
        </w:tc>
        <w:tc>
          <w:tcPr>
            <w:tcW w:type="dxa" w:w="2266"/>
          </w:tcPr>
          <w:p>
            <w:pPr>
              <w:jc w:val="center"/>
            </w:pPr>
            <w:r>
              <w:rPr>
                <w:rFonts w:ascii="宋体" w:hAnsi="宋体" w:eastAsia="宋体"/>
                <w:sz w:val="18"/>
              </w:rPr>
              <w:t>报告一次通过率</w:t>
            </w:r>
          </w:p>
        </w:tc>
        <w:tc>
          <w:tcPr>
            <w:tcW w:type="dxa" w:w="2266"/>
          </w:tcPr>
          <w:p>
            <w:pPr>
              <w:jc w:val="center"/>
            </w:pPr>
            <w:r>
              <w:rPr>
                <w:rFonts w:ascii="宋体" w:hAnsi="宋体" w:eastAsia="宋体"/>
                <w:sz w:val="18"/>
              </w:rPr>
              <w:t>20%</w:t>
            </w:r>
          </w:p>
        </w:tc>
        <w:tc>
          <w:tcPr>
            <w:tcW w:type="dxa" w:w="2266"/>
          </w:tcPr>
          <w:p>
            <w:pPr>
              <w:jc w:val="center"/>
            </w:pPr>
            <w:r>
              <w:rPr>
                <w:rFonts w:ascii="宋体" w:hAnsi="宋体" w:eastAsia="宋体"/>
                <w:sz w:val="18"/>
              </w:rPr>
              <w:t>≥95%→100分，每降1%扣2分，&lt;80%→0分</w:t>
            </w:r>
          </w:p>
        </w:tc>
      </w:tr>
      <w:tr>
        <w:tc>
          <w:tcPr>
            <w:tcW w:type="dxa" w:w="2266"/>
          </w:tcPr>
          <w:p>
            <w:pPr>
              <w:jc w:val="center"/>
            </w:pPr>
            <w:r>
              <w:rPr>
                <w:rFonts w:ascii="宋体" w:hAnsi="宋体" w:eastAsia="宋体"/>
                <w:sz w:val="18"/>
              </w:rPr>
            </w:r>
          </w:p>
        </w:tc>
        <w:tc>
          <w:tcPr>
            <w:tcW w:type="dxa" w:w="2266"/>
          </w:tcPr>
          <w:p>
            <w:pPr>
              <w:jc w:val="center"/>
            </w:pPr>
            <w:r>
              <w:rPr>
                <w:rFonts w:ascii="宋体" w:hAnsi="宋体" w:eastAsia="宋体"/>
                <w:sz w:val="18"/>
              </w:rPr>
              <w:t>项目交付准时率</w:t>
            </w:r>
          </w:p>
        </w:tc>
        <w:tc>
          <w:tcPr>
            <w:tcW w:type="dxa" w:w="2266"/>
          </w:tcPr>
          <w:p>
            <w:pPr>
              <w:jc w:val="center"/>
            </w:pPr>
            <w:r>
              <w:rPr>
                <w:rFonts w:ascii="宋体" w:hAnsi="宋体" w:eastAsia="宋体"/>
                <w:sz w:val="18"/>
              </w:rPr>
              <w:t>15%</w:t>
            </w:r>
          </w:p>
        </w:tc>
        <w:tc>
          <w:tcPr>
            <w:tcW w:type="dxa" w:w="2266"/>
          </w:tcPr>
          <w:p>
            <w:pPr>
              <w:jc w:val="center"/>
            </w:pPr>
            <w:r>
              <w:rPr>
                <w:rFonts w:ascii="宋体" w:hAnsi="宋体" w:eastAsia="宋体"/>
                <w:sz w:val="18"/>
              </w:rPr>
              <w:t>≥90%→100分，每降1%扣2分，&lt;70%→0分</w:t>
            </w:r>
          </w:p>
        </w:tc>
      </w:tr>
      <w:tr>
        <w:tc>
          <w:tcPr>
            <w:tcW w:type="dxa" w:w="2266"/>
          </w:tcPr>
          <w:p>
            <w:pPr>
              <w:jc w:val="center"/>
            </w:pPr>
            <w:r>
              <w:rPr>
                <w:rFonts w:ascii="宋体" w:hAnsi="宋体" w:eastAsia="宋体"/>
                <w:sz w:val="18"/>
              </w:rPr>
            </w:r>
          </w:p>
        </w:tc>
        <w:tc>
          <w:tcPr>
            <w:tcW w:type="dxa" w:w="2266"/>
          </w:tcPr>
          <w:p>
            <w:pPr>
              <w:jc w:val="center"/>
            </w:pPr>
            <w:r>
              <w:rPr>
                <w:rFonts w:ascii="宋体" w:hAnsi="宋体" w:eastAsia="宋体"/>
                <w:sz w:val="18"/>
              </w:rPr>
              <w:t>客户投诉率</w:t>
            </w:r>
          </w:p>
        </w:tc>
        <w:tc>
          <w:tcPr>
            <w:tcW w:type="dxa" w:w="2266"/>
          </w:tcPr>
          <w:p>
            <w:pPr>
              <w:jc w:val="center"/>
            </w:pPr>
            <w:r>
              <w:rPr>
                <w:rFonts w:ascii="宋体" w:hAnsi="宋体" w:eastAsia="宋体"/>
                <w:sz w:val="18"/>
              </w:rPr>
              <w:t>15%</w:t>
            </w:r>
          </w:p>
        </w:tc>
        <w:tc>
          <w:tcPr>
            <w:tcW w:type="dxa" w:w="2266"/>
          </w:tcPr>
          <w:p>
            <w:pPr>
              <w:jc w:val="center"/>
            </w:pPr>
            <w:r>
              <w:rPr>
                <w:rFonts w:ascii="宋体" w:hAnsi="宋体" w:eastAsia="宋体"/>
                <w:sz w:val="18"/>
              </w:rPr>
              <w:t>0次→100分，1次→80分，2次→50分，≥3次→0分</w:t>
            </w:r>
          </w:p>
        </w:tc>
      </w:tr>
      <w:tr>
        <w:tc>
          <w:tcPr>
            <w:tcW w:type="dxa" w:w="2266"/>
          </w:tcPr>
          <w:p>
            <w:pPr>
              <w:jc w:val="center"/>
            </w:pPr>
            <w:r>
              <w:rPr>
                <w:rFonts w:ascii="宋体" w:hAnsi="宋体" w:eastAsia="宋体"/>
                <w:sz w:val="18"/>
              </w:rPr>
              <w:t>部门管理</w:t>
              <w:br/>
              <w:t>（30%）</w:t>
            </w:r>
          </w:p>
        </w:tc>
        <w:tc>
          <w:tcPr>
            <w:tcW w:type="dxa" w:w="2266"/>
          </w:tcPr>
          <w:p>
            <w:pPr>
              <w:jc w:val="center"/>
            </w:pPr>
            <w:r>
              <w:rPr>
                <w:rFonts w:ascii="宋体" w:hAnsi="宋体" w:eastAsia="宋体"/>
                <w:sz w:val="18"/>
              </w:rPr>
              <w:t>部门回款完成率</w:t>
            </w:r>
          </w:p>
        </w:tc>
        <w:tc>
          <w:tcPr>
            <w:tcW w:type="dxa" w:w="2266"/>
          </w:tcPr>
          <w:p>
            <w:pPr>
              <w:jc w:val="center"/>
            </w:pPr>
            <w:r>
              <w:rPr>
                <w:rFonts w:ascii="宋体" w:hAnsi="宋体" w:eastAsia="宋体"/>
                <w:sz w:val="18"/>
              </w:rPr>
              <w:t>15%</w:t>
            </w:r>
          </w:p>
        </w:tc>
        <w:tc>
          <w:tcPr>
            <w:tcW w:type="dxa" w:w="2266"/>
          </w:tcPr>
          <w:p>
            <w:pPr>
              <w:jc w:val="center"/>
            </w:pPr>
            <w:r>
              <w:rPr>
                <w:rFonts w:ascii="宋体" w:hAnsi="宋体" w:eastAsia="宋体"/>
                <w:sz w:val="18"/>
              </w:rPr>
              <w:t>≥100%→100分，每降1%扣1分，&lt;60%→0分</w:t>
            </w:r>
          </w:p>
        </w:tc>
      </w:tr>
      <w:tr>
        <w:tc>
          <w:tcPr>
            <w:tcW w:type="dxa" w:w="2266"/>
          </w:tcPr>
          <w:p>
            <w:pPr>
              <w:jc w:val="center"/>
            </w:pPr>
            <w:r>
              <w:rPr>
                <w:rFonts w:ascii="宋体" w:hAnsi="宋体" w:eastAsia="宋体"/>
                <w:sz w:val="18"/>
              </w:rPr>
            </w:r>
          </w:p>
        </w:tc>
        <w:tc>
          <w:tcPr>
            <w:tcW w:type="dxa" w:w="2266"/>
          </w:tcPr>
          <w:p>
            <w:pPr>
              <w:jc w:val="center"/>
            </w:pPr>
            <w:r>
              <w:rPr>
                <w:rFonts w:ascii="宋体" w:hAnsi="宋体" w:eastAsia="宋体"/>
                <w:sz w:val="18"/>
              </w:rPr>
              <w:t>项目成本控制率</w:t>
            </w:r>
          </w:p>
        </w:tc>
        <w:tc>
          <w:tcPr>
            <w:tcW w:type="dxa" w:w="2266"/>
          </w:tcPr>
          <w:p>
            <w:pPr>
              <w:jc w:val="center"/>
            </w:pPr>
            <w:r>
              <w:rPr>
                <w:rFonts w:ascii="宋体" w:hAnsi="宋体" w:eastAsia="宋体"/>
                <w:sz w:val="18"/>
              </w:rPr>
              <w:t>15%</w:t>
            </w:r>
          </w:p>
        </w:tc>
        <w:tc>
          <w:tcPr>
            <w:tcW w:type="dxa" w:w="2266"/>
          </w:tcPr>
          <w:p>
            <w:pPr>
              <w:jc w:val="center"/>
            </w:pPr>
            <w:r>
              <w:rPr>
                <w:rFonts w:ascii="宋体" w:hAnsi="宋体" w:eastAsia="宋体"/>
                <w:sz w:val="18"/>
              </w:rPr>
              <w:t>实际成本≤预算→100分，超5%→80分，超10%→60分，超15%→0分</w:t>
            </w:r>
          </w:p>
        </w:tc>
      </w:tr>
      <w:tr>
        <w:tc>
          <w:tcPr>
            <w:tcW w:type="dxa" w:w="2266"/>
          </w:tcPr>
          <w:p>
            <w:pPr>
              <w:jc w:val="center"/>
            </w:pPr>
            <w:r>
              <w:rPr>
                <w:rFonts w:ascii="宋体" w:hAnsi="宋体" w:eastAsia="宋体"/>
                <w:sz w:val="18"/>
              </w:rPr>
              <w:t>部门贡献</w:t>
              <w:br/>
              <w:t>（20%）</w:t>
            </w:r>
          </w:p>
        </w:tc>
        <w:tc>
          <w:tcPr>
            <w:tcW w:type="dxa" w:w="2266"/>
          </w:tcPr>
          <w:p>
            <w:pPr>
              <w:jc w:val="center"/>
            </w:pPr>
            <w:r>
              <w:rPr>
                <w:rFonts w:ascii="宋体" w:hAnsi="宋体" w:eastAsia="宋体"/>
                <w:sz w:val="18"/>
              </w:rPr>
              <w:t>新客户开发数</w:t>
            </w:r>
          </w:p>
        </w:tc>
        <w:tc>
          <w:tcPr>
            <w:tcW w:type="dxa" w:w="2266"/>
          </w:tcPr>
          <w:p>
            <w:pPr>
              <w:jc w:val="center"/>
            </w:pPr>
            <w:r>
              <w:rPr>
                <w:rFonts w:ascii="宋体" w:hAnsi="宋体" w:eastAsia="宋体"/>
                <w:sz w:val="18"/>
              </w:rPr>
              <w:t>10%</w:t>
            </w:r>
          </w:p>
        </w:tc>
        <w:tc>
          <w:tcPr>
            <w:tcW w:type="dxa" w:w="2266"/>
          </w:tcPr>
          <w:p>
            <w:pPr>
              <w:jc w:val="center"/>
            </w:pPr>
            <w:r>
              <w:rPr>
                <w:rFonts w:ascii="宋体" w:hAnsi="宋体" w:eastAsia="宋体"/>
                <w:sz w:val="18"/>
              </w:rPr>
              <w:t>≥2个→100分，1个→60分，0个→0分</w:t>
            </w:r>
          </w:p>
        </w:tc>
      </w:tr>
      <w:tr>
        <w:tc>
          <w:tcPr>
            <w:tcW w:type="dxa" w:w="2266"/>
          </w:tcPr>
          <w:p>
            <w:pPr>
              <w:jc w:val="center"/>
            </w:pPr>
            <w:r>
              <w:rPr>
                <w:rFonts w:ascii="宋体" w:hAnsi="宋体" w:eastAsia="宋体"/>
                <w:sz w:val="18"/>
              </w:rPr>
            </w:r>
          </w:p>
        </w:tc>
        <w:tc>
          <w:tcPr>
            <w:tcW w:type="dxa" w:w="2266"/>
          </w:tcPr>
          <w:p>
            <w:pPr>
              <w:jc w:val="center"/>
            </w:pPr>
            <w:r>
              <w:rPr>
                <w:rFonts w:ascii="宋体" w:hAnsi="宋体" w:eastAsia="宋体"/>
                <w:sz w:val="18"/>
              </w:rPr>
              <w:t>知识沉淀与培训</w:t>
            </w:r>
          </w:p>
        </w:tc>
        <w:tc>
          <w:tcPr>
            <w:tcW w:type="dxa" w:w="2266"/>
          </w:tcPr>
          <w:p>
            <w:pPr>
              <w:jc w:val="center"/>
            </w:pPr>
            <w:r>
              <w:rPr>
                <w:rFonts w:ascii="宋体" w:hAnsi="宋体" w:eastAsia="宋体"/>
                <w:sz w:val="18"/>
              </w:rPr>
              <w:t>10%</w:t>
            </w:r>
          </w:p>
        </w:tc>
        <w:tc>
          <w:tcPr>
            <w:tcW w:type="dxa" w:w="2266"/>
          </w:tcPr>
          <w:p>
            <w:pPr>
              <w:jc w:val="center"/>
            </w:pPr>
            <w:r>
              <w:rPr>
                <w:rFonts w:ascii="宋体" w:hAnsi="宋体" w:eastAsia="宋体"/>
                <w:sz w:val="18"/>
              </w:rPr>
              <w:t>完成年度计划→100分，完成80%→80分，&lt;60%→0分</w:t>
            </w:r>
          </w:p>
        </w:tc>
      </w:tr>
    </w:tbl>
    <w:p>
      <w:pPr>
        <w:spacing w:after="80"/>
      </w:pPr>
      <w:r>
        <w:rPr>
          <w:rFonts w:ascii="宋体" w:hAnsi="宋体" w:eastAsia="宋体"/>
          <w:b w:val="0"/>
          <w:sz w:val="24"/>
        </w:rPr>
      </w:r>
    </w:p>
    <w:p>
      <w:pPr>
        <w:spacing w:after="80"/>
        <w:ind w:firstLine="420"/>
      </w:pPr>
      <w:r>
        <w:rPr>
          <w:rFonts w:ascii="黑体" w:hAnsi="黑体" w:eastAsia="黑体"/>
          <w:b/>
          <w:sz w:val="24"/>
        </w:rPr>
        <w:t xml:space="preserve">第十条  </w:t>
      </w:r>
      <w:r>
        <w:rPr>
          <w:rFonts w:ascii="仿宋" w:hAnsi="仿宋" w:eastAsia="仿宋"/>
          <w:sz w:val="24"/>
        </w:rPr>
        <w:t>职能部门（财务部、行政综合部）考核指标：</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tcPr>
          <w:p>
            <w:pPr>
              <w:jc w:val="center"/>
            </w:pPr>
            <w:r>
              <w:rPr>
                <w:rFonts w:ascii="宋体" w:hAnsi="宋体" w:eastAsia="宋体"/>
                <w:b/>
                <w:sz w:val="18"/>
              </w:rPr>
              <w:t>维度</w:t>
            </w:r>
          </w:p>
        </w:tc>
        <w:tc>
          <w:tcPr>
            <w:tcW w:type="dxa" w:w="2266"/>
          </w:tcPr>
          <w:p>
            <w:pPr>
              <w:jc w:val="center"/>
            </w:pPr>
            <w:r>
              <w:rPr>
                <w:rFonts w:ascii="宋体" w:hAnsi="宋体" w:eastAsia="宋体"/>
                <w:b/>
                <w:sz w:val="18"/>
              </w:rPr>
              <w:t>指标</w:t>
            </w:r>
          </w:p>
        </w:tc>
        <w:tc>
          <w:tcPr>
            <w:tcW w:type="dxa" w:w="2266"/>
          </w:tcPr>
          <w:p>
            <w:pPr>
              <w:jc w:val="center"/>
            </w:pPr>
            <w:r>
              <w:rPr>
                <w:rFonts w:ascii="宋体" w:hAnsi="宋体" w:eastAsia="宋体"/>
                <w:b/>
                <w:sz w:val="18"/>
              </w:rPr>
              <w:t>权重</w:t>
            </w:r>
          </w:p>
        </w:tc>
        <w:tc>
          <w:tcPr>
            <w:tcW w:type="dxa" w:w="2266"/>
          </w:tcPr>
          <w:p>
            <w:pPr>
              <w:jc w:val="center"/>
            </w:pPr>
            <w:r>
              <w:rPr>
                <w:rFonts w:ascii="宋体" w:hAnsi="宋体" w:eastAsia="宋体"/>
                <w:b/>
                <w:sz w:val="18"/>
              </w:rPr>
              <w:t>得分规则</w:t>
            </w:r>
          </w:p>
        </w:tc>
      </w:tr>
      <w:tr>
        <w:tc>
          <w:tcPr>
            <w:tcW w:type="dxa" w:w="2266"/>
          </w:tcPr>
          <w:p>
            <w:pPr>
              <w:jc w:val="center"/>
            </w:pPr>
            <w:r>
              <w:rPr>
                <w:rFonts w:ascii="宋体" w:hAnsi="宋体" w:eastAsia="宋体"/>
                <w:sz w:val="18"/>
              </w:rPr>
              <w:t>交付质量</w:t>
              <w:br/>
              <w:t>（50%）</w:t>
            </w:r>
          </w:p>
        </w:tc>
        <w:tc>
          <w:tcPr>
            <w:tcW w:type="dxa" w:w="2266"/>
          </w:tcPr>
          <w:p>
            <w:pPr>
              <w:jc w:val="center"/>
            </w:pPr>
            <w:r>
              <w:rPr>
                <w:rFonts w:ascii="宋体" w:hAnsi="宋体" w:eastAsia="宋体"/>
                <w:sz w:val="18"/>
              </w:rPr>
              <w:t>内部服务满意度</w:t>
            </w:r>
          </w:p>
        </w:tc>
        <w:tc>
          <w:tcPr>
            <w:tcW w:type="dxa" w:w="2266"/>
          </w:tcPr>
          <w:p>
            <w:pPr>
              <w:jc w:val="center"/>
            </w:pPr>
            <w:r>
              <w:rPr>
                <w:rFonts w:ascii="宋体" w:hAnsi="宋体" w:eastAsia="宋体"/>
                <w:sz w:val="18"/>
              </w:rPr>
              <w:t>20%</w:t>
            </w:r>
          </w:p>
        </w:tc>
        <w:tc>
          <w:tcPr>
            <w:tcW w:type="dxa" w:w="2266"/>
          </w:tcPr>
          <w:p>
            <w:pPr>
              <w:jc w:val="center"/>
            </w:pPr>
            <w:r>
              <w:rPr>
                <w:rFonts w:ascii="宋体" w:hAnsi="宋体" w:eastAsia="宋体"/>
                <w:sz w:val="18"/>
              </w:rPr>
              <w:t>≥90分→100分，每降1分扣2分，&lt;70分→0分</w:t>
            </w:r>
          </w:p>
        </w:tc>
      </w:tr>
      <w:tr>
        <w:tc>
          <w:tcPr>
            <w:tcW w:type="dxa" w:w="2266"/>
          </w:tcPr>
          <w:p>
            <w:pPr>
              <w:jc w:val="center"/>
            </w:pPr>
            <w:r>
              <w:rPr>
                <w:rFonts w:ascii="宋体" w:hAnsi="宋体" w:eastAsia="宋体"/>
                <w:sz w:val="18"/>
              </w:rPr>
            </w:r>
          </w:p>
        </w:tc>
        <w:tc>
          <w:tcPr>
            <w:tcW w:type="dxa" w:w="2266"/>
          </w:tcPr>
          <w:p>
            <w:pPr>
              <w:jc w:val="center"/>
            </w:pPr>
            <w:r>
              <w:rPr>
                <w:rFonts w:ascii="宋体" w:hAnsi="宋体" w:eastAsia="宋体"/>
                <w:sz w:val="18"/>
              </w:rPr>
              <w:t>工作差错率</w:t>
            </w:r>
          </w:p>
        </w:tc>
        <w:tc>
          <w:tcPr>
            <w:tcW w:type="dxa" w:w="2266"/>
          </w:tcPr>
          <w:p>
            <w:pPr>
              <w:jc w:val="center"/>
            </w:pPr>
            <w:r>
              <w:rPr>
                <w:rFonts w:ascii="宋体" w:hAnsi="宋体" w:eastAsia="宋体"/>
                <w:sz w:val="18"/>
              </w:rPr>
              <w:t>15%</w:t>
            </w:r>
          </w:p>
        </w:tc>
        <w:tc>
          <w:tcPr>
            <w:tcW w:type="dxa" w:w="2266"/>
          </w:tcPr>
          <w:p>
            <w:pPr>
              <w:jc w:val="center"/>
            </w:pPr>
            <w:r>
              <w:rPr>
                <w:rFonts w:ascii="宋体" w:hAnsi="宋体" w:eastAsia="宋体"/>
                <w:sz w:val="18"/>
              </w:rPr>
              <w:t>0次→100分，1次→80分，2次→50分，≥3次→0分</w:t>
            </w:r>
          </w:p>
        </w:tc>
      </w:tr>
      <w:tr>
        <w:tc>
          <w:tcPr>
            <w:tcW w:type="dxa" w:w="2266"/>
          </w:tcPr>
          <w:p>
            <w:pPr>
              <w:jc w:val="center"/>
            </w:pPr>
            <w:r>
              <w:rPr>
                <w:rFonts w:ascii="宋体" w:hAnsi="宋体" w:eastAsia="宋体"/>
                <w:sz w:val="18"/>
              </w:rPr>
            </w:r>
          </w:p>
        </w:tc>
        <w:tc>
          <w:tcPr>
            <w:tcW w:type="dxa" w:w="2266"/>
          </w:tcPr>
          <w:p>
            <w:pPr>
              <w:jc w:val="center"/>
            </w:pPr>
            <w:r>
              <w:rPr>
                <w:rFonts w:ascii="宋体" w:hAnsi="宋体" w:eastAsia="宋体"/>
                <w:sz w:val="18"/>
              </w:rPr>
              <w:t>任务按时完成率</w:t>
            </w:r>
          </w:p>
        </w:tc>
        <w:tc>
          <w:tcPr>
            <w:tcW w:type="dxa" w:w="2266"/>
          </w:tcPr>
          <w:p>
            <w:pPr>
              <w:jc w:val="center"/>
            </w:pPr>
            <w:r>
              <w:rPr>
                <w:rFonts w:ascii="宋体" w:hAnsi="宋体" w:eastAsia="宋体"/>
                <w:sz w:val="18"/>
              </w:rPr>
              <w:t>15%</w:t>
            </w:r>
          </w:p>
        </w:tc>
        <w:tc>
          <w:tcPr>
            <w:tcW w:type="dxa" w:w="2266"/>
          </w:tcPr>
          <w:p>
            <w:pPr>
              <w:jc w:val="center"/>
            </w:pPr>
            <w:r>
              <w:rPr>
                <w:rFonts w:ascii="宋体" w:hAnsi="宋体" w:eastAsia="宋体"/>
                <w:sz w:val="18"/>
              </w:rPr>
              <w:t>≥95%→100分，每降1%扣2分，&lt;80%→0分</w:t>
            </w:r>
          </w:p>
        </w:tc>
      </w:tr>
      <w:tr>
        <w:tc>
          <w:tcPr>
            <w:tcW w:type="dxa" w:w="2266"/>
          </w:tcPr>
          <w:p>
            <w:pPr>
              <w:jc w:val="center"/>
            </w:pPr>
            <w:r>
              <w:rPr>
                <w:rFonts w:ascii="宋体" w:hAnsi="宋体" w:eastAsia="宋体"/>
                <w:sz w:val="18"/>
              </w:rPr>
              <w:t>部门管理</w:t>
              <w:br/>
              <w:t>（30%）</w:t>
            </w:r>
          </w:p>
        </w:tc>
        <w:tc>
          <w:tcPr>
            <w:tcW w:type="dxa" w:w="2266"/>
          </w:tcPr>
          <w:p>
            <w:pPr>
              <w:jc w:val="center"/>
            </w:pPr>
            <w:r>
              <w:rPr>
                <w:rFonts w:ascii="宋体" w:hAnsi="宋体" w:eastAsia="宋体"/>
                <w:sz w:val="18"/>
              </w:rPr>
              <w:t>预算执行准确率</w:t>
            </w:r>
          </w:p>
        </w:tc>
        <w:tc>
          <w:tcPr>
            <w:tcW w:type="dxa" w:w="2266"/>
          </w:tcPr>
          <w:p>
            <w:pPr>
              <w:jc w:val="center"/>
            </w:pPr>
            <w:r>
              <w:rPr>
                <w:rFonts w:ascii="宋体" w:hAnsi="宋体" w:eastAsia="宋体"/>
                <w:sz w:val="18"/>
              </w:rPr>
              <w:t>15%</w:t>
            </w:r>
          </w:p>
        </w:tc>
        <w:tc>
          <w:tcPr>
            <w:tcW w:type="dxa" w:w="2266"/>
          </w:tcPr>
          <w:p>
            <w:pPr>
              <w:jc w:val="center"/>
            </w:pPr>
            <w:r>
              <w:rPr>
                <w:rFonts w:ascii="宋体" w:hAnsi="宋体" w:eastAsia="宋体"/>
                <w:sz w:val="18"/>
              </w:rPr>
              <w:t>偏差≤5%→100分，5-10%→80分，&gt;10%→0分</w:t>
            </w:r>
          </w:p>
        </w:tc>
      </w:tr>
      <w:tr>
        <w:tc>
          <w:tcPr>
            <w:tcW w:type="dxa" w:w="2266"/>
          </w:tcPr>
          <w:p>
            <w:pPr>
              <w:jc w:val="center"/>
            </w:pPr>
            <w:r>
              <w:rPr>
                <w:rFonts w:ascii="宋体" w:hAnsi="宋体" w:eastAsia="宋体"/>
                <w:sz w:val="18"/>
              </w:rPr>
            </w:r>
          </w:p>
        </w:tc>
        <w:tc>
          <w:tcPr>
            <w:tcW w:type="dxa" w:w="2266"/>
          </w:tcPr>
          <w:p>
            <w:pPr>
              <w:jc w:val="center"/>
            </w:pPr>
            <w:r>
              <w:rPr>
                <w:rFonts w:ascii="宋体" w:hAnsi="宋体" w:eastAsia="宋体"/>
                <w:sz w:val="18"/>
              </w:rPr>
              <w:t>制度执行合规率</w:t>
            </w:r>
          </w:p>
        </w:tc>
        <w:tc>
          <w:tcPr>
            <w:tcW w:type="dxa" w:w="2266"/>
          </w:tcPr>
          <w:p>
            <w:pPr>
              <w:jc w:val="center"/>
            </w:pPr>
            <w:r>
              <w:rPr>
                <w:rFonts w:ascii="宋体" w:hAnsi="宋体" w:eastAsia="宋体"/>
                <w:sz w:val="18"/>
              </w:rPr>
              <w:t>15%</w:t>
            </w:r>
          </w:p>
        </w:tc>
        <w:tc>
          <w:tcPr>
            <w:tcW w:type="dxa" w:w="2266"/>
          </w:tcPr>
          <w:p>
            <w:pPr>
              <w:jc w:val="center"/>
            </w:pPr>
            <w:r>
              <w:rPr>
                <w:rFonts w:ascii="宋体" w:hAnsi="宋体" w:eastAsia="宋体"/>
                <w:sz w:val="18"/>
              </w:rPr>
              <w:t>100%→100分，每发现1项违规扣10分</w:t>
            </w:r>
          </w:p>
        </w:tc>
      </w:tr>
      <w:tr>
        <w:tc>
          <w:tcPr>
            <w:tcW w:type="dxa" w:w="2266"/>
          </w:tcPr>
          <w:p>
            <w:pPr>
              <w:jc w:val="center"/>
            </w:pPr>
            <w:r>
              <w:rPr>
                <w:rFonts w:ascii="宋体" w:hAnsi="宋体" w:eastAsia="宋体"/>
                <w:sz w:val="18"/>
              </w:rPr>
              <w:t>部门贡献</w:t>
              <w:br/>
              <w:t>（20%）</w:t>
            </w:r>
          </w:p>
        </w:tc>
        <w:tc>
          <w:tcPr>
            <w:tcW w:type="dxa" w:w="2266"/>
          </w:tcPr>
          <w:p>
            <w:pPr>
              <w:jc w:val="center"/>
            </w:pPr>
            <w:r>
              <w:rPr>
                <w:rFonts w:ascii="宋体" w:hAnsi="宋体" w:eastAsia="宋体"/>
                <w:sz w:val="18"/>
              </w:rPr>
              <w:t>创新改进提案</w:t>
            </w:r>
          </w:p>
        </w:tc>
        <w:tc>
          <w:tcPr>
            <w:tcW w:type="dxa" w:w="2266"/>
          </w:tcPr>
          <w:p>
            <w:pPr>
              <w:jc w:val="center"/>
            </w:pPr>
            <w:r>
              <w:rPr>
                <w:rFonts w:ascii="宋体" w:hAnsi="宋体" w:eastAsia="宋体"/>
                <w:sz w:val="18"/>
              </w:rPr>
              <w:t>10%</w:t>
            </w:r>
          </w:p>
        </w:tc>
        <w:tc>
          <w:tcPr>
            <w:tcW w:type="dxa" w:w="2266"/>
          </w:tcPr>
          <w:p>
            <w:pPr>
              <w:jc w:val="center"/>
            </w:pPr>
            <w:r>
              <w:rPr>
                <w:rFonts w:ascii="宋体" w:hAnsi="宋体" w:eastAsia="宋体"/>
                <w:sz w:val="18"/>
              </w:rPr>
              <w:t>≥2项采纳→100分，1项→60分，0项→0分</w:t>
            </w:r>
          </w:p>
        </w:tc>
      </w:tr>
      <w:tr>
        <w:tc>
          <w:tcPr>
            <w:tcW w:type="dxa" w:w="2266"/>
          </w:tcPr>
          <w:p>
            <w:pPr>
              <w:jc w:val="center"/>
            </w:pPr>
            <w:r>
              <w:rPr>
                <w:rFonts w:ascii="宋体" w:hAnsi="宋体" w:eastAsia="宋体"/>
                <w:sz w:val="18"/>
              </w:rPr>
            </w:r>
          </w:p>
        </w:tc>
        <w:tc>
          <w:tcPr>
            <w:tcW w:type="dxa" w:w="2266"/>
          </w:tcPr>
          <w:p>
            <w:pPr>
              <w:jc w:val="center"/>
            </w:pPr>
            <w:r>
              <w:rPr>
                <w:rFonts w:ascii="宋体" w:hAnsi="宋体" w:eastAsia="宋体"/>
                <w:sz w:val="18"/>
              </w:rPr>
              <w:t>跨部门协作评价</w:t>
            </w:r>
          </w:p>
        </w:tc>
        <w:tc>
          <w:tcPr>
            <w:tcW w:type="dxa" w:w="2266"/>
          </w:tcPr>
          <w:p>
            <w:pPr>
              <w:jc w:val="center"/>
            </w:pPr>
            <w:r>
              <w:rPr>
                <w:rFonts w:ascii="宋体" w:hAnsi="宋体" w:eastAsia="宋体"/>
                <w:sz w:val="18"/>
              </w:rPr>
              <w:t>10%</w:t>
            </w:r>
          </w:p>
        </w:tc>
        <w:tc>
          <w:tcPr>
            <w:tcW w:type="dxa" w:w="2266"/>
          </w:tcPr>
          <w:p>
            <w:pPr>
              <w:jc w:val="center"/>
            </w:pPr>
            <w:r>
              <w:rPr>
                <w:rFonts w:ascii="宋体" w:hAnsi="宋体" w:eastAsia="宋体"/>
                <w:sz w:val="18"/>
              </w:rPr>
              <w:t>由业务部门评分，≥90分→100分，每降1分扣2分</w:t>
            </w:r>
          </w:p>
        </w:tc>
      </w:tr>
    </w:tbl>
    <w:p>
      <w:pPr>
        <w:spacing w:after="80"/>
      </w:pPr>
      <w:r>
        <w:rPr>
          <w:rFonts w:ascii="宋体" w:hAnsi="宋体" w:eastAsia="宋体"/>
          <w:b w:val="0"/>
          <w:sz w:val="24"/>
        </w:rPr>
      </w:r>
    </w:p>
    <w:p>
      <w:pPr>
        <w:spacing w:after="80"/>
        <w:ind w:firstLine="420"/>
      </w:pPr>
      <w:r>
        <w:rPr>
          <w:rFonts w:ascii="黑体" w:hAnsi="黑体" w:eastAsia="黑体"/>
          <w:b/>
          <w:sz w:val="24"/>
        </w:rPr>
        <w:t xml:space="preserve">第十一条  </w:t>
      </w:r>
      <w:r>
        <w:rPr>
          <w:rFonts w:ascii="仿宋" w:hAnsi="仿宋" w:eastAsia="仿宋"/>
          <w:sz w:val="24"/>
        </w:rPr>
        <w:t>部门业绩系数与部门业绩得分的对应关系：</w:t>
      </w:r>
    </w:p>
    <w:tbl>
      <w:tblPr>
        <w:tblStyle w:val="TableGrid"/>
        <w:tblW w:type="auto" w:w="0"/>
        <w:jc w:val="center"/>
        <w:tblLook w:firstColumn="1" w:firstRow="1" w:lastColumn="0" w:lastRow="0" w:noHBand="0" w:noVBand="1" w:val="04A0"/>
      </w:tblPr>
      <w:tblGrid>
        <w:gridCol w:w="3022"/>
        <w:gridCol w:w="3022"/>
        <w:gridCol w:w="3022"/>
      </w:tblGrid>
      <w:tr>
        <w:tc>
          <w:tcPr>
            <w:tcW w:type="dxa" w:w="3022"/>
          </w:tcPr>
          <w:p>
            <w:pPr>
              <w:jc w:val="center"/>
            </w:pPr>
            <w:r>
              <w:rPr>
                <w:rFonts w:ascii="宋体" w:hAnsi="宋体" w:eastAsia="宋体"/>
                <w:b/>
                <w:sz w:val="18"/>
              </w:rPr>
              <w:t>部门业绩得分</w:t>
            </w:r>
          </w:p>
        </w:tc>
        <w:tc>
          <w:tcPr>
            <w:tcW w:type="dxa" w:w="3022"/>
          </w:tcPr>
          <w:p>
            <w:pPr>
              <w:jc w:val="center"/>
            </w:pPr>
            <w:r>
              <w:rPr>
                <w:rFonts w:ascii="宋体" w:hAnsi="宋体" w:eastAsia="宋体"/>
                <w:b/>
                <w:sz w:val="18"/>
              </w:rPr>
              <w:t>部门业绩系数</w:t>
            </w:r>
          </w:p>
        </w:tc>
        <w:tc>
          <w:tcPr>
            <w:tcW w:type="dxa" w:w="3022"/>
          </w:tcPr>
          <w:p>
            <w:pPr>
              <w:jc w:val="center"/>
            </w:pPr>
            <w:r>
              <w:rPr>
                <w:rFonts w:ascii="宋体" w:hAnsi="宋体" w:eastAsia="宋体"/>
                <w:b/>
                <w:sz w:val="18"/>
              </w:rPr>
              <w:t>说明</w:t>
            </w:r>
          </w:p>
        </w:tc>
      </w:tr>
      <w:tr>
        <w:tc>
          <w:tcPr>
            <w:tcW w:type="dxa" w:w="3022"/>
          </w:tcPr>
          <w:p>
            <w:pPr>
              <w:jc w:val="center"/>
            </w:pPr>
            <w:r>
              <w:rPr>
                <w:rFonts w:ascii="宋体" w:hAnsi="宋体" w:eastAsia="宋体"/>
                <w:sz w:val="18"/>
              </w:rPr>
              <w:t>≥95</w:t>
            </w:r>
          </w:p>
        </w:tc>
        <w:tc>
          <w:tcPr>
            <w:tcW w:type="dxa" w:w="3022"/>
          </w:tcPr>
          <w:p>
            <w:pPr>
              <w:jc w:val="center"/>
            </w:pPr>
            <w:r>
              <w:rPr>
                <w:rFonts w:ascii="宋体" w:hAnsi="宋体" w:eastAsia="宋体"/>
                <w:sz w:val="18"/>
              </w:rPr>
              <w:t>1.2</w:t>
            </w:r>
          </w:p>
        </w:tc>
        <w:tc>
          <w:tcPr>
            <w:tcW w:type="dxa" w:w="3022"/>
          </w:tcPr>
          <w:p>
            <w:pPr>
              <w:jc w:val="center"/>
            </w:pPr>
            <w:r>
              <w:rPr>
                <w:rFonts w:ascii="宋体" w:hAnsi="宋体" w:eastAsia="宋体"/>
                <w:sz w:val="18"/>
              </w:rPr>
              <w:t>优秀部门，绩效上浮20%</w:t>
            </w:r>
          </w:p>
        </w:tc>
      </w:tr>
      <w:tr>
        <w:tc>
          <w:tcPr>
            <w:tcW w:type="dxa" w:w="3022"/>
          </w:tcPr>
          <w:p>
            <w:pPr>
              <w:jc w:val="center"/>
            </w:pPr>
            <w:r>
              <w:rPr>
                <w:rFonts w:ascii="宋体" w:hAnsi="宋体" w:eastAsia="宋体"/>
                <w:sz w:val="18"/>
              </w:rPr>
              <w:t>85-94</w:t>
            </w:r>
          </w:p>
        </w:tc>
        <w:tc>
          <w:tcPr>
            <w:tcW w:type="dxa" w:w="3022"/>
          </w:tcPr>
          <w:p>
            <w:pPr>
              <w:jc w:val="center"/>
            </w:pPr>
            <w:r>
              <w:rPr>
                <w:rFonts w:ascii="宋体" w:hAnsi="宋体" w:eastAsia="宋体"/>
                <w:sz w:val="18"/>
              </w:rPr>
              <w:t>1.0-1.1</w:t>
            </w:r>
          </w:p>
        </w:tc>
        <w:tc>
          <w:tcPr>
            <w:tcW w:type="dxa" w:w="3022"/>
          </w:tcPr>
          <w:p>
            <w:pPr>
              <w:jc w:val="center"/>
            </w:pPr>
            <w:r>
              <w:rPr>
                <w:rFonts w:ascii="宋体" w:hAnsi="宋体" w:eastAsia="宋体"/>
                <w:sz w:val="18"/>
              </w:rPr>
              <w:t>良好，线性插值</w:t>
            </w:r>
          </w:p>
        </w:tc>
      </w:tr>
      <w:tr>
        <w:tc>
          <w:tcPr>
            <w:tcW w:type="dxa" w:w="3022"/>
          </w:tcPr>
          <w:p>
            <w:pPr>
              <w:jc w:val="center"/>
            </w:pPr>
            <w:r>
              <w:rPr>
                <w:rFonts w:ascii="宋体" w:hAnsi="宋体" w:eastAsia="宋体"/>
                <w:sz w:val="18"/>
              </w:rPr>
              <w:t>75-84</w:t>
            </w:r>
          </w:p>
        </w:tc>
        <w:tc>
          <w:tcPr>
            <w:tcW w:type="dxa" w:w="3022"/>
          </w:tcPr>
          <w:p>
            <w:pPr>
              <w:jc w:val="center"/>
            </w:pPr>
            <w:r>
              <w:rPr>
                <w:rFonts w:ascii="宋体" w:hAnsi="宋体" w:eastAsia="宋体"/>
                <w:sz w:val="18"/>
              </w:rPr>
              <w:t>0.9-1.0</w:t>
            </w:r>
          </w:p>
        </w:tc>
        <w:tc>
          <w:tcPr>
            <w:tcW w:type="dxa" w:w="3022"/>
          </w:tcPr>
          <w:p>
            <w:pPr>
              <w:jc w:val="center"/>
            </w:pPr>
            <w:r>
              <w:rPr>
                <w:rFonts w:ascii="宋体" w:hAnsi="宋体" w:eastAsia="宋体"/>
                <w:sz w:val="18"/>
              </w:rPr>
              <w:t>合格，略有下调</w:t>
            </w:r>
          </w:p>
        </w:tc>
      </w:tr>
      <w:tr>
        <w:tc>
          <w:tcPr>
            <w:tcW w:type="dxa" w:w="3022"/>
          </w:tcPr>
          <w:p>
            <w:pPr>
              <w:jc w:val="center"/>
            </w:pPr>
            <w:r>
              <w:rPr>
                <w:rFonts w:ascii="宋体" w:hAnsi="宋体" w:eastAsia="宋体"/>
                <w:sz w:val="18"/>
              </w:rPr>
              <w:t>65-74</w:t>
            </w:r>
          </w:p>
        </w:tc>
        <w:tc>
          <w:tcPr>
            <w:tcW w:type="dxa" w:w="3022"/>
          </w:tcPr>
          <w:p>
            <w:pPr>
              <w:jc w:val="center"/>
            </w:pPr>
            <w:r>
              <w:rPr>
                <w:rFonts w:ascii="宋体" w:hAnsi="宋体" w:eastAsia="宋体"/>
                <w:sz w:val="18"/>
              </w:rPr>
              <w:t>0.7-0.9</w:t>
            </w:r>
          </w:p>
        </w:tc>
        <w:tc>
          <w:tcPr>
            <w:tcW w:type="dxa" w:w="3022"/>
          </w:tcPr>
          <w:p>
            <w:pPr>
              <w:jc w:val="center"/>
            </w:pPr>
            <w:r>
              <w:rPr>
                <w:rFonts w:ascii="宋体" w:hAnsi="宋体" w:eastAsia="宋体"/>
                <w:sz w:val="18"/>
              </w:rPr>
              <w:t>需改进，绩效压缩</w:t>
            </w:r>
          </w:p>
        </w:tc>
      </w:tr>
      <w:tr>
        <w:tc>
          <w:tcPr>
            <w:tcW w:type="dxa" w:w="3022"/>
          </w:tcPr>
          <w:p>
            <w:pPr>
              <w:jc w:val="center"/>
            </w:pPr>
            <w:r>
              <w:rPr>
                <w:rFonts w:ascii="宋体" w:hAnsi="宋体" w:eastAsia="宋体"/>
                <w:sz w:val="18"/>
              </w:rPr>
              <w:t>&lt;65</w:t>
            </w:r>
          </w:p>
        </w:tc>
        <w:tc>
          <w:tcPr>
            <w:tcW w:type="dxa" w:w="3022"/>
          </w:tcPr>
          <w:p>
            <w:pPr>
              <w:jc w:val="center"/>
            </w:pPr>
            <w:r>
              <w:rPr>
                <w:rFonts w:ascii="宋体" w:hAnsi="宋体" w:eastAsia="宋体"/>
                <w:sz w:val="18"/>
              </w:rPr>
              <w:t>0.5</w:t>
            </w:r>
          </w:p>
        </w:tc>
        <w:tc>
          <w:tcPr>
            <w:tcW w:type="dxa" w:w="3022"/>
          </w:tcPr>
          <w:p>
            <w:pPr>
              <w:jc w:val="center"/>
            </w:pPr>
            <w:r>
              <w:rPr>
                <w:rFonts w:ascii="宋体" w:hAnsi="宋体" w:eastAsia="宋体"/>
                <w:sz w:val="18"/>
              </w:rPr>
              <w:t>不合格，绩效大幅压缩，部门负责人约谈</w:t>
            </w:r>
          </w:p>
        </w:tc>
      </w:tr>
    </w:tbl>
    <w:p>
      <w:pPr>
        <w:spacing w:after="80"/>
      </w:pPr>
      <w:r>
        <w:rPr>
          <w:rFonts w:ascii="宋体" w:hAnsi="宋体" w:eastAsia="宋体"/>
          <w:b w:val="0"/>
          <w:sz w:val="24"/>
        </w:rPr>
      </w:r>
    </w:p>
    <w:p>
      <w:pPr>
        <w:spacing w:before="240" w:after="120"/>
        <w:jc w:val="left"/>
      </w:pPr>
      <w:r>
        <w:rPr>
          <w:rFonts w:ascii="黑体" w:hAnsi="黑体" w:eastAsia="黑体"/>
          <w:b/>
          <w:sz w:val="28"/>
        </w:rPr>
        <w:t>第四章  部门绩效总额计算</w:t>
      </w:r>
    </w:p>
    <w:p>
      <w:pPr>
        <w:spacing w:after="80"/>
        <w:ind w:firstLine="420"/>
      </w:pPr>
      <w:r>
        <w:rPr>
          <w:rFonts w:ascii="黑体" w:hAnsi="黑体" w:eastAsia="黑体"/>
          <w:b/>
          <w:sz w:val="24"/>
        </w:rPr>
        <w:t xml:space="preserve">第十二条  </w:t>
      </w:r>
      <w:r>
        <w:rPr>
          <w:rFonts w:ascii="仿宋" w:hAnsi="仿宋" w:eastAsia="仿宋"/>
          <w:sz w:val="24"/>
        </w:rPr>
        <w:t>部门季度绩效总额计算公式：</w:t>
        <w:br/>
        <w:br/>
        <w:t xml:space="preserve">    部门季度绩效总额 = 部门绩效基数 × 部门在岗人数 × 公司业绩系数 × 部门业绩系数</w:t>
        <w:br/>
        <w:br/>
        <w:t>其中：</w:t>
        <w:br/>
        <w:t>（一）部门绩效基数：由总经理根据公司年度薪酬预算确定，每季度动态调整；</w:t>
        <w:br/>
        <w:t>（二）部门在岗人数：以季度末实际在岗人数为准（不含试用期前3个月人员）；</w:t>
        <w:br/>
        <w:t>（三）公司业绩系数：按本办法第六条确定；</w:t>
        <w:br/>
        <w:t>（四）部门业绩系数：按本办法第十一条确定。</w:t>
      </w:r>
    </w:p>
    <w:p>
      <w:pPr>
        <w:spacing w:after="80"/>
        <w:ind w:firstLine="420"/>
      </w:pPr>
      <w:r>
        <w:rPr>
          <w:rFonts w:ascii="黑体" w:hAnsi="黑体" w:eastAsia="黑体"/>
          <w:b/>
          <w:sz w:val="24"/>
        </w:rPr>
        <w:t xml:space="preserve">第十三条  </w:t>
      </w:r>
      <w:r>
        <w:rPr>
          <w:rFonts w:ascii="仿宋" w:hAnsi="仿宋" w:eastAsia="仿宋"/>
          <w:sz w:val="24"/>
        </w:rPr>
        <w:t>季度预发上限不超过部门季度绩效总额的75%，剩余25%在年度清算时根据全年综合得分发放。</w:t>
      </w:r>
    </w:p>
    <w:p>
      <w:pPr>
        <w:spacing w:after="80"/>
        <w:ind w:firstLine="420"/>
      </w:pPr>
      <w:r>
        <w:rPr>
          <w:rFonts w:ascii="黑体" w:hAnsi="黑体" w:eastAsia="黑体"/>
          <w:b/>
          <w:sz w:val="24"/>
        </w:rPr>
        <w:t xml:space="preserve">第十四条  </w:t>
      </w:r>
      <w:r>
        <w:rPr>
          <w:rFonts w:ascii="仿宋" w:hAnsi="仿宋" w:eastAsia="仿宋"/>
          <w:sz w:val="24"/>
        </w:rPr>
        <w:t>部门绩效总额计算示例：</w:t>
        <w:br/>
        <w:br/>
        <w:t>假设：审计业务部10人，绩效基数3000元/人/季，本季度公司业绩系数1.1，部门业绩系数1.05</w:t>
        <w:br/>
        <w:br/>
        <w:t>部门季度绩效总额 = 3000 × 10 × 1.1 × 1.05 = 34,650元</w:t>
        <w:br/>
        <w:br/>
        <w:t>季度预发上限 = 34,650 × 75% = 25,987.5元</w:t>
        <w:br/>
        <w:t>年度清算预留 = 34,650 × 25% = 8,662.5元</w:t>
      </w:r>
    </w:p>
    <w:p>
      <w:pPr>
        <w:spacing w:before="240" w:after="120"/>
        <w:jc w:val="left"/>
      </w:pPr>
      <w:r>
        <w:rPr>
          <w:rFonts w:ascii="黑体" w:hAnsi="黑体" w:eastAsia="黑体"/>
          <w:b/>
          <w:sz w:val="28"/>
        </w:rPr>
        <w:t>第五章  部门内部差异化分配</w:t>
      </w:r>
    </w:p>
    <w:p>
      <w:pPr>
        <w:spacing w:after="80"/>
        <w:ind w:firstLine="420"/>
      </w:pPr>
      <w:r>
        <w:rPr>
          <w:rFonts w:ascii="黑体" w:hAnsi="黑体" w:eastAsia="黑体"/>
          <w:b/>
          <w:sz w:val="24"/>
        </w:rPr>
        <w:t xml:space="preserve">第十五条  </w:t>
      </w:r>
      <w:r>
        <w:rPr>
          <w:rFonts w:ascii="仿宋" w:hAnsi="仿宋" w:eastAsia="仿宋"/>
          <w:sz w:val="24"/>
        </w:rPr>
        <w:t>部门绩效总额确定后，由部门负责人按员工个人绩效考核结果差异化分配，严禁平均分配。分配规则：</w:t>
        <w:br/>
        <w:br/>
        <w:t xml:space="preserve">    个人季度绩效工资 = 部门绩效总额 × (个人绩效系数 × 个人岗位权重) ÷ ∑(全员绩效系数 × 岗位权重)</w:t>
        <w:br/>
        <w:br/>
        <w:t>其中：</w:t>
        <w:br/>
        <w:t>（一）个人绩效系数：按《员工绩效考核办法》确定的ABCD等级对应系数（A=1.2, B=1.0, C=0.8, D=0.5）；</w:t>
        <w:br/>
        <w:t>（二）岗位权重：部门负责人1.5，项目经理/骨干1.2，普通员工1.0，试用期员工0.6。</w:t>
      </w:r>
    </w:p>
    <w:p>
      <w:pPr>
        <w:spacing w:after="80"/>
        <w:ind w:firstLine="420"/>
      </w:pPr>
      <w:r>
        <w:rPr>
          <w:rFonts w:ascii="黑体" w:hAnsi="黑体" w:eastAsia="黑体"/>
          <w:b/>
          <w:sz w:val="24"/>
        </w:rPr>
        <w:t xml:space="preserve">第十六条  </w:t>
      </w:r>
      <w:r>
        <w:rPr>
          <w:rFonts w:ascii="仿宋" w:hAnsi="仿宋" w:eastAsia="仿宋"/>
          <w:sz w:val="24"/>
        </w:rPr>
        <w:t>部门内部绩效分配须经以下程序：</w:t>
        <w:br/>
        <w:t>（一）部门负责人提出分配方案；</w:t>
        <w:br/>
        <w:t>（二）与每位员工面谈确认；</w:t>
        <w:br/>
        <w:t>（三）报人力资源备案；</w:t>
        <w:br/>
        <w:t>（四）总经理审批后发放。</w:t>
      </w:r>
    </w:p>
    <w:p>
      <w:pPr>
        <w:spacing w:after="80"/>
        <w:ind w:firstLine="420"/>
      </w:pPr>
      <w:r>
        <w:rPr>
          <w:rFonts w:ascii="黑体" w:hAnsi="黑体" w:eastAsia="黑体"/>
          <w:b/>
          <w:sz w:val="24"/>
        </w:rPr>
        <w:t xml:space="preserve">第十七条  </w:t>
      </w:r>
      <w:r>
        <w:rPr>
          <w:rFonts w:ascii="仿宋" w:hAnsi="仿宋" w:eastAsia="仿宋"/>
          <w:sz w:val="24"/>
        </w:rPr>
        <w:t>以下情形视为违规分配，人力资源有权退回并要求重新分配：</w:t>
        <w:br/>
        <w:t>（一）部门内所有人绩效系数完全相同（平均分配）；</w:t>
        <w:br/>
        <w:t>（二）最高与最低绩效差距小于30%（区分度不足）；</w:t>
        <w:br/>
        <w:t>（三）无书面面谈记录。</w:t>
      </w:r>
    </w:p>
    <w:p>
      <w:pPr>
        <w:spacing w:before="240" w:after="120"/>
        <w:jc w:val="left"/>
      </w:pPr>
      <w:r>
        <w:rPr>
          <w:rFonts w:ascii="黑体" w:hAnsi="黑体" w:eastAsia="黑体"/>
          <w:b/>
          <w:sz w:val="28"/>
        </w:rPr>
        <w:t>第六章  特殊情况处理</w:t>
      </w:r>
    </w:p>
    <w:p>
      <w:pPr>
        <w:spacing w:after="80"/>
        <w:ind w:firstLine="420"/>
      </w:pPr>
      <w:r>
        <w:rPr>
          <w:rFonts w:ascii="黑体" w:hAnsi="黑体" w:eastAsia="黑体"/>
          <w:b/>
          <w:sz w:val="24"/>
        </w:rPr>
        <w:t xml:space="preserve">第十八条  </w:t>
      </w:r>
      <w:r>
        <w:rPr>
          <w:rFonts w:ascii="仿宋" w:hAnsi="仿宋" w:eastAsia="仿宋"/>
          <w:sz w:val="24"/>
        </w:rPr>
        <w:t>新设部门或部门合并/拆分：</w:t>
        <w:br/>
        <w:t>（一）新设部门首季度按公司平均业绩系数1.0和部门业绩系数0.9计算；</w:t>
        <w:br/>
        <w:t>（二）部门合并的，按合并后部门的实际得分计算；</w:t>
        <w:br/>
        <w:t>（三）部门拆分的，按拆分前部门得分分别计算，或按新部门实际得分计算（由总经理决定）。</w:t>
      </w:r>
    </w:p>
    <w:p>
      <w:pPr>
        <w:spacing w:after="80"/>
        <w:ind w:firstLine="420"/>
      </w:pPr>
      <w:r>
        <w:rPr>
          <w:rFonts w:ascii="黑体" w:hAnsi="黑体" w:eastAsia="黑体"/>
          <w:b/>
          <w:sz w:val="24"/>
        </w:rPr>
        <w:t xml:space="preserve">第十九条  </w:t>
      </w:r>
      <w:r>
        <w:rPr>
          <w:rFonts w:ascii="仿宋" w:hAnsi="仿宋" w:eastAsia="仿宋"/>
          <w:sz w:val="24"/>
        </w:rPr>
        <w:t>部门人员变动：</w:t>
        <w:br/>
        <w:t>（一）季度内调入人员：按实际在岗天数折算；</w:t>
        <w:br/>
        <w:t>（二）季度内调出人员：绩效关系随人转移，原部门不再计入；</w:t>
        <w:br/>
        <w:t>（三）离职人员：按实际在岗天数计算，已发放的不追回。</w:t>
      </w:r>
    </w:p>
    <w:p>
      <w:pPr>
        <w:spacing w:after="80"/>
        <w:ind w:firstLine="420"/>
      </w:pPr>
      <w:r>
        <w:rPr>
          <w:rFonts w:ascii="黑体" w:hAnsi="黑体" w:eastAsia="黑体"/>
          <w:b/>
          <w:sz w:val="24"/>
        </w:rPr>
        <w:t xml:space="preserve">第二十条  </w:t>
      </w:r>
      <w:r>
        <w:rPr>
          <w:rFonts w:ascii="仿宋" w:hAnsi="仿宋" w:eastAsia="仿宋"/>
          <w:sz w:val="24"/>
        </w:rPr>
        <w:t>不可抗力或重大政策变化：</w:t>
        <w:br/>
        <w:t>因政府政策调整、客户重大违约等不可抗力因素导致公司经营业绩或部门交付严重受影响的，由总经理办公会研究后，可调整当季公司业绩系数或部门业绩系数。</w:t>
      </w:r>
    </w:p>
    <w:p>
      <w:pPr>
        <w:spacing w:before="240" w:after="120"/>
        <w:jc w:val="left"/>
      </w:pPr>
      <w:r>
        <w:rPr>
          <w:rFonts w:ascii="黑体" w:hAnsi="黑体" w:eastAsia="黑体"/>
          <w:b/>
          <w:sz w:val="28"/>
        </w:rPr>
        <w:t>第七章  考核程序</w:t>
      </w:r>
    </w:p>
    <w:p>
      <w:pPr>
        <w:spacing w:after="80"/>
        <w:ind w:firstLine="420"/>
      </w:pPr>
      <w:r>
        <w:rPr>
          <w:rFonts w:ascii="黑体" w:hAnsi="黑体" w:eastAsia="黑体"/>
          <w:b/>
          <w:sz w:val="24"/>
        </w:rPr>
        <w:t xml:space="preserve">第二十一条  </w:t>
      </w:r>
      <w:r>
        <w:rPr>
          <w:rFonts w:ascii="仿宋" w:hAnsi="仿宋" w:eastAsia="仿宋"/>
          <w:sz w:val="24"/>
        </w:rPr>
        <w:t>季度考核流程：</w:t>
        <w:br/>
        <w:t>（一）次季度首月5日前，财务部出具上季度公司经营业绩数据；</w:t>
        <w:br/>
        <w:t>（二）次季度首月8日前，各部门提交部门交付数据和管理数据；</w:t>
        <w:br/>
        <w:t>（三）次季度首月10日前，人力资源汇总计算公司业绩系数和各部门业绩系数；</w:t>
        <w:br/>
        <w:t>（四）次季度首月12日前，各部门提交内部绩效分配方案；</w:t>
        <w:br/>
        <w:t>（五）次季度首月15日前，总经理审批后发放。</w:t>
      </w:r>
    </w:p>
    <w:p>
      <w:pPr>
        <w:spacing w:after="80"/>
        <w:ind w:firstLine="420"/>
      </w:pPr>
      <w:r>
        <w:rPr>
          <w:rFonts w:ascii="黑体" w:hAnsi="黑体" w:eastAsia="黑体"/>
          <w:b/>
          <w:sz w:val="24"/>
        </w:rPr>
        <w:t xml:space="preserve">第二十二条  </w:t>
      </w:r>
      <w:r>
        <w:rPr>
          <w:rFonts w:ascii="仿宋" w:hAnsi="仿宋" w:eastAsia="仿宋"/>
          <w:sz w:val="24"/>
        </w:rPr>
        <w:t>年度考核清算：</w:t>
        <w:br/>
        <w:t>（一）年度终了后20个工作日内，财务部出具全年经营业绩数据；</w:t>
        <w:br/>
        <w:t>（二）人力资源计算全年公司业绩系数和各部门业绩系数；</w:t>
        <w:br/>
        <w:t>（三）按全年数据重新计算各部门全年绩效总额，扣除季度已预发部分，差额在年度清算时一次性发放或扣回；</w:t>
        <w:br/>
        <w:t>（四）年度清算结果经总经理审批后执行。</w:t>
      </w:r>
    </w:p>
    <w:p>
      <w:pPr>
        <w:spacing w:after="80"/>
        <w:ind w:firstLine="420"/>
      </w:pPr>
      <w:r>
        <w:rPr>
          <w:rFonts w:ascii="黑体" w:hAnsi="黑体" w:eastAsia="黑体"/>
          <w:b/>
          <w:sz w:val="24"/>
        </w:rPr>
        <w:t xml:space="preserve">第二十三条  </w:t>
      </w:r>
      <w:r>
        <w:rPr>
          <w:rFonts w:ascii="仿宋" w:hAnsi="仿宋" w:eastAsia="仿宋"/>
          <w:sz w:val="24"/>
        </w:rPr>
        <w:t>部门对考核结果有异议的，可在结果公布后3个工作日内向总经理提出书面申诉，总经理在5个工作日内组织复核并反馈。</w:t>
      </w:r>
    </w:p>
    <w:p>
      <w:pPr>
        <w:spacing w:before="240" w:after="120"/>
        <w:jc w:val="left"/>
      </w:pPr>
      <w:r>
        <w:rPr>
          <w:rFonts w:ascii="黑体" w:hAnsi="黑体" w:eastAsia="黑体"/>
          <w:b/>
          <w:sz w:val="28"/>
        </w:rPr>
        <w:t>第八章  附  则</w:t>
      </w:r>
    </w:p>
    <w:p>
      <w:pPr>
        <w:spacing w:after="80"/>
        <w:ind w:firstLine="420"/>
      </w:pPr>
      <w:r>
        <w:rPr>
          <w:rFonts w:ascii="黑体" w:hAnsi="黑体" w:eastAsia="黑体"/>
          <w:b/>
          <w:sz w:val="24"/>
        </w:rPr>
        <w:t xml:space="preserve">第二十四条  </w:t>
      </w:r>
      <w:r>
        <w:rPr>
          <w:rFonts w:ascii="仿宋" w:hAnsi="仿宋" w:eastAsia="仿宋"/>
          <w:sz w:val="24"/>
        </w:rPr>
        <w:t>本办法与《员工绩效考核办法》（RC-HR-005）的关系：</w:t>
        <w:br/>
        <w:t>（一）本办法确定部门绩效总盘子和部门业绩系数；</w:t>
        <w:br/>
        <w:t>（二）《员工绩效考核办法》确定部门内部个人绩效等级和差异化分配规则；</w:t>
        <w:br/>
        <w:t>（三）两者配套使用，缺一不可。</w:t>
      </w:r>
    </w:p>
    <w:p>
      <w:pPr>
        <w:spacing w:after="80"/>
        <w:ind w:firstLine="420"/>
      </w:pPr>
      <w:r>
        <w:rPr>
          <w:rFonts w:ascii="黑体" w:hAnsi="黑体" w:eastAsia="黑体"/>
          <w:b/>
          <w:sz w:val="24"/>
        </w:rPr>
        <w:t xml:space="preserve">第二十五条  </w:t>
      </w:r>
      <w:r>
        <w:rPr>
          <w:rFonts w:ascii="仿宋" w:hAnsi="仿宋" w:eastAsia="仿宋"/>
          <w:sz w:val="24"/>
        </w:rPr>
        <w:t>本办法自2026年  月  日起施行。</w:t>
      </w:r>
    </w:p>
    <w:p>
      <w:pPr>
        <w:spacing w:after="80"/>
        <w:ind w:firstLine="420"/>
      </w:pPr>
      <w:r>
        <w:rPr>
          <w:rFonts w:ascii="黑体" w:hAnsi="黑体" w:eastAsia="黑体"/>
          <w:b/>
          <w:sz w:val="24"/>
        </w:rPr>
        <w:t xml:space="preserve">第二十六条  </w:t>
      </w:r>
      <w:r>
        <w:rPr>
          <w:rFonts w:ascii="仿宋" w:hAnsi="仿宋" w:eastAsia="仿宋"/>
          <w:sz w:val="24"/>
        </w:rPr>
        <w:t>本办法由人力资源负责解释。</w:t>
      </w:r>
    </w:p>
    <w:p>
      <w:pPr>
        <w:spacing w:after="80"/>
      </w:pPr>
      <w:r>
        <w:rPr>
          <w:rFonts w:ascii="宋体" w:hAnsi="宋体" w:eastAsia="宋体"/>
          <w:b w:val="0"/>
          <w:sz w:val="24"/>
        </w:rPr>
      </w:r>
    </w:p>
    <w:p>
      <w:pPr>
        <w:spacing w:after="80"/>
        <w:ind w:firstLine="420"/>
      </w:pPr>
      <w:r>
        <w:rPr>
          <w:rFonts w:ascii="宋体" w:hAnsi="宋体" w:eastAsia="宋体"/>
          <w:b w:val="0"/>
          <w:sz w:val="24"/>
        </w:rPr>
        <w:t>附件：1. 部门绩效考核指标计算表（模板）</w:t>
      </w:r>
    </w:p>
    <w:p>
      <w:pPr>
        <w:spacing w:after="80"/>
        <w:ind w:firstLine="420"/>
      </w:pPr>
      <w:r>
        <w:rPr>
          <w:rFonts w:ascii="宋体" w:hAnsi="宋体" w:eastAsia="宋体"/>
          <w:b w:val="0"/>
          <w:sz w:val="24"/>
        </w:rPr>
        <w:t xml:space="preserve">        2. 部门绩效分配方案表（模板）</w:t>
      </w:r>
    </w:p>
    <w:p>
      <w:pPr>
        <w:spacing w:after="80"/>
      </w:pPr>
      <w:r>
        <w:rPr>
          <w:rFonts w:ascii="宋体" w:hAnsi="宋体" w:eastAsia="宋体"/>
          <w:b w:val="0"/>
          <w:sz w:val="24"/>
        </w:rPr>
      </w:r>
    </w:p>
    <w:p>
      <w:pPr>
        <w:spacing w:after="80"/>
      </w:pPr>
      <w:r>
        <w:rPr>
          <w:rFonts w:ascii="宋体" w:hAnsi="宋体" w:eastAsia="宋体"/>
          <w:b w:val="0"/>
          <w:sz w:val="24"/>
        </w:rPr>
        <w:t>抄送：总经理，各部门负责人，存档。</w:t>
      </w:r>
    </w:p>
    <w:p>
      <w:pPr>
        <w:spacing w:after="80"/>
      </w:pPr>
      <w:r>
        <w:rPr>
          <w:rFonts w:ascii="宋体" w:hAnsi="宋体" w:eastAsia="宋体"/>
          <w:b w:val="0"/>
          <w:sz w:val="24"/>
        </w:rPr>
      </w:r>
    </w:p>
    <w:p>
      <w:pPr>
        <w:spacing w:after="80"/>
      </w:pPr>
      <w:r>
        <w:rPr>
          <w:rFonts w:ascii="宋体" w:hAnsi="宋体" w:eastAsia="宋体"/>
          <w:b w:val="0"/>
          <w:sz w:val="24"/>
        </w:rPr>
        <w:t>四川融策会计师事务所有限公司办公室         2026年  月  日印发</w:t>
      </w:r>
    </w:p>
    <w:sectPr w:rsidR="00FC693F" w:rsidRPr="0006063C" w:rsidSect="00034616">
      <w:pgSz w:w="12240" w:h="15840"/>
      <w:pgMar w:top="1417" w:right="1587" w:bottom="113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