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项目回款与清欠专项考核办法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制度编号：RC-FIN-006  版本：V2.0  修订日期：2026年7月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为强化项目回款管理，建立"以回款论英雄"的考核导向，根据公司《项目收入确认与回款管理制度》（RC-FIN-002），制定本办法。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本办法适用于公司全部业务项目的回款考核。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双清定义：</w:t>
        <w:br/>
        <w:t>（一）"清收"：清理和回收已完工项目的应收账款，主要责任人为项目经理。</w:t>
        <w:br/>
        <w:t>（二）"清欠"：清理和追回其他应收款、挂账款等，主要责任人为财务部。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考核原则：以奖为主、以罚为辅；量化到人、责任到岗；按月统计、季度考核。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【民主程序】本办法经公司全体职工大会讨论通过。全体员工须签署《制度签收确认表》。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考核对象与指标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考核对象：项目经理（第一责任人）、部门负责人（督促责任人）、财务部清欠岗（执行责任人）。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项目经理考核指标：</w:t>
        <w:br/>
        <w:t>（一）项目回款完成率 = 实际回款 ÷ 应收目标 × 100%。应收目标以合同约定付款节点计算；合同未约定的，按行业惯例：交付后90天内≥70%，180天内≥95%。</w:t>
        <w:br/>
        <w:t>（二）长期挂账消减数。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部门负责人：部门综合回款率 + 超9月挂账消减率。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财务部：年度清欠完成率 + 超1年挂账销号率。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考核奖罚标准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项目经理奖惩标准：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回款完成率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奖惩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≥100%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奖励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超出部分每1%奖项目奖金2%，封顶30%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90%-100%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不奖不罚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75%-90%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轻度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当季个人绩效系数下调一级（如B→C）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60%-75%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中度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绩效系数下调一级+项目奖金扣减20%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&lt;60%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重度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绩效系数定为D级(0.5)，取消该项目全部奖金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说明：绩效系数下调仅影响当季绩效工资，不影响基本工资。扣减后薪酬不低于当地最低工资标准。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长期挂账消减奖励：每催回一笔超1年挂账，奖励回款金额的2%，单笔上限5,000元。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部门负责人奖惩：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回款率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奖惩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≥95%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奖励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部门绩效系数上浮0.1，封顶1.2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85%-95%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不奖不罚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70%-85%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处罚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部门绩效系数下调0.1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50%-70%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较重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系数下调0.2+绩效面谈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&lt;50%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严重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系数下调0.3+总经理约谈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财务部清欠奖惩：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清欠完成率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奖惩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方式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≥100%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奖励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每高1%奖800元，封顶15,000元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80%-100%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不奖不罚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——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60%-80%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处罚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个人绩效系数下调一级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40%-60%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较重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下调两级</w:t>
            </w:r>
          </w:p>
        </w:tc>
      </w:tr>
      <w:tr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&lt;40%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严重</w:t>
            </w:r>
          </w:p>
        </w:tc>
        <w:tc>
          <w:tcPr>
            <w:tcW w:type="dxa" w:w="3022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定为D级，调离清欠岗位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【赔偿上限】因项目经理明显怠于催收（连续90天无催收记录）导致坏账的：</w:t>
        <w:br/>
        <w:t>（一）该项目回款完成率按零分计算；</w:t>
        <w:br/>
        <w:t>（二）赔偿每月不超过月工资20%，扣除后不低于最低工资标准；</w:t>
        <w:br/>
        <w:t>（三）赔偿总额以半年工资为上限；</w:t>
        <w:br/>
        <w:t>（四）坏账认定须经财务部初审→总经理办公会审议→外部审计认可。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年度绩效扣罚上限为绩效工资总额的50%（不含基本工资），且不低于最低工资标准。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考核程序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第十六条  </w:t>
      </w:r>
      <w:r>
        <w:rPr>
          <w:rFonts w:ascii="仿宋" w:hAnsi="仿宋" w:eastAsia="仿宋"/>
          <w:sz w:val="24"/>
        </w:rPr>
        <w:t>每年1月15日前编制《年度双清目标清单》。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第十七条  </w:t>
      </w:r>
      <w:r>
        <w:rPr>
          <w:rFonts w:ascii="仿宋" w:hAnsi="仿宋" w:eastAsia="仿宋"/>
          <w:sz w:val="24"/>
        </w:rPr>
        <w:t>每月5日前出具《项目回款月报》。排名仅发总经理和部门负责人，不公开通报。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第十八条  </w:t>
      </w:r>
      <w:r>
        <w:rPr>
          <w:rFonts w:ascii="仿宋" w:hAnsi="仿宋" w:eastAsia="仿宋"/>
          <w:sz w:val="24"/>
        </w:rPr>
        <w:t>每季度首月10日前计算奖惩，总经理审批后执行。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第十九条  </w:t>
      </w:r>
      <w:r>
        <w:rPr>
          <w:rFonts w:ascii="仿宋" w:hAnsi="仿宋" w:eastAsia="仿宋"/>
          <w:sz w:val="24"/>
        </w:rPr>
        <w:t>岗位变动的按实际任职时间分段计算。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配套措施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第二十条  </w:t>
      </w:r>
      <w:r>
        <w:rPr>
          <w:rFonts w:ascii="仿宋" w:hAnsi="仿宋" w:eastAsia="仿宋"/>
          <w:sz w:val="24"/>
        </w:rPr>
        <w:t>催收工具：财务部统一制作《催收函》模板。逾期超180天可协调律师发函。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第二十一条  </w:t>
      </w:r>
      <w:r>
        <w:rPr>
          <w:rFonts w:ascii="仿宋" w:hAnsi="仿宋" w:eastAsia="仿宋"/>
          <w:sz w:val="24"/>
        </w:rPr>
        <w:t>催收记录：项目经理每周五前汇总本周催收记录并更新台账。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第二十二条  </w:t>
      </w:r>
      <w:r>
        <w:rPr>
          <w:rFonts w:ascii="仿宋" w:hAnsi="仿宋" w:eastAsia="仿宋"/>
          <w:sz w:val="24"/>
        </w:rPr>
        <w:t>"暂停合作"通道：逾期超180天、催收3次无果的政府客户，可申请暂停新业务合作。必要时向上级主管部门反映。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第二十三条  </w:t>
      </w:r>
      <w:r>
        <w:rPr>
          <w:rFonts w:ascii="仿宋" w:hAnsi="仿宋" w:eastAsia="仿宋"/>
          <w:sz w:val="24"/>
        </w:rPr>
        <w:t>红黄灯预警（仅发总经理和部门负责人）：🟢≥90%正常 | 🟡60%-90%部门负责人约谈 | 🔴&lt;60%总经理约谈。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第六章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第二十四条  </w:t>
      </w:r>
      <w:r>
        <w:rPr>
          <w:rFonts w:ascii="仿宋" w:hAnsi="仿宋" w:eastAsia="仿宋"/>
          <w:sz w:val="24"/>
        </w:rPr>
        <w:t>本办法与RC-FIN-002并行执行。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第二十五条  </w:t>
      </w:r>
      <w:r>
        <w:rPr>
          <w:rFonts w:ascii="仿宋" w:hAnsi="仿宋" w:eastAsia="仿宋"/>
          <w:sz w:val="24"/>
        </w:rPr>
        <w:t>本办法自2026年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第二十六条  </w:t>
      </w:r>
      <w:r>
        <w:rPr>
          <w:rFonts w:ascii="仿宋" w:hAnsi="仿宋" w:eastAsia="仿宋"/>
          <w:sz w:val="24"/>
        </w:rPr>
        <w:t>本办法由财务部负责解释。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《项目回款与清欠专项考核办法》签收确认表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签收日期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声明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</w:tbl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注：本表由人力资源统一保管，作为制度已告知员工的书面证据。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