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四川融策会计师事务所有限公司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28"/>
        </w:rPr>
        <w:t>四川融策工程咨询有限公司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仿宋" w:hAnsi="仿宋" w:eastAsia="仿宋"/>
          <w:sz w:val="28"/>
        </w:rPr>
        <w:t>融策发〔2026〕  号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36"/>
        </w:rPr>
        <w:t>关于印发《项目回款与清欠专项考核办法》的通知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公司各部门：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为进一步压实项目回款责任，加速资金回笼，降低应收账款存量，杜绝"签了合同不管钱、干了活没人收钱"的管理盲区，根据《RC-FIN-002 项目收入确认与回款管理制度》相关规定，结合公司项目制运营实际，制定了《项目回款与清欠专项考核办法》，经公司办公会议审议通过，现予印发，请遵照执行。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jc w:val="right"/>
      </w:pPr>
      <w:r>
        <w:rPr>
          <w:rFonts w:ascii="宋体" w:hAnsi="宋体" w:eastAsia="宋体"/>
          <w:b w:val="0"/>
          <w:sz w:val="24"/>
        </w:rPr>
        <w:t>四川融策会计师事务所有限公司</w:t>
      </w:r>
    </w:p>
    <w:p>
      <w:pPr>
        <w:spacing w:after="120"/>
        <w:jc w:val="right"/>
      </w:pPr>
      <w:r>
        <w:rPr>
          <w:rFonts w:ascii="宋体" w:hAnsi="宋体" w:eastAsia="宋体"/>
          <w:b w:val="0"/>
          <w:sz w:val="24"/>
        </w:rPr>
        <w:t>四川融策工程咨询有限公司</w:t>
      </w:r>
    </w:p>
    <w:p>
      <w:pPr>
        <w:spacing w:after="120"/>
        <w:jc w:val="right"/>
      </w:pPr>
      <w:r>
        <w:rPr>
          <w:rFonts w:ascii="宋体" w:hAnsi="宋体" w:eastAsia="宋体"/>
          <w:b w:val="0"/>
          <w:sz w:val="24"/>
        </w:rPr>
        <w:t>2026年  月  日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36"/>
        </w:rPr>
        <w:t>项目回款与清欠专项考核办法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0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为强化项目回款管理，建立"以回款论英雄"的考核导向，切实解决公司应收账款居高不下、部分项目长期挂账的问题，根据公司《项目收入确认与回款管理制度》（RC-FIN-002），制定本办法。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本办法适用于公司全部业务项目的回款考核，覆盖审计业务部、工程咨询部及财务部涉及回款和清欠职责的全体人员。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双清定义：</w:t>
        <w:br/>
        <w:t>（一）"清收"：指清理和回收已完工项目的应收账款，主要责任人为项目经理（审计组长/工程项目负责人）。</w:t>
        <w:br/>
        <w:t>（二）"清欠"：指清理和追回其他应收款、挂账款、代垫款等，主要责任人为财务部相关岗位。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双清专项考核坚持以下原则：</w:t>
        <w:br/>
        <w:t>（一）以奖为主、以罚为辅，正向激励优先；</w:t>
        <w:br/>
        <w:t>（二）量化到人、责任到岗，杜绝"大锅饭"；</w:t>
        <w:br/>
        <w:t>（三）按月通报、季度考核、年度清算。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0"/>
        </w:rPr>
        <w:t>第二章  考核对象与指标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考核对象分为三类：</w:t>
        <w:br/>
        <w:t>（一）项目经理（含审计组长、工程项目负责人）——项目回款第一责任人；</w:t>
        <w:br/>
        <w:t>（二）部门负责人（审计业务部经理、工程咨询部经理）——部门整体回款督促责任人；</w:t>
        <w:br/>
        <w:t>（三）财务部清欠岗——协助清欠和长期挂账清理责任人。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项目经理考核指标：</w:t>
        <w:br/>
        <w:t>（一）项目回款完成率 = 考核期内该项目实际回款金额 ÷ 该项目当期应收目标金额 × 100%。</w:t>
        <w:br/>
        <w:t>应收目标金额以合同约定的付款节点计算，无明确节点的按以下规则确定：</w:t>
        <w:br/>
        <w:t xml:space="preserve">  · 项目完工交付后60天内应收不低于合同总额的70%；</w:t>
        <w:br/>
        <w:t xml:space="preserve">  · 项目完工交付后180天内应收不低于合同总额的95%；</w:t>
        <w:br/>
        <w:t xml:space="preserve">  · 质保金/尾款按合同约定时间计算。</w:t>
        <w:br/>
        <w:t>（二）长期挂账消减数：考核期内完成催收并到账的超1年挂账项目数量。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部门负责人考核指标：</w:t>
        <w:br/>
        <w:t>（一）部门综合回款率 = 部门管辖全部项目实际回款总额 ÷ 部门全部项目应收目标总额 × 100%；</w:t>
        <w:br/>
        <w:t>（二）部门超9月挂账项目消减率 = 考核期内部门消减的超9月挂账项目数 ÷ 年初部门超9月挂账项目总数 × 100%。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财务部考核指标：</w:t>
        <w:br/>
        <w:t>（一）年度清欠完成率 = 年度已清理其他应收款金额 ÷ 年度清欠目标金额 × 100%；</w:t>
        <w:br/>
        <w:t>（二）超1年挂账销号率 = 年度内完成销号处理的超1年挂账笔数 ÷ 年初超1年挂账总笔数 × 100%。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0"/>
        </w:rPr>
        <w:t>第三章  考核奖罚标准</w:t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第九条  项目经理项目回款奖惩标准：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回款完成率区间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奖惩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计算方式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上限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≥100%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奖励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超出100%部分，每高1个百分点奖励项目奖金的2%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项目奖金总额的30%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90%～100%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不奖不罚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75%～90%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轻度处罚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每低1个百分点扣减项目奖金的1%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扣至项目奖金的15%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60%～75%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中度处罚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每低1个百分点扣减项目奖金的1.5%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扣至项目奖金的35%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＜60%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重度处罚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取消该项目全部奖金，项目经理本年度不得承接新项目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第十条  长期挂账消减专项奖励：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项目经理每成功催收回一笔超1年挂账项目款项，额外奖励该笔回款金额的2%，单笔奖励上限5,000元。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第十一条  部门负责人奖惩标准：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部门综合回款率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奖惩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计算方式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上限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≥95%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奖励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超出95%部分，每高1个百分点奖励500元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封顶10,000元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85%～95%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不奖不罚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70%～85%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每低1个百分点扣罚200元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上限扣罚4,000元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50%～70%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较重处罚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每低1个百分点扣罚300元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上限扣罚8,000元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＜50%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严重处罚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扣罚10,000元，年度不得评优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420"/>
      </w:pPr>
      <w:r>
        <w:rPr>
          <w:rFonts w:ascii="宋体" w:hAnsi="宋体" w:eastAsia="宋体"/>
          <w:b/>
          <w:sz w:val="24"/>
        </w:rPr>
        <w:t>第十二条  财务部清欠奖惩标准：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年度清欠完成率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奖惩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计算方式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上限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≥100%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奖励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超出100%部分，每高1个百分点奖励800元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封顶15,000元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80%～100%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不奖不罚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60%～80%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每低1个百分点扣罚300元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上限扣罚6,000元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40%～60%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较重处罚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每低1个百分点扣罚500元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上限扣罚12,000元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＜40%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严重处罚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扣罚15,000元，调离清欠岗位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——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第十三条  扣罚以年度绩效工资为上限（扣至零为止）。奖励金额在年度绩效工资清算时一并发放。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0"/>
        </w:rPr>
        <w:t>第四章  考核程序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每年1月15日前，财务部汇总上年度全部项目应收目标金额，按项目、按部门编制《年度双清目标清单》，经总经理审批后作为当年考核基准。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每月5日前，财务部编制上月《项目回款月报》和《应收账款账龄分析表》，发送总经理及各部门负责人，并在公司月度例会上通报回款进度排名。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第十六条  </w:t>
      </w:r>
      <w:r>
        <w:rPr>
          <w:rFonts w:ascii="仿宋" w:hAnsi="仿宋" w:eastAsia="仿宋"/>
          <w:sz w:val="24"/>
        </w:rPr>
        <w:t>每季度首月10日前，财务部按本办法第九条至第十二条标准，计算上季度各考核对象的奖惩金额，形成《季度双清考核结果表》，经总经理审批后执行。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第十七条  </w:t>
      </w:r>
      <w:r>
        <w:rPr>
          <w:rFonts w:ascii="仿宋" w:hAnsi="仿宋" w:eastAsia="仿宋"/>
          <w:sz w:val="24"/>
        </w:rPr>
        <w:t>年度终了后20个工作日内，财务部汇总全年回款数据，完成年度双清考核清算：</w:t>
        <w:br/>
        <w:t>（一）季度考核中已发放的奖励不扣回；</w:t>
        <w:br/>
        <w:t>（二）季度考核中已执行的处罚不退还；</w:t>
        <w:br/>
        <w:t>（三）年度清算仅对全年综合完成率进行总奖罚核算，扣除季度已兑现部分后多退少补。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第十八条  </w:t>
      </w:r>
      <w:r>
        <w:rPr>
          <w:rFonts w:ascii="仿宋" w:hAnsi="仿宋" w:eastAsia="仿宋"/>
          <w:sz w:val="24"/>
        </w:rPr>
        <w:t>考核期内岗位发生变动的，按实际任职时间分段计算。项目移交的，回款责任随项目转移，移交时须在移交清单中写明回款状态。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0"/>
        </w:rPr>
        <w:t>第五章  配套措施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第十九条  </w:t>
      </w:r>
      <w:r>
        <w:rPr>
          <w:rFonts w:ascii="仿宋" w:hAnsi="仿宋" w:eastAsia="仿宋"/>
          <w:sz w:val="24"/>
        </w:rPr>
        <w:t>催收工具保障：财务部统一制作《催收函》模板，项目经理发起催收时可直接套用。对逾期超过90天的项目，财务部配合出具律师函版本，必要时协调外部律师介入。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第二十条  </w:t>
      </w:r>
      <w:r>
        <w:rPr>
          <w:rFonts w:ascii="仿宋" w:hAnsi="仿宋" w:eastAsia="仿宋"/>
          <w:sz w:val="24"/>
        </w:rPr>
        <w:t>催收记录管理：所有催收行为（电话、微信、上门、发函）须留痕，项目经理应在催收完成后24小时内在回款台账中记录，作为考核依据。无催收记录的挂账项目，发生坏账时项目经理承担主要责任。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第二十一条  </w:t>
      </w:r>
      <w:r>
        <w:rPr>
          <w:rFonts w:ascii="仿宋" w:hAnsi="仿宋" w:eastAsia="仿宋"/>
          <w:sz w:val="24"/>
        </w:rPr>
        <w:t>"以诉促收"通道：对逾期超过180天、催收3次以上无实质进展的项目，项目经理可申请启动法律催收程序。经总经理批准后，由财务部协调外部律师推进。通过诉讼回款的金额按正常考核计算，诉讼费用计入项目成本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第二十二条  </w:t>
      </w:r>
      <w:r>
        <w:rPr>
          <w:rFonts w:ascii="仿宋" w:hAnsi="仿宋" w:eastAsia="仿宋"/>
          <w:sz w:val="24"/>
        </w:rPr>
        <w:t>红黄灯预警：财务部每月出具的项目回款月报中标注——</w:t>
        <w:br/>
        <w:t xml:space="preserve">  🟢 绿灯：回款进度正常（≥计划进度的90%）</w:t>
        <w:br/>
        <w:t xml:space="preserve">  🟡 黄灯：回款滞后（计划进度的60%～90%），由部门负责人约谈项目经理</w:t>
        <w:br/>
        <w:t xml:space="preserve">  🔴 红灯：回款严重滞后（＜计划进度的60%），由总经理约谈项目经理及部门负责人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30"/>
        </w:rPr>
        <w:t>第六章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第二十三条  </w:t>
      </w:r>
      <w:r>
        <w:rPr>
          <w:rFonts w:ascii="仿宋" w:hAnsi="仿宋" w:eastAsia="仿宋"/>
          <w:sz w:val="24"/>
        </w:rPr>
        <w:t>本办法与《RC-FIN-002 项目收入确认与回款管理制度》并行执行。RC-FIN-002侧重流程规范，本办法侧重量化激励；两者有冲突的，以本办法为准。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第二十四条  </w:t>
      </w:r>
      <w:r>
        <w:rPr>
          <w:rFonts w:ascii="仿宋" w:hAnsi="仿宋" w:eastAsia="仿宋"/>
          <w:sz w:val="24"/>
        </w:rPr>
        <w:t>本办法自2026年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第二十五条  </w:t>
      </w:r>
      <w:r>
        <w:rPr>
          <w:rFonts w:ascii="仿宋" w:hAnsi="仿宋" w:eastAsia="仿宋"/>
          <w:sz w:val="24"/>
        </w:rPr>
        <w:t>本办法由财务部负责解释。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>附件：1. 年度双清目标清单（模板）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    2. 季度双清考核结果表（模板）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4"/>
        </w:rPr>
        <w:t xml:space="preserve">        3. 项目回款月报（模板）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抄送：总经理，财务部，审计业务部，工程咨询部，存档。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四川融策会计师事务所有限公司办公室         2026年  月  日印发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