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134"/>
        <w:gridCol w:w="7937"/>
      </w:tblGrid>
      <w:tr>
        <w:tc>
          <w:tcPr>
            <w:tcW w:type="dxa" w:w="4592"/>
            <w:shd w:fill="061A33"/>
            <w:tcBorders>
              <w:top w:val="single" w:sz="6" w:space="0" w:color="061A33"/>
              <w:left w:val="single" w:sz="6" w:space="0" w:color="061A33"/>
              <w:bottom w:val="single" w:sz="6" w:space="0" w:color="061A33"/>
              <w:right w:val="single" w:sz="6" w:space="0" w:color="061A33"/>
              <w:insideH w:val="single" w:sz="6" w:space="0" w:color="061A33"/>
              <w:insideV w:val="single" w:sz="6" w:space="0" w:color="061A33"/>
            </w:tcBorders>
          </w:tcPr>
          <w:p>
            <w:pPr>
              <w:jc w:val="center"/>
            </w:pPr>
            <w:r>
              <w:rPr>
                <w:rFonts w:ascii="Microsoft YaHei" w:hAnsi="Microsoft YaHei" w:eastAsia="Microsoft YaHei"/>
                <w:b/>
                <w:color w:val="D6B071"/>
                <w:sz w:val="36"/>
              </w:rPr>
              <w:t>融</w:t>
              <w:br/>
              <w:t>策</w:t>
              <w:br/>
              <w:t>审</w:t>
              <w:br/>
              <w:t>盾</w:t>
            </w:r>
          </w:p>
        </w:tc>
        <w:tc>
          <w:tcPr>
            <w:tcW w:type="dxa" w:w="4592"/>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tc>
      </w:tr>
    </w:tbl>
    <w:p>
      <w:pPr>
        <w:spacing w:line="348" w:lineRule="auto" w:after="560"/>
      </w:pPr>
      <w:r>
        <w:rPr>
          <w:rFonts w:ascii="Microsoft YaHei" w:hAnsi="Microsoft YaHei" w:eastAsia="Microsoft YaHei"/>
          <w:b/>
          <w:color w:val="B88A44"/>
          <w:sz w:val="22"/>
        </w:rPr>
        <w:t>行业深度报告 | AI审计中台系列</w:t>
      </w:r>
    </w:p>
    <w:p>
      <w:pPr>
        <w:spacing w:line="348" w:lineRule="auto" w:after="280"/>
      </w:pPr>
      <w:r>
        <w:rPr>
          <w:rFonts w:ascii="Microsoft YaHei" w:hAnsi="Microsoft YaHei" w:eastAsia="Microsoft YaHei"/>
          <w:b/>
          <w:color w:val="061A33"/>
          <w:sz w:val="56"/>
        </w:rPr>
        <w:t>融策AI审计中台：</w:t>
        <w:br/>
        <w:t>重塑政府审计的数据穿透力</w:t>
      </w:r>
    </w:p>
    <w:p>
      <w:pPr>
        <w:spacing w:line="348" w:lineRule="auto" w:after="560"/>
      </w:pPr>
      <w:r>
        <w:rPr>
          <w:rFonts w:ascii="Microsoft YaHei" w:hAnsi="Microsoft YaHei" w:eastAsia="Microsoft YaHei"/>
          <w:b w:val="0"/>
          <w:color w:val="1A6F78"/>
          <w:sz w:val="32"/>
        </w:rPr>
        <w:t>——从信息化核查到智能交叉验证的0到1跃迁</w:t>
      </w:r>
    </w:p>
    <w:p>
      <w:pPr>
        <w:spacing w:line="348" w:lineRule="auto" w:after="440"/>
        <w:ind w:left="113" w:right="680"/>
      </w:pPr>
      <w:r>
        <w:rPr>
          <w:rFonts w:ascii="Microsoft YaHei" w:hAnsi="Microsoft YaHei" w:eastAsia="Microsoft YaHei"/>
          <w:b w:val="0"/>
          <w:color w:val="1F2933"/>
          <w:sz w:val="23"/>
        </w:rPr>
        <w:t>本报告复刻券商深度研报的结构逻辑，以“观点先行、图表作证、判断落地”为核心，形成适用于绩效评价、经责审计、专项资金、工程决算等业务线的标准化研报 Word 版母版。</w:t>
      </w:r>
    </w:p>
    <w:tbl>
      <w:tblPr>
        <w:tblW w:type="auto" w:w="0"/>
        <w:jc w:val="right"/>
        <w:tblLook w:firstColumn="1" w:firstRow="1" w:lastColumn="0" w:lastRow="0" w:noHBand="0" w:noVBand="1" w:val="04A0"/>
      </w:tblPr>
      <w:tblGrid>
        <w:gridCol w:w="4592"/>
        <w:gridCol w:w="4592"/>
      </w:tblGrid>
      <w:tr>
        <w:tc>
          <w:tcPr>
            <w:tcW w:type="dxa" w:w="4592"/>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
              <w:rPr>
                <w:rFonts w:ascii="Microsoft YaHei" w:hAnsi="Microsoft YaHei" w:eastAsia="Microsoft YaHei"/>
                <w:b/>
                <w:color w:val="53616D"/>
                <w:sz w:val="18"/>
              </w:rPr>
              <w:t>分析师</w:t>
            </w:r>
          </w:p>
        </w:tc>
        <w:tc>
          <w:tcPr>
            <w:tcW w:type="dxa" w:w="4592"/>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
              <w:rPr>
                <w:rFonts w:ascii="Microsoft YaHei" w:hAnsi="Microsoft YaHei" w:eastAsia="Microsoft YaHei"/>
                <w:b w:val="0"/>
                <w:color w:val="1F2933"/>
                <w:sz w:val="18"/>
              </w:rPr>
              <w:t>融策右护卫</w:t>
            </w:r>
          </w:p>
        </w:tc>
      </w:tr>
      <w:tr>
        <w:tc>
          <w:tcPr>
            <w:tcW w:type="dxa" w:w="4592"/>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
              <w:rPr>
                <w:rFonts w:ascii="Microsoft YaHei" w:hAnsi="Microsoft YaHei" w:eastAsia="Microsoft YaHei"/>
                <w:b/>
                <w:color w:val="53616D"/>
                <w:sz w:val="18"/>
              </w:rPr>
              <w:t>报告版本</w:t>
            </w:r>
          </w:p>
        </w:tc>
        <w:tc>
          <w:tcPr>
            <w:tcW w:type="dxa" w:w="4592"/>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
              <w:rPr>
                <w:rFonts w:ascii="Microsoft YaHei" w:hAnsi="Microsoft YaHei" w:eastAsia="Microsoft YaHei"/>
                <w:b w:val="0"/>
                <w:color w:val="1F2933"/>
                <w:sz w:val="18"/>
              </w:rPr>
              <w:t>Word母版 v1.0</w:t>
            </w:r>
          </w:p>
        </w:tc>
      </w:tr>
      <w:tr>
        <w:tc>
          <w:tcPr>
            <w:tcW w:type="dxa" w:w="4592"/>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
              <w:rPr>
                <w:rFonts w:ascii="Microsoft YaHei" w:hAnsi="Microsoft YaHei" w:eastAsia="Microsoft YaHei"/>
                <w:b/>
                <w:color w:val="53616D"/>
                <w:sz w:val="18"/>
              </w:rPr>
              <w:t>报告日期</w:t>
            </w:r>
          </w:p>
        </w:tc>
        <w:tc>
          <w:tcPr>
            <w:tcW w:type="dxa" w:w="4592"/>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
              <w:rPr>
                <w:rFonts w:ascii="Microsoft YaHei" w:hAnsi="Microsoft YaHei" w:eastAsia="Microsoft YaHei"/>
                <w:b w:val="0"/>
                <w:color w:val="1F2933"/>
                <w:sz w:val="18"/>
              </w:rPr>
              <w:t>2026年7月21日</w:t>
            </w:r>
          </w:p>
        </w:tc>
      </w:tr>
      <w:tr>
        <w:tc>
          <w:tcPr>
            <w:tcW w:type="dxa" w:w="4592"/>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
              <w:rPr>
                <w:rFonts w:ascii="Microsoft YaHei" w:hAnsi="Microsoft YaHei" w:eastAsia="Microsoft YaHei"/>
                <w:b/>
                <w:color w:val="53616D"/>
                <w:sz w:val="18"/>
              </w:rPr>
              <w:t>适用场景</w:t>
            </w:r>
          </w:p>
        </w:tc>
        <w:tc>
          <w:tcPr>
            <w:tcW w:type="dxa" w:w="4592"/>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
              <w:rPr>
                <w:rFonts w:ascii="Microsoft YaHei" w:hAnsi="Microsoft YaHei" w:eastAsia="Microsoft YaHei"/>
                <w:b w:val="0"/>
                <w:color w:val="1F2933"/>
                <w:sz w:val="18"/>
              </w:rPr>
              <w:t>绩效评价 / 经责审计 / 工程决算 / 专项资金</w:t>
            </w:r>
          </w:p>
        </w:tc>
      </w:tr>
    </w:tbl>
    <w:p>
      <w:r>
        <w:br w:type="page"/>
      </w:r>
    </w:p>
    <w:p>
      <w:pPr>
        <w:pStyle w:val="Heading1"/>
      </w:pPr>
      <w:r>
        <w:t>核心观点</w:t>
      </w:r>
    </w:p>
    <w:tbl>
      <w:tblPr>
        <w:tblW w:type="auto" w:w="0"/>
        <w:jc w:val="center"/>
        <w:tblLayout w:type="fixed"/>
        <w:tblLook w:firstColumn="1" w:firstRow="1" w:lastColumn="0" w:lastRow="0" w:noHBand="0" w:noVBand="1" w:val="04A0"/>
      </w:tblPr>
      <w:tblGrid>
        <w:gridCol w:w="680"/>
        <w:gridCol w:w="8050"/>
      </w:tblGrid>
      <w:tr>
        <w:tc>
          <w:tcPr>
            <w:tcW w:type="dxa" w:w="4592"/>
            <w:shd w:fill="061A33"/>
            <w:tcBorders>
              <w:top w:val="single" w:sz="6" w:space="0" w:color="061A33"/>
              <w:left w:val="single" w:sz="6" w:space="0" w:color="061A33"/>
              <w:bottom w:val="single" w:sz="6" w:space="0" w:color="061A33"/>
              <w:right w:val="single" w:sz="6" w:space="0" w:color="061A33"/>
              <w:insideH w:val="single" w:sz="6" w:space="0" w:color="061A33"/>
              <w:insideV w:val="single" w:sz="6" w:space="0" w:color="061A33"/>
            </w:tcBorders>
          </w:tcPr>
          <w:p>
            <w:pPr>
              <w:jc w:val="center"/>
            </w:pPr>
            <w:r>
              <w:rPr>
                <w:rFonts w:ascii="Microsoft YaHei" w:hAnsi="Microsoft YaHei" w:eastAsia="Microsoft YaHei"/>
                <w:b/>
                <w:color w:val="D6B071"/>
                <w:sz w:val="32"/>
              </w:rPr>
              <w:t>01</w:t>
            </w:r>
          </w:p>
        </w:tc>
        <w:tc>
          <w:tcPr>
            <w:tcW w:type="dxa" w:w="4592"/>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Pr>
                <w:rFonts w:ascii="Microsoft YaHei" w:hAnsi="Microsoft YaHei" w:eastAsia="Microsoft YaHei"/>
                <w:b/>
                <w:color w:val="061A33"/>
                <w:sz w:val="23"/>
              </w:rPr>
              <w:t>不是做“漂亮图表”，而是做证据链页面</w:t>
              <w:br/>
            </w:r>
            <w:r>
              <w:rPr>
                <w:rFonts w:ascii="Microsoft YaHei" w:hAnsi="Microsoft YaHei" w:eastAsia="Microsoft YaHei"/>
                <w:b w:val="0"/>
                <w:color w:val="1F2933"/>
                <w:sz w:val="20"/>
              </w:rPr>
              <w:t>每页必须有一个明确判断，并用KPI、图表、右侧解释和来源共同支撑。</w:t>
            </w:r>
          </w:p>
        </w:tc>
      </w:tr>
    </w:tbl>
    <w:p>
      <w:pPr>
        <w:spacing w:line="348" w:lineRule="auto" w:after="80"/>
      </w:pPr>
      <w:r>
        <w:rPr>
          <w:rFonts w:ascii="Microsoft YaHei" w:hAnsi="Microsoft YaHei" w:eastAsia="Microsoft YaHei"/>
          <w:b w:val="0"/>
          <w:color w:val="1F2933"/>
          <w:sz w:val="21"/>
        </w:rPr>
      </w:r>
    </w:p>
    <w:tbl>
      <w:tblPr>
        <w:tblW w:type="auto" w:w="0"/>
        <w:jc w:val="center"/>
        <w:tblLayout w:type="fixed"/>
        <w:tblLook w:firstColumn="1" w:firstRow="1" w:lastColumn="0" w:lastRow="0" w:noHBand="0" w:noVBand="1" w:val="04A0"/>
      </w:tblPr>
      <w:tblGrid>
        <w:gridCol w:w="680"/>
        <w:gridCol w:w="8050"/>
      </w:tblGrid>
      <w:tr>
        <w:tc>
          <w:tcPr>
            <w:tcW w:type="dxa" w:w="4592"/>
            <w:shd w:fill="061A33"/>
            <w:tcBorders>
              <w:top w:val="single" w:sz="6" w:space="0" w:color="061A33"/>
              <w:left w:val="single" w:sz="6" w:space="0" w:color="061A33"/>
              <w:bottom w:val="single" w:sz="6" w:space="0" w:color="061A33"/>
              <w:right w:val="single" w:sz="6" w:space="0" w:color="061A33"/>
              <w:insideH w:val="single" w:sz="6" w:space="0" w:color="061A33"/>
              <w:insideV w:val="single" w:sz="6" w:space="0" w:color="061A33"/>
            </w:tcBorders>
          </w:tcPr>
          <w:p>
            <w:pPr>
              <w:jc w:val="center"/>
            </w:pPr>
            <w:r>
              <w:rPr>
                <w:rFonts w:ascii="Microsoft YaHei" w:hAnsi="Microsoft YaHei" w:eastAsia="Microsoft YaHei"/>
                <w:b/>
                <w:color w:val="D6B071"/>
                <w:sz w:val="32"/>
              </w:rPr>
              <w:t>02</w:t>
            </w:r>
          </w:p>
        </w:tc>
        <w:tc>
          <w:tcPr>
            <w:tcW w:type="dxa" w:w="4592"/>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Pr>
                <w:rFonts w:ascii="Microsoft YaHei" w:hAnsi="Microsoft YaHei" w:eastAsia="Microsoft YaHei"/>
                <w:b/>
                <w:color w:val="061A33"/>
                <w:sz w:val="23"/>
              </w:rPr>
              <w:t>研报模板应服务融策业务线，而非照搬券商金融话术</w:t>
              <w:br/>
            </w:r>
            <w:r>
              <w:rPr>
                <w:rFonts w:ascii="Microsoft YaHei" w:hAnsi="Microsoft YaHei" w:eastAsia="Microsoft YaHei"/>
                <w:b w:val="0"/>
                <w:color w:val="1F2933"/>
                <w:sz w:val="20"/>
              </w:rPr>
              <w:t>绩效评价、经责审计、工程决算、专项资金各自需要不同的数据口径与图表母版。</w:t>
            </w:r>
          </w:p>
        </w:tc>
      </w:tr>
    </w:tbl>
    <w:p>
      <w:pPr>
        <w:spacing w:line="348" w:lineRule="auto" w:after="80"/>
      </w:pPr>
      <w:r>
        <w:rPr>
          <w:rFonts w:ascii="Microsoft YaHei" w:hAnsi="Microsoft YaHei" w:eastAsia="Microsoft YaHei"/>
          <w:b w:val="0"/>
          <w:color w:val="1F2933"/>
          <w:sz w:val="21"/>
        </w:rPr>
      </w:r>
    </w:p>
    <w:tbl>
      <w:tblPr>
        <w:tblW w:type="auto" w:w="0"/>
        <w:jc w:val="center"/>
        <w:tblLayout w:type="fixed"/>
        <w:tblLook w:firstColumn="1" w:firstRow="1" w:lastColumn="0" w:lastRow="0" w:noHBand="0" w:noVBand="1" w:val="04A0"/>
      </w:tblPr>
      <w:tblGrid>
        <w:gridCol w:w="680"/>
        <w:gridCol w:w="8050"/>
      </w:tblGrid>
      <w:tr>
        <w:tc>
          <w:tcPr>
            <w:tcW w:type="dxa" w:w="4592"/>
            <w:shd w:fill="061A33"/>
            <w:tcBorders>
              <w:top w:val="single" w:sz="6" w:space="0" w:color="061A33"/>
              <w:left w:val="single" w:sz="6" w:space="0" w:color="061A33"/>
              <w:bottom w:val="single" w:sz="6" w:space="0" w:color="061A33"/>
              <w:right w:val="single" w:sz="6" w:space="0" w:color="061A33"/>
              <w:insideH w:val="single" w:sz="6" w:space="0" w:color="061A33"/>
              <w:insideV w:val="single" w:sz="6" w:space="0" w:color="061A33"/>
            </w:tcBorders>
          </w:tcPr>
          <w:p>
            <w:pPr>
              <w:jc w:val="center"/>
            </w:pPr>
            <w:r>
              <w:rPr>
                <w:rFonts w:ascii="Microsoft YaHei" w:hAnsi="Microsoft YaHei" w:eastAsia="Microsoft YaHei"/>
                <w:b/>
                <w:color w:val="D6B071"/>
                <w:sz w:val="32"/>
              </w:rPr>
              <w:t>03</w:t>
            </w:r>
          </w:p>
        </w:tc>
        <w:tc>
          <w:tcPr>
            <w:tcW w:type="dxa" w:w="4592"/>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r>
              <w:rPr>
                <w:rFonts w:ascii="Microsoft YaHei" w:hAnsi="Microsoft YaHei" w:eastAsia="Microsoft YaHei"/>
                <w:b/>
                <w:color w:val="061A33"/>
                <w:sz w:val="23"/>
              </w:rPr>
              <w:t>Word用于正式归档，PPTX用于客户汇报和内部打磨</w:t>
              <w:br/>
            </w:r>
            <w:r>
              <w:rPr>
                <w:rFonts w:ascii="Microsoft YaHei" w:hAnsi="Microsoft YaHei" w:eastAsia="Microsoft YaHei"/>
                <w:b w:val="0"/>
                <w:color w:val="1F2933"/>
                <w:sz w:val="20"/>
              </w:rPr>
              <w:t>正式交付需要正文逻辑、图表、表格、依据、免责声明完整闭环。</w:t>
            </w:r>
          </w:p>
        </w:tc>
      </w:tr>
    </w:tbl>
    <w:p>
      <w:pPr>
        <w:spacing w:line="348" w:lineRule="auto" w:after="80"/>
      </w:pPr>
      <w:r>
        <w:rPr>
          <w:rFonts w:ascii="Microsoft YaHei" w:hAnsi="Microsoft YaHei" w:eastAsia="Microsoft YaHei"/>
          <w:b w:val="0"/>
          <w:color w:val="1F2933"/>
          <w:sz w:val="21"/>
        </w:rPr>
      </w:r>
    </w:p>
    <w:p>
      <w:r>
        <w:br w:type="page"/>
      </w:r>
    </w:p>
    <w:p>
      <w:pPr>
        <w:pStyle w:val="Heading1"/>
      </w:pPr>
      <w:r>
        <w:t>目录</w:t>
      </w:r>
    </w:p>
    <w:p>
      <w:r>
        <w:rPr>
          <w:rFonts w:ascii="Microsoft YaHei" w:hAnsi="Microsoft YaHei" w:eastAsia="Microsoft YaHei"/>
          <w:b w:val="0"/>
          <w:color w:val="1F2933"/>
          <w:sz w:val="22"/>
        </w:rPr>
        <w:t>一、行业痛点：传统审计报告为何不够像研报</w:t>
      </w:r>
      <w:r>
        <w:rPr>
          <w:rFonts w:ascii="Microsoft YaHei" w:hAnsi="Microsoft YaHei" w:eastAsia="Microsoft YaHei"/>
          <w:b w:val="0"/>
          <w:color w:val="8793A0"/>
          <w:sz w:val="22"/>
        </w:rPr>
        <w:t xml:space="preserve">                    4</w:t>
      </w:r>
    </w:p>
    <w:p>
      <w:r>
        <w:rPr>
          <w:rFonts w:ascii="Microsoft YaHei" w:hAnsi="Microsoft YaHei" w:eastAsia="Microsoft YaHei"/>
          <w:b w:val="0"/>
          <w:color w:val="1F2933"/>
          <w:sz w:val="22"/>
        </w:rPr>
        <w:t>二、图文分析：财政收入修复斜率与税收弹性</w:t>
      </w:r>
      <w:r>
        <w:rPr>
          <w:rFonts w:ascii="Microsoft YaHei" w:hAnsi="Microsoft YaHei" w:eastAsia="Microsoft YaHei"/>
          <w:b w:val="0"/>
          <w:color w:val="8793A0"/>
          <w:sz w:val="22"/>
        </w:rPr>
        <w:t xml:space="preserve">                    5</w:t>
      </w:r>
    </w:p>
    <w:p>
      <w:r>
        <w:rPr>
          <w:rFonts w:ascii="Microsoft YaHei" w:hAnsi="Microsoft YaHei" w:eastAsia="Microsoft YaHei"/>
          <w:b w:val="0"/>
          <w:color w:val="1F2933"/>
          <w:sz w:val="22"/>
        </w:rPr>
        <w:t>三、数据表格：业务线模板化程度与AI适配度</w:t>
      </w:r>
      <w:r>
        <w:rPr>
          <w:rFonts w:ascii="Microsoft YaHei" w:hAnsi="Microsoft YaHei" w:eastAsia="Microsoft YaHei"/>
          <w:b w:val="0"/>
          <w:color w:val="8793A0"/>
          <w:sz w:val="22"/>
        </w:rPr>
        <w:t xml:space="preserve">                    6</w:t>
      </w:r>
    </w:p>
    <w:p>
      <w:r>
        <w:rPr>
          <w:rFonts w:ascii="Microsoft YaHei" w:hAnsi="Microsoft YaHei" w:eastAsia="Microsoft YaHei"/>
          <w:b w:val="0"/>
          <w:color w:val="1F2933"/>
          <w:sz w:val="22"/>
        </w:rPr>
        <w:t>四、方法论：观点-指标-图表-解释-行动</w:t>
      </w:r>
      <w:r>
        <w:rPr>
          <w:rFonts w:ascii="Microsoft YaHei" w:hAnsi="Microsoft YaHei" w:eastAsia="Microsoft YaHei"/>
          <w:b w:val="0"/>
          <w:color w:val="8793A0"/>
          <w:sz w:val="22"/>
        </w:rPr>
        <w:t xml:space="preserve">                    7</w:t>
      </w:r>
    </w:p>
    <w:p>
      <w:r>
        <w:rPr>
          <w:rFonts w:ascii="Microsoft YaHei" w:hAnsi="Microsoft YaHei" w:eastAsia="Microsoft YaHei"/>
          <w:b w:val="0"/>
          <w:color w:val="1F2933"/>
          <w:sz w:val="22"/>
        </w:rPr>
        <w:t>五、结论与行动建议</w:t>
      </w:r>
      <w:r>
        <w:rPr>
          <w:rFonts w:ascii="Microsoft YaHei" w:hAnsi="Microsoft YaHei" w:eastAsia="Microsoft YaHei"/>
          <w:b w:val="0"/>
          <w:color w:val="8793A0"/>
          <w:sz w:val="22"/>
        </w:rPr>
        <w:t xml:space="preserve">                    8</w:t>
      </w:r>
    </w:p>
    <w:p>
      <w:r>
        <w:rPr>
          <w:rFonts w:ascii="Microsoft YaHei" w:hAnsi="Microsoft YaHei" w:eastAsia="Microsoft YaHei"/>
          <w:b w:val="0"/>
          <w:color w:val="1F2933"/>
          <w:sz w:val="22"/>
        </w:rPr>
        <w:t>免责声明</w:t>
      </w:r>
      <w:r>
        <w:rPr>
          <w:rFonts w:ascii="Microsoft YaHei" w:hAnsi="Microsoft YaHei" w:eastAsia="Microsoft YaHei"/>
          <w:b w:val="0"/>
          <w:color w:val="8793A0"/>
          <w:sz w:val="22"/>
        </w:rPr>
        <w:t xml:space="preserve">                    9</w:t>
      </w:r>
    </w:p>
    <w:p>
      <w:pPr>
        <w:spacing w:line="348" w:lineRule="auto" w:after="120"/>
      </w:pPr>
      <w:r>
        <w:rPr>
          <w:rFonts w:ascii="Microsoft YaHei" w:hAnsi="Microsoft YaHei" w:eastAsia="Microsoft YaHei"/>
          <w:b w:val="0"/>
          <w:color w:val="8793A0"/>
          <w:sz w:val="17"/>
        </w:rPr>
        <w:t>注：正式出具前可使用 Word“引用-目录”自动更新目录。</w:t>
      </w:r>
    </w:p>
    <w:p>
      <w:r>
        <w:br w:type="page"/>
      </w:r>
    </w:p>
    <w:p>
      <w:pPr>
        <w:pStyle w:val="Heading1"/>
      </w:pPr>
      <w:r>
        <w:t>一、行业痛点：传统审计报告为何不够像研报</w:t>
      </w:r>
    </w:p>
    <w:p>
      <w:pPr>
        <w:spacing w:line="348" w:lineRule="auto" w:after="120"/>
      </w:pPr>
      <w:r>
        <w:rPr>
          <w:rFonts w:ascii="Microsoft YaHei" w:hAnsi="Microsoft YaHei" w:eastAsia="Microsoft YaHei"/>
          <w:b w:val="0"/>
          <w:color w:val="1F2933"/>
          <w:sz w:val="21"/>
        </w:rPr>
        <w:t>传统审计报告的问题并非没有内容，而是信息组织方式过于“底稿化”：先堆事实，再列问题，最后给建议。券商研报的强项在于先给判断，再组织证据，让读者在第一页就知道结论，在正文中逐步建立信任。</w:t>
      </w:r>
    </w:p>
    <w:p>
      <w:pPr>
        <w:spacing w:line="348" w:lineRule="auto" w:after="120"/>
      </w:pPr>
      <w:r>
        <w:rPr>
          <w:rFonts w:ascii="Microsoft YaHei" w:hAnsi="Microsoft YaHei" w:eastAsia="Microsoft YaHei"/>
          <w:b w:val="0"/>
          <w:color w:val="061A33"/>
          <w:sz w:val="21"/>
        </w:rPr>
        <w:t>对融策而言，研报化不是包装，而是把复杂审计发现转译成客户能快速理解和决策的表达方式。</w:t>
      </w:r>
    </w:p>
    <w:p>
      <w:pPr>
        <w:pStyle w:val="Heading2"/>
      </w:pPr>
      <w:r>
        <w:t>1.1 报告页的标准闭环</w:t>
      </w:r>
    </w:p>
    <w:p>
      <w:pPr>
        <w:spacing w:line="348" w:lineRule="auto" w:after="120"/>
      </w:pPr>
      <w:r>
        <w:rPr>
          <w:rFonts w:ascii="Microsoft YaHei" w:hAnsi="Microsoft YaHei" w:eastAsia="Microsoft YaHei"/>
          <w:b w:val="0"/>
          <w:color w:val="1F2933"/>
          <w:sz w:val="21"/>
        </w:rPr>
        <w:t>每一页正文应形成“观点-指标-图表-解释-行动”的闭环：观点回答结论，指标压住重点，图表提供证据，解释说明风险，行动落到管理建议。</w:t>
      </w:r>
    </w:p>
    <w:p>
      <w:pPr>
        <w:pStyle w:val="Heading1"/>
      </w:pPr>
      <w:r>
        <w:t>二、图文分析：财政收入修复斜率与税收弹性</w:t>
      </w:r>
    </w:p>
    <w:tbl>
      <w:tblPr>
        <w:tblW w:type="auto" w:w="0"/>
        <w:jc w:val="center"/>
        <w:tblLook w:firstColumn="1" w:firstRow="1" w:lastColumn="0" w:lastRow="0" w:noHBand="0" w:noVBand="1" w:val="04A0"/>
      </w:tblPr>
      <w:tblGrid>
        <w:gridCol w:w="3061"/>
        <w:gridCol w:w="3061"/>
        <w:gridCol w:w="3061"/>
      </w:tblGrid>
      <w:tr>
        <w:tc>
          <w:tcPr>
            <w:tcW w:type="dxa" w:w="3061"/>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vAlign w:val="center"/>
          </w:tcPr>
          <w:p>
            <w:r>
              <w:rPr>
                <w:rFonts w:ascii="Microsoft YaHei" w:hAnsi="Microsoft YaHei" w:eastAsia="Microsoft YaHei"/>
                <w:b w:val="0"/>
                <w:color w:val="53616D"/>
                <w:sz w:val="17"/>
              </w:rPr>
              <w:t>2025E预算收入</w:t>
              <w:br/>
            </w:r>
            <w:r>
              <w:rPr>
                <w:rFonts w:ascii="Microsoft YaHei" w:hAnsi="Microsoft YaHei" w:eastAsia="Microsoft YaHei"/>
                <w:b/>
                <w:color w:val="061A33"/>
                <w:sz w:val="30"/>
              </w:rPr>
              <w:t>22.8万亿</w:t>
            </w:r>
          </w:p>
        </w:tc>
        <w:tc>
          <w:tcPr>
            <w:tcW w:type="dxa" w:w="3061"/>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vAlign w:val="center"/>
          </w:tcPr>
          <w:p>
            <w:r>
              <w:rPr>
                <w:rFonts w:ascii="Microsoft YaHei" w:hAnsi="Microsoft YaHei" w:eastAsia="Microsoft YaHei"/>
                <w:b w:val="0"/>
                <w:color w:val="53616D"/>
                <w:sz w:val="17"/>
              </w:rPr>
              <w:t>2024-2025E增量</w:t>
              <w:br/>
            </w:r>
            <w:r>
              <w:rPr>
                <w:rFonts w:ascii="Microsoft YaHei" w:hAnsi="Microsoft YaHei" w:eastAsia="Microsoft YaHei"/>
                <w:b/>
                <w:color w:val="B88A44"/>
                <w:sz w:val="30"/>
              </w:rPr>
              <w:t>+0.8万亿</w:t>
            </w:r>
          </w:p>
        </w:tc>
        <w:tc>
          <w:tcPr>
            <w:tcW w:type="dxa" w:w="3061"/>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vAlign w:val="center"/>
          </w:tcPr>
          <w:p>
            <w:r>
              <w:rPr>
                <w:rFonts w:ascii="Microsoft YaHei" w:hAnsi="Microsoft YaHei" w:eastAsia="Microsoft YaHei"/>
                <w:b w:val="0"/>
                <w:color w:val="53616D"/>
                <w:sz w:val="17"/>
              </w:rPr>
              <w:t>税收占比</w:t>
              <w:br/>
            </w:r>
            <w:r>
              <w:rPr>
                <w:rFonts w:ascii="Microsoft YaHei" w:hAnsi="Microsoft YaHei" w:eastAsia="Microsoft YaHei"/>
                <w:b/>
                <w:color w:val="1A6F78"/>
                <w:sz w:val="30"/>
              </w:rPr>
              <w:t>83.3%</w:t>
            </w:r>
          </w:p>
        </w:tc>
      </w:tr>
    </w:tbl>
    <w:p>
      <w:pPr>
        <w:spacing w:line="348" w:lineRule="auto" w:after="80"/>
      </w:pPr>
      <w:r>
        <w:rPr>
          <w:rFonts w:ascii="Microsoft YaHei" w:hAnsi="Microsoft YaHei" w:eastAsia="Microsoft YaHei"/>
          <w:b w:val="0"/>
          <w:color w:val="1F2933"/>
          <w:sz w:val="21"/>
        </w:rPr>
      </w:r>
    </w:p>
    <w:p>
      <w:pPr>
        <w:pStyle w:val="RC_ChartTitle"/>
      </w:pPr>
      <w:r>
        <w:t>图1：全国一般公共预算收入与税收收入走势（亿元）</w:t>
      </w:r>
    </w:p>
    <w:p>
      <w:pPr>
        <w:jc w:val="center"/>
      </w:pPr>
      <w:r>
        <w:drawing>
          <wp:inline xmlns:a="http://schemas.openxmlformats.org/drawingml/2006/main" xmlns:pic="http://schemas.openxmlformats.org/drawingml/2006/picture">
            <wp:extent cx="5832000" cy="3283076"/>
            <wp:docPr id="1" name="Picture 1"/>
            <wp:cNvGraphicFramePr>
              <a:graphicFrameLocks noChangeAspect="1"/>
            </wp:cNvGraphicFramePr>
            <a:graphic>
              <a:graphicData uri="http://schemas.openxmlformats.org/drawingml/2006/picture">
                <pic:pic>
                  <pic:nvPicPr>
                    <pic:cNvPr id="0" name="01_pro_line_fiscal.png"/>
                    <pic:cNvPicPr/>
                  </pic:nvPicPr>
                  <pic:blipFill>
                    <a:blip r:embed="rId11"/>
                    <a:stretch>
                      <a:fillRect/>
                    </a:stretch>
                  </pic:blipFill>
                  <pic:spPr>
                    <a:xfrm>
                      <a:off x="0" y="0"/>
                      <a:ext cx="5832000" cy="3283076"/>
                    </a:xfrm>
                    <a:prstGeom prst="rect"/>
                  </pic:spPr>
                </pic:pic>
              </a:graphicData>
            </a:graphic>
          </wp:inline>
        </w:drawing>
      </w:r>
    </w:p>
    <w:p>
      <w:pPr>
        <w:pStyle w:val="RC_Source"/>
      </w:pPr>
      <w:r>
        <w:t>资料来源：财政部，Wind，融策会计师事务所整理</w:t>
      </w:r>
    </w:p>
    <w:p>
      <w:pPr>
        <w:pStyle w:val="Heading2"/>
      </w:pPr>
      <w:r>
        <w:t>2.1 核心判断</w:t>
      </w:r>
    </w:p>
    <w:p>
      <w:pPr/>
      <w:r>
        <w:rPr>
          <w:rFonts w:ascii="Microsoft YaHei" w:hAnsi="Microsoft YaHei" w:eastAsia="Microsoft YaHei"/>
          <w:b/>
          <w:color w:val="B88A44"/>
          <w:sz w:val="22"/>
        </w:rPr>
        <w:t xml:space="preserve">• </w:t>
      </w:r>
      <w:r>
        <w:rPr>
          <w:rFonts w:ascii="Microsoft YaHei" w:hAnsi="Microsoft YaHei" w:eastAsia="Microsoft YaHei"/>
          <w:b w:val="0"/>
          <w:color w:val="1F2933"/>
          <w:sz w:val="21"/>
        </w:rPr>
        <w:t>财政收入修复并非线性扩张，税基质量和房地产链条回暖仍决定后续弹性。</w:t>
      </w:r>
    </w:p>
    <w:p>
      <w:pPr/>
      <w:r>
        <w:rPr>
          <w:rFonts w:ascii="Microsoft YaHei" w:hAnsi="Microsoft YaHei" w:eastAsia="Microsoft YaHei"/>
          <w:b/>
          <w:color w:val="B88A44"/>
          <w:sz w:val="22"/>
        </w:rPr>
        <w:t xml:space="preserve">• </w:t>
      </w:r>
      <w:r>
        <w:rPr>
          <w:rFonts w:ascii="Microsoft YaHei" w:hAnsi="Microsoft YaHei" w:eastAsia="Microsoft YaHei"/>
          <w:b w:val="0"/>
          <w:color w:val="1F2933"/>
          <w:sz w:val="21"/>
        </w:rPr>
        <w:t>税收收入占比维持高位，说明非税收入拉动空间有限，应重点关注税源真实性。</w:t>
      </w:r>
    </w:p>
    <w:p>
      <w:pPr/>
      <w:r>
        <w:rPr>
          <w:rFonts w:ascii="Microsoft YaHei" w:hAnsi="Microsoft YaHei" w:eastAsia="Microsoft YaHei"/>
          <w:b/>
          <w:color w:val="B88A44"/>
          <w:sz w:val="22"/>
        </w:rPr>
        <w:t xml:space="preserve">• </w:t>
      </w:r>
      <w:r>
        <w:rPr>
          <w:rFonts w:ascii="Microsoft YaHei" w:hAnsi="Microsoft YaHei" w:eastAsia="Microsoft YaHei"/>
          <w:b w:val="0"/>
          <w:color w:val="1F2933"/>
          <w:sz w:val="21"/>
        </w:rPr>
        <w:t>若预算收入增速明显高于经济增速，应回查一次性收入、非税缴库和跨期调节。</w:t>
      </w:r>
    </w:p>
    <w:p>
      <w:pPr>
        <w:pStyle w:val="Heading1"/>
      </w:pPr>
      <w:r>
        <w:t>三、数据表格：业务线模板化程度与AI适配度</w:t>
      </w:r>
    </w:p>
    <w:tbl>
      <w:tblPr>
        <w:tblW w:type="auto" w:w="0"/>
        <w:jc w:val="center"/>
        <w:tblLook w:firstColumn="1" w:firstRow="1" w:lastColumn="0" w:lastRow="0" w:noHBand="0" w:noVBand="1" w:val="04A0"/>
      </w:tblPr>
      <w:tblGrid>
        <w:gridCol w:w="1837"/>
        <w:gridCol w:w="1837"/>
        <w:gridCol w:w="1837"/>
        <w:gridCol w:w="1837"/>
        <w:gridCol w:w="1837"/>
      </w:tblGrid>
      <w:tr>
        <w:tc>
          <w:tcPr>
            <w:tcW w:type="dxa" w:w="1837"/>
            <w:shd w:fill="061A33"/>
            <w:tcBorders>
              <w:top w:val="single" w:sz="6" w:space="0" w:color="061A33"/>
              <w:left w:val="single" w:sz="6" w:space="0" w:color="061A33"/>
              <w:bottom w:val="single" w:sz="6" w:space="0" w:color="061A33"/>
              <w:right w:val="single" w:sz="6" w:space="0" w:color="061A33"/>
              <w:insideH w:val="single" w:sz="6" w:space="0" w:color="061A33"/>
              <w:insideV w:val="single" w:sz="6" w:space="0" w:color="061A33"/>
            </w:tcBorders>
          </w:tcPr>
          <w:p>
            <w:pPr>
              <w:jc w:val="center"/>
            </w:pPr>
            <w:r>
              <w:rPr>
                <w:rFonts w:ascii="Microsoft YaHei" w:hAnsi="Microsoft YaHei" w:eastAsia="Microsoft YaHei"/>
                <w:b/>
                <w:color w:val="FFFFFF"/>
                <w:sz w:val="18"/>
              </w:rPr>
              <w:t>业务线</w:t>
            </w:r>
          </w:p>
        </w:tc>
        <w:tc>
          <w:tcPr>
            <w:tcW w:type="dxa" w:w="1837"/>
            <w:shd w:fill="061A33"/>
            <w:tcBorders>
              <w:top w:val="single" w:sz="6" w:space="0" w:color="061A33"/>
              <w:left w:val="single" w:sz="6" w:space="0" w:color="061A33"/>
              <w:bottom w:val="single" w:sz="6" w:space="0" w:color="061A33"/>
              <w:right w:val="single" w:sz="6" w:space="0" w:color="061A33"/>
              <w:insideH w:val="single" w:sz="6" w:space="0" w:color="061A33"/>
              <w:insideV w:val="single" w:sz="6" w:space="0" w:color="061A33"/>
            </w:tcBorders>
          </w:tcPr>
          <w:p>
            <w:pPr>
              <w:jc w:val="center"/>
            </w:pPr>
            <w:r>
              <w:rPr>
                <w:rFonts w:ascii="Microsoft YaHei" w:hAnsi="Microsoft YaHei" w:eastAsia="Microsoft YaHei"/>
                <w:b/>
                <w:color w:val="FFFFFF"/>
                <w:sz w:val="18"/>
              </w:rPr>
              <w:t>数据结构化</w:t>
            </w:r>
          </w:p>
        </w:tc>
        <w:tc>
          <w:tcPr>
            <w:tcW w:type="dxa" w:w="1837"/>
            <w:shd w:fill="061A33"/>
            <w:tcBorders>
              <w:top w:val="single" w:sz="6" w:space="0" w:color="061A33"/>
              <w:left w:val="single" w:sz="6" w:space="0" w:color="061A33"/>
              <w:bottom w:val="single" w:sz="6" w:space="0" w:color="061A33"/>
              <w:right w:val="single" w:sz="6" w:space="0" w:color="061A33"/>
              <w:insideH w:val="single" w:sz="6" w:space="0" w:color="061A33"/>
              <w:insideV w:val="single" w:sz="6" w:space="0" w:color="061A33"/>
            </w:tcBorders>
          </w:tcPr>
          <w:p>
            <w:pPr>
              <w:jc w:val="center"/>
            </w:pPr>
            <w:r>
              <w:rPr>
                <w:rFonts w:ascii="Microsoft YaHei" w:hAnsi="Microsoft YaHei" w:eastAsia="Microsoft YaHei"/>
                <w:b/>
                <w:color w:val="FFFFFF"/>
                <w:sz w:val="18"/>
              </w:rPr>
              <w:t>报告标准化</w:t>
            </w:r>
          </w:p>
        </w:tc>
        <w:tc>
          <w:tcPr>
            <w:tcW w:type="dxa" w:w="1837"/>
            <w:shd w:fill="061A33"/>
            <w:tcBorders>
              <w:top w:val="single" w:sz="6" w:space="0" w:color="061A33"/>
              <w:left w:val="single" w:sz="6" w:space="0" w:color="061A33"/>
              <w:bottom w:val="single" w:sz="6" w:space="0" w:color="061A33"/>
              <w:right w:val="single" w:sz="6" w:space="0" w:color="061A33"/>
              <w:insideH w:val="single" w:sz="6" w:space="0" w:color="061A33"/>
              <w:insideV w:val="single" w:sz="6" w:space="0" w:color="061A33"/>
            </w:tcBorders>
          </w:tcPr>
          <w:p>
            <w:pPr>
              <w:jc w:val="center"/>
            </w:pPr>
            <w:r>
              <w:rPr>
                <w:rFonts w:ascii="Microsoft YaHei" w:hAnsi="Microsoft YaHei" w:eastAsia="Microsoft YaHei"/>
                <w:b/>
                <w:color w:val="FFFFFF"/>
                <w:sz w:val="18"/>
              </w:rPr>
              <w:t>AI适配度</w:t>
            </w:r>
          </w:p>
        </w:tc>
        <w:tc>
          <w:tcPr>
            <w:tcW w:type="dxa" w:w="1837"/>
            <w:shd w:fill="061A33"/>
            <w:tcBorders>
              <w:top w:val="single" w:sz="6" w:space="0" w:color="061A33"/>
              <w:left w:val="single" w:sz="6" w:space="0" w:color="061A33"/>
              <w:bottom w:val="single" w:sz="6" w:space="0" w:color="061A33"/>
              <w:right w:val="single" w:sz="6" w:space="0" w:color="061A33"/>
              <w:insideH w:val="single" w:sz="6" w:space="0" w:color="061A33"/>
              <w:insideV w:val="single" w:sz="6" w:space="0" w:color="061A33"/>
            </w:tcBorders>
          </w:tcPr>
          <w:p>
            <w:pPr>
              <w:jc w:val="center"/>
            </w:pPr>
            <w:r>
              <w:rPr>
                <w:rFonts w:ascii="Microsoft YaHei" w:hAnsi="Microsoft YaHei" w:eastAsia="Microsoft YaHei"/>
                <w:b/>
                <w:color w:val="FFFFFF"/>
                <w:sz w:val="18"/>
              </w:rPr>
              <w:t>优先级</w:t>
            </w:r>
          </w:p>
        </w:tc>
      </w:tr>
      <w:tr>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绩效评价</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中</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高</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高</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P0</w:t>
            </w:r>
          </w:p>
        </w:tc>
      </w:tr>
      <w:tr>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工程决算</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高</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中</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高</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P0</w:t>
            </w:r>
          </w:p>
        </w:tc>
      </w:tr>
      <w:tr>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经责审计</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中</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中</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中高</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P1</w:t>
            </w:r>
          </w:p>
        </w:tc>
      </w:tr>
      <w:tr>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专项资金</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中高</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中</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高</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P1</w:t>
            </w:r>
          </w:p>
        </w:tc>
      </w:tr>
      <w:tr>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资产清查</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高</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高</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中</w:t>
            </w:r>
          </w:p>
        </w:tc>
        <w:tc>
          <w:tcPr>
            <w:tcW w:type="dxa" w:w="1837"/>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val="0"/>
                <w:color w:val="1F2933"/>
                <w:sz w:val="18"/>
              </w:rPr>
              <w:t>P2</w:t>
            </w:r>
          </w:p>
        </w:tc>
      </w:tr>
    </w:tbl>
    <w:p>
      <w:pPr>
        <w:pStyle w:val="RC_Source"/>
      </w:pPr>
      <w:r>
        <w:t>资料来源：融策项目台账，内部复盘</w:t>
      </w:r>
    </w:p>
    <w:p>
      <w:pPr>
        <w:pStyle w:val="RC_ChartTitle"/>
      </w:pPr>
      <w:r>
        <w:t>图2：2025年度审计咨询项目类型分布（个）</w:t>
      </w:r>
    </w:p>
    <w:p>
      <w:pPr>
        <w:jc w:val="center"/>
      </w:pPr>
      <w:r>
        <w:drawing>
          <wp:inline xmlns:a="http://schemas.openxmlformats.org/drawingml/2006/main" xmlns:pic="http://schemas.openxmlformats.org/drawingml/2006/picture">
            <wp:extent cx="5832000" cy="3283076"/>
            <wp:docPr id="2" name="Picture 2"/>
            <wp:cNvGraphicFramePr>
              <a:graphicFrameLocks noChangeAspect="1"/>
            </wp:cNvGraphicFramePr>
            <a:graphic>
              <a:graphicData uri="http://schemas.openxmlformats.org/drawingml/2006/picture">
                <pic:pic>
                  <pic:nvPicPr>
                    <pic:cNvPr id="0" name="02_pro_bar_projects.png"/>
                    <pic:cNvPicPr/>
                  </pic:nvPicPr>
                  <pic:blipFill>
                    <a:blip r:embed="rId12"/>
                    <a:stretch>
                      <a:fillRect/>
                    </a:stretch>
                  </pic:blipFill>
                  <pic:spPr>
                    <a:xfrm>
                      <a:off x="0" y="0"/>
                      <a:ext cx="5832000" cy="3283076"/>
                    </a:xfrm>
                    <a:prstGeom prst="rect"/>
                  </pic:spPr>
                </pic:pic>
              </a:graphicData>
            </a:graphic>
          </wp:inline>
        </w:drawing>
      </w:r>
    </w:p>
    <w:p>
      <w:pPr>
        <w:pStyle w:val="RC_Source"/>
      </w:pPr>
      <w:r>
        <w:t>资料来源：融策项目台账，行业访谈，融策AI审计中台</w:t>
      </w:r>
    </w:p>
    <w:p>
      <w:pPr>
        <w:pStyle w:val="Heading1"/>
      </w:pPr>
      <w:r>
        <w:t>四、方法论：观点-指标-图表-解释-行动</w:t>
      </w:r>
    </w:p>
    <w:tbl>
      <w:tblPr>
        <w:tblW w:type="auto" w:w="0"/>
        <w:jc w:val="center"/>
        <w:tblLook w:firstColumn="1" w:firstRow="1" w:lastColumn="0" w:lastRow="0" w:noHBand="0" w:noVBand="1" w:val="04A0"/>
      </w:tblPr>
      <w:tblGrid>
        <w:gridCol w:w="1837"/>
        <w:gridCol w:w="1837"/>
        <w:gridCol w:w="1837"/>
        <w:gridCol w:w="1837"/>
        <w:gridCol w:w="1837"/>
      </w:tblGrid>
      <w:tr>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color w:val="061A33"/>
                <w:sz w:val="26"/>
              </w:rPr>
              <w:t>观点</w:t>
              <w:br/>
            </w:r>
            <w:r>
              <w:rPr>
                <w:rFonts w:ascii="Microsoft YaHei" w:hAnsi="Microsoft YaHei" w:eastAsia="Microsoft YaHei"/>
                <w:b w:val="0"/>
                <w:color w:val="53616D"/>
                <w:sz w:val="17"/>
              </w:rPr>
              <w:t>一句话判断</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color w:val="061A33"/>
                <w:sz w:val="26"/>
              </w:rPr>
              <w:t>指标</w:t>
              <w:br/>
            </w:r>
            <w:r>
              <w:rPr>
                <w:rFonts w:ascii="Microsoft YaHei" w:hAnsi="Microsoft YaHei" w:eastAsia="Microsoft YaHei"/>
                <w:b w:val="0"/>
                <w:color w:val="53616D"/>
                <w:sz w:val="17"/>
              </w:rPr>
              <w:t>三个关键数字</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color w:val="061A33"/>
                <w:sz w:val="26"/>
              </w:rPr>
              <w:t>图表</w:t>
              <w:br/>
            </w:r>
            <w:r>
              <w:rPr>
                <w:rFonts w:ascii="Microsoft YaHei" w:hAnsi="Microsoft YaHei" w:eastAsia="Microsoft YaHei"/>
                <w:b w:val="0"/>
                <w:color w:val="53616D"/>
                <w:sz w:val="17"/>
              </w:rPr>
              <w:t>一张主证据图</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color w:val="061A33"/>
                <w:sz w:val="26"/>
              </w:rPr>
              <w:t>解释</w:t>
              <w:br/>
            </w:r>
            <w:r>
              <w:rPr>
                <w:rFonts w:ascii="Microsoft YaHei" w:hAnsi="Microsoft YaHei" w:eastAsia="Microsoft YaHei"/>
                <w:b w:val="0"/>
                <w:color w:val="53616D"/>
                <w:sz w:val="17"/>
              </w:rPr>
              <w:t>三条核心判断</w:t>
            </w:r>
          </w:p>
        </w:tc>
        <w:tc>
          <w:tcPr>
            <w:tcW w:type="dxa" w:w="1837"/>
            <w:shd w:fill="F4F6F8"/>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Pr>
          <w:p>
            <w:pPr>
              <w:jc w:val="center"/>
            </w:pPr>
            <w:r>
              <w:rPr>
                <w:rFonts w:ascii="Microsoft YaHei" w:hAnsi="Microsoft YaHei" w:eastAsia="Microsoft YaHei"/>
                <w:b/>
                <w:color w:val="061A33"/>
                <w:sz w:val="26"/>
              </w:rPr>
              <w:t>行动</w:t>
              <w:br/>
            </w:r>
            <w:r>
              <w:rPr>
                <w:rFonts w:ascii="Microsoft YaHei" w:hAnsi="Microsoft YaHei" w:eastAsia="Microsoft YaHei"/>
                <w:b w:val="0"/>
                <w:color w:val="53616D"/>
                <w:sz w:val="17"/>
              </w:rPr>
              <w:t>下一步建议</w:t>
            </w:r>
          </w:p>
        </w:tc>
      </w:tr>
    </w:tbl>
    <w:p>
      <w:pPr>
        <w:pStyle w:val="Heading1"/>
      </w:pPr>
      <w:r>
        <w:t>五、结论与行动建议</w:t>
      </w:r>
    </w:p>
    <w:p>
      <w:pPr>
        <w:spacing w:line="348" w:lineRule="auto" w:after="40"/>
        <w:shd w:fill="F5F2EC"/>
      </w:pPr>
      <w:r>
        <w:rPr>
          <w:rFonts w:ascii="Microsoft YaHei" w:hAnsi="Microsoft YaHei" w:eastAsia="Microsoft YaHei"/>
          <w:b w:val="0"/>
          <w:color w:val="061A33"/>
          <w:sz w:val="24"/>
        </w:rPr>
        <w:t>短期动作</w:t>
      </w:r>
    </w:p>
    <w:p>
      <w:pPr>
        <w:spacing w:line="348" w:lineRule="auto" w:after="120"/>
      </w:pPr>
      <w:r>
        <w:rPr>
          <w:rFonts w:ascii="Microsoft YaHei" w:hAnsi="Microsoft YaHei" w:eastAsia="Microsoft YaHei"/>
          <w:b w:val="0"/>
          <w:color w:val="1F2933"/>
          <w:sz w:val="21"/>
        </w:rPr>
        <w:t>先选绩效评价报告作为样板，固定4类图表：趋势、结构、对比、风险矩阵。</w:t>
      </w:r>
    </w:p>
    <w:p>
      <w:pPr>
        <w:spacing w:line="348" w:lineRule="auto" w:after="40"/>
        <w:shd w:fill="F5F2EC"/>
      </w:pPr>
      <w:r>
        <w:rPr>
          <w:rFonts w:ascii="Microsoft YaHei" w:hAnsi="Microsoft YaHei" w:eastAsia="Microsoft YaHei"/>
          <w:b w:val="0"/>
          <w:color w:val="061A33"/>
          <w:sz w:val="24"/>
        </w:rPr>
        <w:t>中期建设</w:t>
      </w:r>
    </w:p>
    <w:p>
      <w:pPr>
        <w:spacing w:line="348" w:lineRule="auto" w:after="120"/>
      </w:pPr>
      <w:r>
        <w:rPr>
          <w:rFonts w:ascii="Microsoft YaHei" w:hAnsi="Microsoft YaHei" w:eastAsia="Microsoft YaHei"/>
          <w:b w:val="0"/>
          <w:color w:val="1F2933"/>
          <w:sz w:val="21"/>
        </w:rPr>
        <w:t>建立业务线模板库，形成数据口径、图表样式、判断句库三件套。</w:t>
      </w:r>
    </w:p>
    <w:p>
      <w:pPr>
        <w:spacing w:line="348" w:lineRule="auto" w:after="40"/>
        <w:shd w:fill="F5F2EC"/>
      </w:pPr>
      <w:r>
        <w:rPr>
          <w:rFonts w:ascii="Microsoft YaHei" w:hAnsi="Microsoft YaHei" w:eastAsia="Microsoft YaHei"/>
          <w:b w:val="0"/>
          <w:color w:val="061A33"/>
          <w:sz w:val="24"/>
        </w:rPr>
        <w:t>长期价值</w:t>
      </w:r>
    </w:p>
    <w:p>
      <w:pPr>
        <w:spacing w:line="348" w:lineRule="auto" w:after="120"/>
      </w:pPr>
      <w:r>
        <w:rPr>
          <w:rFonts w:ascii="Microsoft YaHei" w:hAnsi="Microsoft YaHei" w:eastAsia="Microsoft YaHei"/>
          <w:b w:val="0"/>
          <w:color w:val="1F2933"/>
          <w:sz w:val="21"/>
        </w:rPr>
        <w:t>形成融策自己的“研究型审计报告”品牌，让客户感知从审计服务升级到决策支持。</w:t>
      </w:r>
    </w:p>
    <w:p>
      <w:r>
        <w:br w:type="page"/>
      </w:r>
    </w:p>
    <w:p>
      <w:pPr>
        <w:pStyle w:val="Heading1"/>
      </w:pPr>
      <w:r>
        <w:t>免责声明</w:t>
      </w:r>
    </w:p>
    <w:p>
      <w:pPr>
        <w:spacing w:line="348" w:lineRule="auto" w:after="120"/>
      </w:pPr>
      <w:r>
        <w:rPr>
          <w:rFonts w:ascii="Microsoft YaHei" w:hAnsi="Microsoft YaHei" w:eastAsia="Microsoft YaHei"/>
          <w:b w:val="0"/>
          <w:color w:val="53616D"/>
          <w:sz w:val="18"/>
        </w:rPr>
        <w:t>本报告为四川融策会计师事务所及四川融策工程咨询公司内部研报模板示例，所列数据与案例仅用于展示图文协同版式，不构成正式审计结论、投资建议或对外承诺。正式项目报告应以经复核的底稿、取证材料、法规依据和签批流程为准。</w:t>
      </w:r>
    </w:p>
    <w:p>
      <w:pPr>
        <w:pStyle w:val="Heading2"/>
      </w:pPr>
      <w:r>
        <w:t>使用要求</w:t>
      </w:r>
    </w:p>
    <w:p>
      <w:r>
        <w:rPr>
          <w:rFonts w:ascii="Microsoft YaHei" w:hAnsi="Microsoft YaHei" w:eastAsia="Microsoft YaHei"/>
          <w:b/>
          <w:color w:val="B88A44"/>
          <w:sz w:val="20"/>
        </w:rPr>
        <w:t xml:space="preserve">• </w:t>
      </w:r>
      <w:r>
        <w:rPr>
          <w:rFonts w:ascii="Microsoft YaHei" w:hAnsi="Microsoft YaHei" w:eastAsia="Microsoft YaHei"/>
          <w:b w:val="0"/>
          <w:color w:val="53616D"/>
          <w:sz w:val="19"/>
        </w:rPr>
        <w:t>图表数据必须注明来源。</w:t>
      </w:r>
    </w:p>
    <w:p>
      <w:r>
        <w:rPr>
          <w:rFonts w:ascii="Microsoft YaHei" w:hAnsi="Microsoft YaHei" w:eastAsia="Microsoft YaHei"/>
          <w:b/>
          <w:color w:val="B88A44"/>
          <w:sz w:val="20"/>
        </w:rPr>
        <w:t xml:space="preserve">• </w:t>
      </w:r>
      <w:r>
        <w:rPr>
          <w:rFonts w:ascii="Microsoft YaHei" w:hAnsi="Microsoft YaHei" w:eastAsia="Microsoft YaHei"/>
          <w:b w:val="0"/>
          <w:color w:val="53616D"/>
          <w:sz w:val="19"/>
        </w:rPr>
        <w:t>重大金额、比率和结论必须与底稿交叉核验。</w:t>
      </w:r>
    </w:p>
    <w:p>
      <w:r>
        <w:rPr>
          <w:rFonts w:ascii="Microsoft YaHei" w:hAnsi="Microsoft YaHei" w:eastAsia="Microsoft YaHei"/>
          <w:b/>
          <w:color w:val="B88A44"/>
          <w:sz w:val="20"/>
        </w:rPr>
        <w:t xml:space="preserve">• </w:t>
      </w:r>
      <w:r>
        <w:rPr>
          <w:rFonts w:ascii="Microsoft YaHei" w:hAnsi="Microsoft YaHei" w:eastAsia="Microsoft YaHei"/>
          <w:b w:val="0"/>
          <w:color w:val="53616D"/>
          <w:sz w:val="19"/>
        </w:rPr>
        <w:t>AI生成内容必须经项目经理和质控复核后方可用于正式报告。</w:t>
      </w:r>
    </w:p>
    <w:p>
      <w:r>
        <w:rPr>
          <w:rFonts w:ascii="Microsoft YaHei" w:hAnsi="Microsoft YaHei" w:eastAsia="Microsoft YaHei"/>
          <w:b/>
          <w:color w:val="B88A44"/>
          <w:sz w:val="20"/>
        </w:rPr>
        <w:t xml:space="preserve">• </w:t>
      </w:r>
      <w:r>
        <w:rPr>
          <w:rFonts w:ascii="Microsoft YaHei" w:hAnsi="Microsoft YaHei" w:eastAsia="Microsoft YaHei"/>
          <w:b w:val="0"/>
          <w:color w:val="53616D"/>
          <w:sz w:val="19"/>
        </w:rPr>
        <w:t>对外版本应删除内部方法、模型路由和未公开数据来源。</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8793A0"/>
        <w:sz w:val="16"/>
      </w:rPr>
      <w:t>四川融策会计师事务所 / 四川融策工程咨询公司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8793A0"/>
        <w:sz w:val="16"/>
      </w:rPr>
      <w:t>融策·审盾研究 | 券商风研报母版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shd w:fill="061A33"/>
    </w:pPr>
    <w:rPr>
      <w:rFonts w:asciiTheme="majorHAnsi" w:eastAsiaTheme="majorEastAsia" w:hAnsiTheme="majorHAnsi" w:cstheme="majorBidi" w:ascii="Microsoft YaHei" w:hAnsi="Microsoft YaHei" w:eastAsia="Microsoft YaHei"/>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icrosoft YaHei" w:hAnsi="Microsoft YaHei" w:eastAsia="Microsoft YaHei"/>
      <w:b/>
      <w:bCs/>
      <w:color w:val="1A6F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C_ChartTitle">
    <w:name w:val="RC_ChartTitle"/>
    <w:pPr>
      <w:spacing w:before="200" w:after="80"/>
      <w:jc w:val="center"/>
    </w:pPr>
    <w:rPr>
      <w:rFonts w:ascii="Microsoft YaHei" w:hAnsi="Microsoft YaHei" w:eastAsia="Microsoft YaHei"/>
      <w:b/>
      <w:color w:val="061A33"/>
      <w:sz w:val="20"/>
    </w:rPr>
  </w:style>
  <w:style w:type="paragraph" w:customStyle="1" w:styleId="RC_Source">
    <w:name w:val="RC_Source"/>
    <w:pPr>
      <w:spacing w:after="280"/>
      <w:jc w:val="center"/>
    </w:pPr>
    <w:rPr>
      <w:rFonts w:ascii="Microsoft YaHei" w:hAnsi="Microsoft YaHei" w:eastAsia="Microsoft YaHei"/>
      <w:i/>
      <w:color w:val="8793A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