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379d3c5b394248" /><Relationship Type="http://schemas.openxmlformats.org/package/2006/relationships/metadata/core-properties" Target="/docProps/core.xml" Id="Rf708a2b07baf4ee7" /><Relationship Type="http://schemas.openxmlformats.org/officeDocument/2006/relationships/extended-properties" Target="/docProps/app.xml" Id="R6690ede082304eb6" /><Relationship Type="http://schemas.openxmlformats.org/officeDocument/2006/relationships/custom-properties" Target="/docProps/custom.xml" Id="R9af0361b2ac14cf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hd w:val="clear" w:fill="0A1F3F"/>
        <w:spacing w:before="0" w:after="0"/>
      </w:pPr>
      <w:r>
        <w:rPr>
          <w:sz w:val="48"/>
        </w:rPr>
        <w:t xml:space="preserve"/>
      </w:r>
    </w:p>
    <w:p w14:paraId="00100002" w14:textId="00100003">
      <w:pPr>
        <w:spacing w:before="960" w:after="0"/>
      </w:pPr>
      <w:r>
        <w:rPr/>
        <w:t xml:space="preserve"/>
      </w:r>
    </w:p>
    <w:p w14:paraId="00100004" w14:textId="00100005">
      <w:pPr>
        <w:spacing w:after="120"/>
        <w:jc w:val="center"/>
      </w:pPr>
      <w:r>
        <w:rPr>
          <w:rFonts w:ascii="Microsoft YaHei" w:hAnsi="Microsoft YaHei" w:eastAsia="Microsoft YaHei"/>
          <w:color w:val="1A5C6E"/>
          <w:sz w:val="28"/>
        </w:rPr>
        <w:t xml:space="preserve">融策管理制度三件套</w:t>
      </w:r>
    </w:p>
    <w:p w14:paraId="00100006" w14:textId="00100007">
      <w:pPr>
        <w:spacing w:after="240"/>
        <w:jc w:val="center"/>
      </w:pPr>
      <w:r>
        <w:rPr>
          <w:rFonts w:ascii="Microsoft YaHei" w:hAnsi="Microsoft YaHei" w:eastAsia="Microsoft YaHei"/>
          <w:b/>
          <w:color w:val="0A1F3F"/>
          <w:sz w:val="56"/>
        </w:rPr>
        <w:t xml:space="preserve">多模型综合评审报告</w:t>
      </w:r>
    </w:p>
    <w:p w14:paraId="00100008" w14:textId="00100009">
      <w:pPr>
        <w:spacing w:after="720"/>
        <w:jc w:val="center"/>
      </w:pPr>
      <w:r>
        <w:rPr>
          <w:color w:val="1A5C6E"/>
          <w:sz w:val="24"/>
        </w:rPr>
        <w:t xml:space="preserve">项目独立核算与分润制度 · 跨部门协同与交叉营销奖励办法 · 高管经营目标责任与绩效考核办法</w:t>
      </w:r>
    </w:p>
    <w:p w14:paraId="0010000A" w14:textId="0010000B">
      <w:pPr>
        <w:shd w:val="clear" w:fill="C5955C"/>
        <w:spacing w:before="0" w:after="480"/>
      </w:pPr>
      <w:r>
        <w:rPr>
          <w:sz w:val="12"/>
        </w:rPr>
        <w:t xml:space="preserve"/>
      </w:r>
    </w:p>
    <w:p w14:paraId="0010000C" w14:textId="0010000D">
      <w:pPr>
        <w:spacing w:after="120"/>
        <w:jc w:val="center"/>
      </w:pPr>
      <w:r>
        <w:rPr>
          <w:color w:val="444444"/>
          <w:sz w:val="22"/>
        </w:rPr>
        <w:t xml:space="preserve">评审时间：2026年7月16日</w:t>
      </w:r>
    </w:p>
    <w:p w14:paraId="0010000E" w14:textId="0010000F">
      <w:pPr>
        <w:spacing w:after="120"/>
        <w:jc w:val="center"/>
      </w:pPr>
      <w:r>
        <w:rPr>
          <w:color w:val="444444"/>
          <w:sz w:val="22"/>
        </w:rPr>
        <w:t xml:space="preserve">评审模型：DeepSeek V4 Pro / Claude Sonnet-5 / GPT-5.6-Sol / Gemini 3.1 Pro</w:t>
      </w:r>
    </w:p>
    <w:p w14:paraId="00100010" w14:textId="00100011">
      <w:pPr>
        <w:spacing w:after="120"/>
        <w:jc w:val="center"/>
      </w:pPr>
      <w:r>
        <w:rPr>
          <w:color w:val="444444"/>
          <w:sz w:val="22"/>
        </w:rPr>
        <w:t xml:space="preserve">评审方式：场景化问答（4模型 × 15争议点 = 60条独立意见）</w:t>
      </w:r>
    </w:p>
    <w:p w14:paraId="00100012" w14:textId="00100013">
      <w:pPr>
        <w:spacing w:after="720"/>
        <w:jc w:val="center"/>
      </w:pPr>
      <w:r>
        <w:rPr>
          <w:color w:val="444444"/>
          <w:sz w:val="22"/>
        </w:rPr>
        <w:t xml:space="preserve">总Token消耗：64,401 | 成功率：60/60</w:t>
      </w:r>
    </w:p>
    <w:p w14:paraId="00100014" w14:textId="00100015">
      <w:pPr>
        <w:shd w:val="clear" w:fill="0A1F3F"/>
        <w:spacing w:before="0" w:after="120"/>
      </w:pPr>
      <w:r>
        <w:rPr>
          <w:sz w:val="32"/>
        </w:rPr>
        <w:t xml:space="preserve"/>
      </w:r>
    </w:p>
    <w:p w14:paraId="00100016" w14:textId="00100017">
      <w:pPr>
        <w:spacing w:after="0"/>
        <w:jc w:val="center"/>
      </w:pPr>
      <w:r>
        <w:rPr>
          <w:color w:val="888888"/>
          <w:sz w:val="18"/>
        </w:rPr>
        <w:t xml:space="preserve">四川融策会计师事务所 / 四川融策工程咨询公司</w:t>
      </w:r>
    </w:p>
    <w:p w14:paraId="00100018" w14:textId="00100019">
      <w:r>
        <w:br w:type="page"/>
      </w:r>
    </w:p>
    <w:p w14:paraId="0010001A" w14:textId="0010001B">
      <w:pPr>
        <w:pStyle w:val="Heading1"/>
      </w:pPr>
      <w:r>
        <w:rPr/>
        <w:t xml:space="preserve">核心结论摘要</w:t>
      </w:r>
    </w:p>
    <w:p w14:paraId="0010001C" w14:textId="0010001D">
      <w:pPr>
        <w:spacing w:after="80"/>
      </w:pPr>
      <w:r>
        <w:rPr>
          <w:color w:val="555555"/>
          <w:sz w:val="20"/>
        </w:rPr>
        <w:t xml:space="preserve">评审团：DeepSeek V4 Pro / Claude Sonnet-5 / GPT-5.6-Sol / Gemini 3.1 Pro（4模型 × 15争议点 = 60条独立意见，成功率100%）</w:t>
      </w:r>
    </w:p>
    <w:p w14:paraId="0010001E" w14:textId="0010001F">
      <w:pPr>
        <w:spacing w:after="360"/>
      </w:pPr>
      <w:r>
        <w:rPr>
          <w:color w:val="555555"/>
          <w:sz w:val="20"/>
        </w:rPr>
        <w:t xml:space="preserve">完整意见：见本报告正文 | 原始数据：制度评审-场景化问答结果.json</w:t>
      </w:r>
    </w:p>
    <w:p w14:paraId="00100020" w14:textId="00100021">
      <w:pPr>
        <w:shd w:val="clear" w:fill="F5F2EC"/>
        <w:spacing w:before="0" w:after="120"/>
      </w:pPr>
      <w:r>
        <w:rPr>
          <w:sz w:val="4"/>
        </w:rPr>
        <w:t xml:space="preserve"/>
      </w:r>
    </w:p>
    <w:p w14:paraId="00100022" w14:textId="00100023">
      <w:pPr>
        <w:pStyle w:val="Heading2"/>
      </w:pPr>
      <w:r>
        <w:rPr>
          <w:color w:val="CC0000"/>
        </w:rPr>
        <w:t xml:space="preserve">P0 — 必须改（4模型全票警告）</w:t>
      </w:r>
    </w:p>
    <w:p w14:paraId="00100024" w14:textId="00100025">
      <w:pPr>
        <w:pStyle w:val="Heading3"/>
      </w:pPr>
      <w:r>
        <w:rPr/>
        <w:t xml:space="preserve">1. 离职分润条款有重大法律风险（分润制度 Q5）</w:t>
      </w:r>
    </w:p>
    <w:p w14:paraId="00100026" w14:textId="00100027">
      <w:pPr>
        <w:spacing w:after="80"/>
      </w:pPr>
      <w:r>
        <w:rPr>
          <w:b/>
        </w:rPr>
        <w:t xml:space="preserve">4/4模型一致：未结项归零、已结项降至10%，若分润被认定为绩效工资/劳动报酬，单方克扣大概率在劳动仲裁中败诉。</w:t>
      </w:r>
    </w:p>
    <w:p w14:paraId="00100028" w14:textId="00100029">
      <w:pPr>
        <w:spacing w:after="240"/>
        <w:ind w:left="360"/>
      </w:pPr>
      <w:r>
        <w:rPr/>
        <w:t xml:space="preserve">改法：按里程碑归属——立项/执行/结项各阶段完成即锁定对应比例，离职只影响未完成部分；制度中明确分润性质为"经营利润分享"而非工资，并经员工签字确认。</w:t>
      </w:r>
    </w:p>
    <w:p w14:paraId="0010002A" w14:textId="0010002B">
      <w:pPr>
        <w:pStyle w:val="Heading3"/>
      </w:pPr>
      <w:r>
        <w:rPr/>
        <w:t xml:space="preserve">2. "净利润"口径是三份制度共同的死穴</w:t>
      </w:r>
    </w:p>
    <w:p w14:paraId="0010002C" w14:textId="0010002D">
      <w:pPr>
        <w:spacing w:after="80"/>
      </w:pPr>
      <w:r>
        <w:rPr>
          <w:b/>
        </w:rPr>
        <w:t xml:space="preserve">分润制度、协同奖励办法都以"净利润"为基数——4模型反复警告：</w:t>
      </w:r>
    </w:p>
    <w:p w14:paraId="0010002E" w14:textId="0010002F">
      <w:pPr>
        <w:spacing w:after="80"/>
      </w:pPr>
      <w:r>
        <w:rPr/>
        <w:t xml:space="preserve">成本分摊规则不清 → 核算扯皮 → 信任危机（20-30人公司财务基础弱，更致命）；执行方可虚增成本压低净利，变相吞掉引荐人奖励</w:t>
      </w:r>
    </w:p>
    <w:p w14:paraId="00100030" w14:textId="00100031">
      <w:pPr>
        <w:spacing w:after="360"/>
        <w:ind w:left="360"/>
      </w:pPr>
      <w:r>
        <w:rPr/>
        <w:t xml:space="preserve">改法：先发布《可分配利润核算细则》：收入确认口径、公摊规则、可扣成本清单，一项一项写死。这是三份制度落地的前置条件。</w:t>
      </w:r>
    </w:p>
    <w:p w14:paraId="00100032" w14:textId="00100033">
      <w:pPr>
        <w:pStyle w:val="Heading2"/>
      </w:pPr>
      <w:r>
        <w:rPr>
          <w:color w:val="CC6600"/>
        </w:rPr>
        <w:t xml:space="preserve">P1 — 强烈建议调整</w:t>
      </w:r>
    </w:p>
    <w:p w14:paraId="00100034" w14:textId="00100035">
      <w:pPr>
        <w:pStyle w:val="Heading3"/>
      </w:pPr>
      <w:r>
        <w:rPr/>
        <w:t xml:space="preserve">3. 亏损项目负责人承担50%过重（分润制度 Q2）</w:t>
      </w:r>
    </w:p>
    <w:p w14:paraId="00100036" w14:textId="00100037">
      <w:pPr>
        <w:spacing w:after="80"/>
      </w:pPr>
      <w:r>
        <w:rPr>
          <w:b/>
        </w:rPr>
        <w:t xml:space="preserve">4/4认为会引发"避险瘫痪"：只挑安全项目、拒绝开拓性业务、隐瞒亏损。</w:t>
      </w:r>
    </w:p>
    <w:p w14:paraId="00100038" w14:textId="00100039">
      <w:pPr>
        <w:spacing w:after="240"/>
        <w:ind w:left="360"/>
      </w:pPr>
      <w:r>
        <w:rPr/>
        <w:t xml:space="preserve">改法：按责任分级——主观过失承担30-50%，客观因素（客户违约、政策变化）承担10%以内；设个人承担上限（如不超过其当年分润总额的50%）。</w:t>
      </w:r>
    </w:p>
    <w:p w14:paraId="0010003A" w14:textId="0010003B">
      <w:pPr>
        <w:pStyle w:val="Heading3"/>
      </w:pPr>
      <w:r>
        <w:rPr/>
        <w:t xml:space="preserve">4. 组员30% &gt; 负责人20%，责权利倒挂（分润制度 Q1）</w:t>
      </w:r>
    </w:p>
    <w:p w14:paraId="0010003C" w14:textId="0010003D">
      <w:pPr>
        <w:spacing w:after="80"/>
      </w:pPr>
      <w:r>
        <w:rPr>
          <w:b/>
        </w:rPr>
        <w:t xml:space="preserve">Sonnet-5点出结构性问题：负责人担全责却比组员团队拿得少，削弱管理权威。</w:t>
      </w:r>
    </w:p>
    <w:p w14:paraId="0010003E" w14:textId="0010003F">
      <w:pPr>
        <w:spacing w:after="240"/>
        <w:ind w:left="360"/>
      </w:pPr>
      <w:r>
        <w:rPr/>
        <w:t xml:space="preserve">改法：负责人25-30%、组员池20-25%，负责人有组内二次分配权。</w:t>
      </w:r>
    </w:p>
    <w:p w14:paraId="00100040" w14:textId="00100041">
      <w:pPr>
        <w:pStyle w:val="Heading3"/>
      </w:pPr>
      <w:r>
        <w:rPr/>
        <w:t xml:space="preserve">5. 到账才分润 × 审计业6-18个月回款周期 = 激励失效（分润制度 Q3）</w:t>
      </w:r>
    </w:p>
    <w:p w14:paraId="00100042" w14:textId="00100043">
      <w:pPr>
        <w:spacing w:after="240"/>
        <w:ind w:left="360"/>
      </w:pPr>
      <w:r>
        <w:rPr/>
        <w:t xml:space="preserve">里程碑预发（报告交付时预发40-50%）+ 回款后清算补足，坏账再按责任追回。</w:t>
      </w:r>
    </w:p>
    <w:p w14:paraId="00100044" w14:textId="00100045">
      <w:pPr>
        <w:pStyle w:val="Heading3"/>
      </w:pPr>
      <w:r>
        <w:rPr/>
        <w:t xml:space="preserve">6. 绩效系数0.6-1.2倍拉不开差距（考核办法 Q2）</w:t>
      </w:r>
    </w:p>
    <w:p w14:paraId="00100046" w14:textId="00100047">
      <w:pPr>
        <w:spacing w:after="80"/>
      </w:pPr>
      <w:r>
        <w:rPr>
          <w:b/>
        </w:rPr>
        <w:t xml:space="preserve">4/4认为偏保守："优秀者多拿20%、最差仍拿60%"，激励和淘汰压力都不足。</w:t>
      </w:r>
    </w:p>
    <w:p w14:paraId="00100048" w14:textId="00100049">
      <w:pPr>
        <w:spacing w:after="240"/>
        <w:ind w:left="360"/>
      </w:pPr>
      <w:r>
        <w:rPr/>
        <w:t xml:space="preserve">改法：区间放宽至0.5-1.5倍，或超额利润另设阶梯分享。</w:t>
      </w:r>
    </w:p>
    <w:p w14:paraId="0010004A" w14:textId="0010004B">
      <w:pPr>
        <w:pStyle w:val="Heading3"/>
      </w:pPr>
      <w:r>
        <w:rPr/>
        <w:t xml:space="preserve">7. 20%质量风险准备金冻结一年偏高（考核办法 Q3）</w:t>
      </w:r>
    </w:p>
    <w:p w14:paraId="0010004C" w14:textId="0010004D">
      <w:pPr>
        <w:spacing w:after="80"/>
      </w:pPr>
      <w:r>
        <w:rPr>
          <w:b/>
        </w:rPr>
        <w:t xml:space="preserve">易被解读为"变相扣钱"，信任薄弱期尤其危险。</w:t>
      </w:r>
    </w:p>
    <w:p w14:paraId="0010004E" w14:textId="0010004F">
      <w:pPr>
        <w:spacing w:after="360"/>
        <w:ind w:left="360"/>
      </w:pPr>
      <w:r>
        <w:rPr/>
        <w:t xml:space="preserve">改法：降至10-15%，付冻结期利息或增值分享，明确释放条件与追责标准。</w:t>
      </w:r>
    </w:p>
    <w:p w14:paraId="00100050" w14:textId="00100051">
      <w:pPr>
        <w:pStyle w:val="Heading2"/>
      </w:pPr>
      <w:r>
        <w:rPr>
          <w:color w:val="336600"/>
        </w:rPr>
        <w:t xml:space="preserve">P2 — 方向认可，补执行细则</w:t>
      </w:r>
    </w:p>
    <w:tbl>
      <w:tblPr>
        <w:tblStyle w:val="TableGrid"/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ook w:val="04A0"/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w="2400" w:type="dxa"/>
            <w:shd w:val="clear" w:fill="0A1F3F"/>
          </w:tcPr>
          <w:p w14:paraId="00100052" w14:textId="00100053">
            <w:r>
              <w:rPr>
                <w:b/>
                <w:color w:val="FFFFFF"/>
              </w:rPr>
              <w:t xml:space="preserve">条款</w:t>
            </w:r>
          </w:p>
        </w:tc>
        <w:tc>
          <w:tcPr>
            <w:tcW w:w="3600" w:type="dxa"/>
            <w:shd w:val="clear" w:fill="0A1F3F"/>
          </w:tcPr>
          <w:p w14:paraId="00100054" w14:textId="00100055">
            <w:r>
              <w:rPr>
                <w:b/>
                <w:color w:val="FFFFFF"/>
              </w:rPr>
              <w:t xml:space="preserve">共识</w:t>
            </w:r>
          </w:p>
        </w:tc>
        <w:tc>
          <w:tcPr>
            <w:tcW w:w="4000" w:type="dxa"/>
            <w:shd w:val="clear" w:fill="0A1F3F"/>
          </w:tcPr>
          <w:p w14:paraId="00100056" w14:textId="00100057">
            <w:r>
              <w:rPr>
                <w:b/>
                <w:color w:val="FFFFFF"/>
              </w:rPr>
              <w:t xml:space="preserve">补丁</w:t>
            </w:r>
          </w:p>
        </w:tc>
      </w:tr>
      <w:tr>
        <w:trPr/>
        <w:tc>
          <w:p w14:paraId="00100058" w14:textId="00100059">
            <w:r>
              <w:t xml:space="preserve">公摊按回款10%提取</w:t>
            </w:r>
          </w:p>
        </w:tc>
        <w:tc>
          <w:p w14:paraId="0010005A" w14:textId="0010005B">
            <w:r>
              <w:t xml:space="preserve">小公司过渡期可行（交易成本最小化）</w:t>
            </w:r>
          </w:p>
        </w:tc>
        <w:tc>
          <w:p w14:paraId="0010005C" w14:textId="0010005D">
            <w:r>
              <w:t xml:space="preserve">每年校准一次；审计类/工程类可设差异费率</w:t>
            </w:r>
          </w:p>
        </w:tc>
      </w:tr>
      <w:tr>
        <w:trPr/>
        <w:tc>
          <w:p w14:paraId="0010005E" w14:textId="0010005F">
            <w:r>
              <w:t xml:space="preserve">引流奖净利润10-15%</w:t>
            </w:r>
          </w:p>
        </w:tc>
        <w:tc>
          <w:p w14:paraId="00100060" w14:textId="00100061">
            <w:r>
              <w:t xml:space="preserve">比例尚可但基数不透明</w:t>
            </w:r>
          </w:p>
        </w:tc>
        <w:tc>
          <w:p w14:paraId="00100062" w14:textId="00100063">
            <w:r>
              <w:t xml:space="preserve">改按合同额1-3%或分阶段兑现（线索/成交/回款）</w:t>
            </w:r>
          </w:p>
        </w:tc>
      </w:tr>
      <w:tr>
        <w:trPr/>
        <w:tc>
          <w:p w14:paraId="00100064" w14:textId="00100065">
            <w:r>
              <w:t xml:space="preserve">客户主动上门不算引流</w:t>
            </w:r>
          </w:p>
        </w:tc>
        <w:tc>
          <w:p w14:paraId="00100066" w14:textId="00100067">
            <w:r>
              <w:t xml:space="preserve">原则对，归因难</w:t>
            </w:r>
          </w:p>
        </w:tc>
        <w:tc>
          <w:p w14:paraId="00100068" w14:textId="00100069">
            <w:r>
              <w:t xml:space="preserve">上CRM报备留痕，首次有效登记为准</w:t>
            </w:r>
          </w:p>
        </w:tc>
      </w:tr>
      <w:tr>
        <w:trPr/>
        <w:tc>
          <w:p w14:paraId="0010006A" w14:textId="0010006B">
            <w:r>
              <w:t xml:space="preserve">线索保护期6个月</w:t>
            </w:r>
          </w:p>
        </w:tc>
        <w:tc>
          <w:p w14:paraId="0010006C" w14:textId="0010006D">
            <w:r>
              <w:t xml:space="preserve">基本合理</w:t>
            </w:r>
          </w:p>
        </w:tc>
        <w:tc>
          <w:p w14:paraId="0010006E" w14:textId="0010006F">
            <w:r>
              <w:t xml:space="preserve">"3+3"分段：后3个月须有跟进记录才续保，防占坑</w:t>
            </w:r>
          </w:p>
        </w:tc>
      </w:tr>
      <w:tr>
        <w:trPr/>
        <w:tc>
          <w:p w14:paraId="00100070" w14:textId="00100071">
            <w:r>
              <w:t xml:space="preserve">引流亏损免责</w:t>
            </w:r>
          </w:p>
        </w:tc>
        <w:tc>
          <w:p w14:paraId="00100072" w14:textId="00100073">
            <w:r>
              <w:t xml:space="preserve">权责对等，合理</w:t>
            </w:r>
          </w:p>
        </w:tc>
        <w:tc>
          <w:p w14:paraId="00100074" w14:textId="00100075">
            <w:r>
              <w:t xml:space="preserve">加商机准入评审，杜绝垃圾线索刷奖</w:t>
            </w:r>
          </w:p>
        </w:tc>
      </w:tr>
      <w:tr>
        <w:trPr/>
        <w:tc>
          <w:p w14:paraId="00100076" w14:textId="00100077">
            <w:r>
              <w:t xml:space="preserve">联合vs纯引流边界</w:t>
            </w:r>
          </w:p>
        </w:tc>
        <w:tc>
          <w:p w14:paraId="00100078" w14:textId="00100079">
            <w:r>
              <w:t xml:space="preserve">必须书面定义</w:t>
            </w:r>
          </w:p>
        </w:tc>
        <w:tc>
          <w:p w14:paraId="0010007A" w14:textId="0010007B">
            <w:r>
              <w:t xml:space="preserve">纯引流=只交线索不参与交付；联合=有可验证实质投入并担责</w:t>
            </w:r>
          </w:p>
        </w:tc>
      </w:tr>
      <w:tr>
        <w:trPr/>
        <w:tc>
          <w:p w14:paraId="0010007C" w14:textId="0010007D">
            <w:r>
              <w:t xml:space="preserve">考核权重50/20/30</w:t>
            </w:r>
          </w:p>
        </w:tc>
        <w:tc>
          <w:p w14:paraId="0010007E" w14:textId="0010007F">
            <w:r>
              <w:t xml:space="preserve">结构合理</w:t>
            </w:r>
          </w:p>
        </w:tc>
        <w:tc>
          <w:p w14:paraId="00100080" w14:textId="00100081">
            <w:r>
              <w:t xml:space="preserve">协同20分+管理30分要行为锚定量化，防止沦为印象分</w:t>
            </w:r>
          </w:p>
        </w:tc>
      </w:tr>
      <w:tr>
        <w:trPr/>
        <w:tc>
          <w:p w14:paraId="00100082" w14:textId="00100083">
            <w:r>
              <w:t xml:space="preserve">一票否决红线</w:t>
            </w:r>
          </w:p>
        </w:tc>
        <w:tc>
          <w:p w14:paraId="00100084" w14:textId="00100085">
            <w:r>
              <w:t xml:space="preserve">必要（热炉法则）</w:t>
            </w:r>
          </w:p>
        </w:tc>
        <w:tc>
          <w:p w14:paraId="00100086" w14:textId="00100087">
            <w:r>
              <w:t xml:space="preserve">"重大质量事故"必须书面定义分级，否则诱发瞒报</w:t>
            </w:r>
          </w:p>
        </w:tc>
      </w:tr>
      <w:tr>
        <w:trPr/>
        <w:tc>
          <w:p w14:paraId="00100088" w14:textId="00100089">
            <w:r>
              <w:t xml:space="preserve">季度考核兑现</w:t>
            </w:r>
          </w:p>
        </w:tc>
        <w:tc>
          <w:p w14:paraId="0010008A" w14:textId="0010008B">
            <w:r>
              <w:t xml:space="preserve">合适</w:t>
            </w:r>
          </w:p>
        </w:tc>
        <w:tc>
          <w:p w14:paraId="0010008C" w14:textId="0010008D">
            <w:r>
              <w:t xml:space="preserve">改"月度复盘+季度兑现"，防止季末冲刺月初躺平</w:t>
            </w:r>
          </w:p>
        </w:tc>
      </w:tr>
      <w:tr>
        <w:trPr/>
        <w:tc>
          <w:p w14:paraId="0010008E" w14:textId="0010008F">
            <w:r>
              <w:t xml:space="preserve">20%质量准备金冻结一年</w:t>
            </w:r>
          </w:p>
        </w:tc>
        <w:tc>
          <w:p w14:paraId="00100090" w14:textId="00100091">
            <w:r>
              <w:t xml:space="preserve">风险递延合理</w:t>
            </w:r>
          </w:p>
        </w:tc>
        <w:tc>
          <w:p w14:paraId="00100092" w14:textId="00100093">
            <w:r>
              <w:t xml:space="preserve">改10-15%+阶梯解冻+付利息</w:t>
            </w:r>
          </w:p>
        </w:tc>
      </w:tr>
    </w:tbl>
    <w:p w14:paraId="00100094" w14:textId="00100095">
      <w:pPr>
        <w:spacing w:before="240" w:after="240"/>
      </w:pPr>
      <w:r>
        <w:rPr/>
        <w:t xml:space="preserve"/>
      </w:r>
    </w:p>
    <w:p w14:paraId="00100096" w14:textId="00100097">
      <w:pPr>
        <w:pStyle w:val="Heading2"/>
      </w:pPr>
      <w:r>
        <w:rPr/>
        <w:t xml:space="preserve">落地顺序建议</w:t>
      </w:r>
    </w:p>
    <w:p w14:paraId="00100098" w14:textId="00100099">
      <w:pPr>
        <w:numPr>
          <w:ilvl w:val="0"/>
          <w:numId w:val="1"/>
        </w:numPr>
        <w:spacing w:after="80"/>
      </w:pPr>
      <w:r>
        <w:rPr/>
        <w:t xml:space="preserve">① 先发《可分配利润核算细则》（P0-2，一切的地基）</w:t>
      </w:r>
    </w:p>
    <w:p w14:paraId="0010009A" w14:textId="0010009B">
      <w:pPr>
        <w:numPr>
          <w:ilvl w:val="0"/>
          <w:numId w:val="1"/>
        </w:numPr>
        <w:spacing w:after="80"/>
      </w:pPr>
      <w:r>
        <w:rPr/>
        <w:t xml:space="preserve">② 修离职分润条款（P0-1，法律风险）</w:t>
      </w:r>
    </w:p>
    <w:p w14:paraId="0010009C" w14:textId="0010009D">
      <w:pPr>
        <w:numPr>
          <w:ilvl w:val="0"/>
          <w:numId w:val="1"/>
        </w:numPr>
        <w:spacing w:after="80"/>
      </w:pPr>
      <w:r>
        <w:rPr/>
        <w:t xml:space="preserve">③ 调亏损分担、负责人比例、里程碑预发（P1）</w:t>
      </w:r>
    </w:p>
    <w:p w14:paraId="0010009E" w14:textId="0010009F">
      <w:pPr>
        <w:numPr>
          <w:ilvl w:val="0"/>
          <w:numId w:val="1"/>
        </w:numPr>
        <w:spacing w:after="80"/>
      </w:pPr>
      <w:r>
        <w:rPr/>
        <w:t xml:space="preserve">④ 试行期6个月：首期系数下限兜底（只奖不罚），换信任再上强度</w:t>
      </w:r>
    </w:p>
    <w:p w14:paraId="001000A0" w14:textId="001000A1">
      <w:pPr>
        <w:numPr>
          <w:ilvl w:val="0"/>
          <w:numId w:val="1"/>
        </w:numPr>
        <w:spacing w:after="360"/>
      </w:pPr>
      <w:r>
        <w:rPr/>
        <w:t xml:space="preserve">⑤ Opus-4-8 终审：如需最终定稿把关，动用压舱石（本项目还剩2次额度）</w:t>
      </w:r>
    </w:p>
    <w:p w14:paraId="001000A2" w14:textId="001000A3">
      <w:pPr>
        <w:shd w:val="clear" w:fill="C5955C"/>
        <w:spacing w:before="0" w:after="120"/>
      </w:pPr>
      <w:r>
        <w:rPr>
          <w:sz w:val="4"/>
        </w:rPr>
        <w:t xml:space="preserve"/>
      </w:r>
    </w:p>
    <w:p w14:paraId="001000A4" w14:textId="001000A5">
      <w:pPr>
        <w:spacing w:after="240"/>
      </w:pPr>
      <w:r>
        <w:rPr>
          <w:i/>
          <w:color w:val="888888"/>
          <w:sz w:val="18"/>
        </w:rPr>
        <w:t xml:space="preserve">评审方式说明：因完整制度文本直接投喂会触发模型防御机制，本次采用场景化问答——每份制度拆解5个关键争议点独立提问，每个争议点4模型背对背评估。</w:t>
      </w:r>
    </w:p>
    <w:p w14:paraId="001000A6" w14:textId="001000A7">
      <w:r>
        <w:br w:type="page"/>
      </w:r>
    </w:p>
    <w:p w14:paraId="001000A8" w14:textId="001000A9">
      <w:pPr>
        <w:pStyle w:val="Heading1"/>
      </w:pPr>
      <w:r>
        <w:rPr/>
        <w:t xml:space="preserve">一、项目独立核算与分润制度</w:t>
      </w:r>
    </w:p>
    <w:p w14:paraId="001000AA" w14:textId="001000AB">
      <w:pPr>
        <w:pStyle w:val="Heading2"/>
      </w:pPr>
      <w:r>
        <w:rPr/>
        <w:t xml:space="preserve">Q1: 项目净利润按「公司50% / 负责人20% / 组员30%」分配，比例是否合理？</w:t>
      </w:r>
    </w:p>
    <w:p w14:paraId="001000AC" w14:textId="001000AD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0AE" w14:textId="001000AF">
      <w:pPr>
        <w:spacing w:after="80"/>
      </w:pPr>
      <w:r>
        <w:rPr>
          <w:b/>
          <w:color w:val="1A5C6E"/>
        </w:rPr>
        <w:t xml:space="preserve">DeepSeek V4 Pro 评审意见</w:t>
      </w:r>
    </w:p>
    <w:p w14:paraId="001000B0" w14:textId="001000B1">
      <w:pPr>
        <w:spacing w:after="80"/>
      </w:pPr>
      <w:r>
        <w:rPr/>
        <w:t xml:space="preserve">符合"利益绑定、增量共享"的激励原则，但公司50%占比偏高，叠加固定薪酬成本可能让团队感觉分配不公。组员直接分润可能架空负责人管理权威。</w:t>
      </w:r>
    </w:p>
    <w:p w14:paraId="001000B2" w14:textId="001000B3">
      <w:pPr>
        <w:spacing w:after="80"/>
      </w:pPr>
      <w:r>
        <w:rPr>
          <w:i/>
        </w:rPr>
        <w:t xml:space="preserve">建议调整为阶梯制+岗位系数：设硬性利润率门槛，超额利润公司30%/团队70%；组员30%改为由负责人按绩效二次分配。</w:t>
      </w:r>
    </w:p>
    <w:p w14:paraId="001000B4" w14:textId="001000B5">
      <w:pPr>
        <w:spacing w:after="200"/>
      </w:pPr>
      <w:r>
        <w:rPr>
          <w:color w:val="888888"/>
          <w:sz w:val="18"/>
        </w:rPr>
        <w:t xml:space="preserve">推行难度：8/10</w:t>
      </w:r>
    </w:p>
    <w:p w14:paraId="001000B6" w14:textId="001000B7">
      <w:pPr>
        <w:spacing w:after="80"/>
      </w:pPr>
      <w:r>
        <w:rPr>
          <w:b/>
          <w:color w:val="1A5C6E"/>
        </w:rPr>
        <w:t xml:space="preserve">Claude Sonnet-5 评审意见</w:t>
      </w:r>
    </w:p>
    <w:p w14:paraId="001000B8" w14:textId="001000B9">
      <w:pPr>
        <w:spacing w:after="80"/>
      </w:pPr>
      <w:r>
        <w:rPr/>
        <w:t xml:space="preserve">结构性问题：组员分润(30%)高于负责人(20%)违反责权利对等原则。公司留存50%对20-30人企业压力较大。</w:t>
      </w:r>
    </w:p>
    <w:p w14:paraId="001000BA" w14:textId="001000BB">
      <w:pPr>
        <w:spacing w:after="80"/>
      </w:pPr>
      <w:r>
        <w:rPr>
          <w:i/>
        </w:rPr>
        <w:t xml:space="preserve">建议公司60%/负责人25%/组员15%；增设分级触发（利润率&lt;15%不分润）；质量绑定（30%即时发放，70%按客户评价兑现）。</w:t>
      </w:r>
    </w:p>
    <w:p w14:paraId="001000BC" w14:textId="001000BD">
      <w:pPr>
        <w:spacing w:after="200"/>
      </w:pPr>
      <w:r>
        <w:rPr>
          <w:color w:val="888888"/>
          <w:sz w:val="18"/>
        </w:rPr>
        <w:t xml:space="preserve">推行难度：7.5/10</w:t>
      </w:r>
    </w:p>
    <w:p w14:paraId="001000BE" w14:textId="001000BF">
      <w:pPr>
        <w:spacing w:after="80"/>
      </w:pPr>
      <w:r>
        <w:rPr>
          <w:b/>
          <w:color w:val="1A5C6E"/>
        </w:rPr>
        <w:t xml:space="preserve">Gemini 3.1 Pro 评审意见</w:t>
      </w:r>
    </w:p>
    <w:p w14:paraId="001000C0" w14:textId="001000C1">
      <w:pPr>
        <w:spacing w:after="80"/>
      </w:pPr>
      <w:r>
        <w:rPr/>
        <w:t xml:space="preserve">方向正确，符合阿米巴经营原理。但净利润核算易引发信任危机；负责人仅20%低于组员30%，无法解决"高管动力不足"痛点。</w:t>
      </w:r>
    </w:p>
    <w:p w14:paraId="001000C2" w14:textId="001000C3">
      <w:pPr>
        <w:spacing w:after="80"/>
      </w:pPr>
      <w:r>
        <w:rPr>
          <w:i/>
        </w:rPr>
        <w:t xml:space="preserve">建议改算"项目毛利润"简化核算；调整比例为公司50%/负责人35%/组员15%。</w:t>
      </w:r>
    </w:p>
    <w:p w14:paraId="001000C4" w14:textId="001000C5">
      <w:pPr>
        <w:spacing w:after="200"/>
      </w:pPr>
      <w:r>
        <w:rPr>
          <w:color w:val="888888"/>
          <w:sz w:val="18"/>
        </w:rPr>
        <w:t xml:space="preserve">推行难度：8/10</w:t>
      </w:r>
    </w:p>
    <w:p w14:paraId="001000C6" w14:textId="001000C7">
      <w:pPr>
        <w:spacing w:after="80"/>
      </w:pPr>
      <w:r>
        <w:rPr>
          <w:b/>
          <w:color w:val="1A5C6E"/>
        </w:rPr>
        <w:t xml:space="preserve">GPT-5.6-Sol 评审意见</w:t>
      </w:r>
    </w:p>
    <w:p w14:paraId="001000C8" w14:textId="001000C9">
      <w:pPr>
        <w:spacing w:after="80"/>
      </w:pPr>
      <w:r>
        <w:rPr/>
        <w:t xml:space="preserve">分配方式能强化成本、回款与交付意识。但团队分50%偏激进，易诱发抢项目、挑肥拣瘦、压缩成本。</w:t>
      </w:r>
    </w:p>
    <w:p w14:paraId="001000CA" w14:textId="001000CB">
      <w:pPr>
        <w:spacing w:after="80"/>
      </w:pPr>
      <w:r>
        <w:rPr>
          <w:i/>
        </w:rPr>
        <w:t xml:space="preserve">建议基数改为"可分配利润"（扣除税费、资金成本、管理分摊及风险准备）；公司保留55-65%，团队35-45%。负责人与组员按贡献系数动态分配。</w:t>
      </w:r>
    </w:p>
    <w:p w14:paraId="001000CC" w14:textId="001000CD">
      <w:pPr>
        <w:spacing w:after="280"/>
      </w:pPr>
      <w:r>
        <w:rPr>
          <w:color w:val="888888"/>
          <w:sz w:val="18"/>
        </w:rPr>
        <w:t xml:space="preserve">推行难度：8/10</w:t>
      </w:r>
    </w:p>
    <w:p w14:paraId="001000CE" w14:textId="001000CF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0D0" w14:textId="001000D1">
      <w:pPr>
        <w:pStyle w:val="Heading2"/>
      </w:pPr>
      <w:r>
        <w:rPr/>
        <w:t xml:space="preserve">Q2: 亏损项目50%由负责人承担，是否过于严苛？</w:t>
      </w:r>
    </w:p>
    <w:p w14:paraId="001000D2" w14:textId="001000D3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0D4" w14:textId="001000D5">
      <w:pPr>
        <w:spacing w:after="80"/>
      </w:pPr>
      <w:r>
        <w:rPr>
          <w:b/>
          <w:color w:val="1A5C6E"/>
        </w:rPr>
        <w:t xml:space="preserve">DeepSeek V4 Pro</w:t>
      </w:r>
    </w:p>
    <w:p w14:paraId="001000D6" w14:textId="001000D7">
      <w:pPr>
        <w:spacing w:after="80"/>
      </w:pPr>
      <w:r>
        <w:rPr/>
        <w:t xml:space="preserve">符合权责利对等与风险共担原则，但前提是负责人对定价、资源调配有充分话语权。50%极易引发"避险瘫痪"。建议设止损阀、区分亏损性质（客观/主观），建立"风险准备金池"。</w:t>
      </w:r>
    </w:p>
    <w:p w14:paraId="001000D8" w14:textId="001000D9">
      <w:pPr>
        <w:spacing w:after="200"/>
      </w:pPr>
      <w:r>
        <w:rPr>
          <w:color w:val="888888"/>
          <w:sz w:val="18"/>
        </w:rPr>
        <w:t xml:space="preserve">推行难度：8/10</w:t>
      </w:r>
    </w:p>
    <w:p w14:paraId="001000DA" w14:textId="001000DB">
      <w:pPr>
        <w:spacing w:after="80"/>
      </w:pPr>
      <w:r>
        <w:rPr>
          <w:b/>
          <w:color w:val="1A5C6E"/>
        </w:rPr>
        <w:t xml:space="preserve">Claude Sonnet-5</w:t>
      </w:r>
    </w:p>
    <w:p w14:paraId="001000DC" w14:textId="001000DD">
      <w:pPr>
        <w:spacing w:after="80"/>
      </w:pPr>
      <w:r>
        <w:rPr/>
        <w:t xml:space="preserve">权责对等符合原理但50%过重。负责人无法完全控制客户变更、市场环境等亏损因素。建议降至20-30%或设年度上限；区分可控/不可控亏损；配套成本核算透明化。</w:t>
      </w:r>
    </w:p>
    <w:p w14:paraId="001000DE" w14:textId="001000DF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0E0" w14:textId="001000E1">
      <w:pPr>
        <w:spacing w:after="80"/>
      </w:pPr>
      <w:r>
        <w:rPr>
          <w:b/>
          <w:color w:val="1A5C6E"/>
        </w:rPr>
        <w:t xml:space="preserve">Gemini 3.1 Pro</w:t>
      </w:r>
    </w:p>
    <w:p w14:paraId="001000E2" w14:textId="001000E3">
      <w:pPr>
        <w:spacing w:after="80"/>
      </w:pPr>
      <w:r>
        <w:rPr/>
        <w:t xml:space="preserve">符合权责利对等，能倒逼负责人关注全周期成本与收款风险。但50%直接扣罚极易触发"损失厌恶"，高管为避险拒接开拓性项目。建议设扣罚上限（不超过总分润30%）、建立风险缓冲池、区分亏损性质。</w:t>
      </w:r>
    </w:p>
    <w:p w14:paraId="001000E4" w14:textId="001000E5">
      <w:pPr>
        <w:spacing w:after="200"/>
      </w:pPr>
      <w:r>
        <w:rPr>
          <w:color w:val="888888"/>
          <w:sz w:val="18"/>
        </w:rPr>
        <w:t xml:space="preserve">推行难度：8.5/10</w:t>
      </w:r>
    </w:p>
    <w:p w14:paraId="001000E6" w14:textId="001000E7">
      <w:pPr>
        <w:spacing w:after="80"/>
      </w:pPr>
      <w:r>
        <w:rPr>
          <w:b/>
          <w:color w:val="1A5C6E"/>
        </w:rPr>
        <w:t xml:space="preserve">GPT-5.6-Sol</w:t>
      </w:r>
    </w:p>
    <w:p w14:paraId="001000E8" w14:textId="001000E9">
      <w:pPr>
        <w:spacing w:after="80"/>
      </w:pPr>
      <w:r>
        <w:rPr/>
        <w:t xml:space="preserve">体现权责利对等，能抑制低价接单和成本失控。但固定50%偏严苛，建议按责任认定分级承担（主观过失10-30%，重大违规最高50%）；设年度扣款上限；建立立项预算、预警、复盘及申诉机制。</w:t>
      </w:r>
    </w:p>
    <w:p w14:paraId="001000EA" w14:textId="001000EB">
      <w:pPr>
        <w:spacing w:after="280"/>
      </w:pPr>
      <w:r>
        <w:rPr>
          <w:color w:val="888888"/>
          <w:sz w:val="18"/>
        </w:rPr>
        <w:t xml:space="preserve">推行难度：8/10</w:t>
      </w:r>
    </w:p>
    <w:p w14:paraId="001000EC" w14:textId="001000ED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0EE" w14:textId="001000EF">
      <w:pPr>
        <w:pStyle w:val="Heading2"/>
      </w:pPr>
      <w:r>
        <w:rPr/>
        <w:t xml:space="preserve">Q3: 「实际到账回款才分润」在审计行业（回款周期长）是否合理？</w:t>
      </w:r>
    </w:p>
    <w:p w14:paraId="001000F0" w14:textId="001000F1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0F2" w14:textId="001000F3">
      <w:pPr>
        <w:spacing w:after="80"/>
      </w:pPr>
      <w:r>
        <w:rPr>
          <w:b/>
          <w:color w:val="1A5C6E"/>
        </w:rPr>
        <w:t xml:space="preserve">DeepSeek V4 Pro</w:t>
      </w:r>
    </w:p>
    <w:p w14:paraId="001000F4" w14:textId="001000F5">
      <w:pPr>
        <w:spacing w:after="80"/>
      </w:pPr>
      <w:r>
        <w:rPr/>
        <w:t xml:space="preserve">符合"现金为王"原理，能倒逼高管关注回款。但审计回款周期常达半年以上，完全后置会导致"只干活不见钱"的财务焦虑。建议里程碑递延分润：出具报告时预发50-60%，到账后补足剩余。</w:t>
      </w:r>
    </w:p>
    <w:p w14:paraId="001000F6" w14:textId="001000F7">
      <w:pPr>
        <w:spacing w:after="200"/>
      </w:pPr>
      <w:r>
        <w:rPr>
          <w:color w:val="888888"/>
          <w:sz w:val="18"/>
        </w:rPr>
        <w:t xml:space="preserve">推行难度：6/10</w:t>
      </w:r>
    </w:p>
    <w:p w14:paraId="001000F8" w14:textId="001000F9">
      <w:pPr>
        <w:spacing w:after="80"/>
      </w:pPr>
      <w:r>
        <w:rPr>
          <w:b/>
          <w:color w:val="1A5C6E"/>
        </w:rPr>
        <w:t xml:space="preserve">Claude Sonnet-5</w:t>
      </w:r>
    </w:p>
    <w:p w14:paraId="001000FA" w14:textId="001000FB">
      <w:pPr>
        <w:spacing w:after="80"/>
      </w:pPr>
      <w:r>
        <w:rPr/>
        <w:t xml:space="preserve">风险收益匹配原则合理，但审计行业6-18个月回款周期违背激励的及时性原则。建议"里程碑+回款"混合模式：交付时先发60-70%，回款后补齐剩余30-40%，超期应收暂缓直至回款。</w:t>
      </w:r>
    </w:p>
    <w:p w14:paraId="001000FC" w14:textId="001000FD">
      <w:pPr>
        <w:spacing w:after="200"/>
      </w:pPr>
      <w:r>
        <w:rPr>
          <w:color w:val="888888"/>
          <w:sz w:val="18"/>
        </w:rPr>
        <w:t xml:space="preserve">推行难度：7.5/10</w:t>
      </w:r>
    </w:p>
    <w:p w14:paraId="001000FE" w14:textId="001000FF">
      <w:pPr>
        <w:spacing w:after="80"/>
      </w:pPr>
      <w:r>
        <w:rPr>
          <w:b/>
          <w:color w:val="1A5C6E"/>
        </w:rPr>
        <w:t xml:space="preserve">Gemini 3.1 Pro</w:t>
      </w:r>
    </w:p>
    <w:p w14:paraId="00100100" w14:textId="00100101">
      <w:pPr>
        <w:spacing w:after="80"/>
      </w:pPr>
      <w:r>
        <w:rPr/>
        <w:t xml:space="preserve">符合现金流为王原理，但审计政企项目回款周期极长，全额绑定易导致激励严重滞后。建议"里程碑预发+回款清算"：节点奖40%（交付后发放），回款奖60%（到账后发放），引入超期扣减机制。</w:t>
      </w:r>
    </w:p>
    <w:p w14:paraId="00100102" w14:textId="00100103">
      <w:pPr>
        <w:spacing w:after="200"/>
      </w:pPr>
      <w:r>
        <w:rPr>
          <w:color w:val="888888"/>
          <w:sz w:val="18"/>
        </w:rPr>
        <w:t xml:space="preserve">推行难度：8/10</w:t>
      </w:r>
    </w:p>
    <w:p w14:paraId="00100104" w14:textId="00100105">
      <w:pPr>
        <w:spacing w:after="80"/>
      </w:pPr>
      <w:r>
        <w:rPr>
          <w:b/>
          <w:color w:val="1A5C6E"/>
        </w:rPr>
        <w:t xml:space="preserve">GPT-5.6-Sol</w:t>
      </w:r>
    </w:p>
    <w:p w14:paraId="00100106" w14:textId="00100107">
      <w:pPr>
        <w:spacing w:after="80"/>
      </w:pPr>
      <w:r>
        <w:rPr/>
        <w:t xml:space="preserve">以到账为分润前提符合现金流管理原则，但将回款风险全部转嫁项目团队则违背权责对等。建议"确认+到账"两段式分润：报告验收时预提30%，到账后支付70%；区分可控与不可控逾期。</w:t>
      </w:r>
    </w:p>
    <w:p w14:paraId="00100108" w14:textId="00100109">
      <w:pPr>
        <w:spacing w:after="280"/>
      </w:pPr>
      <w:r>
        <w:rPr>
          <w:color w:val="888888"/>
          <w:sz w:val="18"/>
        </w:rPr>
        <w:t xml:space="preserve">推行难度：7/10</w:t>
      </w:r>
    </w:p>
    <w:p w14:paraId="0010010A" w14:textId="0010010B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10C" w14:textId="0010010D">
      <w:pPr>
        <w:pStyle w:val="Heading2"/>
      </w:pPr>
      <w:r>
        <w:rPr/>
        <w:t xml:space="preserve">Q4: 公摊成本按回款额10%统一提取，是否科学？</w:t>
      </w:r>
    </w:p>
    <w:p w14:paraId="0010010E" w14:textId="0010010F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110" w14:textId="00100111">
      <w:pPr>
        <w:spacing w:after="80"/>
      </w:pPr>
      <w:r>
        <w:rPr>
          <w:b/>
          <w:color w:val="1A5C6E"/>
        </w:rPr>
        <w:t xml:space="preserve">DeepSeek V4 Pro</w:t>
      </w:r>
    </w:p>
    <w:p w14:paraId="00100112" w14:textId="00100113">
      <w:pPr>
        <w:spacing w:after="80"/>
      </w:pPr>
      <w:r>
        <w:rPr/>
        <w:t xml:space="preserve">符合简易分摊原则，在20-30人规模下清晰透明，属于"先分钱再优化"的激活逻辑。但回款额与资源消耗非线型相关，大额短平快项目可能"补贴"小额长周期项目。建议双轨分摊：固定部分按人头，变动部分按回款。</w:t>
      </w:r>
    </w:p>
    <w:p w14:paraId="00100114" w14:textId="00100115">
      <w:pPr>
        <w:spacing w:after="200"/>
      </w:pPr>
      <w:r>
        <w:rPr>
          <w:color w:val="888888"/>
          <w:sz w:val="18"/>
        </w:rPr>
        <w:t xml:space="preserve">推行难度：4/10</w:t>
      </w:r>
    </w:p>
    <w:p w14:paraId="00100116" w14:textId="00100117">
      <w:pPr>
        <w:spacing w:after="80"/>
      </w:pPr>
      <w:r>
        <w:rPr>
          <w:b/>
          <w:color w:val="1A5C6E"/>
        </w:rPr>
        <w:t xml:space="preserve">Claude Sonnet-5</w:t>
      </w:r>
    </w:p>
    <w:p w14:paraId="00100118" w14:textId="00100119">
      <w:pPr>
        <w:spacing w:after="80"/>
      </w:pPr>
      <w:r>
        <w:rPr/>
        <w:t xml:space="preserve">简单透明是优点，但违背成本配比原则：审计项目（人力密集）与工程咨询项目（外包/差旅占比高）成本结构完全不同。建议分类定率：审计类8%、工程咨询类12%；每季度根据实际成本倒推合理比例；公开公摊构成明细。</w:t>
      </w:r>
    </w:p>
    <w:p w14:paraId="0010011A" w14:textId="0010011B">
      <w:pPr>
        <w:spacing w:after="200"/>
      </w:pPr>
      <w:r>
        <w:rPr>
          <w:color w:val="888888"/>
          <w:sz w:val="18"/>
        </w:rPr>
        <w:t xml:space="preserve">推行难度：5/10</w:t>
      </w:r>
    </w:p>
    <w:p w14:paraId="0010011C" w14:textId="0010011D">
      <w:pPr>
        <w:spacing w:after="80"/>
      </w:pPr>
      <w:r>
        <w:rPr>
          <w:b/>
          <w:color w:val="1A5C6E"/>
        </w:rPr>
        <w:t xml:space="preserve">Gemini 3.1 Pro</w:t>
      </w:r>
    </w:p>
    <w:p w14:paraId="0010011E" w14:textId="0010011F">
      <w:pPr>
        <w:spacing w:after="80"/>
      </w:pPr>
      <w:r>
        <w:rPr/>
        <w:t xml:space="preserve">符合"交易成本最小化"原理。20-30人公司精算后台公摊会导致极大内耗，10%统提简单透明，能强制建立"全员为平台成本买单"的经营共识。但存在鞭打快牛风险，建议设大额项目阶梯降费，年终公摊结余按贡献返还。</w:t>
      </w:r>
    </w:p>
    <w:p w14:paraId="00100120" w14:textId="00100121">
      <w:pPr>
        <w:spacing w:after="200"/>
      </w:pPr>
      <w:r>
        <w:rPr>
          <w:color w:val="888888"/>
          <w:sz w:val="18"/>
        </w:rPr>
        <w:t xml:space="preserve">推行难度：6/10</w:t>
      </w:r>
    </w:p>
    <w:p w14:paraId="00100122" w14:textId="00100123">
      <w:pPr>
        <w:spacing w:after="80"/>
      </w:pPr>
      <w:r>
        <w:rPr>
          <w:b/>
          <w:color w:val="1A5C6E"/>
        </w:rPr>
        <w:t xml:space="preserve">GPT-5.6-Sol</w:t>
      </w:r>
    </w:p>
    <w:p w14:paraId="00100124" w14:textId="00100125">
      <w:pPr>
        <w:spacing w:after="80"/>
      </w:pPr>
      <w:r>
        <w:rPr/>
        <w:t xml:space="preserve">操作简单，兼顾"谁创收谁承担"，适合作为过渡期标准公摊率。但统一比例可能造成跨项目交叉补贴。建议按年度公共费用预算计算比例，季度复盘年度清算；区分固定公摊与专项费用；设8%-12%动态区间并公开明细。</w:t>
      </w:r>
    </w:p>
    <w:p w14:paraId="00100126" w14:textId="00100127">
      <w:pPr>
        <w:spacing w:after="280"/>
      </w:pPr>
      <w:r>
        <w:rPr>
          <w:color w:val="888888"/>
          <w:sz w:val="18"/>
        </w:rPr>
        <w:t xml:space="preserve">推行难度：6/10</w:t>
      </w:r>
    </w:p>
    <w:p w14:paraId="00100128" w14:textId="00100129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12A" w14:textId="0010012B">
      <w:pPr>
        <w:pStyle w:val="Heading2"/>
      </w:pPr>
      <w:r>
        <w:rPr/>
        <w:t xml:space="preserve">Q5: 中途离职员工分润处理（未结项取消、已结项降至10%），是否公平？有无法律风险？</w:t>
      </w:r>
    </w:p>
    <w:p w14:paraId="0010012C" w14:textId="0010012D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12E" w14:textId="0010012F">
      <w:pPr>
        <w:spacing w:after="80"/>
      </w:pPr>
      <w:r>
        <w:rPr>
          <w:b/>
          <w:color w:val="1A5C6E"/>
        </w:rPr>
        <w:t xml:space="preserve">DeepSeek V4 Pro</w:t>
      </w:r>
    </w:p>
    <w:p w14:paraId="00100130" w14:textId="00100131">
      <w:pPr>
        <w:spacing w:after="80"/>
      </w:pPr>
      <w:r>
        <w:rPr/>
        <w:t xml:space="preserve">【法律风险极高⚠️】未结项一律取消构成克扣已付出劳动的报酬，已结项回溯性削减涉嫌单方变更薪酬制度。若无民主程序且员工签字确认，仲裁大概率判无效，需补足差额并可能加付赔偿金。建议明确分润为"经营利润分享"而非工资性质。</w:t>
      </w:r>
    </w:p>
    <w:p w14:paraId="00100132" w14:textId="00100133">
      <w:pPr>
        <w:spacing w:after="200"/>
      </w:pPr>
      <w:r>
        <w:rPr>
          <w:color w:val="888888"/>
          <w:sz w:val="18"/>
        </w:rPr>
        <w:t xml:space="preserve">推行难度：8/10</w:t>
      </w:r>
    </w:p>
    <w:p w14:paraId="00100134" w14:textId="00100135">
      <w:pPr>
        <w:spacing w:after="80"/>
      </w:pPr>
      <w:r>
        <w:rPr>
          <w:b/>
          <w:color w:val="1A5C6E"/>
        </w:rPr>
        <w:t xml:space="preserve">Claude Sonnet-5</w:t>
      </w:r>
    </w:p>
    <w:p w14:paraId="00100136" w14:textId="00100137">
      <w:pPr>
        <w:spacing w:after="80"/>
      </w:pPr>
      <w:r>
        <w:rPr/>
        <w:t xml:space="preserve">【法律风险极高⚠️】已结项削减90%违背按劳取酬原则；未结项取消可理解但需明确补偿。若分润属工资性质，单方降低涉嫌克扣劳动报酬。建议已结项分润≥50%；设3-6月过渡期逐级递减；全员签署《分润协议》明确性质。</w:t>
      </w:r>
    </w:p>
    <w:p w14:paraId="00100138" w14:textId="00100139">
      <w:pPr>
        <w:spacing w:after="200"/>
      </w:pPr>
      <w:r>
        <w:rPr>
          <w:color w:val="888888"/>
          <w:sz w:val="18"/>
        </w:rPr>
        <w:t xml:space="preserve">推行难度：7.5/10</w:t>
      </w:r>
    </w:p>
    <w:p w14:paraId="0010013A" w14:textId="0010013B">
      <w:pPr>
        <w:spacing w:after="80"/>
      </w:pPr>
      <w:r>
        <w:rPr>
          <w:b/>
          <w:color w:val="1A5C6E"/>
        </w:rPr>
        <w:t xml:space="preserve">Gemini 3.1 Pro</w:t>
      </w:r>
    </w:p>
    <w:p w14:paraId="0010013C" w14:textId="0010013D">
      <w:pPr>
        <w:spacing w:after="80"/>
      </w:pPr>
      <w:r>
        <w:rPr/>
        <w:t xml:space="preserve">【法律风险极高⚠️】若分润被界定为提成或绩效工资，归零或扣减90%极易被认定为违法克扣工资。建议更改名目为"项目超额目标奖金"或"合伙分红"；按节点切分（交付50%/回款30%/质保20%），离职时按已完成节点结算。</w:t>
      </w:r>
    </w:p>
    <w:p w14:paraId="0010013E" w14:textId="0010013F">
      <w:pPr>
        <w:spacing w:after="200"/>
      </w:pPr>
      <w:r>
        <w:rPr>
          <w:color w:val="888888"/>
          <w:sz w:val="18"/>
        </w:rPr>
        <w:t xml:space="preserve">推行难度：8/10</w:t>
      </w:r>
    </w:p>
    <w:p w14:paraId="00100140" w14:textId="00100141">
      <w:pPr>
        <w:spacing w:after="80"/>
      </w:pPr>
      <w:r>
        <w:rPr>
          <w:b/>
          <w:color w:val="1A5C6E"/>
        </w:rPr>
        <w:t xml:space="preserve">GPT-5.6-Sol</w:t>
      </w:r>
    </w:p>
    <w:p w14:paraId="00100142" w14:textId="00100143">
      <w:pPr>
        <w:spacing w:after="80"/>
      </w:pPr>
      <w:r>
        <w:rPr/>
        <w:t xml:space="preserve">【法律风险极高⚠️】若分润已约定且员工已完成相应工作，单方取消/降档存在劳动仲裁及补发风险。建议按里程碑归属：立项、阶段成果、结项、回款分别计提，离职按已完成贡献结算；规则须民主程序通过、书面确认。</w:t>
      </w:r>
    </w:p>
    <w:p w14:paraId="00100144" w14:textId="00100145">
      <w:pPr>
        <w:spacing w:after="280"/>
      </w:pPr>
      <w:r>
        <w:rPr>
          <w:color w:val="888888"/>
          <w:sz w:val="18"/>
        </w:rPr>
        <w:t xml:space="preserve">推行难度：7/10</w:t>
      </w:r>
    </w:p>
    <w:p w14:paraId="00100146" w14:textId="00100147">
      <w:r>
        <w:br w:type="page"/>
      </w:r>
    </w:p>
    <w:p w14:paraId="00100148" w14:textId="00100149">
      <w:pPr>
        <w:pStyle w:val="Heading1"/>
      </w:pPr>
      <w:r>
        <w:rPr/>
        <w:t xml:space="preserve">二、跨部门协同与交叉营销奖励办法</w:t>
      </w:r>
    </w:p>
    <w:p w14:paraId="0010014A" w14:textId="0010014B">
      <w:pPr>
        <w:pStyle w:val="Heading2"/>
      </w:pPr>
      <w:r>
        <w:rPr/>
        <w:t xml:space="preserve">Q1: 引流项目按净利润10-15%奖励引荐人，比例是否有吸引力？</w:t>
      </w:r>
    </w:p>
    <w:p w14:paraId="0010014C" w14:textId="0010014D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14E" w14:textId="0010014F">
      <w:pPr>
        <w:spacing w:after="80"/>
      </w:pPr>
      <w:r>
        <w:rPr>
          <w:b/>
          <w:color w:val="1A5C6E"/>
        </w:rPr>
        <w:t xml:space="preserve">DeepSeek V4 Pro</w:t>
      </w:r>
    </w:p>
    <w:p w14:paraId="00100150" w14:textId="00100151">
      <w:pPr>
        <w:spacing w:after="80"/>
      </w:pPr>
      <w:r>
        <w:rPr/>
        <w:t xml:space="preserve">以"净利润"为基数违背激励的明确性原则。审计项目净利润核定极易在人工成本分摊上产生分歧，导致激励契约模糊化。执行方可能虚增工时和成本变相压低净利，使引荐人奖励缩水，引发部门对立。</w:t>
      </w:r>
    </w:p>
    <w:p w14:paraId="00100152" w14:textId="00100153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154" w14:textId="00100155">
      <w:pPr>
        <w:spacing w:after="80"/>
      </w:pPr>
      <w:r>
        <w:rPr>
          <w:b/>
          <w:color w:val="1A5C6E"/>
        </w:rPr>
        <w:t xml:space="preserve">Claude Sonnet-5</w:t>
      </w:r>
    </w:p>
    <w:p w14:paraId="00100156" w14:textId="00100157">
      <w:pPr>
        <w:spacing w:after="80"/>
      </w:pPr>
      <w:r>
        <w:rPr/>
        <w:t xml:space="preserve">净利润10-15%在咨询行业属中等偏低。引荐人无法控制执行成本，净利润争议必然扯皮。建议改为毛利15-20%或项目收入5-8%，计算更清晰；增加双向考核（引荐人+执行部门捆绑），避免"扔项目不管"。</w:t>
      </w:r>
    </w:p>
    <w:p w14:paraId="00100158" w14:textId="00100159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15A" w14:textId="0010015B">
      <w:pPr>
        <w:spacing w:after="80"/>
      </w:pPr>
      <w:r>
        <w:rPr>
          <w:b/>
          <w:color w:val="1A5C6E"/>
        </w:rPr>
        <w:t xml:space="preserve">Gemini 3.1 Pro</w:t>
      </w:r>
    </w:p>
    <w:p w14:paraId="0010015C" w14:textId="0010015D">
      <w:pPr>
        <w:spacing w:after="80"/>
      </w:pPr>
      <w:r>
        <w:rPr/>
        <w:t xml:space="preserve">10-15%折算成营收可能微乎其微，实际吸引力极低。改基数：用"实际回款额"按3%-8%提取，保证直观透明；分层次：仅线索2%、协助谈单至签合同5%；即时性：按回款节点同步发放。</w:t>
      </w:r>
    </w:p>
    <w:p w14:paraId="0010015E" w14:textId="0010015F">
      <w:pPr>
        <w:spacing w:after="200"/>
      </w:pPr>
      <w:r>
        <w:rPr>
          <w:color w:val="888888"/>
          <w:sz w:val="18"/>
        </w:rPr>
        <w:t xml:space="preserve">推行难度：8/10（原方案）/ 4/10（改为回款额后）</w:t>
      </w:r>
    </w:p>
    <w:p w14:paraId="00100160" w14:textId="00100161">
      <w:pPr>
        <w:spacing w:after="80"/>
      </w:pPr>
      <w:r>
        <w:rPr>
          <w:b/>
          <w:color w:val="1A5C6E"/>
        </w:rPr>
        <w:t xml:space="preserve">GPT-5.6-Sol</w:t>
      </w:r>
    </w:p>
    <w:p w14:paraId="00100162" w14:textId="00100163">
      <w:pPr>
        <w:spacing w:after="80"/>
      </w:pPr>
      <w:r>
        <w:rPr/>
        <w:t xml:space="preserve">净利润口径不透明、核算周期长，易削弱获得感。建议明确净利润口径及可扣除成本；按"有效线索、成交、回款"分阶段兑现；依据参与程度设5%-20%阶梯比例；建立客户报备、首荐认定和退奖机制。</w:t>
      </w:r>
    </w:p>
    <w:p w14:paraId="00100164" w14:textId="00100165">
      <w:pPr>
        <w:spacing w:after="280"/>
      </w:pPr>
      <w:r>
        <w:rPr>
          <w:color w:val="888888"/>
          <w:sz w:val="18"/>
        </w:rPr>
        <w:t xml:space="preserve">推行难度：7/10</w:t>
      </w:r>
    </w:p>
    <w:p w14:paraId="00100166" w14:textId="00100167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168" w14:textId="00100169">
      <w:pPr>
        <w:pStyle w:val="Heading2"/>
      </w:pPr>
      <w:r>
        <w:rPr/>
        <w:t xml:space="preserve">Q2: 「客户主动找上门不算引流」如何防止抢单争议？</w:t>
      </w:r>
    </w:p>
    <w:p w14:paraId="0010016A" w14:textId="0010016B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16C" w14:textId="0010016D">
      <w:pPr>
        <w:spacing w:after="80"/>
      </w:pPr>
      <w:r>
        <w:rPr>
          <w:b/>
          <w:color w:val="1A5C6E"/>
        </w:rPr>
        <w:t xml:space="preserve">DeepSeek V4 Pro</w:t>
      </w:r>
    </w:p>
    <w:p w14:paraId="0010016E" w14:textId="0010016F">
      <w:pPr>
        <w:spacing w:after="80"/>
      </w:pPr>
      <w:r>
        <w:rPr/>
        <w:t xml:space="preserve">规则体现按劳分配，但"主动找上门"的界定过于笼统，客户来源往往是多因素叠加。建议建立极简客户报备表，谁先登记并有实质沟通记录即锁定利益归属。</w:t>
      </w:r>
    </w:p>
    <w:p w14:paraId="00100170" w14:textId="00100171">
      <w:pPr>
        <w:spacing w:after="80"/>
      </w:pPr>
      <w:r>
        <w:rPr>
          <w:b/>
          <w:color w:val="1A5C6E"/>
        </w:rPr>
        <w:t xml:space="preserve">Claude Sonnet-5</w:t>
      </w:r>
    </w:p>
    <w:p w14:paraId="00100172" w14:textId="00100173">
      <w:pPr>
        <w:spacing w:after="80"/>
      </w:pPr>
      <w:r>
        <w:rPr/>
        <w:t xml:space="preserve">"主动找上门"界定过于笼统，缺乏客户来源追溯机制。建议建立CRM客户接触登记制（首次接触人、时间、方式）；细化分类（主动外拓全额奖励/转介绍分成奖励/老客户续约维护奖励）；争议由仲裁组裁决。</w:t>
      </w:r>
    </w:p>
    <w:p w14:paraId="00100174" w14:textId="00100175">
      <w:pPr>
        <w:spacing w:after="200"/>
      </w:pPr>
      <w:r>
        <w:rPr>
          <w:color w:val="888888"/>
          <w:sz w:val="18"/>
        </w:rPr>
        <w:t xml:space="preserve">推行难度：7.5/10</w:t>
      </w:r>
    </w:p>
    <w:p w14:paraId="00100176" w14:textId="00100177">
      <w:pPr>
        <w:spacing w:after="80"/>
      </w:pPr>
      <w:r>
        <w:rPr>
          <w:b/>
          <w:color w:val="1A5C6E"/>
        </w:rPr>
        <w:t xml:space="preserve">Gemini 3.1 Pro</w:t>
      </w:r>
    </w:p>
    <w:p w14:paraId="00100178" w14:textId="00100179">
      <w:pPr>
        <w:spacing w:after="80"/>
      </w:pPr>
      <w:r>
        <w:rPr/>
        <w:t xml:space="preserve">符合增量激励原则，但极易引发"首位接触权"争议。建议首客报备制+细化客源界定（因员工历史服务或私人关系带来的老客复购/转介绍应算引流）+贡献比例拆分（线索30%+谈单70%）。</w:t>
      </w:r>
    </w:p>
    <w:p w14:paraId="0010017A" w14:textId="0010017B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17C" w14:textId="0010017D">
      <w:pPr>
        <w:spacing w:after="80"/>
      </w:pPr>
      <w:r>
        <w:rPr>
          <w:b/>
          <w:color w:val="1A5C6E"/>
        </w:rPr>
        <w:t xml:space="preserve">GPT-5.6-Sol</w:t>
      </w:r>
    </w:p>
    <w:p w14:paraId="0010017E" w14:textId="0010017F">
      <w:pPr>
        <w:spacing w:after="80"/>
      </w:pPr>
      <w:r>
        <w:rPr/>
        <w:t xml:space="preserve">以CRM首次有效登记为准，记录来源时间和沟通证据；设客户归因期（首次接触12个月内成交可认定）；自然来访无明确贡献者不奖；冲突由跨部门小组裁决。</w:t>
      </w:r>
    </w:p>
    <w:p w14:paraId="00100180" w14:textId="00100181">
      <w:pPr>
        <w:spacing w:after="280"/>
      </w:pPr>
      <w:r>
        <w:rPr>
          <w:color w:val="888888"/>
          <w:sz w:val="18"/>
        </w:rPr>
        <w:t xml:space="preserve">推行难度：7/10</w:t>
      </w:r>
    </w:p>
    <w:p w14:paraId="00100182" w14:textId="00100183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184" w14:textId="00100185">
      <w:pPr>
        <w:pStyle w:val="Heading2"/>
      </w:pPr>
      <w:r>
        <w:rPr/>
        <w:t xml:space="preserve">Q3: 线索报备保护期6个月，是否合理？</w:t>
      </w:r>
    </w:p>
    <w:p w14:paraId="00100186" w14:textId="00100187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188" w14:textId="00100189">
      <w:pPr>
        <w:spacing w:after="80"/>
      </w:pPr>
      <w:r>
        <w:rPr>
          <w:b/>
          <w:color w:val="1A5C6E"/>
        </w:rPr>
        <w:t xml:space="preserve">DeepSeek V4 Pro</w:t>
      </w:r>
    </w:p>
    <w:p w14:paraId="0010018A" w14:textId="0010018B">
      <w:pPr>
        <w:spacing w:after="80"/>
      </w:pPr>
      <w:r>
        <w:rPr/>
        <w:t xml:space="preserve">6个月保护期能给报备人明确收益预期，鼓励主动分享。但审计和工程咨询项目成交周期差异大，统一6个月可能僵化。建议与有效跟进动作挂钩，而非静态占有。</w:t>
      </w:r>
    </w:p>
    <w:p w14:paraId="0010018C" w14:textId="0010018D">
      <w:pPr>
        <w:spacing w:after="80"/>
      </w:pPr>
      <w:r>
        <w:rPr>
          <w:b/>
          <w:color w:val="1A5C6E"/>
        </w:rPr>
        <w:t xml:space="preserve">Claude Sonnet-5</w:t>
      </w:r>
    </w:p>
    <w:p w14:paraId="0010018E" w14:textId="0010018F">
      <w:pPr>
        <w:spacing w:after="80"/>
      </w:pPr>
      <w:r>
        <w:rPr/>
        <w:t xml:space="preserve">6个月偏长但基本合理。建议"3+3"分段：前3个月无条件保护，后3个月需提交至少2次有效跟进记录才继续保护。同时设置线索分级（A/B/C级对应不同保护期）和线索转让机制——保护期内无进展可内部转交，原报备人得30%协同奖励。</w:t>
      </w:r>
    </w:p>
    <w:p w14:paraId="00100190" w14:textId="00100191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192" w14:textId="00100193">
      <w:pPr>
        <w:spacing w:after="80"/>
      </w:pPr>
      <w:r>
        <w:rPr>
          <w:b/>
          <w:color w:val="1A5C6E"/>
        </w:rPr>
        <w:t xml:space="preserve">Gemini 3.1 Pro</w:t>
      </w:r>
    </w:p>
    <w:p w14:paraId="00100194" w14:textId="00100195">
      <w:pPr>
        <w:spacing w:after="80"/>
      </w:pPr>
      <w:r>
        <w:rPr/>
        <w:t xml:space="preserve">6个月符合To-B业务长销售周期规律。最大隐患是员工"占坑不拉屎"。建议静态6个月改为"首期保护2个月+条件续期"：每1-2个月须提交实质性跟进凭证，有进展自动顺延，连续无实质进展则线索掉入公海。</w:t>
      </w:r>
    </w:p>
    <w:p w14:paraId="00100196" w14:textId="00100197">
      <w:pPr>
        <w:spacing w:after="200"/>
      </w:pPr>
      <w:r>
        <w:rPr>
          <w:color w:val="888888"/>
          <w:sz w:val="18"/>
        </w:rPr>
        <w:t xml:space="preserve">推行难度：6/10</w:t>
      </w:r>
    </w:p>
    <w:p w14:paraId="00100198" w14:textId="00100199">
      <w:pPr>
        <w:spacing w:after="80"/>
      </w:pPr>
      <w:r>
        <w:rPr>
          <w:b/>
          <w:color w:val="1A5C6E"/>
        </w:rPr>
        <w:t xml:space="preserve">GPT-5.6-Sol</w:t>
      </w:r>
    </w:p>
    <w:p w14:paraId="0010019A" w14:textId="0010019B">
      <w:pPr>
        <w:spacing w:after="80"/>
      </w:pPr>
      <w:r>
        <w:rPr/>
        <w:t xml:space="preserve">6个月可作为基准期，但不宜一刀切。建议分级保护：审计类3-6个月，工程类6-12个月；保护生效须满足报备标准；每月记录有效跟进，连续60天无进展失效；到期后转为公共线索，原报备人保留部分贡献奖励。</w:t>
      </w:r>
    </w:p>
    <w:p w14:paraId="0010019C" w14:textId="0010019D">
      <w:pPr>
        <w:spacing w:after="280"/>
      </w:pPr>
      <w:r>
        <w:rPr>
          <w:color w:val="888888"/>
          <w:sz w:val="18"/>
        </w:rPr>
        <w:t xml:space="preserve">推行难度：6/10</w:t>
      </w:r>
    </w:p>
    <w:p w14:paraId="0010019E" w14:textId="0010019F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1A0" w14:textId="001001A1">
      <w:pPr>
        <w:pStyle w:val="Heading2"/>
      </w:pPr>
      <w:r>
        <w:rPr/>
        <w:t xml:space="preserve">Q4: 引流亏损时协同奖为0但引荐人不承担连带——会导致「乱引流」吗？</w:t>
      </w:r>
    </w:p>
    <w:p w14:paraId="001001A2" w14:textId="001001A3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1A4" w14:textId="001001A5">
      <w:pPr>
        <w:spacing w:after="80"/>
      </w:pPr>
      <w:r>
        <w:rPr>
          <w:b/>
          <w:color w:val="1A5C6E"/>
        </w:rPr>
        <w:t xml:space="preserve">DeepSeek V4 Pro</w:t>
      </w:r>
    </w:p>
    <w:p w14:paraId="001001A6" w14:textId="001001A7">
      <w:pPr>
        <w:spacing w:after="80"/>
      </w:pPr>
      <w:r>
        <w:rPr/>
        <w:t xml:space="preserve">引荐人不掌控项目执行与成本，要求承担亏损会扼杀引流意愿。协同奖与利润挂钩本身已形成约束。但可能引发"只管引流不管质量"的道德风险。建议增设引流质量阀：设最低预估毛利率门槛，低于标准不计奖。</w:t>
      </w:r>
    </w:p>
    <w:p w14:paraId="001001A8" w14:textId="001001A9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1AA" w14:textId="001001AB">
      <w:pPr>
        <w:spacing w:after="80"/>
      </w:pPr>
      <w:r>
        <w:rPr>
          <w:b/>
          <w:color w:val="1A5C6E"/>
        </w:rPr>
        <w:t xml:space="preserve">Claude Sonnet-5</w:t>
      </w:r>
    </w:p>
    <w:p w14:paraId="001001AC" w14:textId="001001AD">
      <w:pPr>
        <w:spacing w:after="80"/>
      </w:pPr>
      <w:r>
        <w:rPr/>
        <w:t xml:space="preserve">部分合理但完全免责易引发劣质引流泛滥。建议前置审核：引流项目需经评估委员会初审；质量挂钩：设置"引流项目盈利率"年度考核，低于阈值取消引荐资格；信誉积分制：成功+分、亏损-分并影响晋升/绩效。</w:t>
      </w:r>
    </w:p>
    <w:p w14:paraId="001001AE" w14:textId="001001AF">
      <w:pPr>
        <w:spacing w:after="200"/>
      </w:pPr>
      <w:r>
        <w:rPr>
          <w:color w:val="888888"/>
          <w:sz w:val="18"/>
        </w:rPr>
        <w:t xml:space="preserve">推行难度：7.5/10</w:t>
      </w:r>
    </w:p>
    <w:p w14:paraId="001001B0" w14:textId="001001B1">
      <w:pPr>
        <w:spacing w:after="80"/>
      </w:pPr>
      <w:r>
        <w:rPr>
          <w:b/>
          <w:color w:val="1A5C6E"/>
        </w:rPr>
        <w:t xml:space="preserve">Gemini 3.1 Pro</w:t>
      </w:r>
    </w:p>
    <w:p w14:paraId="001001B2" w14:textId="001001B3">
      <w:pPr>
        <w:spacing w:after="80"/>
      </w:pPr>
      <w:r>
        <w:rPr/>
        <w:t xml:space="preserve">设计合理，符合正向激励原则。但的确可能引发盲目引流。建议增设"立项评审（风控）机制"作为防火墙：引荐人只管线索，项目接不接、如何报价由交付部门主管进行利润测算，交付方拥有一票否决权。</w:t>
      </w:r>
    </w:p>
    <w:p w14:paraId="001001B4" w14:textId="001001B5">
      <w:pPr>
        <w:spacing w:after="200"/>
      </w:pPr>
      <w:r>
        <w:rPr>
          <w:color w:val="888888"/>
          <w:sz w:val="18"/>
        </w:rPr>
        <w:t xml:space="preserve">推行难度：3/10（引流方欢迎）</w:t>
      </w:r>
    </w:p>
    <w:p w14:paraId="001001B6" w14:textId="001001B7">
      <w:pPr>
        <w:spacing w:after="80"/>
      </w:pPr>
      <w:r>
        <w:rPr>
          <w:b/>
          <w:color w:val="1A5C6E"/>
        </w:rPr>
        <w:t xml:space="preserve">GPT-5.6-Sol</w:t>
      </w:r>
    </w:p>
    <w:p w14:paraId="001001B8" w14:textId="001001B9">
      <w:pPr>
        <w:spacing w:after="80"/>
      </w:pPr>
      <w:r>
        <w:rPr/>
        <w:t xml:space="preserve">基本合理，符合权责对等和可控性原则。但若只看数量可能出现低质客户和过度承诺。建议设商机准入与联合评审；明确引荐、报价、承接、交付责任边界；奖励分阶段发放，与回款和毛利挂钩。</w:t>
      </w:r>
    </w:p>
    <w:p w14:paraId="001001BA" w14:textId="001001BB">
      <w:pPr>
        <w:spacing w:after="280"/>
      </w:pPr>
      <w:r>
        <w:rPr>
          <w:color w:val="888888"/>
          <w:sz w:val="18"/>
        </w:rPr>
        <w:t xml:space="preserve">推行难度：6/10</w:t>
      </w:r>
    </w:p>
    <w:p w14:paraId="001001BC" w14:textId="001001BD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1BE" w14:textId="001001BF">
      <w:pPr>
        <w:pStyle w:val="Heading2"/>
      </w:pPr>
      <w:r>
        <w:rPr/>
        <w:t xml:space="preserve">Q5: 联合项目按合同金额拆分、各自独立核算，如何界定「联合」和「纯引流」的边界？</w:t>
      </w:r>
    </w:p>
    <w:p w14:paraId="001001C0" w14:textId="001001C1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1C2" w14:textId="001001C3">
      <w:pPr>
        <w:spacing w:after="80"/>
      </w:pPr>
      <w:r>
        <w:rPr>
          <w:b/>
          <w:color w:val="1A5C6E"/>
        </w:rPr>
        <w:t xml:space="preserve">DeepSeek V4 Pro</w:t>
      </w:r>
    </w:p>
    <w:p w14:paraId="001001C4" w14:textId="001001C5">
      <w:pPr>
        <w:spacing w:after="80"/>
      </w:pPr>
      <w:r>
        <w:rPr/>
        <w:t xml:space="preserve">按合同金额拆分能激励协同，但模糊"联合"与"纯引流"的边界是激励异化的常见陷阱。部门易将纯引流包装为联合以多占分成，或为避免被认定引流而前期不愿共享客户。</w:t>
      </w:r>
    </w:p>
    <w:p w14:paraId="001001C6" w14:textId="001001C7">
      <w:pPr>
        <w:spacing w:after="80"/>
      </w:pPr>
      <w:r>
        <w:rPr>
          <w:b/>
          <w:color w:val="1A5C6E"/>
        </w:rPr>
        <w:t xml:space="preserve">Claude Sonnet-5</w:t>
      </w:r>
    </w:p>
    <w:p w14:paraId="001001C8" w14:textId="001001C9">
      <w:pPr>
        <w:spacing w:after="80"/>
      </w:pPr>
      <w:r>
        <w:rPr/>
        <w:t xml:space="preserve">按合同金额拆分与独立核算存在根本矛盾——真正的联合项目成本、风险、工作量交织。建议改金额拆分为角色定级：引流方10-15%佣金、协同方按工时占比分配剩余利润、主导方承担交付责任享主要分成；设联合项目标准清单。</w:t>
      </w:r>
    </w:p>
    <w:p w14:paraId="001001CA" w14:textId="001001CB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1CC" w14:textId="001001CD">
      <w:pPr>
        <w:spacing w:after="80"/>
      </w:pPr>
      <w:r>
        <w:rPr>
          <w:b/>
          <w:color w:val="1A5C6E"/>
        </w:rPr>
        <w:t xml:space="preserve">Gemini 3.1 Pro</w:t>
      </w:r>
    </w:p>
    <w:p w14:paraId="001001CE" w14:textId="001001CF">
      <w:pPr>
        <w:spacing w:after="80"/>
      </w:pPr>
      <w:r>
        <w:rPr/>
        <w:t xml:space="preserve">核心在于以"是否承担实质交付成本与质量风险"来界定。纯引流=仅提供线索及促单，不参与后续工作，直接给固定提成（如合同额3-5%）；联合项目=双方均需出具专业报告/承担交付成本，必须在立项阶段签署《内部协同协议》。</w:t>
      </w:r>
    </w:p>
    <w:p w14:paraId="001001D0" w14:textId="001001D1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1D2" w14:textId="001001D3">
      <w:pPr>
        <w:spacing w:after="80"/>
      </w:pPr>
      <w:r>
        <w:rPr>
          <w:b/>
          <w:color w:val="1A5C6E"/>
        </w:rPr>
        <w:t xml:space="preserve">GPT-5.6-Sol</w:t>
      </w:r>
    </w:p>
    <w:p w14:paraId="001001D4" w14:textId="001001D5">
      <w:pPr>
        <w:spacing w:after="80"/>
      </w:pPr>
      <w:r>
        <w:rPr/>
        <w:t xml:space="preserve">纯引流=仅提供有效线索或引荐，移交后不参与方案/谈判/交付且不承担质量责任；联合项目=两个以上部门有可验证实质投入并共同承担交付结果。建议立项前备案，明确主责部门、协同事项、分配比例及证据。</w:t>
      </w:r>
    </w:p>
    <w:p w14:paraId="001001D6" w14:textId="001001D7">
      <w:pPr>
        <w:spacing w:after="280"/>
      </w:pPr>
      <w:r>
        <w:rPr>
          <w:color w:val="888888"/>
          <w:sz w:val="18"/>
        </w:rPr>
        <w:t xml:space="preserve">推行难度：7/10</w:t>
      </w:r>
    </w:p>
    <w:p w14:paraId="001001D8" w14:textId="001001D9">
      <w:r>
        <w:br w:type="page"/>
      </w:r>
    </w:p>
    <w:p w14:paraId="001001DA" w14:textId="001001DB">
      <w:pPr>
        <w:pStyle w:val="Heading1"/>
      </w:pPr>
      <w:r>
        <w:rPr/>
        <w:t xml:space="preserve">三、高管经营目标责任与绩效考核办法</w:t>
      </w:r>
    </w:p>
    <w:p w14:paraId="001001DC" w14:textId="001001DD">
      <w:pPr>
        <w:pStyle w:val="Heading2"/>
      </w:pPr>
      <w:r>
        <w:rPr/>
        <w:t xml:space="preserve">Q1: 考核权重「经营业绩50分 + 协同20分 + 管理质量30分」是否合理？</w:t>
      </w:r>
    </w:p>
    <w:p w14:paraId="001001DE" w14:textId="001001DF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1E0" w14:textId="001001E1">
      <w:pPr>
        <w:spacing w:after="80"/>
      </w:pPr>
      <w:r>
        <w:rPr>
          <w:b/>
          <w:color w:val="1A5C6E"/>
        </w:rPr>
        <w:t xml:space="preserve">DeepSeek V4 Pro</w:t>
      </w:r>
    </w:p>
    <w:p w14:paraId="001001E2" w14:textId="001001E3">
      <w:pPr>
        <w:spacing w:after="80"/>
      </w:pPr>
      <w:r>
        <w:rPr/>
        <w:t xml:space="preserve">符合平衡计分卡思想，兼顾结果、过程与管理。但重业绩（50%）偏轻协同（20%），与根治各自为政的初衷略有错位。建议调整为经营40/协同30/管理30，协同设置"跨部门项目支撑度""内部投诉率"等行为锚定指标。</w:t>
      </w:r>
    </w:p>
    <w:p w14:paraId="001001E4" w14:textId="001001E5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1E6" w14:textId="001001E7">
      <w:pPr>
        <w:spacing w:after="80"/>
      </w:pPr>
      <w:r>
        <w:rPr>
          <w:b/>
          <w:color w:val="1A5C6E"/>
        </w:rPr>
        <w:t xml:space="preserve">Claude Sonnet-5</w:t>
      </w:r>
    </w:p>
    <w:p w14:paraId="001001E8" w14:textId="001001E9">
      <w:pPr>
        <w:spacing w:after="80"/>
      </w:pPr>
      <w:r>
        <w:rPr/>
        <w:t xml:space="preserve">结构基本合理，但对20-30人小公司而言50%业绩可能偏保守。协同20分和管理30分易沦为主观打分。建议简化：70%业绩+30%综合；协同指标必须可量化（跨部门项目数、资源调配响应时效）；设一票否决项。</w:t>
      </w:r>
    </w:p>
    <w:p w14:paraId="001001EA" w14:textId="001001EB">
      <w:pPr>
        <w:spacing w:after="200"/>
      </w:pPr>
      <w:r>
        <w:rPr>
          <w:color w:val="888888"/>
          <w:sz w:val="18"/>
        </w:rPr>
        <w:t xml:space="preserve">推行难度：7.5/10</w:t>
      </w:r>
    </w:p>
    <w:p w14:paraId="001001EC" w14:textId="001001ED">
      <w:pPr>
        <w:spacing w:after="80"/>
      </w:pPr>
      <w:r>
        <w:rPr>
          <w:b/>
          <w:color w:val="1A5C6E"/>
        </w:rPr>
        <w:t xml:space="preserve">Gemini 3.1 Pro</w:t>
      </w:r>
    </w:p>
    <w:p w14:paraId="001001EE" w14:textId="001001EF">
      <w:pPr>
        <w:spacing w:after="80"/>
      </w:pPr>
      <w:r>
        <w:rPr/>
        <w:t xml:space="preserve">"软指标"占比过重（协同+管理高达50%）。建议指标硬化：协同考核跨部门引荐转化额、联合项目准时率；管理考核核心员工流失率、报告抽检合格率。业绩中拆出公司总利润20%，用底线利润门槛倒逼全局协同。</w:t>
      </w:r>
    </w:p>
    <w:p w14:paraId="001001F0" w14:textId="001001F1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1F2" w14:textId="001001F3">
      <w:pPr>
        <w:spacing w:after="80"/>
      </w:pPr>
      <w:r>
        <w:rPr>
          <w:b/>
          <w:color w:val="1A5C6E"/>
        </w:rPr>
        <w:t xml:space="preserve">GPT-5.6-Sol</w:t>
      </w:r>
    </w:p>
    <w:p w14:paraId="001001F4" w14:textId="001001F5">
      <w:pPr>
        <w:spacing w:after="80"/>
      </w:pPr>
      <w:r>
        <w:rPr/>
        <w:t xml:space="preserve">总体合理。但协同、管理指标易主观化人情化。建议按业务型/职能型差异化设权重；协同转化为跨部门项目、客户共享等可验证行为；设审计质量、合规、重大投诉一票否决；季度复盘+多人评价校准。</w:t>
      </w:r>
    </w:p>
    <w:p w14:paraId="001001F6" w14:textId="001001F7">
      <w:pPr>
        <w:spacing w:after="280"/>
      </w:pPr>
      <w:r>
        <w:rPr>
          <w:color w:val="888888"/>
          <w:sz w:val="18"/>
        </w:rPr>
        <w:t xml:space="preserve">推行难度：7/10</w:t>
      </w:r>
    </w:p>
    <w:p w14:paraId="001001F8" w14:textId="001001F9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1FA" w14:textId="001001FB">
      <w:pPr>
        <w:pStyle w:val="Heading2"/>
      </w:pPr>
      <w:r>
        <w:rPr/>
        <w:t xml:space="preserve">Q2: 绩效系数0.6-1.2倍，是否足够拉开差距？</w:t>
      </w:r>
    </w:p>
    <w:p w14:paraId="001001FC" w14:textId="001001FD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1FE" w14:textId="001001FF">
      <w:pPr>
        <w:spacing w:after="80"/>
      </w:pPr>
      <w:r>
        <w:rPr>
          <w:b/>
          <w:color w:val="1A5C6E"/>
        </w:rPr>
        <w:t xml:space="preserve">DeepSeek V4 Pro</w:t>
      </w:r>
    </w:p>
    <w:p w14:paraId="00100200" w14:textId="00100201">
      <w:pPr>
        <w:spacing w:after="80"/>
      </w:pPr>
      <w:r>
        <w:rPr/>
        <w:t xml:space="preserve">0.6-1.2倍高低相差2倍，幅度偏保守。优秀高管可能认为"天花板太低"，后进者可能接受0.6损失不改行为，形成新的平均主义。建议拉大至0.4-1.8（或0.5-2.0），将绩效工资占比提至40%-50%，增设超额利润分享。</w:t>
      </w:r>
    </w:p>
    <w:p w14:paraId="00100202" w14:textId="00100203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204" w14:textId="00100205">
      <w:pPr>
        <w:spacing w:after="80"/>
      </w:pPr>
      <w:r>
        <w:rPr>
          <w:b/>
          <w:color w:val="1A5C6E"/>
        </w:rPr>
        <w:t xml:space="preserve">Claude Sonnet-5</w:t>
      </w:r>
    </w:p>
    <w:p w14:paraId="00100206" w14:textId="00100207">
      <w:pPr>
        <w:spacing w:after="80"/>
      </w:pPr>
      <w:r>
        <w:rPr/>
        <w:t xml:space="preserve">2倍差距在管理学中偏保守，高管层通常需要2.5-3倍差距。下限0.6缺乏淘汰压力，上限1.2吸引力不足。建议扩至0.4-1.6倍（3倍差距）；增加超额奖励条款；设末位约谈/降级机制。</w:t>
      </w:r>
    </w:p>
    <w:p w14:paraId="00100208" w14:textId="00100209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20A" w14:textId="0010020B">
      <w:pPr>
        <w:spacing w:after="80"/>
      </w:pPr>
      <w:r>
        <w:rPr>
          <w:b/>
          <w:color w:val="1A5C6E"/>
        </w:rPr>
        <w:t xml:space="preserve">Gemini 3.1 Pro</w:t>
      </w:r>
    </w:p>
    <w:p w14:paraId="0010020C" w14:textId="0010020D">
      <w:pPr>
        <w:spacing w:after="80"/>
      </w:pPr>
      <w:r>
        <w:rPr/>
        <w:t xml:space="preserve">对于小公司从各自为政转向目标管理，0.6-1.2是温和的试水区间，提供基础安全感。但1.2倍上限会让优秀高管产生"多劳少得"的剥夺感。建议"基础系数+超额分红（上不封顶）"双轨制：常规目标内保持0.6-1.2守底线，挑战目标超额利润部分提成30%以上破上限。</w:t>
      </w:r>
    </w:p>
    <w:p w14:paraId="0010020E" w14:textId="0010020F">
      <w:pPr>
        <w:spacing w:after="200"/>
      </w:pPr>
      <w:r>
        <w:rPr>
          <w:color w:val="888888"/>
          <w:sz w:val="18"/>
        </w:rPr>
        <w:t xml:space="preserve">推行难度：6/10</w:t>
      </w:r>
    </w:p>
    <w:p w14:paraId="00100210" w14:textId="00100211">
      <w:pPr>
        <w:spacing w:after="80"/>
      </w:pPr>
      <w:r>
        <w:rPr>
          <w:b/>
          <w:color w:val="1A5C6E"/>
        </w:rPr>
        <w:t xml:space="preserve">GPT-5.6-Sol</w:t>
      </w:r>
    </w:p>
    <w:p w14:paraId="00100212" w14:textId="00100213">
      <w:pPr>
        <w:spacing w:after="80"/>
      </w:pPr>
      <w:r>
        <w:rPr/>
        <w:t xml:space="preserve">0.6-1.2体现奖优罚劣，适合制度基础较弱的小企业首次推行绩效改革。但上浮仅20%、下浮40%呈现"重罚轻奖"，与强化正向激励不完全匹配。建议扩至0.6-1.5，或保留区间同时增加超额利润分享等上不封顶机制。</w:t>
      </w:r>
    </w:p>
    <w:p w14:paraId="00100214" w14:textId="00100215">
      <w:pPr>
        <w:spacing w:after="280"/>
      </w:pPr>
      <w:r>
        <w:rPr>
          <w:color w:val="888888"/>
          <w:sz w:val="18"/>
        </w:rPr>
        <w:t xml:space="preserve">推行难度：7/10</w:t>
      </w:r>
    </w:p>
    <w:p w14:paraId="00100216" w14:textId="00100217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218" w14:textId="00100219">
      <w:pPr>
        <w:pStyle w:val="Heading2"/>
      </w:pPr>
      <w:r>
        <w:rPr/>
        <w:t xml:space="preserve">Q3: 20%质量风险准备金冻结一年，高管会不会抵触？</w:t>
      </w:r>
    </w:p>
    <w:p w14:paraId="0010021A" w14:textId="0010021B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21C" w14:textId="0010021D">
      <w:pPr>
        <w:spacing w:after="80"/>
      </w:pPr>
      <w:r>
        <w:rPr>
          <w:b/>
          <w:color w:val="1A5C6E"/>
        </w:rPr>
        <w:t xml:space="preserve">DeepSeek V4 Pro</w:t>
      </w:r>
    </w:p>
    <w:p w14:paraId="0010021E" w14:textId="0010021F">
      <w:pPr>
        <w:spacing w:after="80"/>
      </w:pPr>
      <w:r>
        <w:rPr/>
        <w:t xml:space="preserve">符合风险递延与责任追溯原则。但在小规模且信任薄弱的团队中，高管极易解读为"老板变相克扣"，产生强烈的剥夺感。建议首年降至10%，或分两期半年释放一次；同时设立清晰的质量事故认定标准。</w:t>
      </w:r>
    </w:p>
    <w:p w14:paraId="00100220" w14:textId="00100221">
      <w:pPr>
        <w:spacing w:after="200"/>
      </w:pPr>
      <w:r>
        <w:rPr>
          <w:color w:val="888888"/>
          <w:sz w:val="18"/>
        </w:rPr>
        <w:t xml:space="preserve">推行难度：8/10</w:t>
      </w:r>
    </w:p>
    <w:p w14:paraId="00100222" w14:textId="00100223">
      <w:pPr>
        <w:spacing w:after="80"/>
      </w:pPr>
      <w:r>
        <w:rPr>
          <w:b/>
          <w:color w:val="1A5C6E"/>
        </w:rPr>
        <w:t xml:space="preserve">Claude Sonnet-5</w:t>
      </w:r>
    </w:p>
    <w:p w14:paraId="00100224" w14:textId="00100225">
      <w:pPr>
        <w:spacing w:after="80"/>
      </w:pPr>
      <w:r>
        <w:rPr/>
        <w:t xml:space="preserve">20%冻结比例偏高。通常风险准备金在10-15%较合理。高管会认为"五分之一收入被扣押"，获得感大幅降低。建议降至10-12%，缩短冻结期至半年或按项目周期滚动释放；设无事故提前解冻机制。</w:t>
      </w:r>
    </w:p>
    <w:p w14:paraId="00100226" w14:textId="00100227">
      <w:pPr>
        <w:spacing w:after="200"/>
      </w:pPr>
      <w:r>
        <w:rPr>
          <w:color w:val="888888"/>
          <w:sz w:val="18"/>
        </w:rPr>
        <w:t xml:space="preserve">推行难度：7.5/10</w:t>
      </w:r>
    </w:p>
    <w:p w14:paraId="00100228" w14:textId="00100229">
      <w:pPr>
        <w:spacing w:after="80"/>
      </w:pPr>
      <w:r>
        <w:rPr>
          <w:b/>
          <w:color w:val="1A5C6E"/>
        </w:rPr>
        <w:t xml:space="preserve">Gemini 3.1 Pro</w:t>
      </w:r>
    </w:p>
    <w:p w14:paraId="0010022A" w14:textId="0010022B">
      <w:pPr>
        <w:spacing w:after="80"/>
      </w:pPr>
      <w:r>
        <w:rPr/>
        <w:t xml:space="preserve">20-30人企业高管对现金流敏感度极高，该条款易被解读为"变相扣钱"。建议阶梯解冻（半年度无事故解冻10%，年度解冻10%）；冻结资金给予利息补贴；若全年零质量责任，返还时额外奖励2%-5%。</w:t>
      </w:r>
    </w:p>
    <w:p w14:paraId="0010022C" w14:textId="0010022D">
      <w:pPr>
        <w:spacing w:after="200"/>
      </w:pPr>
      <w:r>
        <w:rPr>
          <w:color w:val="888888"/>
          <w:sz w:val="18"/>
        </w:rPr>
        <w:t xml:space="preserve">推行难度：8/10</w:t>
      </w:r>
    </w:p>
    <w:p w14:paraId="0010022E" w14:textId="0010022F">
      <w:pPr>
        <w:spacing w:after="80"/>
      </w:pPr>
      <w:r>
        <w:rPr>
          <w:b/>
          <w:color w:val="1A5C6E"/>
        </w:rPr>
        <w:t xml:space="preserve">GPT-5.6-Sol</w:t>
      </w:r>
    </w:p>
    <w:p w14:paraId="00100230" w14:textId="00100231">
      <w:pPr>
        <w:spacing w:after="80"/>
      </w:pPr>
      <w:r>
        <w:rPr/>
        <w:t xml:space="preserve">审计行业质量风险具有滞后性，设置延期支付合理。但20%对中小企业偏高，建议改10-15%起步；按项目风险分级计提；采用滚动解冻，非本人责任不得扣减；冻结资金为"已确认延期支付"而非扣留。</w:t>
      </w:r>
    </w:p>
    <w:p w14:paraId="00100232" w14:textId="00100233">
      <w:pPr>
        <w:spacing w:after="280"/>
      </w:pPr>
      <w:r>
        <w:rPr>
          <w:color w:val="888888"/>
          <w:sz w:val="18"/>
        </w:rPr>
        <w:t xml:space="preserve">推行难度：7/10</w:t>
      </w:r>
    </w:p>
    <w:p w14:paraId="00100234" w14:textId="00100235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236" w14:textId="00100237">
      <w:pPr>
        <w:pStyle w:val="Heading2"/>
      </w:pPr>
      <w:r>
        <w:rPr/>
        <w:t xml:space="preserve">Q4: 一票否决红线（重大质量事故→当季绩效0分），处罚是否过重？</w:t>
      </w:r>
    </w:p>
    <w:p w14:paraId="00100238" w14:textId="00100239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23A" w14:textId="0010023B">
      <w:pPr>
        <w:spacing w:after="80"/>
      </w:pPr>
      <w:r>
        <w:rPr>
          <w:b/>
          <w:color w:val="1A5C6E"/>
        </w:rPr>
        <w:t xml:space="preserve">DeepSeek V4 Pro</w:t>
      </w:r>
    </w:p>
    <w:p w14:paraId="0010023C" w14:textId="0010023D">
      <w:pPr>
        <w:spacing w:after="80"/>
      </w:pPr>
      <w:r>
        <w:rPr/>
        <w:t xml:space="preserve">审计与工程咨询属高专业风险行业，用红线机制快速建立底线文化是必要手段。但"重大质量事故"必须量化标准（如客户直接损失超X万、被监管约谈、资质暂停等），避免主观判断。建议梯度惩罚：改为当季系数降至0.3-0.5并削减年终奖。</w:t>
      </w:r>
    </w:p>
    <w:p w14:paraId="0010023E" w14:textId="0010023F">
      <w:pPr>
        <w:spacing w:after="80"/>
      </w:pPr>
      <w:r>
        <w:rPr>
          <w:b/>
          <w:color w:val="1A5C6E"/>
        </w:rPr>
        <w:t xml:space="preserve">Claude Sonnet-5</w:t>
      </w:r>
    </w:p>
    <w:p w14:paraId="00100240" w14:textId="00100241">
      <w:pPr>
        <w:spacing w:after="80"/>
      </w:pPr>
      <w:r>
        <w:rPr/>
        <w:t xml:space="preserve">审计行业质量事故可能导致法律风险，红线设置合理。但"当季绩效归零"违反惩罚适度性原则，过重会引发隐瞒文化。建议明确界定标准，采用分级扣罚（重大50-80%，特别重大80-100%），增加责任区分（主责/次责差异化）。</w:t>
      </w:r>
    </w:p>
    <w:p w14:paraId="00100242" w14:textId="00100243">
      <w:pPr>
        <w:spacing w:after="200"/>
      </w:pPr>
      <w:r>
        <w:rPr>
          <w:color w:val="888888"/>
          <w:sz w:val="18"/>
        </w:rPr>
        <w:t xml:space="preserve">推行难度：7.5/10</w:t>
      </w:r>
    </w:p>
    <w:p w14:paraId="00100244" w14:textId="00100245">
      <w:pPr>
        <w:spacing w:after="80"/>
      </w:pPr>
      <w:r>
        <w:rPr>
          <w:b/>
          <w:color w:val="1A5C6E"/>
        </w:rPr>
        <w:t xml:space="preserve">Gemini 3.1 Pro</w:t>
      </w:r>
    </w:p>
    <w:p w14:paraId="00100246" w14:textId="00100247">
      <w:pPr>
        <w:spacing w:after="80"/>
      </w:pPr>
      <w:r>
        <w:rPr/>
        <w:t xml:space="preserve">审计与工程咨询行业生命线是质量与合规，红线符合"热炉法则"。但直接扣0分极易导致瞒报。建议精确界定（硬性指标如经济损失超X万/行政处罚）；按责任划分（主责扣100%，次责递减）；引入连带机制——发生重大事故其他高管也扣减10-20%，倒逼跨部门监督。</w:t>
      </w:r>
    </w:p>
    <w:p w14:paraId="00100248" w14:textId="00100249">
      <w:pPr>
        <w:spacing w:after="200"/>
      </w:pPr>
      <w:r>
        <w:rPr>
          <w:color w:val="888888"/>
          <w:sz w:val="18"/>
        </w:rPr>
        <w:t xml:space="preserve">推行难度：7/10</w:t>
      </w:r>
    </w:p>
    <w:p w14:paraId="0010024A" w14:textId="0010024B">
      <w:pPr>
        <w:spacing w:after="80"/>
      </w:pPr>
      <w:r>
        <w:rPr>
          <w:b/>
          <w:color w:val="1A5C6E"/>
        </w:rPr>
        <w:t xml:space="preserve">GPT-5.6-Sol</w:t>
      </w:r>
    </w:p>
    <w:p w14:paraId="0010024C" w14:textId="0010024D">
      <w:pPr>
        <w:spacing w:after="80"/>
      </w:pPr>
      <w:r>
        <w:rPr/>
        <w:t xml:space="preserve">审计工程咨询属于高责任行业，设置一票否决具有必要性。但直接归零可能诱发瞒报和甩锅。应明确重大事故的认定标准、损失等级、责任主体及申诉程序；区分故意/重大过失和管理责任。</w:t>
      </w:r>
    </w:p>
    <w:p w14:paraId="0010024E" w14:textId="0010024F">
      <w:pPr>
        <w:spacing w:after="280"/>
      </w:pPr>
      <w:r>
        <w:rPr>
          <w:color w:val="888888"/>
          <w:sz w:val="18"/>
        </w:rPr>
        <w:t xml:space="preserve">推行难度：7/10</w:t>
      </w:r>
    </w:p>
    <w:p w14:paraId="00100250" w14:textId="00100251">
      <w:pPr>
        <w:shd w:val="clear" w:fill="C5955C"/>
        <w:spacing w:before="0" w:after="120"/>
      </w:pPr>
      <w:r>
        <w:rPr>
          <w:sz w:val="2"/>
        </w:rPr>
        <w:t xml:space="preserve"/>
      </w:r>
    </w:p>
    <w:p w14:paraId="00100252" w14:textId="00100253">
      <w:pPr>
        <w:pStyle w:val="Heading2"/>
      </w:pPr>
      <w:r>
        <w:rPr/>
        <w:t xml:space="preserve">Q5: 绩效考核按季度兑现，频率是否合适？</w:t>
      </w:r>
    </w:p>
    <w:p w14:paraId="00100254" w14:textId="00100255">
      <w:pPr>
        <w:shd w:val="clear" w:fill="F5F2EC"/>
        <w:spacing w:before="0" w:after="80"/>
      </w:pPr>
      <w:r>
        <w:rPr>
          <w:sz w:val="4"/>
        </w:rPr>
        <w:t xml:space="preserve"/>
      </w:r>
    </w:p>
    <w:p w14:paraId="00100256" w14:textId="00100257">
      <w:pPr>
        <w:spacing w:after="80"/>
      </w:pPr>
      <w:r>
        <w:rPr>
          <w:b/>
          <w:color w:val="1A5C6E"/>
        </w:rPr>
        <w:t xml:space="preserve">DeepSeek V4 Pro</w:t>
      </w:r>
    </w:p>
    <w:p w14:paraId="00100258" w14:textId="00100259">
      <w:pPr>
        <w:spacing w:after="80"/>
      </w:pPr>
      <w:r>
        <w:rPr/>
        <w:t xml:space="preserve">单纯按季度兑现忽略了审计工程咨询项目节点多、回款波动大的特征。建议"月度考核过程、季度兑现结果"双轨制：月度只考核开关会、关键节点完成率等过程指标与40%绩效挂钩；季度根据净利润、回款率等最终结果兑现剩余60%并清算。</w:t>
      </w:r>
    </w:p>
    <w:p w14:paraId="0010025A" w14:textId="0010025B">
      <w:pPr>
        <w:spacing w:after="80"/>
      </w:pPr>
      <w:r>
        <w:rPr>
          <w:b/>
          <w:color w:val="1A5C6E"/>
        </w:rPr>
        <w:t xml:space="preserve">Claude Sonnet-5</w:t>
      </w:r>
    </w:p>
    <w:p w14:paraId="0010025C" w14:textId="0010025D">
      <w:pPr>
        <w:spacing w:after="80"/>
      </w:pPr>
      <w:r>
        <w:rPr/>
        <w:t xml:space="preserve">高管工作具有战略性和周期性，季度考核符合"结果可衡量"和"及时反馈"原则。但3个月对小公司偏长。建议"月度监测+季度考核"混合模式：设3-5个过程指标月度追踪（不兑现，仅预警），季度综合考核结果指标并兑现。</w:t>
      </w:r>
    </w:p>
    <w:p w14:paraId="0010025E" w14:textId="0010025F">
      <w:pPr>
        <w:spacing w:after="200"/>
      </w:pPr>
      <w:r>
        <w:rPr>
          <w:color w:val="888888"/>
          <w:sz w:val="18"/>
        </w:rPr>
        <w:t xml:space="preserve">推行难度：6/10</w:t>
      </w:r>
    </w:p>
    <w:p w14:paraId="00100260" w14:textId="00100261">
      <w:pPr>
        <w:spacing w:after="80"/>
      </w:pPr>
      <w:r>
        <w:rPr>
          <w:b/>
          <w:color w:val="1A5C6E"/>
        </w:rPr>
        <w:t xml:space="preserve">Gemini 3.1 Pro</w:t>
      </w:r>
    </w:p>
    <w:p w14:paraId="00100262" w14:textId="00100263">
      <w:pPr>
        <w:spacing w:after="80"/>
      </w:pPr>
      <w:r>
        <w:rPr/>
        <w:t xml:space="preserve">季度考核契合审计工程咨询的业务周期。最大风险是"平时放羊、期末突击"。建议"月度追踪+季度考核兑现+年度总账"：每月开经营分析会仅通报进度（不考核）；季度兑现70-80%绩效；预留20-30%放入年度资金池与公司整体利润挂钩。</w:t>
      </w:r>
    </w:p>
    <w:p w14:paraId="00100264" w14:textId="00100265">
      <w:pPr>
        <w:spacing w:after="200"/>
      </w:pPr>
      <w:r>
        <w:rPr>
          <w:color w:val="888888"/>
          <w:sz w:val="18"/>
        </w:rPr>
        <w:t xml:space="preserve">推行难度：6/10</w:t>
      </w:r>
    </w:p>
    <w:p w14:paraId="00100266" w14:textId="00100267">
      <w:pPr>
        <w:spacing w:after="80"/>
      </w:pPr>
      <w:r>
        <w:rPr>
          <w:b/>
          <w:color w:val="1A5C6E"/>
        </w:rPr>
        <w:t xml:space="preserve">GPT-5.6-Sol</w:t>
      </w:r>
    </w:p>
    <w:p w14:paraId="00100268" w14:textId="00100269">
      <w:pPr>
        <w:spacing w:after="80"/>
      </w:pPr>
      <w:r>
        <w:rPr/>
        <w:t xml:space="preserve">建议"月度跟踪复盘、季度正式考核兑现"。季度奖金兑现70-80%，剩余部分年度清算与利润、回款、质量投诉及坏账挂钩。统一数据口径和责任边界。</w:t>
      </w:r>
    </w:p>
    <w:p w14:paraId="0010026A" w14:textId="0010026B">
      <w:pPr>
        <w:spacing w:after="280"/>
      </w:pPr>
      <w:r>
        <w:rPr>
          <w:color w:val="888888"/>
          <w:sz w:val="18"/>
        </w:rPr>
        <w:t xml:space="preserve">推行难度：6/10</w:t>
      </w:r>
    </w:p>
    <w:p w14:paraId="0010026C" w14:textId="0010026D">
      <w:pPr>
        <w:shd w:val="clear" w:fill="C5955C"/>
        <w:spacing w:before="0" w:after="240"/>
      </w:pPr>
      <w:r>
        <w:rPr>
          <w:sz w:val="4"/>
        </w:rPr>
        <w:t xml:space="preserve"/>
      </w:r>
    </w:p>
    <w:p w14:paraId="0010026E" w14:textId="0010026F">
      <w:pPr>
        <w:shd w:val="clear" w:fill="0A1F3F"/>
        <w:spacing w:before="0" w:after="120"/>
      </w:pPr>
      <w:r>
        <w:rPr>
          <w:sz w:val="12"/>
        </w:rPr>
        <w:t xml:space="preserve"/>
      </w:r>
    </w:p>
    <w:p w14:paraId="00100270" w14:textId="00100271">
      <w:pPr>
        <w:spacing w:after="80"/>
        <w:jc w:val="center"/>
      </w:pPr>
      <w:r>
        <w:rPr>
          <w:color w:val="888888"/>
          <w:sz w:val="18"/>
        </w:rPr>
        <w:t xml:space="preserve">四川融策会计师事务所 · 四川融策工程咨询公司</w:t>
      </w:r>
    </w:p>
    <w:p w14:paraId="00100272" w14:textId="00100273">
      <w:pPr>
        <w:spacing w:after="0"/>
        <w:jc w:val="center"/>
      </w:pPr>
      <w:r>
        <w:rPr>
          <w:color w:val="AAAAAA"/>
          <w:sz w:val="18"/>
        </w:rPr>
        <w:t xml:space="preserve">多模型综合评审 | 2026年7月16日</w:t>
      </w:r>
    </w:p>
    <w:sectPr>
      <w:pgSz w:w="11906" w:h="16838"/>
      <w:pgMar w:top="1440" w:right="1588" w:bottom="1134" w:left="1588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SimSun" w:hAnsi="SimSun" w:eastAsia="SimSun" w:cs="SimSu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pPr>
      <w:keepNext xmlns:w="http://schemas.openxmlformats.org/wordprocessingml/2006/main" w:val="1"/>
      <w:spacing w:before="480" w:after="240"/>
    </w:pPr>
    <w:rPr>
      <w:rFonts w:ascii="Microsoft" w:hAnsi="Microsoft" w:eastAsia="Microsoft"/>
      <w:b/>
      <w:color w:val="0A1F3F"/>
      <w:sz w:val="36"/>
    </w:rPr>
  </w:style>
  <w:style w:type="paragraph" w:styleId="Heading2">
    <w:name w:val="Heading 2"/>
    <w:pPr>
      <w:keepNext xmlns:w="http://schemas.openxmlformats.org/wordprocessingml/2006/main" w:val="1"/>
      <w:spacing w:before="360" w:after="160"/>
    </w:pPr>
    <w:rPr>
      <w:rFonts w:ascii="Microsoft" w:hAnsi="Microsoft" w:eastAsia="Microsoft"/>
      <w:b/>
      <w:color w:val="1A5C6E"/>
      <w:sz w:val="28"/>
    </w:rPr>
  </w:style>
  <w:style w:type="paragraph" w:styleId="Heading3">
    <w:name w:val="Heading 3"/>
    <w:pPr>
      <w:keepNext xmlns:w="http://schemas.openxmlformats.org/wordprocessingml/2006/main" w:val="1"/>
      <w:spacing w:before="240" w:after="120"/>
    </w:pPr>
    <w:rPr>
      <w:rFonts w:ascii="Microsoft" w:hAnsi="Microsoft" w:eastAsia="Microsoft"/>
      <w:b/>
      <w:color w:val="C5955C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ac88018df7d4e79" /><Relationship Type="http://schemas.openxmlformats.org/officeDocument/2006/relationships/styles" Target="/word/styles.xml" Id="R13a52b40f0304f70" /><Relationship Type="http://schemas.openxmlformats.org/officeDocument/2006/relationships/theme" Target="/word/theme/theme1.xml" Id="Ra2549a7225634376" /><Relationship Type="http://schemas.openxmlformats.org/officeDocument/2006/relationships/numbering" Target="/word/numbering.xml" Id="Rf14e52366c2648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OfficeCLI/1.0.136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融策右护卫</dc:creator>
  <dcterms:created xsi:type="dcterms:W3CDTF">2026-07-15T23:49:20.0000000Z</dcterms:created>
  <lastModifiedBy>OfficeCLI</lastModifiedBy>
  <dcterms:modified xsi:type="dcterms:W3CDTF">2026-07-15T23:49:20.0000000Z</dcterms:modified>
  <dc:title>融策管理制度三件套—多模型综合评审报告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2026-07-15T23:53:06Z</vt:lpwstr>
  </op:property>
</op:Properties>
</file>