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</w:r>
    </w:p>
    <w:p>
      <w:pPr>
        <w:spacing w:after="480" w:line="360" w:lineRule="auto"/>
        <w:jc w:val="center"/>
      </w:pPr>
      <w:r>
        <w:rPr>
          <w:rFonts w:eastAsia="宋体" w:ascii="Times New Roman" w:hAnsi="Times New Roman"/>
          <w:b/>
          <w:sz w:val="44"/>
        </w:rPr>
        <w:t>关于XX单位2025年度预算执行与</w:t>
        <w:br/>
        <w:t>财政财务收支情况的审计报告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984"/>
          </w:tcPr>
          <w:p>
            <w:pPr>
              <w:jc w:val="right"/>
            </w:pPr>
            <w:r>
              <w:rPr>
                <w:rFonts w:eastAsia="宋体" w:ascii="Times New Roman" w:hAnsi="Times New Roman"/>
                <w:b w:val="0"/>
                <w:sz w:val="28"/>
              </w:rPr>
              <w:t>被审计单位：</w:t>
            </w:r>
          </w:p>
        </w:tc>
        <w:tc>
          <w:tcPr>
            <w:tcW w:type="dxa" w:w="5669"/>
          </w:tcPr>
          <w:p>
            <w:r>
              <w:rPr>
                <w:rFonts w:eastAsia="宋体" w:ascii="Times New Roman" w:hAnsi="Times New Roman"/>
                <w:b w:val="0"/>
                <w:sz w:val="28"/>
              </w:rPr>
              <w:t>{{被审计单位}}</w:t>
            </w:r>
          </w:p>
        </w:tc>
      </w:tr>
      <w:tr>
        <w:tc>
          <w:tcPr>
            <w:tcW w:type="dxa" w:w="1984"/>
          </w:tcPr>
          <w:p>
            <w:pPr>
              <w:jc w:val="right"/>
            </w:pPr>
            <w:r>
              <w:rPr>
                <w:rFonts w:eastAsia="宋体" w:ascii="Times New Roman" w:hAnsi="Times New Roman"/>
                <w:b w:val="0"/>
                <w:sz w:val="28"/>
              </w:rPr>
              <w:t>审计项目：</w:t>
            </w:r>
          </w:p>
        </w:tc>
        <w:tc>
          <w:tcPr>
            <w:tcW w:type="dxa" w:w="5669"/>
          </w:tcPr>
          <w:p>
            <w:r>
              <w:rPr>
                <w:rFonts w:eastAsia="宋体" w:ascii="Times New Roman" w:hAnsi="Times New Roman"/>
                <w:b w:val="0"/>
                <w:sz w:val="28"/>
              </w:rPr>
              <w:t>{{审计项目}}</w:t>
            </w:r>
          </w:p>
        </w:tc>
      </w:tr>
      <w:tr>
        <w:tc>
          <w:tcPr>
            <w:tcW w:type="dxa" w:w="1984"/>
          </w:tcPr>
          <w:p>
            <w:pPr>
              <w:jc w:val="right"/>
            </w:pPr>
            <w:r>
              <w:rPr>
                <w:rFonts w:eastAsia="宋体" w:ascii="Times New Roman" w:hAnsi="Times New Roman"/>
                <w:b w:val="0"/>
                <w:sz w:val="28"/>
              </w:rPr>
              <w:t>审计期间：</w:t>
            </w:r>
          </w:p>
        </w:tc>
        <w:tc>
          <w:tcPr>
            <w:tcW w:type="dxa" w:w="5669"/>
          </w:tcPr>
          <w:p>
            <w:r>
              <w:rPr>
                <w:rFonts w:eastAsia="宋体" w:ascii="Times New Roman" w:hAnsi="Times New Roman"/>
                <w:b w:val="0"/>
                <w:sz w:val="28"/>
              </w:rPr>
              <w:t>{{审计期间}}</w:t>
            </w:r>
          </w:p>
        </w:tc>
      </w:tr>
      <w:tr>
        <w:tc>
          <w:tcPr>
            <w:tcW w:type="dxa" w:w="1984"/>
          </w:tcPr>
          <w:p>
            <w:pPr>
              <w:jc w:val="right"/>
            </w:pPr>
            <w:r>
              <w:rPr>
                <w:rFonts w:eastAsia="宋体" w:ascii="Times New Roman" w:hAnsi="Times New Roman"/>
                <w:b w:val="0"/>
                <w:sz w:val="28"/>
              </w:rPr>
              <w:t>报告日期：</w:t>
            </w:r>
          </w:p>
        </w:tc>
        <w:tc>
          <w:tcPr>
            <w:tcW w:type="dxa" w:w="5669"/>
          </w:tcPr>
          <w:p>
            <w:r>
              <w:rPr>
                <w:rFonts w:eastAsia="宋体" w:ascii="Times New Roman" w:hAnsi="Times New Roman"/>
                <w:b w:val="0"/>
                <w:sz w:val="28"/>
              </w:rPr>
              <w:t>{{报告日期}}</w:t>
            </w:r>
          </w:p>
        </w:tc>
      </w:tr>
      <w:tr>
        <w:tc>
          <w:tcPr>
            <w:tcW w:type="dxa" w:w="1984"/>
          </w:tcPr>
          <w:p>
            <w:pPr>
              <w:jc w:val="right"/>
            </w:pPr>
            <w:r>
              <w:rPr>
                <w:rFonts w:eastAsia="宋体" w:ascii="Times New Roman" w:hAnsi="Times New Roman"/>
                <w:b w:val="0"/>
                <w:sz w:val="28"/>
              </w:rPr>
              <w:t>项目负责人：</w:t>
            </w:r>
          </w:p>
        </w:tc>
        <w:tc>
          <w:tcPr>
            <w:tcW w:type="dxa" w:w="5669"/>
          </w:tcPr>
          <w:p>
            <w:r>
              <w:rPr>
                <w:rFonts w:eastAsia="宋体" w:ascii="Times New Roman" w:hAnsi="Times New Roman"/>
                <w:b w:val="0"/>
                <w:sz w:val="28"/>
              </w:rPr>
              <w:t>{{项目负责人}}</w:t>
            </w:r>
          </w:p>
        </w:tc>
      </w:tr>
      <w:tr>
        <w:tc>
          <w:tcPr>
            <w:tcW w:type="dxa" w:w="1984"/>
          </w:tcPr>
          <w:p>
            <w:pPr>
              <w:jc w:val="right"/>
            </w:pPr>
            <w:r>
              <w:rPr>
                <w:rFonts w:eastAsia="宋体" w:ascii="Times New Roman" w:hAnsi="Times New Roman"/>
                <w:b w:val="0"/>
                <w:sz w:val="28"/>
              </w:rPr>
              <w:t>报告文号：</w:t>
            </w:r>
          </w:p>
        </w:tc>
        <w:tc>
          <w:tcPr>
            <w:tcW w:type="dxa" w:w="5669"/>
          </w:tcPr>
          <w:p>
            <w:r>
              <w:rPr>
                <w:rFonts w:eastAsia="宋体" w:ascii="Times New Roman" w:hAnsi="Times New Roman"/>
                <w:b w:val="0"/>
                <w:sz w:val="28"/>
              </w:rPr>
              <w:t>{{报告文号}}</w:t>
            </w:r>
          </w:p>
        </w:tc>
      </w:tr>
    </w:tbl>
    <w:p>
      <w:r>
        <w:br w:type="page"/>
      </w:r>
    </w:p>
    <w:p>
      <w:pPr>
        <w:spacing w:after="240" w:line="360" w:lineRule="auto"/>
      </w:pPr>
      <w:r>
        <w:rPr>
          <w:rFonts w:eastAsia="黑体" w:ascii="Times New Roman" w:hAnsi="Times New Roman"/>
          <w:b/>
          <w:sz w:val="32"/>
        </w:rPr>
        <w:t>一、审计基本情况</w:t>
      </w:r>
    </w:p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  <w:t>{{基本情况正文}}</w:t>
      </w:r>
    </w:p>
    <w:p>
      <w:pPr>
        <w:spacing w:after="240" w:line="360" w:lineRule="auto"/>
      </w:pPr>
      <w:r>
        <w:rPr>
          <w:rFonts w:eastAsia="黑体" w:ascii="Times New Roman" w:hAnsi="Times New Roman"/>
          <w:b/>
          <w:sz w:val="32"/>
        </w:rPr>
        <w:t>二、审计评价意见</w:t>
      </w:r>
    </w:p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  <w:t>{{评价意见正文}}</w:t>
      </w:r>
    </w:p>
    <w:p>
      <w:pPr>
        <w:spacing w:after="240" w:line="360" w:lineRule="auto"/>
      </w:pPr>
      <w:r>
        <w:rPr>
          <w:rFonts w:eastAsia="黑体" w:ascii="Times New Roman" w:hAnsi="Times New Roman"/>
          <w:b/>
          <w:sz w:val="32"/>
        </w:rPr>
        <w:t>根据《中华人民共和国审计法》第十九条规定和2026年度审计工作计划安排，四川融策会计师事务所接受XX市审计局委托，派出审计组自2026年3月1日至4月30日，对XX市XX局（以下简称「XX局」）2025年度预算执行及财政财务收支情况进行了就地审计。XX局对其提供的财务会计资料及其他相关资料的真实性和完整性负责。我们的审计是依据《中国注册会计师审计准则》和《中华人民共和国国家审计准则》进行的。在审计过程中，我们结合XX局的实际情况，实施了包括查阅会计资料、检查实物资产、分析性复核等必要的审计程序。现将审计情况报告如下。</w:t>
      </w:r>
    </w:p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  <w:t>{{问题正文}}</w:t>
      </w:r>
    </w:p>
    <w:p>
      <w:pPr>
        <w:spacing w:after="240" w:line="360" w:lineRule="auto"/>
      </w:pPr>
      <w:r>
        <w:rPr>
          <w:rFonts w:eastAsia="黑体" w:ascii="Times New Roman" w:hAnsi="Times New Roman"/>
          <w:b/>
          <w:sz w:val="32"/>
        </w:rPr>
        <w:t>审计结果表明，XX局2025年度预算编制、执行和决算编报基本符合《预算法》及相关规定，财政财务收支基本真实、合规。内部控制制度基本健全，执行情况较好。但在预算执行管理、专项资金使用、资产管理等方面仍存在一些需要改进的问题。审计期间，XX局积极配合审计工作，对审计发现的问题进行了边审边改。</w:t>
      </w:r>
    </w:p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  <w:t>{{建议正文}}</w:t>
      </w:r>
    </w:p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  <w:t>（一）预算执行管理方面。存在部分项目预算执行率偏低的问题，3个项目全年预算执行率低于50%，涉及金额325万元，资金使用效益有待提高。</w:t>
        <w:br/>
        <w:t>（二）专项资金使用方面。存在专项资金被挤占挪用的问题，将「乡村振兴示范项目」专项资金58万元用于单位日常公用经费支出，不符合专项资金专款专用的规定。</w:t>
        <w:br/>
        <w:t>（三）资产管理方面。存在固定资产账实不符的问题，抽查发现12项账面记载的固定资产（原值合计86万元）实际已无法使用或已处置但未办理报废手续；另有3辆公务用车长期闲置，账面价值45万元。</w:t>
        <w:br/>
        <w:t>（四）政府采购方面。存在拆分项目规避招标的问题，将同一品目的信息化设备采购拆分为4笔小额采购（每笔均未超过招标限额），合计金额168万元，规避了公开招标程序。</w:t>
      </w:r>
    </w:p>
    <w:p>
      <w:pPr>
        <w:spacing w:after="120" w:line="360" w:lineRule="auto"/>
        <w:jc w:val="right"/>
      </w:pPr>
      <w:r>
        <w:rPr>
          <w:rFonts w:eastAsia="仿宋_GB2312" w:ascii="Times New Roman" w:hAnsi="Times New Roman"/>
          <w:b w:val="0"/>
          <w:sz w:val="28"/>
        </w:rPr>
        <w:t>四川融策会计师事务所</w:t>
      </w:r>
    </w:p>
    <w:p>
      <w:pPr>
        <w:spacing w:after="120" w:line="360" w:lineRule="auto"/>
        <w:jc w:val="right"/>
      </w:pPr>
      <w:r>
        <w:rPr>
          <w:rFonts w:eastAsia="仿宋_GB2312" w:ascii="Times New Roman" w:hAnsi="Times New Roman"/>
          <w:b w:val="0"/>
          <w:sz w:val="28"/>
        </w:rPr>
        <w:t>（一）强化预算执行管理。建立健全预算执行动态监控机制，对执行率偏低的项目及时分析原因并采取改进措施，切实提高财政资金使用效益。</w:t>
        <w:br/>
        <w:t>（二）规范专项资金管理。严格执行专项资金管理办法，做到专款专用、单独核算，严禁挤占挪用。对已挪用的58万元专项资金应限期归还原渠道。</w:t>
        <w:br/>
        <w:t>（三）加强资产管理。全面开展固定资产清查盘点，及时办理资产处置手续，做到账实相符。对闲置资产提出盘活利用方案。</w:t>
        <w:br/>
        <w:t>（四）规范采购行为。严格遵守政府采购法律法规，不得通过拆分项目等方式规避招标程序。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