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审计报告对比实验：SOP改写 vs 整段赋值（请看字体、段落间距的差异）</w:t>
      </w:r>
    </w:p>
    <w:p>
      <w:pPr>
        <w:spacing w:after="480" w:line="360" w:lineRule="auto"/>
        <w:jc w:val="center"/>
      </w:pPr>
      <w:r>
        <w:rPr>
          <w:rFonts w:eastAsia="宋体" w:ascii="Times New Roman" w:hAnsi="Times New Roman"/>
          <w:b/>
          <w:sz w:val="44"/>
        </w:rPr>
        <w:t>尊敬的各位领导：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被审计单位：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{{被审计单位}}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审计项目：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{{审计项目}}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审计期间：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{{审计期间}}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报告日期：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{{报告日期}}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项目负责人：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{{项目负责人}}</w:t>
            </w:r>
          </w:p>
        </w:tc>
      </w:tr>
      <w:tr>
        <w:tc>
          <w:tcPr>
            <w:tcW w:type="dxa" w:w="1984"/>
          </w:tcPr>
          <w:p>
            <w:pPr>
              <w:jc w:val="right"/>
            </w:pPr>
            <w:r>
              <w:rPr>
                <w:rFonts w:eastAsia="宋体" w:ascii="Times New Roman" w:hAnsi="Times New Roman"/>
                <w:b w:val="0"/>
                <w:sz w:val="28"/>
              </w:rPr>
              <w:t>报告文号：</w:t>
            </w:r>
          </w:p>
        </w:tc>
        <w:tc>
          <w:tcPr>
            <w:tcW w:type="dxa" w:w="5669"/>
          </w:tcPr>
          <w:p>
            <w:r>
              <w:rPr>
                <w:rFonts w:eastAsia="宋体" w:ascii="Times New Roman" w:hAnsi="Times New Roman"/>
                <w:b w:val="0"/>
                <w:sz w:val="28"/>
              </w:rPr>
              <w:t>{{报告文号}}</w:t>
            </w:r>
          </w:p>
        </w:tc>
      </w:tr>
    </w:tbl>
    <w:p>
      <w:r>
        <w:t>本次审计依据《中华人民共和国审计法》《中华人民共和国预算法》及其实施条例等法律法规，按照法定程序和审计准则执行。审计组通过查阅会计账簿、原始凭证、合同协议等资料，结合实地核查、询问访谈、数据分析等方式开展工作。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审计过程中，我们重点关注了预算编制与执行的合规性、专项资金使用的规范性、国有资产管理的有效性、政府采购程序的合法性以及内部控制制度的健全性。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通过审计，我们识别出若干需要关注的问题，并提出切实可行的整改建议，以期促进被审计单位规范管理、提高效能。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二、审计评价意见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{{评价意见正文}}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三、审计发现的主要问题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{{问题正文}}</w:t>
      </w:r>
    </w:p>
    <w:p>
      <w:pPr>
        <w:spacing w:after="240" w:line="360" w:lineRule="auto"/>
      </w:pPr>
      <w:r>
        <w:rPr>
          <w:rFonts w:eastAsia="黑体" w:ascii="Times New Roman" w:hAnsi="Times New Roman"/>
          <w:b/>
          <w:sz w:val="32"/>
        </w:rPr>
        <w:t>四、审计建议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  <w:t>{{建议正文}}</w:t>
      </w:r>
    </w:p>
    <w:p>
      <w:pPr>
        <w:spacing w:after="120" w:line="360" w:lineRule="auto"/>
      </w:pPr>
      <w:r>
        <w:rPr>
          <w:rFonts w:eastAsia="仿宋_GB2312" w:ascii="Times New Roman" w:hAnsi="Times New Roman"/>
          <w:b w:val="0"/>
          <w:sz w:val="28"/>
        </w:rPr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{{审计机构名称}}</w:t>
      </w:r>
    </w:p>
    <w:p>
      <w:pPr>
        <w:spacing w:after="120" w:line="360" w:lineRule="auto"/>
        <w:jc w:val="right"/>
      </w:pPr>
      <w:r>
        <w:rPr>
          <w:rFonts w:eastAsia="仿宋_GB2312" w:ascii="Times New Roman" w:hAnsi="Times New Roman"/>
          <w:b w:val="0"/>
          <w:sz w:val="28"/>
        </w:rPr>
        <w:t>{{落款日期}}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