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720" w:line="360" w:lineRule="auto"/>
        <w:jc w:val="center"/>
      </w:pPr>
      <w:r>
        <w:rPr>
          <w:rFonts w:eastAsia="宋体" w:ascii="Times New Roman" w:hAnsi="Times New Roman"/>
          <w:b/>
          <w:sz w:val="56"/>
        </w:rPr>
        <w:t>正  本</w:t>
      </w:r>
    </w:p>
    <w:p>
      <w:pPr>
        <w:spacing w:after="240" w:line="360" w:lineRule="auto"/>
        <w:jc w:val="center"/>
      </w:pPr>
      <w:r>
        <w:rPr>
          <w:rFonts w:eastAsia="宋体" w:ascii="Times New Roman" w:hAnsi="Times New Roman"/>
          <w:b/>
          <w:sz w:val="44"/>
        </w:rPr>
        <w:t>XX市高新区市政道路</w:t>
        <w:br/>
        <w:t>改造提升工程（二期）</w:t>
      </w:r>
    </w:p>
    <w:p>
      <w:pPr>
        <w:spacing w:after="720" w:line="360" w:lineRule="auto"/>
        <w:jc w:val="center"/>
      </w:pPr>
      <w:r>
        <w:rPr>
          <w:rFonts w:eastAsia="宋体" w:ascii="Times New Roman" w:hAnsi="Times New Roman"/>
          <w:b/>
          <w:sz w:val="48"/>
        </w:rPr>
        <w:t>投  标  文  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投标人名称：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{{投标人名称}}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法定代表人：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{{法定代表人}}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投标日期：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{{投标日期}}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招标编号：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{{招标编号}}</w:t>
            </w:r>
          </w:p>
        </w:tc>
      </w:tr>
    </w:tbl>
    <w:p>
      <w:r>
        <w:br w:type="page"/>
      </w:r>
    </w:p>
    <w:p>
      <w:pPr>
        <w:spacing w:after="360" w:line="360" w:lineRule="auto"/>
        <w:jc w:val="center"/>
      </w:pPr>
      <w:r>
        <w:rPr>
          <w:rFonts w:eastAsia="黑体" w:ascii="Times New Roman" w:hAnsi="Times New Roman"/>
          <w:b/>
          <w:sz w:val="36"/>
        </w:rPr>
        <w:t>目  录</w:t>
      </w:r>
    </w:p>
    <w:p>
      <w:pPr>
        <w:spacing w:after="240" w:line="360" w:lineRule="auto"/>
      </w:pPr>
      <w:r>
        <w:rPr>
          <w:rFonts w:eastAsia="仿宋_GB2312" w:ascii="Times New Roman" w:hAnsi="Times New Roman"/>
          <w:b w:val="0"/>
          <w:sz w:val="28"/>
        </w:rPr>
        <w:t>一、投标函及投标函附录</w:t>
        <w:br/>
        <w:t>二、法定代表人身份证明</w:t>
        <w:br/>
        <w:t>三、授权委托书</w:t>
        <w:br/>
        <w:t>四、投标保证金</w:t>
        <w:br/>
        <w:t>五、已标价工程量清单</w:t>
        <w:br/>
        <w:t>六、施工组织设计</w:t>
        <w:br/>
        <w:t>七、项目管理机构</w:t>
        <w:br/>
        <w:t>八、资格审查资料</w:t>
        <w:br/>
        <w:t>九、其他材料</w:t>
      </w:r>
    </w:p>
    <w:p>
      <w:r>
        <w:br w:type="page"/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一、投标函及投标函附录</w:t>
      </w:r>
    </w:p>
    <w:p>
      <w:pPr>
        <w:spacing w:after="240" w:line="360" w:lineRule="auto"/>
      </w:pPr>
      <w:r>
        <w:rPr>
          <w:rFonts w:eastAsia="仿宋_GB2312" w:ascii="Times New Roman" w:hAnsi="Times New Roman"/>
          <w:b w:val="0"/>
          <w:sz w:val="28"/>
        </w:rPr>
        <w:t>致：XX市高新区建设局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{{投标函正文}}</w:t>
      </w:r>
    </w:p>
    <w:p>
      <w:pPr>
        <w:spacing w:after="160" w:line="360" w:lineRule="auto"/>
        <w:jc w:val="center"/>
      </w:pPr>
      <w:r>
        <w:rPr>
          <w:rFonts w:eastAsia="黑体" w:ascii="Times New Roman" w:hAnsi="Times New Roman"/>
          <w:b/>
          <w:sz w:val="28"/>
        </w:rPr>
        <w:t>投标函附录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黑体" w:ascii="Times New Roman" w:hAnsi="Times New Roman"/>
                <w:b/>
                <w:sz w:val="24"/>
              </w:rPr>
              <w:t>序号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黑体" w:ascii="Times New Roman" w:hAnsi="Times New Roman"/>
                <w:b/>
                <w:sz w:val="24"/>
              </w:rPr>
              <w:t>条款内容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黑体" w:ascii="Times New Roman" w:hAnsi="Times New Roman"/>
                <w:b/>
                <w:sz w:val="24"/>
              </w:rPr>
              <w:t>约定内容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项目经理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王工（一级建造师  川1512020202501234）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工期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365日历天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缺陷责任期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24个月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履约担保金额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中标合同价的10%</w:t>
            </w:r>
          </w:p>
        </w:tc>
      </w:tr>
    </w:tbl>
    <w:p>
      <w:r>
        <w:t>1. 我方已仔细研究了XX市高新区市政道路改造提升工程（二期）施工招标文件的全部内容，愿意以人民币（大写）叁仟捌佰陆拾万零伍仟元整（¥38,605,000.00）的投标总报价，工期365日历天，按合同约定实施和完成承包工程，修补工程中的任何缺陷，工程质量达到国家现行验收合格标准。</w:t>
        <w:br/>
        <w:t>2. 我方承诺在招标文件规定的投标有效期内不修改、撤销投标文件。</w:t>
        <w:br/>
        <w:t>3. 随同本投标函提交投标保证金一份，金额为人民币（大写）伍拾万元整（¥500,000.00）。</w:t>
        <w:br/>
        <w:t>4. 如我方中标：（1）我方承诺在收到中标通知书后，在中标通知书规定的期限内与你方签订合同；（2）随同本投标函递交的投标函附录属于合同文件的组成部分；（3）我方承诺按照招标文件规定向你方递交履约担保；（4）我方承诺在合同约定的期限内完成并移交全部合同工程。</w:t>
        <w:br/>
        <w:t>5. 我方在此声明，所递交的投标文件及有关资料内容完整、真实和准确。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六、施工组织设计</w:t>
      </w:r>
    </w:p>
    <w:p>
      <w:pPr>
        <w:spacing w:after="120" w:line="360" w:lineRule="auto"/>
      </w:pPr>
      <w:r>
        <w:rPr>
          <w:rFonts w:eastAsia="楷体_GB2312" w:ascii="Times New Roman" w:hAnsi="Times New Roman"/>
          <w:b/>
          <w:sz w:val="28"/>
        </w:rPr>
        <w:t>6.1 工程概况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{{工程概况正文}}</w:t>
      </w:r>
    </w:p>
    <w:p>
      <w:pPr>
        <w:spacing w:after="120" w:line="360" w:lineRule="auto"/>
      </w:pPr>
      <w:r>
        <w:rPr>
          <w:rFonts w:eastAsia="楷体_GB2312" w:ascii="Times New Roman" w:hAnsi="Times New Roman"/>
          <w:b/>
          <w:sz w:val="28"/>
        </w:rPr>
        <w:t>6.2 施工总体部署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{{施工部署正文}}</w:t>
      </w:r>
    </w:p>
    <w:p>
      <w:pPr>
        <w:spacing w:after="120" w:line="360" w:lineRule="auto"/>
      </w:pPr>
      <w:r>
        <w:rPr>
          <w:rFonts w:eastAsia="楷体_GB2312" w:ascii="Times New Roman" w:hAnsi="Times New Roman"/>
          <w:b/>
          <w:sz w:val="28"/>
        </w:rPr>
        <w:t>6.3 主要施工方案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本项目位于XX市高新区核心区域，建设内容包括：科园南路（K0+000～K2+850）全长2.85km、科园北路（K0+000～K1+620）全长1.62km、创业路（K0+000～K1+140）全长1.14km，总计5.61km的市政道路改造提升。主要工程内容：路面铣刨加铺沥青混凝土面层、人行道铺装更新、雨污水管网改造、交通标志标线更新、绿化提升及智慧路灯系统安装。项目预算总投资约为4200万元，资金来源为区级财政资金。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本项目采用「分段平行施工、流水作业」的总体部署方案。将全线划分为3个施工工区：第一工区（科园南路K0+000～K1+400）、第二工区（科园南路K1+400～K2+850及科园北路）、第三工区（创业路全线）。各工区配备独立的施工管理团队和机械设备。总工期365日历天，其中施工准备期15天，主体工程施工期320天，竣工验收期30天。关键节点：2026年8月30日前完成全部管网改造，2027年2月28日前完成路面工程。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法定代表人或其委托代理人：（签字）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（1）路面工程：采用铣刨4cm原沥青面层+摊铺6cm AC-20C中粒式沥青砼下面层+4cm SMA-13沥青玛蹄脂碎石上面层的技术方案。</w:t>
        <w:br/>
        <w:t>（2）管网改造：雨污水管道采用HDPE双壁波纹管（SN8级），管径DN300-DN800，热熔连接。施工采用明挖法，沟槽支护采用拉森钢板桩。</w:t>
        <w:br/>
        <w:t>（3）人行道工程：采用透水混凝土基层+C40彩色压印混凝土面层的铺装方案，配套设置无障碍坡道和盲道。</w:t>
        <w:br/>
        <w:t>（4）智慧路灯：采用LED光源+单灯控制系统，集成环境监测、WiFi热点、信息发布等功能模块，实现「多杆合一」。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