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A1F3F"/>
        </w:rPr>
        <w:t>融策经责审计量化评价系统</w:t>
      </w:r>
    </w:p>
    <w:p>
      <w:r>
        <w:rPr>
          <w:color w:val="1A5C6E"/>
        </w:rPr>
        <w:t>产品一页纸  |  四川融策会计师事务所  |  2026年6月</w:t>
      </w:r>
    </w:p>
    <w:p>
      <w:pPr>
        <w:pStyle w:val="Heading2"/>
      </w:pPr>
      <w:r>
        <w:t>一句话定位</w:t>
      </w:r>
    </w:p>
    <w:p>
      <w:r>
        <w:t>从"拍脑袋打分"到"量化可追溯"——7+1套指标体系，让经责审计有据可依、有据可查。</w:t>
      </w:r>
    </w:p>
    <w:p>
      <w:pPr>
        <w:pStyle w:val="Heading2"/>
      </w:pPr>
      <w:r>
        <w:t>指标体系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A1F3F" w:val="clea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体系</w:t>
            </w:r>
          </w:p>
        </w:tc>
        <w:tc>
          <w:tcPr>
            <w:tcW w:type="dxa" w:w="4320"/>
            <w:shd w:fill="0A1F3F" w:val="clea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适用对象</w:t>
            </w:r>
          </w:p>
        </w:tc>
      </w:tr>
      <w:tr>
        <w:tc>
          <w:tcPr>
            <w:tcW w:type="dxa" w:w="4320"/>
          </w:tcPr>
          <w:p>
            <w:r>
              <w:t>工程项目</w:t>
            </w:r>
          </w:p>
        </w:tc>
        <w:tc>
          <w:tcPr>
            <w:tcW w:type="dxa" w:w="4320"/>
          </w:tcPr>
          <w:p>
            <w:r>
              <w:t>建设/交通/水利/市政类</w:t>
            </w:r>
          </w:p>
        </w:tc>
      </w:tr>
      <w:tr>
        <w:tc>
          <w:tcPr>
            <w:tcW w:type="dxa" w:w="4320"/>
          </w:tcPr>
          <w:p>
            <w:r>
              <w:t>行政事业</w:t>
            </w:r>
          </w:p>
        </w:tc>
        <w:tc>
          <w:tcPr>
            <w:tcW w:type="dxa" w:w="4320"/>
          </w:tcPr>
          <w:p>
            <w:r>
              <w:t>机关/事业单位</w:t>
            </w:r>
          </w:p>
        </w:tc>
      </w:tr>
      <w:tr>
        <w:tc>
          <w:tcPr>
            <w:tcW w:type="dxa" w:w="4320"/>
          </w:tcPr>
          <w:p>
            <w:r>
              <w:t>商业竞争</w:t>
            </w:r>
          </w:p>
        </w:tc>
        <w:tc>
          <w:tcPr>
            <w:tcW w:type="dxa" w:w="4320"/>
          </w:tcPr>
          <w:p>
            <w:r>
              <w:t>市场化国企</w:t>
            </w:r>
          </w:p>
        </w:tc>
      </w:tr>
      <w:tr>
        <w:tc>
          <w:tcPr>
            <w:tcW w:type="dxa" w:w="4320"/>
          </w:tcPr>
          <w:p>
            <w:r>
              <w:t>公益功能</w:t>
            </w:r>
          </w:p>
        </w:tc>
        <w:tc>
          <w:tcPr>
            <w:tcW w:type="dxa" w:w="4320"/>
          </w:tcPr>
          <w:p>
            <w:r>
              <w:t>供水/供气/公交/环卫</w:t>
            </w:r>
          </w:p>
        </w:tc>
      </w:tr>
      <w:tr>
        <w:tc>
          <w:tcPr>
            <w:tcW w:type="dxa" w:w="4320"/>
          </w:tcPr>
          <w:p>
            <w:r>
              <w:t>特定功能</w:t>
            </w:r>
          </w:p>
        </w:tc>
        <w:tc>
          <w:tcPr>
            <w:tcW w:type="dxa" w:w="4320"/>
          </w:tcPr>
          <w:p>
            <w:r>
              <w:t>融资平台/金控/担保</w:t>
            </w:r>
          </w:p>
        </w:tc>
      </w:tr>
      <w:tr>
        <w:tc>
          <w:tcPr>
            <w:tcW w:type="dxa" w:w="4320"/>
          </w:tcPr>
          <w:p>
            <w:r>
              <w:t>金融</w:t>
            </w:r>
          </w:p>
        </w:tc>
        <w:tc>
          <w:tcPr>
            <w:tcW w:type="dxa" w:w="4320"/>
          </w:tcPr>
          <w:p>
            <w:r>
              <w:t>银行/保险/证券/基金</w:t>
            </w:r>
          </w:p>
        </w:tc>
      </w:tr>
      <w:tr>
        <w:tc>
          <w:tcPr>
            <w:tcW w:type="dxa" w:w="4320"/>
          </w:tcPr>
          <w:p>
            <w:r>
              <w:t>科创</w:t>
            </w:r>
          </w:p>
        </w:tc>
        <w:tc>
          <w:tcPr>
            <w:tcW w:type="dxa" w:w="4320"/>
          </w:tcPr>
          <w:p>
            <w:r>
              <w:t>科技/研发/孵化器</w:t>
            </w:r>
          </w:p>
        </w:tc>
      </w:tr>
      <w:tr>
        <w:tc>
          <w:tcPr>
            <w:tcW w:type="dxa" w:w="4320"/>
          </w:tcPr>
          <w:p>
            <w:r>
              <w:t>自定义</w:t>
            </w:r>
          </w:p>
        </w:tc>
        <w:tc>
          <w:tcPr>
            <w:tcW w:type="dxa" w:w="4320"/>
          </w:tcPr>
          <w:p>
            <w:r>
              <w:t>客户定制指标</w:t>
            </w:r>
          </w:p>
        </w:tc>
      </w:tr>
    </w:tbl>
    <w:p>
      <w:pPr>
        <w:pStyle w:val="Heading2"/>
      </w:pPr>
      <w:r>
        <w:t>核心机制</w:t>
      </w:r>
    </w:p>
    <w:p>
      <w:pPr>
        <w:pStyle w:val="ListBullet"/>
      </w:pPr>
      <w:r>
        <w:t>⚖️ 6种一票否决：重大损失·严重违纪·重大舆情·安全事故·环保事件·系统性风险</w:t>
      </w:r>
    </w:p>
    <w:p>
      <w:pPr>
        <w:pStyle w:val="ListBullet"/>
      </w:pPr>
      <w:r>
        <w:t>📐 四类调整因素：任期内外划断·宏观经济影响·不可抗力·政策变更</w:t>
      </w:r>
    </w:p>
    <w:p>
      <w:pPr>
        <w:pStyle w:val="ListBullet"/>
      </w:pPr>
      <w:r>
        <w:t>📊 三级损失标准：一般&lt;100万·较大100万~1000万·重大&gt;1000万</w:t>
      </w:r>
    </w:p>
    <w:p>
      <w:pPr>
        <w:pStyle w:val="ListBullet"/>
      </w:pPr>
      <w:r>
        <w:t>🔴 终身问责原则：退休≠安全，离职≠免责，调任≠清零</w:t>
      </w:r>
    </w:p>
    <w:p>
      <w:pPr>
        <w:pStyle w:val="Heading2"/>
      </w:pPr>
      <w:r>
        <w:t>交付物</w:t>
      </w:r>
    </w:p>
    <w:p>
      <w:r>
        <w:t>Excel量化评价工作表（含评分明细、证据链索引、调整因素说明）+ 评价结论摘要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