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03366"/>
          <w:sz w:val="72"/>
        </w:rPr>
        <w:t>四 川 融 策</w:t>
      </w:r>
    </w:p>
    <w:p>
      <w:pPr>
        <w:jc w:val="center"/>
      </w:pPr>
      <w:r>
        <w:rPr>
          <w:rFonts w:ascii="微软雅黑" w:hAnsi="微软雅黑" w:eastAsia="微软雅黑"/>
          <w:b/>
          <w:color w:val="003366"/>
          <w:sz w:val="84"/>
        </w:rPr>
        <w:t>投标文件</w:t>
      </w:r>
    </w:p>
    <w:p/>
    <w:p>
      <w:pPr>
        <w:jc w:val="center"/>
      </w:pPr>
      <w:r>
        <w:rPr>
          <w:color w:val="003366"/>
          <w:sz w:val="24"/>
        </w:rPr>
        <w:t>━━━━━━━━━━━━━━━━━━━━━━━━━━━━━━</w:t>
      </w:r>
    </w:p>
    <w:p/>
    <w:p>
      <w:pPr>
        <w:spacing w:line="480" w:lineRule="auto"/>
        <w:jc w:val="center"/>
      </w:pPr>
      <w:r>
        <w:rPr>
          <w:rFonts w:ascii="微软雅黑" w:hAnsi="微软雅黑" w:eastAsia="微软雅黑"/>
          <w:color w:val="333333"/>
          <w:sz w:val="28"/>
        </w:rPr>
        <w:t>项 目 名 称：________________________</w:t>
      </w:r>
    </w:p>
    <w:p>
      <w:pPr>
        <w:spacing w:line="480" w:lineRule="auto"/>
        <w:jc w:val="center"/>
      </w:pPr>
      <w:r>
        <w:rPr>
          <w:rFonts w:ascii="微软雅黑" w:hAnsi="微软雅黑" w:eastAsia="微软雅黑"/>
          <w:color w:val="333333"/>
          <w:sz w:val="28"/>
        </w:rPr>
        <w:t>招 标 编 号：________________________</w:t>
      </w:r>
    </w:p>
    <w:p>
      <w:pPr>
        <w:spacing w:line="480" w:lineRule="auto"/>
        <w:jc w:val="center"/>
      </w:pPr>
      <w:r>
        <w:rPr>
          <w:rFonts w:ascii="微软雅黑" w:hAnsi="微软雅黑" w:eastAsia="微软雅黑"/>
          <w:color w:val="333333"/>
          <w:sz w:val="28"/>
        </w:rPr>
        <w:t>投 标 单 位：四川融策会计师事务所</w:t>
      </w:r>
    </w:p>
    <w:p>
      <w:pPr>
        <w:spacing w:line="480" w:lineRule="auto"/>
        <w:jc w:val="center"/>
      </w:pPr>
      <w:r>
        <w:rPr>
          <w:rFonts w:ascii="微软雅黑" w:hAnsi="微软雅黑" w:eastAsia="微软雅黑"/>
          <w:color w:val="333333"/>
          <w:sz w:val="28"/>
        </w:rPr>
        <w:t>日      期：____年____月____日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color w:val="003366"/>
        </w:rPr>
        <w:t>目  录</w:t>
      </w:r>
    </w:p>
    <w:p>
      <w:pPr>
        <w:spacing w:line="480" w:lineRule="auto"/>
      </w:pPr>
      <w:r>
        <w:rPr>
          <w:rFonts w:ascii="微软雅黑" w:hAnsi="微软雅黑" w:eastAsia="微软雅黑"/>
          <w:sz w:val="24"/>
        </w:rPr>
        <w:t>一、法定代表人身份证明</w:t>
      </w:r>
      <w:r>
        <w:rPr>
          <w:rFonts w:ascii="微软雅黑" w:hAnsi="微软雅黑"/>
          <w:sz w:val="24"/>
        </w:rPr>
        <w:t>........................................1</w:t>
      </w:r>
    </w:p>
    <w:p>
      <w:pPr>
        <w:spacing w:line="480" w:lineRule="auto"/>
      </w:pPr>
      <w:r>
        <w:rPr>
          <w:rFonts w:ascii="微软雅黑" w:hAnsi="微软雅黑" w:eastAsia="微软雅黑"/>
          <w:sz w:val="24"/>
        </w:rPr>
        <w:t>二、授权委托书</w:t>
      </w:r>
      <w:r>
        <w:rPr>
          <w:rFonts w:ascii="微软雅黑" w:hAnsi="微软雅黑"/>
          <w:sz w:val="24"/>
        </w:rPr>
        <w:t>........................................3</w:t>
      </w:r>
    </w:p>
    <w:p>
      <w:pPr>
        <w:spacing w:line="480" w:lineRule="auto"/>
      </w:pPr>
      <w:r>
        <w:rPr>
          <w:rFonts w:ascii="微软雅黑" w:hAnsi="微软雅黑" w:eastAsia="微软雅黑"/>
          <w:sz w:val="24"/>
        </w:rPr>
        <w:t>三、投标函</w:t>
      </w:r>
      <w:r>
        <w:rPr>
          <w:rFonts w:ascii="微软雅黑" w:hAnsi="微软雅黑"/>
          <w:sz w:val="24"/>
        </w:rPr>
        <w:t>........................................5</w:t>
      </w:r>
    </w:p>
    <w:p>
      <w:pPr>
        <w:spacing w:line="480" w:lineRule="auto"/>
      </w:pPr>
      <w:r>
        <w:rPr>
          <w:rFonts w:ascii="微软雅黑" w:hAnsi="微软雅黑" w:eastAsia="微软雅黑"/>
          <w:sz w:val="24"/>
        </w:rPr>
        <w:t>四、报价一览表</w:t>
      </w:r>
      <w:r>
        <w:rPr>
          <w:rFonts w:ascii="微软雅黑" w:hAnsi="微软雅黑"/>
          <w:sz w:val="24"/>
        </w:rPr>
        <w:t>........................................7</w:t>
      </w:r>
    </w:p>
    <w:p>
      <w:pPr>
        <w:spacing w:line="480" w:lineRule="auto"/>
      </w:pPr>
      <w:r>
        <w:rPr>
          <w:rFonts w:ascii="微软雅黑" w:hAnsi="微软雅黑" w:eastAsia="微软雅黑"/>
          <w:sz w:val="24"/>
        </w:rPr>
        <w:t>五、公司简介及资质</w:t>
      </w:r>
      <w:r>
        <w:rPr>
          <w:rFonts w:ascii="微软雅黑" w:hAnsi="微软雅黑"/>
          <w:sz w:val="24"/>
        </w:rPr>
        <w:t>........................................9</w:t>
      </w:r>
    </w:p>
    <w:p>
      <w:pPr>
        <w:spacing w:line="480" w:lineRule="auto"/>
      </w:pPr>
      <w:r>
        <w:rPr>
          <w:rFonts w:ascii="微软雅黑" w:hAnsi="微软雅黑" w:eastAsia="微软雅黑"/>
          <w:sz w:val="24"/>
        </w:rPr>
        <w:t>六、项目实施方案</w:t>
      </w:r>
      <w:r>
        <w:rPr>
          <w:rFonts w:ascii="微软雅黑" w:hAnsi="微软雅黑"/>
          <w:sz w:val="24"/>
        </w:rPr>
        <w:t>........................................13</w:t>
      </w:r>
    </w:p>
    <w:p>
      <w:pPr>
        <w:spacing w:line="480" w:lineRule="auto"/>
      </w:pPr>
      <w:r>
        <w:rPr>
          <w:rFonts w:ascii="微软雅黑" w:hAnsi="微软雅黑" w:eastAsia="微软雅黑"/>
          <w:sz w:val="24"/>
        </w:rPr>
        <w:t>七、项目人员配置</w:t>
      </w:r>
      <w:r>
        <w:rPr>
          <w:rFonts w:ascii="微软雅黑" w:hAnsi="微软雅黑"/>
          <w:sz w:val="24"/>
        </w:rPr>
        <w:t>........................................25</w:t>
      </w:r>
    </w:p>
    <w:p>
      <w:pPr>
        <w:spacing w:line="480" w:lineRule="auto"/>
      </w:pPr>
      <w:r>
        <w:rPr>
          <w:rFonts w:ascii="微软雅黑" w:hAnsi="微软雅黑" w:eastAsia="微软雅黑"/>
          <w:sz w:val="24"/>
        </w:rPr>
        <w:t>八、类似业绩一览表</w:t>
      </w:r>
      <w:r>
        <w:rPr>
          <w:rFonts w:ascii="微软雅黑" w:hAnsi="微软雅黑"/>
          <w:sz w:val="24"/>
        </w:rPr>
        <w:t>........................................30</w:t>
      </w:r>
    </w:p>
    <w:p>
      <w:pPr>
        <w:spacing w:line="480" w:lineRule="auto"/>
      </w:pPr>
      <w:r>
        <w:rPr>
          <w:rFonts w:ascii="微软雅黑" w:hAnsi="微软雅黑" w:eastAsia="微软雅黑"/>
          <w:sz w:val="24"/>
        </w:rPr>
        <w:t>九、服务承诺</w:t>
      </w:r>
      <w:r>
        <w:rPr>
          <w:rFonts w:ascii="微软雅黑" w:hAnsi="微软雅黑"/>
          <w:sz w:val="24"/>
        </w:rPr>
        <w:t>........................................35</w:t>
      </w:r>
    </w:p>
    <w:p>
      <w:pPr>
        <w:spacing w:line="480" w:lineRule="auto"/>
      </w:pPr>
      <w:r>
        <w:rPr>
          <w:rFonts w:ascii="微软雅黑" w:hAnsi="微软雅黑" w:eastAsia="微软雅黑"/>
          <w:sz w:val="24"/>
        </w:rPr>
        <w:t>十、其他附件</w:t>
      </w:r>
      <w:r>
        <w:rPr>
          <w:rFonts w:ascii="微软雅黑" w:hAnsi="微软雅黑"/>
          <w:sz w:val="24"/>
        </w:rPr>
        <w:t>........................................37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color w:val="003366"/>
        </w:rPr>
        <w:t>第一章  公司简介</w:t>
      </w:r>
    </w:p>
    <w:p>
      <w:pPr>
        <w:spacing w:after="120"/>
      </w:pPr>
      <w:r>
        <w:rPr>
          <w:rFonts w:ascii="宋体" w:hAnsi="宋体" w:eastAsia="宋体"/>
          <w:b/>
          <w:color w:val="003366"/>
          <w:sz w:val="28"/>
        </w:rPr>
        <w:t>1.1 公司概况</w:t>
      </w:r>
    </w:p>
    <w:p>
      <w:pPr>
        <w:spacing w:after="240"/>
      </w:pPr>
      <w:r>
        <w:rPr>
          <w:rFonts w:ascii="宋体" w:hAnsi="宋体" w:eastAsia="宋体"/>
          <w:color w:val="333333"/>
          <w:sz w:val="24"/>
        </w:rPr>
        <w:t>四川融策会计师事务所（普通合伙）成立于20XX年，是经四川省财政厅批准设立的综合性会计师事务所。公司注册资本XXX万元，现有从业人员XX人，其中注册会计师XX人。公司业务涵盖政府审计、绩效评价、资产清查、专项债申报、监督检查、工程预算编制、财政评审、全过程工程咨询、工程结算审核等专业领域。</w:t>
      </w:r>
    </w:p>
    <w:p>
      <w:pPr>
        <w:spacing w:after="120"/>
      </w:pPr>
      <w:r>
        <w:rPr>
          <w:rFonts w:ascii="宋体" w:hAnsi="宋体" w:eastAsia="宋体"/>
          <w:b/>
          <w:color w:val="003366"/>
          <w:sz w:val="28"/>
        </w:rPr>
        <w:t>1.2 组织架构</w:t>
      </w:r>
    </w:p>
    <w:p>
      <w:pPr>
        <w:spacing w:after="240"/>
        <w:jc w:val="center"/>
      </w:pPr>
      <w:r>
        <w:rPr>
          <w:rFonts w:ascii="宋体" w:hAnsi="宋体" w:eastAsia="宋体"/>
          <w:color w:val="CCD5E0"/>
          <w:sz w:val="24"/>
        </w:rPr>
        <w:t>（此处插入组织架构图）</w:t>
      </w:r>
    </w:p>
    <w:p>
      <w:pPr>
        <w:spacing w:after="120"/>
      </w:pPr>
      <w:r>
        <w:rPr>
          <w:rFonts w:ascii="宋体" w:hAnsi="宋体" w:eastAsia="宋体"/>
          <w:b/>
          <w:color w:val="003366"/>
          <w:sz w:val="28"/>
        </w:rPr>
        <w:t>1.3 资质荣誉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#CCCCCC"/>
          <w:left w:val="single" w:sz="4" w:space="0" w:color="#CCCCCC"/>
          <w:bottom w:val="single" w:sz="4" w:space="0" w:color="#CCCCCC"/>
          <w:right w:val="single" w:sz="4" w:space="0" w:color="#CCCCCC"/>
          <w:insideH w:val="single" w:sz="4" w:space="0" w:color="#CCCCCC"/>
          <w:insideV w:val="single" w:sz="4" w:space="0" w:color="#CCCCCC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0033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6"/>
            <w:shd w:fill="0033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资质名称</w:t>
            </w:r>
          </w:p>
        </w:tc>
        <w:tc>
          <w:tcPr>
            <w:tcW w:type="dxa" w:w="2266"/>
            <w:shd w:fill="0033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发证机关</w:t>
            </w:r>
          </w:p>
        </w:tc>
        <w:tc>
          <w:tcPr>
            <w:tcW w:type="dxa" w:w="2266"/>
            <w:shd w:fill="0033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有效期</w:t>
            </w:r>
          </w:p>
        </w:tc>
      </w:tr>
      <w:tr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</w:t>
            </w:r>
          </w:p>
        </w:tc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会计师事务所执业证书</w:t>
            </w:r>
          </w:p>
        </w:tc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四川省财政厅</w:t>
            </w:r>
          </w:p>
        </w:tc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20XX年-20XX年</w:t>
            </w:r>
          </w:p>
        </w:tc>
      </w:tr>
      <w:tr>
        <w:tc>
          <w:tcPr>
            <w:tcW w:type="dxa" w:w="2266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2</w:t>
            </w:r>
          </w:p>
        </w:tc>
        <w:tc>
          <w:tcPr>
            <w:tcW w:type="dxa" w:w="2266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ISO9001质量管理体系认证</w:t>
            </w:r>
          </w:p>
        </w:tc>
        <w:tc>
          <w:tcPr>
            <w:tcW w:type="dxa" w:w="2266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中国质量认证中心</w:t>
            </w:r>
          </w:p>
        </w:tc>
        <w:tc>
          <w:tcPr>
            <w:tcW w:type="dxa" w:w="2266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20XX年-20XX年</w:t>
            </w:r>
          </w:p>
        </w:tc>
      </w:tr>
      <w:tr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3</w:t>
            </w:r>
          </w:p>
        </w:tc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AAA级信用等级证书</w:t>
            </w:r>
          </w:p>
        </w:tc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XX信用评估机构</w:t>
            </w:r>
          </w:p>
        </w:tc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20XX年-20XX年</w:t>
            </w:r>
          </w:p>
        </w:tc>
      </w:tr>
      <w:tr>
        <w:tc>
          <w:tcPr>
            <w:tcW w:type="dxa" w:w="2266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4</w:t>
            </w:r>
          </w:p>
        </w:tc>
        <w:tc>
          <w:tcPr>
            <w:tcW w:type="dxa" w:w="2266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工程咨询单位乙级资信</w:t>
            </w:r>
          </w:p>
        </w:tc>
        <w:tc>
          <w:tcPr>
            <w:tcW w:type="dxa" w:w="2266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四川省工程咨询协会</w:t>
            </w:r>
          </w:p>
        </w:tc>
        <w:tc>
          <w:tcPr>
            <w:tcW w:type="dxa" w:w="2266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20XX年-20XX年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color w:val="003366"/>
        </w:rPr>
        <w:t>第二章  项目实施方案</w:t>
      </w:r>
    </w:p>
    <w:p>
      <w:pPr>
        <w:spacing w:after="120"/>
      </w:pPr>
      <w:r>
        <w:rPr>
          <w:rFonts w:ascii="宋体" w:hAnsi="宋体" w:eastAsia="宋体"/>
          <w:b/>
          <w:color w:val="003366"/>
          <w:sz w:val="28"/>
        </w:rPr>
        <w:t>2.1 项目理解</w:t>
      </w:r>
    </w:p>
    <w:p>
      <w:pPr>
        <w:spacing w:after="240"/>
      </w:pPr>
      <w:r>
        <w:rPr>
          <w:rFonts w:ascii="宋体" w:hAnsi="宋体" w:eastAsia="宋体"/>
          <w:color w:val="333333"/>
          <w:sz w:val="24"/>
        </w:rPr>
        <w:t>本项目为XXX项目，主要涉及竣工财务决算审核工作。我公司将严格按照《基本建设项目竣工财务决算管理暂行办法》（财建〔2016〕503号）等政策法规要求，遵循独立、客观、公正的原则，提供高质量的审计服务。</w:t>
      </w:r>
    </w:p>
    <w:p>
      <w:pPr>
        <w:spacing w:after="120"/>
      </w:pPr>
      <w:r>
        <w:rPr>
          <w:rFonts w:ascii="宋体" w:hAnsi="宋体" w:eastAsia="宋体"/>
          <w:b/>
          <w:color w:val="003366"/>
          <w:sz w:val="28"/>
        </w:rPr>
        <w:t>2.2 工作流程</w:t>
      </w:r>
    </w:p>
    <w:p>
      <w:pPr>
        <w:spacing w:after="240"/>
        <w:jc w:val="center"/>
      </w:pPr>
      <w:r>
        <w:rPr>
          <w:rFonts w:ascii="宋体" w:hAnsi="宋体" w:eastAsia="宋体"/>
          <w:color w:val="CCD5E0"/>
          <w:sz w:val="24"/>
        </w:rPr>
        <w:t>（此处插入工作流程图）</w:t>
      </w:r>
    </w:p>
    <w:p>
      <w:pPr>
        <w:spacing w:after="120"/>
      </w:pPr>
      <w:r>
        <w:rPr>
          <w:rFonts w:ascii="宋体" w:hAnsi="宋体" w:eastAsia="宋体"/>
          <w:b/>
          <w:color w:val="003366"/>
          <w:sz w:val="28"/>
        </w:rPr>
        <w:t>2.3 工作内容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#CCCCCC"/>
          <w:left w:val="single" w:sz="4" w:space="0" w:color="#CCCCCC"/>
          <w:bottom w:val="single" w:sz="4" w:space="0" w:color="#CCCCCC"/>
          <w:right w:val="single" w:sz="4" w:space="0" w:color="#CCCCCC"/>
          <w:insideH w:val="single" w:sz="4" w:space="0" w:color="#CCCCCC"/>
          <w:insideV w:val="single" w:sz="4" w:space="0" w:color="#CCCCCC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0033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6"/>
            <w:shd w:fill="0033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工作内容</w:t>
            </w:r>
          </w:p>
        </w:tc>
        <w:tc>
          <w:tcPr>
            <w:tcW w:type="dxa" w:w="2266"/>
            <w:shd w:fill="0033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工作标准</w:t>
            </w:r>
          </w:p>
        </w:tc>
        <w:tc>
          <w:tcPr>
            <w:tcW w:type="dxa" w:w="2266"/>
            <w:shd w:fill="0033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输出成果</w:t>
            </w:r>
          </w:p>
        </w:tc>
      </w:tr>
      <w:tr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</w:t>
            </w:r>
          </w:p>
        </w:tc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资料收集与初步审核</w:t>
            </w:r>
          </w:p>
        </w:tc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收集齐全、完整</w:t>
            </w:r>
          </w:p>
        </w:tc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资料清单</w:t>
            </w:r>
          </w:p>
        </w:tc>
      </w:tr>
      <w:tr>
        <w:tc>
          <w:tcPr>
            <w:tcW w:type="dxa" w:w="2266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2</w:t>
            </w:r>
          </w:p>
        </w:tc>
        <w:tc>
          <w:tcPr>
            <w:tcW w:type="dxa" w:w="2266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现场盘点与核实</w:t>
            </w:r>
          </w:p>
        </w:tc>
        <w:tc>
          <w:tcPr>
            <w:tcW w:type="dxa" w:w="2266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账实相符</w:t>
            </w:r>
          </w:p>
        </w:tc>
        <w:tc>
          <w:tcPr>
            <w:tcW w:type="dxa" w:w="2266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盘点记录表</w:t>
            </w:r>
          </w:p>
        </w:tc>
      </w:tr>
      <w:tr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3</w:t>
            </w:r>
          </w:p>
        </w:tc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资金使用合规性审核</w:t>
            </w:r>
          </w:p>
        </w:tc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专款专用</w:t>
            </w:r>
          </w:p>
        </w:tc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资金流向表</w:t>
            </w:r>
          </w:p>
        </w:tc>
      </w:tr>
      <w:tr>
        <w:tc>
          <w:tcPr>
            <w:tcW w:type="dxa" w:w="2266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4</w:t>
            </w:r>
          </w:p>
        </w:tc>
        <w:tc>
          <w:tcPr>
            <w:tcW w:type="dxa" w:w="2266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二类费用计费复核</w:t>
            </w:r>
          </w:p>
        </w:tc>
        <w:tc>
          <w:tcPr>
            <w:tcW w:type="dxa" w:w="2266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依据国家计费标准</w:t>
            </w:r>
          </w:p>
        </w:tc>
        <w:tc>
          <w:tcPr>
            <w:tcW w:type="dxa" w:w="2266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复核意见表</w:t>
            </w:r>
          </w:p>
        </w:tc>
      </w:tr>
      <w:tr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5</w:t>
            </w:r>
          </w:p>
        </w:tc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竣工财务决算报告编制</w:t>
            </w:r>
          </w:p>
        </w:tc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格式规范、数据准确</w:t>
            </w:r>
          </w:p>
        </w:tc>
        <w:tc>
          <w:tcPr>
            <w:tcW w:type="dxa" w:w="22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决算审核报告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color w:val="003366"/>
          <w:sz w:val="28"/>
        </w:rPr>
        <w:t>2.4 人员配置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#CCCCCC"/>
          <w:left w:val="single" w:sz="4" w:space="0" w:color="#CCCCCC"/>
          <w:bottom w:val="single" w:sz="4" w:space="0" w:color="#CCCCCC"/>
          <w:right w:val="single" w:sz="4" w:space="0" w:color="#CCCCCC"/>
          <w:insideH w:val="single" w:sz="4" w:space="0" w:color="#CCCCCC"/>
          <w:insideV w:val="single" w:sz="4" w:space="0" w:color="#CCCCCC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0033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813"/>
            <w:shd w:fill="0033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813"/>
            <w:shd w:fill="0033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职务/职称</w:t>
            </w:r>
          </w:p>
        </w:tc>
        <w:tc>
          <w:tcPr>
            <w:tcW w:type="dxa" w:w="1813"/>
            <w:shd w:fill="0033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执业资格</w:t>
            </w:r>
          </w:p>
        </w:tc>
        <w:tc>
          <w:tcPr>
            <w:tcW w:type="dxa" w:w="1813"/>
            <w:shd w:fill="0033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本项目职责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</w:t>
            </w:r>
          </w:p>
        </w:tc>
        <w:tc>
          <w:tcPr>
            <w:tcW w:type="dxa" w:w="1813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李开</w:t>
            </w:r>
          </w:p>
        </w:tc>
        <w:tc>
          <w:tcPr>
            <w:tcW w:type="dxa" w:w="1813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合伙人/总经理</w:t>
            </w:r>
          </w:p>
        </w:tc>
        <w:tc>
          <w:tcPr>
            <w:tcW w:type="dxa" w:w="1813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注册会计师</w:t>
            </w:r>
          </w:p>
        </w:tc>
        <w:tc>
          <w:tcPr>
            <w:tcW w:type="dxa" w:w="1813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项目总负责人</w:t>
            </w:r>
          </w:p>
        </w:tc>
      </w:tr>
      <w:tr>
        <w:tc>
          <w:tcPr>
            <w:tcW w:type="dxa" w:w="1813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2</w:t>
            </w:r>
          </w:p>
        </w:tc>
        <w:tc>
          <w:tcPr>
            <w:tcW w:type="dxa" w:w="1813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XXX</w:t>
            </w:r>
          </w:p>
        </w:tc>
        <w:tc>
          <w:tcPr>
            <w:tcW w:type="dxa" w:w="1813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部门经理</w:t>
            </w:r>
          </w:p>
        </w:tc>
        <w:tc>
          <w:tcPr>
            <w:tcW w:type="dxa" w:w="1813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注册会计师</w:t>
            </w:r>
          </w:p>
        </w:tc>
        <w:tc>
          <w:tcPr>
            <w:tcW w:type="dxa" w:w="1813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现场负责人</w:t>
            </w:r>
          </w:p>
        </w:tc>
      </w:tr>
      <w:tr>
        <w:tc>
          <w:tcPr>
            <w:tcW w:type="dxa" w:w="1813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3</w:t>
            </w:r>
          </w:p>
        </w:tc>
        <w:tc>
          <w:tcPr>
            <w:tcW w:type="dxa" w:w="1813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XXX</w:t>
            </w:r>
          </w:p>
        </w:tc>
        <w:tc>
          <w:tcPr>
            <w:tcW w:type="dxa" w:w="1813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项目经理</w:t>
            </w:r>
          </w:p>
        </w:tc>
        <w:tc>
          <w:tcPr>
            <w:tcW w:type="dxa" w:w="1813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中级会计师</w:t>
            </w:r>
          </w:p>
        </w:tc>
        <w:tc>
          <w:tcPr>
            <w:tcW w:type="dxa" w:w="1813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审计实施</w:t>
            </w:r>
          </w:p>
        </w:tc>
      </w:tr>
      <w:tr>
        <w:tc>
          <w:tcPr>
            <w:tcW w:type="dxa" w:w="1813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4</w:t>
            </w:r>
          </w:p>
        </w:tc>
        <w:tc>
          <w:tcPr>
            <w:tcW w:type="dxa" w:w="1813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XXX</w:t>
            </w:r>
          </w:p>
        </w:tc>
        <w:tc>
          <w:tcPr>
            <w:tcW w:type="dxa" w:w="1813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审计助理</w:t>
            </w:r>
          </w:p>
        </w:tc>
        <w:tc>
          <w:tcPr>
            <w:tcW w:type="dxa" w:w="1813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初级会计师</w:t>
            </w:r>
          </w:p>
        </w:tc>
        <w:tc>
          <w:tcPr>
            <w:tcW w:type="dxa" w:w="1813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底稿编制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color w:val="003366"/>
        </w:rPr>
        <w:t>第三章  类似业绩</w:t>
      </w:r>
    </w:p>
    <w:p>
      <w:pPr>
        <w:spacing w:after="120"/>
      </w:pPr>
      <w:r>
        <w:rPr>
          <w:rFonts w:ascii="宋体" w:hAnsi="宋体" w:eastAsia="宋体"/>
          <w:color w:val="333333"/>
          <w:sz w:val="24"/>
        </w:rPr>
        <w:t>近三年同类项目业绩一览表：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#CCCCCC"/>
          <w:left w:val="single" w:sz="4" w:space="0" w:color="#CCCCCC"/>
          <w:bottom w:val="single" w:sz="4" w:space="0" w:color="#CCCCCC"/>
          <w:right w:val="single" w:sz="4" w:space="0" w:color="#CCCCCC"/>
          <w:insideH w:val="single" w:sz="4" w:space="0" w:color="#CCCCCC"/>
          <w:insideV w:val="single" w:sz="4" w:space="0" w:color="#CCCCCC"/>
        </w:tblBorders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fill="0033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511"/>
            <w:shd w:fill="0033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项目名称</w:t>
            </w:r>
          </w:p>
        </w:tc>
        <w:tc>
          <w:tcPr>
            <w:tcW w:type="dxa" w:w="1511"/>
            <w:shd w:fill="0033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委托单位</w:t>
            </w:r>
          </w:p>
        </w:tc>
        <w:tc>
          <w:tcPr>
            <w:tcW w:type="dxa" w:w="1511"/>
            <w:shd w:fill="0033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合同金额</w:t>
              <w:br/>
              <w:t>（万元）</w:t>
            </w:r>
          </w:p>
        </w:tc>
        <w:tc>
          <w:tcPr>
            <w:tcW w:type="dxa" w:w="1511"/>
            <w:shd w:fill="0033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完成</w:t>
              <w:br/>
              <w:t>时间</w:t>
            </w:r>
          </w:p>
        </w:tc>
        <w:tc>
          <w:tcPr>
            <w:tcW w:type="dxa" w:w="1511"/>
            <w:shd w:fill="003366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服务范围</w:t>
            </w:r>
          </w:p>
        </w:tc>
      </w:tr>
      <w:tr>
        <w:tc>
          <w:tcPr>
            <w:tcW w:type="dxa" w:w="1511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</w:t>
            </w:r>
          </w:p>
        </w:tc>
        <w:tc>
          <w:tcPr>
            <w:tcW w:type="dxa" w:w="1511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阿坝州S220线安羌镇至茸安乡段</w:t>
              <w:br/>
              <w:t>灾害修复整治工程竣工财务决算审核</w:t>
            </w:r>
          </w:p>
        </w:tc>
        <w:tc>
          <w:tcPr>
            <w:tcW w:type="dxa" w:w="1511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阿坝州财政局</w:t>
            </w:r>
          </w:p>
        </w:tc>
        <w:tc>
          <w:tcPr>
            <w:tcW w:type="dxa" w:w="1511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XX</w:t>
            </w:r>
          </w:p>
        </w:tc>
        <w:tc>
          <w:tcPr>
            <w:tcW w:type="dxa" w:w="1511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2026</w:t>
            </w:r>
          </w:p>
        </w:tc>
        <w:tc>
          <w:tcPr>
            <w:tcW w:type="dxa" w:w="1511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竣工财务决算审核</w:t>
            </w:r>
          </w:p>
        </w:tc>
      </w:tr>
      <w:tr>
        <w:tc>
          <w:tcPr>
            <w:tcW w:type="dxa" w:w="1511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2</w:t>
            </w:r>
          </w:p>
        </w:tc>
        <w:tc>
          <w:tcPr>
            <w:tcW w:type="dxa" w:w="1511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阿坝州S452线垮沙乡至柯河乡段</w:t>
              <w:br/>
              <w:t>灾害修复整治工程竣工财务决算审核</w:t>
            </w:r>
          </w:p>
        </w:tc>
        <w:tc>
          <w:tcPr>
            <w:tcW w:type="dxa" w:w="1511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阿坝州财政局</w:t>
            </w:r>
          </w:p>
        </w:tc>
        <w:tc>
          <w:tcPr>
            <w:tcW w:type="dxa" w:w="1511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XX</w:t>
            </w:r>
          </w:p>
        </w:tc>
        <w:tc>
          <w:tcPr>
            <w:tcW w:type="dxa" w:w="1511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2026</w:t>
            </w:r>
          </w:p>
        </w:tc>
        <w:tc>
          <w:tcPr>
            <w:tcW w:type="dxa" w:w="1511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竣工财务决算审核</w:t>
            </w:r>
          </w:p>
        </w:tc>
      </w:tr>
      <w:tr>
        <w:tc>
          <w:tcPr>
            <w:tcW w:type="dxa" w:w="1511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3</w:t>
            </w:r>
          </w:p>
        </w:tc>
        <w:tc>
          <w:tcPr>
            <w:tcW w:type="dxa" w:w="1511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甘孜州XX县20XX年度</w:t>
              <w:br/>
              <w:t>预算执行情况审计</w:t>
            </w:r>
          </w:p>
        </w:tc>
        <w:tc>
          <w:tcPr>
            <w:tcW w:type="dxa" w:w="1511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甘孜州审计局</w:t>
            </w:r>
          </w:p>
        </w:tc>
        <w:tc>
          <w:tcPr>
            <w:tcW w:type="dxa" w:w="1511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XX</w:t>
            </w:r>
          </w:p>
        </w:tc>
        <w:tc>
          <w:tcPr>
            <w:tcW w:type="dxa" w:w="1511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2025</w:t>
            </w:r>
          </w:p>
        </w:tc>
        <w:tc>
          <w:tcPr>
            <w:tcW w:type="dxa" w:w="1511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预算执行审计</w:t>
            </w:r>
          </w:p>
        </w:tc>
      </w:tr>
      <w:tr>
        <w:tc>
          <w:tcPr>
            <w:tcW w:type="dxa" w:w="1511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4</w:t>
            </w:r>
          </w:p>
        </w:tc>
        <w:tc>
          <w:tcPr>
            <w:tcW w:type="dxa" w:w="1511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XX市教育局20XX年度</w:t>
              <w:br/>
              <w:t>营养改善计划专项资金审计</w:t>
            </w:r>
          </w:p>
        </w:tc>
        <w:tc>
          <w:tcPr>
            <w:tcW w:type="dxa" w:w="1511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XX市教育局</w:t>
            </w:r>
          </w:p>
        </w:tc>
        <w:tc>
          <w:tcPr>
            <w:tcW w:type="dxa" w:w="1511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XX</w:t>
            </w:r>
          </w:p>
        </w:tc>
        <w:tc>
          <w:tcPr>
            <w:tcW w:type="dxa" w:w="1511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2025</w:t>
            </w:r>
          </w:p>
        </w:tc>
        <w:tc>
          <w:tcPr>
            <w:tcW w:type="dxa" w:w="1511"/>
            <w:shd w:fill="F5F5F5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color w:val="333333"/>
                <w:sz w:val="20"/>
              </w:rPr>
              <w:t>专项资金审计</w:t>
            </w:r>
          </w:p>
        </w:tc>
      </w:tr>
    </w:tbl>
    <w:p/>
    <w:p>
      <w:pPr>
        <w:spacing w:after="240"/>
      </w:pPr>
      <w:r>
        <w:rPr>
          <w:rFonts w:ascii="宋体" w:hAnsi="宋体" w:eastAsia="宋体"/>
          <w:color w:val="CCD5E0"/>
          <w:sz w:val="20"/>
        </w:rPr>
        <w:t>注：以上为部分代表性业绩，可提供完整清单。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 w:eastAsia="微软雅黑"/>
          <w:color w:val="003366"/>
        </w:rPr>
        <w:t>附录  融策标书排版规范</w:t>
      </w:r>
    </w:p>
    <w:p>
      <w:pPr>
        <w:spacing w:after="160"/>
      </w:pPr>
      <w:r>
        <w:rPr>
          <w:rFonts w:ascii="微软雅黑" w:hAnsi="微软雅黑" w:eastAsia="微软雅黑"/>
          <w:b/>
          <w:color w:val="003366"/>
          <w:sz w:val="22"/>
        </w:rPr>
        <w:t>■ 配色规范：</w:t>
      </w:r>
      <w:r>
        <w:rPr>
          <w:rFonts w:ascii="宋体" w:hAnsi="宋体" w:eastAsia="宋体"/>
          <w:sz w:val="22"/>
        </w:rPr>
        <w:t>主色：藏蓝 #003366 | 辅色：浅灰 #F5F5F5 | 点缀：金色 #D48B28</w:t>
      </w:r>
    </w:p>
    <w:p>
      <w:pPr>
        <w:spacing w:after="160"/>
      </w:pPr>
      <w:r>
        <w:rPr>
          <w:rFonts w:ascii="微软雅黑" w:hAnsi="微软雅黑" w:eastAsia="微软雅黑"/>
          <w:b/>
          <w:color w:val="003366"/>
          <w:sz w:val="22"/>
        </w:rPr>
        <w:t>■ 字体规范：</w:t>
      </w:r>
      <w:r>
        <w:rPr>
          <w:rFonts w:ascii="宋体" w:hAnsi="宋体" w:eastAsia="宋体"/>
          <w:sz w:val="22"/>
        </w:rPr>
        <w:t>标题：微软雅黑 | 正文：宋体 | 英文：Times New Roman</w:t>
      </w:r>
    </w:p>
    <w:p>
      <w:pPr>
        <w:spacing w:after="160"/>
      </w:pPr>
      <w:r>
        <w:rPr>
          <w:rFonts w:ascii="微软雅黑" w:hAnsi="微软雅黑" w:eastAsia="微软雅黑"/>
          <w:b/>
          <w:color w:val="003366"/>
          <w:sz w:val="22"/>
        </w:rPr>
        <w:t>■ 字号规范：</w:t>
      </w:r>
      <w:r>
        <w:rPr>
          <w:rFonts w:ascii="宋体" w:hAnsi="宋体" w:eastAsia="宋体"/>
          <w:sz w:val="22"/>
        </w:rPr>
        <w:t>一级标题：二号（22pt）| 二级标题：三号（16pt）| 正文：小四（12pt）| 表格：五号（10.5pt）</w:t>
      </w:r>
    </w:p>
    <w:p>
      <w:pPr>
        <w:spacing w:after="160"/>
      </w:pPr>
      <w:r>
        <w:rPr>
          <w:rFonts w:ascii="微软雅黑" w:hAnsi="微软雅黑" w:eastAsia="微软雅黑"/>
          <w:b/>
          <w:color w:val="003366"/>
          <w:sz w:val="22"/>
        </w:rPr>
        <w:t>■ 页边距：</w:t>
      </w:r>
      <w:r>
        <w:rPr>
          <w:rFonts w:ascii="宋体" w:hAnsi="宋体" w:eastAsia="宋体"/>
          <w:sz w:val="22"/>
        </w:rPr>
        <w:t>上2.5cm 下2.0cm 左2.8cm 右2.8cm</w:t>
      </w:r>
    </w:p>
    <w:p>
      <w:pPr>
        <w:spacing w:after="160"/>
      </w:pPr>
      <w:r>
        <w:rPr>
          <w:rFonts w:ascii="微软雅黑" w:hAnsi="微软雅黑" w:eastAsia="微软雅黑"/>
          <w:b/>
          <w:color w:val="003366"/>
          <w:sz w:val="22"/>
        </w:rPr>
        <w:t>■ 行距规范：</w:t>
      </w:r>
      <w:r>
        <w:rPr>
          <w:rFonts w:ascii="宋体" w:hAnsi="宋体" w:eastAsia="宋体"/>
          <w:sz w:val="22"/>
        </w:rPr>
        <w:t>正文：1.5倍行距 | 表格内：单倍行距</w:t>
      </w:r>
    </w:p>
    <w:p>
      <w:pPr>
        <w:spacing w:after="160"/>
      </w:pPr>
      <w:r>
        <w:rPr>
          <w:rFonts w:ascii="微软雅黑" w:hAnsi="微软雅黑" w:eastAsia="微软雅黑"/>
          <w:b/>
          <w:color w:val="003366"/>
          <w:sz w:val="22"/>
        </w:rPr>
        <w:t>■ 表格规范：</w:t>
      </w:r>
      <w:r>
        <w:rPr>
          <w:rFonts w:ascii="宋体" w:hAnsi="宋体" w:eastAsia="宋体"/>
          <w:sz w:val="22"/>
        </w:rPr>
        <w:t>表头深蓝#003366底白字 | 隔行灰底#F5F5F5 | 浅灰边框</w:t>
      </w:r>
    </w:p>
    <w:p>
      <w:pPr>
        <w:spacing w:after="160"/>
      </w:pPr>
      <w:r>
        <w:rPr>
          <w:rFonts w:ascii="微软雅黑" w:hAnsi="微软雅黑" w:eastAsia="微软雅黑"/>
          <w:b/>
          <w:color w:val="003366"/>
          <w:sz w:val="22"/>
        </w:rPr>
        <w:t>■ 页码规范：</w:t>
      </w:r>
      <w:r>
        <w:rPr>
          <w:rFonts w:ascii="宋体" w:hAnsi="宋体" w:eastAsia="宋体"/>
          <w:sz w:val="22"/>
        </w:rPr>
        <w:t>封面不编号，目录用罗马数字，正文从1开始</w:t>
      </w:r>
    </w:p>
    <w:sectPr w:rsidR="00FC693F" w:rsidRPr="0006063C" w:rsidSect="00034616">
      <w:pgSz w:w="12240" w:h="15840"/>
      <w:pgMar w:top="141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