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7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封面-投标文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 w:after="0"/>
        <w:pBdr>
          <w:bottom w:val="single" w:sz="12" w:space="2" w:color="0A1F3F"/>
        </w:pBdr>
      </w:pPr>
      <w:r/>
    </w:p>
    <w:p>
      <w:pPr>
        <w:spacing w:before="160" w:after="240"/>
      </w:pPr>
      <w:r>
        <w:rPr>
          <w:rFonts w:ascii="微软雅黑" w:hAnsi="微软雅黑" w:eastAsia="微软雅黑"/>
          <w:b/>
          <w:color w:val="0A1F3F"/>
          <w:sz w:val="36"/>
        </w:rPr>
        <w:t>目  录</w:t>
      </w:r>
    </w:p>
    <w:p>
      <w:pPr>
        <w:spacing w:after="60"/>
      </w:pPr>
      <w:r>
        <w:rPr>
          <w:rFonts w:ascii="微软雅黑" w:hAnsi="微软雅黑" w:eastAsia="微软雅黑"/>
          <w:b/>
          <w:color w:val="0A1F3F"/>
          <w:sz w:val="24"/>
        </w:rPr>
        <w:t>第一章  公司简介</w:t>
      </w:r>
      <w:r>
        <w:rPr>
          <w:rFonts w:ascii="微软雅黑" w:hAnsi="微软雅黑" w:eastAsia="微软雅黑"/>
          <w:color w:val="8B9DAF"/>
          <w:sz w:val="24"/>
        </w:rPr>
        <w:t xml:space="preserve"> ................................................... 1</w:t>
      </w:r>
    </w:p>
    <w:p>
      <w:pPr>
        <w:spacing w:after="60"/>
      </w:pPr>
      <w:r>
        <w:rPr>
          <w:rFonts w:ascii="微软雅黑" w:hAnsi="微软雅黑" w:eastAsia="微软雅黑"/>
          <w:b/>
          <w:color w:val="0A1F3F"/>
          <w:sz w:val="24"/>
        </w:rPr>
        <w:t>第二章  项目实施方案</w:t>
      </w:r>
      <w:r>
        <w:rPr>
          <w:rFonts w:ascii="微软雅黑" w:hAnsi="微软雅黑" w:eastAsia="微软雅黑"/>
          <w:color w:val="8B9DAF"/>
          <w:sz w:val="24"/>
        </w:rPr>
        <w:t xml:space="preserve"> ................................................. 3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D2D2D"/>
          <w:sz w:val="22"/>
        </w:rPr>
        <w:t>一、项目概况与理解</w:t>
      </w:r>
      <w:r>
        <w:rPr>
          <w:rFonts w:ascii="微软雅黑" w:hAnsi="微软雅黑" w:eastAsia="微软雅黑"/>
          <w:color w:val="8B9DAF"/>
          <w:sz w:val="22"/>
        </w:rPr>
        <w:t xml:space="preserve"> ................................................................ 3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D2D2D"/>
          <w:sz w:val="22"/>
        </w:rPr>
        <w:t>二、工作内容与流程</w:t>
      </w:r>
      <w:r>
        <w:rPr>
          <w:rFonts w:ascii="微软雅黑" w:hAnsi="微软雅黑" w:eastAsia="微软雅黑"/>
          <w:color w:val="8B9DAF"/>
          <w:sz w:val="22"/>
        </w:rPr>
        <w:t xml:space="preserve"> ................................................................ 4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D2D2D"/>
          <w:sz w:val="22"/>
        </w:rPr>
        <w:t>三、审计重点与方法</w:t>
      </w:r>
      <w:r>
        <w:rPr>
          <w:rFonts w:ascii="微软雅黑" w:hAnsi="微软雅黑" w:eastAsia="微软雅黑"/>
          <w:color w:val="8B9DAF"/>
          <w:sz w:val="22"/>
        </w:rPr>
        <w:t xml:space="preserve"> ................................................................ 7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D2D2D"/>
          <w:sz w:val="22"/>
        </w:rPr>
        <w:t>四、人员配置计划</w:t>
      </w:r>
      <w:r>
        <w:rPr>
          <w:rFonts w:ascii="微软雅黑" w:hAnsi="微软雅黑" w:eastAsia="微软雅黑"/>
          <w:color w:val="8B9DAF"/>
          <w:sz w:val="22"/>
        </w:rPr>
        <w:t xml:space="preserve"> ................................................................. 10</w:t>
      </w:r>
    </w:p>
    <w:p>
      <w:pPr>
        <w:spacing w:after="60"/>
      </w:pPr>
      <w:r>
        <w:rPr>
          <w:rFonts w:ascii="微软雅黑" w:hAnsi="微软雅黑" w:eastAsia="微软雅黑"/>
          <w:b/>
          <w:color w:val="0A1F3F"/>
          <w:sz w:val="24"/>
        </w:rPr>
        <w:t>第三章  类似业绩</w:t>
      </w:r>
      <w:r>
        <w:rPr>
          <w:rFonts w:ascii="微软雅黑" w:hAnsi="微软雅黑" w:eastAsia="微软雅黑"/>
          <w:color w:val="8B9DAF"/>
          <w:sz w:val="24"/>
        </w:rPr>
        <w:t xml:space="preserve"> ................................................... 12</w:t>
      </w:r>
    </w:p>
    <w:p>
      <w:pPr>
        <w:spacing w:after="60"/>
      </w:pPr>
      <w:r>
        <w:rPr>
          <w:rFonts w:ascii="微软雅黑" w:hAnsi="微软雅黑" w:eastAsia="微软雅黑"/>
          <w:b/>
          <w:color w:val="0A1F3F"/>
          <w:sz w:val="24"/>
        </w:rPr>
        <w:t>第四章  服务承诺</w:t>
      </w:r>
      <w:r>
        <w:rPr>
          <w:rFonts w:ascii="微软雅黑" w:hAnsi="微软雅黑" w:eastAsia="微软雅黑"/>
          <w:color w:val="8B9DAF"/>
          <w:sz w:val="24"/>
        </w:rPr>
        <w:t xml:space="preserve"> ................................................... 15</w:t>
      </w:r>
    </w:p>
    <w:p>
      <w:pPr>
        <w:spacing w:after="60"/>
      </w:pPr>
      <w:r>
        <w:rPr>
          <w:rFonts w:ascii="微软雅黑" w:hAnsi="微软雅黑" w:eastAsia="微软雅黑"/>
          <w:b/>
          <w:color w:val="0A1F3F"/>
          <w:sz w:val="24"/>
        </w:rPr>
        <w:t>第五章  附件</w:t>
      </w:r>
      <w:r>
        <w:rPr>
          <w:rFonts w:ascii="微软雅黑" w:hAnsi="微软雅黑" w:eastAsia="微软雅黑"/>
          <w:color w:val="8B9DAF"/>
          <w:sz w:val="24"/>
        </w:rPr>
        <w:t xml:space="preserve"> ..................................................... 17</w:t>
      </w:r>
    </w:p>
    <w:p>
      <w:r>
        <w:br w:type="page"/>
      </w:r>
    </w:p>
    <w:p>
      <w:pPr>
        <w:spacing w:before="320" w:after="0"/>
        <w:pBdr>
          <w:bottom w:val="single" w:sz="12" w:space="2" w:color="0A1F3F"/>
        </w:pBdr>
      </w:pPr>
      <w:r/>
    </w:p>
    <w:p>
      <w:pPr>
        <w:spacing w:before="160" w:after="240"/>
      </w:pPr>
      <w:r>
        <w:rPr>
          <w:rFonts w:ascii="微软雅黑" w:hAnsi="微软雅黑" w:eastAsia="微软雅黑"/>
          <w:b/>
          <w:color w:val="0A1F3F"/>
          <w:sz w:val="36"/>
        </w:rPr>
        <w:t>第一章  公司简介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1.1 公司概况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四川融策会计师事务所（普通合伙）（以下简称"我公司"）成立于20XX年，是经四川省财政厅批准设立的综合性会计师事务所。公司注册资本XXX万元，现有从业人员XX人，其中注册会计师XX人、中级以上职称XX人。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我公司业务涵盖政府审计、绩效评价、资产清查、专项债申报、监督检查、工程预算编制、财政评审、全过程工程咨询、工程结算审核等专业领域。多年来，我公司深耕政府审计和工程咨询服务领域，积累了丰富的项目经验，具备为各级政府部门和企事业单位提供高质量专业服务的能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公司秉承"诚信为本、专业立身"的服务理念，建立了完善的三级复核质量控制体系，确保每一份报告经得起推敲、每一个数据经得起检验。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1.2 资质荣誉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序号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资质/荣誉名称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发证机关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有效期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1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会计师事务所执业证书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四川省财政厅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长期有效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2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ISO9001质量管理体系认证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中国质量认证中心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2024-2027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3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AAA级信用等级证书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XX信用评估机构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2025-2028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4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工程咨询单位乙级资信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四川省工程咨询协会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2024-2026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1.3 组织架构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9862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-审计工作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6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 w:after="0"/>
        <w:pBdr>
          <w:bottom w:val="single" w:sz="12" w:space="2" w:color="0A1F3F"/>
        </w:pBdr>
      </w:pPr>
      <w:r/>
    </w:p>
    <w:p>
      <w:pPr>
        <w:spacing w:before="160" w:after="240"/>
      </w:pPr>
      <w:r>
        <w:rPr>
          <w:rFonts w:ascii="微软雅黑" w:hAnsi="微软雅黑" w:eastAsia="微软雅黑"/>
          <w:b/>
          <w:color w:val="0A1F3F"/>
          <w:sz w:val="36"/>
        </w:rPr>
        <w:t>第二章  项目实施方案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一、项目概况与理解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本项目为XXX项目竣工财务决算审核。主要工作内容包括：对项目建设资金到位和使用情况进行审核、对建筑安装工程投资进行核定、对设备投资和待摊投资进行逐项复核、编制竣工财务决算报表及审核报告。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我公司将在充分理解项目背景和需求的基础上，组织专业团队严格按照《基本建设项目竣工财务决算管理暂行办法》（财建〔2016〕503号）、《会计师事务所从事基本建设工程预算结算决算审核暂行办法》（财协字〔1999〕103号）等政策法规的要求，提供专业、规范的审计服务。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二、工作内容与流程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本项目审核工作分三个阶段实施：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阶段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工作内容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工作标准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输出成果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准备阶段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接受委托→签订业务约定书</w:t>
              <w:br/>
              <w:t>→成立项目组→制定审计方案</w:t>
              <w:br/>
              <w:t>→下发资料清单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方案经三级审核</w:t>
              <w:br/>
              <w:t>资料清单完整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审计方案</w:t>
              <w:br/>
              <w:t>资料清单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实施阶段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进驻现场→资料核对→盘点核实</w:t>
              <w:br/>
              <w:t>→资金使用审核→二类费用复核</w:t>
              <w:br/>
              <w:t>→底稿编制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账实相符</w:t>
              <w:br/>
              <w:t>依据充分</w:t>
              <w:br/>
              <w:t>底稿规范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盘点记录</w:t>
              <w:br/>
              <w:t>复核意见表</w:t>
              <w:br/>
              <w:t>审计底稿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报告阶段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编制报告→三级复核→</w:t>
              <w:br/>
              <w:t>出具正式报告→归档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格式规范</w:t>
              <w:br/>
              <w:t>数据准确</w:t>
              <w:br/>
              <w:t>结论客观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审核报告</w:t>
              <w:br/>
              <w:t>附表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三、审计重点与方法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本项目审核重点包括但不限于：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序号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审核重点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审核方法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风险关注点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1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资金到位及使用情况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核对拨款文件、银行流水</w:t>
              <w:br/>
              <w:t>与账面数逐一勾稽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截留、挪用、超范围使用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2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建筑安装工程投资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核实施工合同、结算书</w:t>
              <w:br/>
              <w:t>工程量清单、变更签证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虚列工程量</w:t>
              <w:br/>
              <w:t>高套定额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3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待摊投资（二类费用）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逐项对照国家计费标准</w:t>
              <w:br/>
              <w:t>复核计费基数与费率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超标准计费</w:t>
              <w:br/>
              <w:t>无依据收费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4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设备投资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核实采购合同、验收记录</w:t>
              <w:br/>
              <w:t>与账面一致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虚列设备</w:t>
              <w:br/>
              <w:t>以次充好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5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交付使用资产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核实资产清单与实物</w:t>
              <w:br/>
              <w:t>确保账实相符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资产流失</w:t>
              <w:br/>
              <w:t>账实不符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四、人员配置计划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序号</w:t>
            </w:r>
          </w:p>
        </w:tc>
        <w:tc>
          <w:tcPr>
            <w:tcW w:type="dxa" w:w="1746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姓名</w:t>
            </w:r>
          </w:p>
        </w:tc>
        <w:tc>
          <w:tcPr>
            <w:tcW w:type="dxa" w:w="1746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职务</w:t>
            </w:r>
          </w:p>
        </w:tc>
        <w:tc>
          <w:tcPr>
            <w:tcW w:type="dxa" w:w="1746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执业资格</w:t>
            </w:r>
          </w:p>
        </w:tc>
        <w:tc>
          <w:tcPr>
            <w:tcW w:type="dxa" w:w="1746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本项目职责</w:t>
            </w:r>
          </w:p>
        </w:tc>
      </w:tr>
      <w:tr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1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李开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合伙人/总经理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注册会计师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项目总负责人</w:t>
            </w:r>
          </w:p>
        </w:tc>
      </w:tr>
      <w:tr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2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XXX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部门经理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注册会计师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现场负责人</w:t>
            </w:r>
          </w:p>
        </w:tc>
      </w:tr>
      <w:tr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3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XXX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项目经理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中级会计师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审计实施</w:t>
            </w:r>
          </w:p>
        </w:tc>
      </w:tr>
      <w:tr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4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XXX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项目经理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造价工程师</w:t>
            </w:r>
          </w:p>
        </w:tc>
        <w:tc>
          <w:tcPr>
            <w:tcW w:type="dxa" w:w="1746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造价审核</w:t>
            </w:r>
          </w:p>
        </w:tc>
      </w:tr>
      <w:tr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5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XXX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审计助理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初级会计师</w:t>
            </w:r>
          </w:p>
        </w:tc>
        <w:tc>
          <w:tcPr>
            <w:tcW w:type="dxa" w:w="1746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底稿编制/数据录入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以上人员均具备丰富的政府审计和竣工财务决算审核经验，项目负责人李开拥有XX年以上从业经历，主持完成过多个类似项目。</w:t>
      </w:r>
    </w:p>
    <w:p>
      <w:r>
        <w:br w:type="page"/>
      </w:r>
    </w:p>
    <w:p>
      <w:pPr>
        <w:spacing w:before="320" w:after="0"/>
        <w:pBdr>
          <w:bottom w:val="single" w:sz="12" w:space="2" w:color="0A1F3F"/>
        </w:pBdr>
      </w:pPr>
      <w:r/>
    </w:p>
    <w:p>
      <w:pPr>
        <w:spacing w:before="160" w:after="240"/>
      </w:pPr>
      <w:r>
        <w:rPr>
          <w:rFonts w:ascii="微软雅黑" w:hAnsi="微软雅黑" w:eastAsia="微软雅黑"/>
          <w:b/>
          <w:color w:val="0A1F3F"/>
          <w:sz w:val="36"/>
        </w:rPr>
        <w:t>第三章  类似业绩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近三年，我公司承接并完成的同类项目业绩如下：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序号</w:t>
            </w:r>
          </w:p>
        </w:tc>
        <w:tc>
          <w:tcPr>
            <w:tcW w:type="dxa" w:w="1455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项目名称</w:t>
            </w:r>
          </w:p>
        </w:tc>
        <w:tc>
          <w:tcPr>
            <w:tcW w:type="dxa" w:w="1455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委托单位</w:t>
            </w:r>
          </w:p>
        </w:tc>
        <w:tc>
          <w:tcPr>
            <w:tcW w:type="dxa" w:w="1455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合同金额</w:t>
              <w:br/>
              <w:t>（万元）</w:t>
            </w:r>
          </w:p>
        </w:tc>
        <w:tc>
          <w:tcPr>
            <w:tcW w:type="dxa" w:w="1455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完成时间</w:t>
            </w:r>
          </w:p>
        </w:tc>
        <w:tc>
          <w:tcPr>
            <w:tcW w:type="dxa" w:w="1455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服务内容</w:t>
            </w:r>
          </w:p>
        </w:tc>
      </w:tr>
      <w:tr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1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阿坝州S220线安羌镇至茸安乡段</w:t>
              <w:br/>
              <w:t>灾害修复整治工程竣工财务决算审核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阿坝州财政局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2026年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竣工财务决算审核</w:t>
            </w:r>
          </w:p>
        </w:tc>
      </w:tr>
      <w:tr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2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阿坝州S452线垮沙乡至柯河乡段</w:t>
              <w:br/>
              <w:t>灾害修复整治工程竣工财务决算审核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阿坝州财政局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2026年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竣工财务决算审核</w:t>
            </w:r>
          </w:p>
        </w:tc>
      </w:tr>
      <w:tr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3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XX县20XX年度财政预算执行</w:t>
              <w:br/>
              <w:t>及其他财政收支情况审计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XX县审计局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2025年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预算执行审计</w:t>
            </w:r>
          </w:p>
        </w:tc>
      </w:tr>
      <w:tr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4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XX市教育局营养改善计划</w:t>
              <w:br/>
              <w:t>专项资金审计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XX市教育局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2025年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专项资金审计</w:t>
            </w:r>
          </w:p>
        </w:tc>
      </w:tr>
      <w:tr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5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XX区20XX年财政绩效评价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XX区财政局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2024年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绩效评价</w:t>
            </w:r>
          </w:p>
        </w:tc>
      </w:tr>
      <w:tr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6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XX县国有资产清查服务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XX县财政局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2024年</w:t>
            </w:r>
          </w:p>
        </w:tc>
        <w:tc>
          <w:tcPr>
            <w:tcW w:type="dxa" w:w="1455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资产清查</w:t>
            </w:r>
          </w:p>
        </w:tc>
      </w:tr>
      <w:tr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7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XX镇乡村振兴专项债</w:t>
              <w:br/>
              <w:t>项目申报服务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XX镇人民政府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XX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2024年</w:t>
            </w:r>
          </w:p>
        </w:tc>
        <w:tc>
          <w:tcPr>
            <w:tcW w:type="dxa" w:w="1455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专项债申报</w:t>
            </w:r>
          </w:p>
        </w:tc>
      </w:tr>
    </w:tbl>
    <w:p/>
    <w:p>
      <w:pPr>
        <w:spacing w:line="360" w:lineRule="auto"/>
        <w:ind w:firstLine="400"/>
      </w:pPr>
      <w:r>
        <w:rPr>
          <w:rFonts w:ascii="宋体" w:hAnsi="宋体" w:eastAsia="宋体"/>
          <w:color w:val="2D2D2D"/>
          <w:sz w:val="20"/>
        </w:rPr>
        <w:t>注：以上为部分代表业绩，可根据项目需要提供完整的业绩清单及证明材料。</w:t>
      </w:r>
    </w:p>
    <w:p>
      <w:r>
        <w:br w:type="page"/>
      </w:r>
    </w:p>
    <w:p>
      <w:pPr>
        <w:spacing w:before="320" w:after="0"/>
        <w:pBdr>
          <w:bottom w:val="single" w:sz="12" w:space="2" w:color="0A1F3F"/>
        </w:pBdr>
      </w:pPr>
      <w:r/>
    </w:p>
    <w:p>
      <w:pPr>
        <w:spacing w:before="160" w:after="240"/>
      </w:pPr>
      <w:r>
        <w:rPr>
          <w:rFonts w:ascii="微软雅黑" w:hAnsi="微软雅黑" w:eastAsia="微软雅黑"/>
          <w:b/>
          <w:color w:val="0A1F3F"/>
          <w:sz w:val="36"/>
        </w:rPr>
        <w:t>第四章  服务承诺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质量承诺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严格执行三级复核制度，确保审核报告数据准确、依据充分、结论客观。如因我公司原因导致报告质量问题，我公司承担相应责任。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时间承诺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自收到全部资料之日起XX个工作日内出具正式审核报告。如需加急，可安排专人加班，最快XX个工作日交付。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保密承诺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对项目实施过程中知悉的所有信息严格保密，不向任何第三方泄露，项目结束后全部资料归档封存。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人员承诺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项目主要人员一旦确定，未经甲方书面同意不随意更换。如需调整，提前报甲方审批。</w:t>
      </w:r>
    </w:p>
    <w:p>
      <w:r>
        <w:br w:type="page"/>
      </w:r>
    </w:p>
    <w:p>
      <w:pPr>
        <w:spacing w:before="320" w:after="0"/>
        <w:pBdr>
          <w:bottom w:val="single" w:sz="12" w:space="2" w:color="0A1F3F"/>
        </w:pBdr>
      </w:pPr>
      <w:r/>
    </w:p>
    <w:p>
      <w:pPr>
        <w:spacing w:before="160" w:after="240"/>
      </w:pPr>
      <w:r>
        <w:rPr>
          <w:rFonts w:ascii="微软雅黑" w:hAnsi="微软雅黑" w:eastAsia="微软雅黑"/>
          <w:b/>
          <w:color w:val="0A1F3F"/>
          <w:sz w:val="36"/>
        </w:rPr>
        <w:t>附录  融策投标文件排版规范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为确保投标文件质量，特制定以下排版规范，公司所有投标文件均按此标准执行：</w:t>
      </w:r>
    </w:p>
    <w:p>
      <w:pPr>
        <w:spacing w:before="40" w:after="40"/>
        <w:pBdr>
          <w:bottom w:val="single" w:sz="6" w:space="1" w:color="C5955C"/>
        </w:pBdr>
      </w:pP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1. 配色方案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用途</w:t>
            </w:r>
          </w:p>
        </w:tc>
        <w:tc>
          <w:tcPr>
            <w:tcW w:type="dxa" w:w="2911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色值</w:t>
            </w:r>
          </w:p>
        </w:tc>
        <w:tc>
          <w:tcPr>
            <w:tcW w:type="dxa" w:w="2911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色样说明</w:t>
            </w:r>
          </w:p>
        </w:tc>
      </w:tr>
      <w:tr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主色  ——  标题/表头/装饰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#0A1F3F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深藏蓝色，沉稳大气</w:t>
            </w:r>
          </w:p>
        </w:tc>
      </w:tr>
      <w:tr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辅色  ——  二级标题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#1A5C6E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深青绿色，专业内敛</w:t>
            </w:r>
          </w:p>
        </w:tc>
      </w:tr>
      <w:tr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点缀色 ——  装饰线条/标记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#C5955C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铜金色，提升质感</w:t>
            </w:r>
          </w:p>
        </w:tc>
      </w:tr>
      <w:tr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背景色 ——  隔行/底纹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#F5F2EC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暖灰底，柔和舒适</w:t>
            </w:r>
          </w:p>
        </w:tc>
      </w:tr>
      <w:tr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正文色 ——  正文内容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#2D2D2D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深灰色，护眼专业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2. 字体规范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用途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字体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字号</w:t>
            </w:r>
          </w:p>
        </w:tc>
        <w:tc>
          <w:tcPr>
            <w:tcW w:type="dxa" w:w="2183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备注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封面标题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微软雅黑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36-42pt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加粗深蓝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一级标题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微软雅黑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18pt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加粗深蓝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二级标题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微软雅黑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14pt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加粗深青绿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正文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宋体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12pt（小四）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首行缩进2字符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表格表头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微软雅黑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10pt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加粗金色字</w:t>
            </w:r>
          </w:p>
        </w:tc>
      </w:tr>
      <w:tr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表格正文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微软雅黑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10pt</w:t>
            </w:r>
          </w:p>
        </w:tc>
        <w:tc>
          <w:tcPr>
            <w:tcW w:type="dxa" w:w="2183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深灰色</w:t>
            </w:r>
          </w:p>
        </w:tc>
      </w:tr>
      <w:tr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页眉/页脚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微软雅黑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9pt</w:t>
            </w:r>
          </w:p>
        </w:tc>
        <w:tc>
          <w:tcPr>
            <w:tcW w:type="dxa" w:w="2183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浅灰色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3. 页边距与间距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55C"/>
          <w:left w:val="single" w:sz="4" w:space="0" w:color="D0C8B8"/>
          <w:bottom w:val="single" w:sz="8" w:space="0" w:color="C5955C"/>
          <w:right w:val="single" w:sz="4" w:space="0" w:color="D0C8B8"/>
          <w:insideH w:val="single" w:sz="4" w:space="0" w:color="E0D8C8"/>
          <w:insideV w:val="single" w:sz="4" w:space="0" w:color="E0D8C8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项目</w:t>
            </w:r>
          </w:p>
        </w:tc>
        <w:tc>
          <w:tcPr>
            <w:tcW w:type="dxa" w:w="2911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标准值</w:t>
            </w:r>
          </w:p>
        </w:tc>
        <w:tc>
          <w:tcPr>
            <w:tcW w:type="dxa" w:w="2911"/>
            <w:shd w:fill="0A1F3F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5955C"/>
                <w:sz w:val="20"/>
              </w:rPr>
              <w:t>说明</w:t>
            </w:r>
          </w:p>
        </w:tc>
      </w:tr>
      <w:tr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上边距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2.5cm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封面统一</w:t>
            </w:r>
          </w:p>
        </w:tc>
      </w:tr>
      <w:tr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下边距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2.0cm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</w:r>
          </w:p>
        </w:tc>
      </w:tr>
      <w:tr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左边距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2.8cm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预留装订空间</w:t>
            </w:r>
          </w:p>
        </w:tc>
      </w:tr>
      <w:tr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右边距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2.8cm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</w:r>
          </w:p>
        </w:tc>
      </w:tr>
      <w:tr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行距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1.5倍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正文</w:t>
            </w:r>
          </w:p>
        </w:tc>
      </w:tr>
      <w:tr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段前距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12pt</w:t>
            </w:r>
          </w:p>
        </w:tc>
        <w:tc>
          <w:tcPr>
            <w:tcW w:type="dxa" w:w="2911"/>
            <w:shd w:fill="F5F2EC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标题前</w:t>
            </w:r>
          </w:p>
        </w:tc>
      </w:tr>
      <w:tr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2D2D2D"/>
                <w:sz w:val="20"/>
              </w:rPr>
              <w:t>段后距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6pt</w:t>
            </w:r>
          </w:p>
        </w:tc>
        <w:tc>
          <w:tcPr>
            <w:tcW w:type="dxa" w:w="2911"/>
            <w:shd w:fill="FAFAF6"/>
            <w:tcBorders>
              <w:top w:val="single" w:sz="4" w:space="0" w:color="D0C8B8"/>
              <w:left w:val="single" w:sz="4" w:space="0" w:color="D0C8B8"/>
              <w:bottom w:val="single" w:sz="4" w:space="0" w:color="D0C8B8"/>
              <w:right w:val="single" w:sz="4" w:space="0" w:color="D0C8B8"/>
            </w:tcBorders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2D2D"/>
                <w:sz w:val="20"/>
              </w:rPr>
              <w:t>标题后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4. 表格规范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① 表头：深蓝色(#0A1F3F)底 + 金色(#C5955C)字 + 加粗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② 数据行：隔行用暖灰色(#F5F2EC)底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③ 首列：加粗 + 左对齐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④ 边框：上下边框用金色(#C5955C)，内部用浅褐色(#E0D8C8)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⑤ 金额：保留两位小数，每三位用逗号分隔</w:t>
      </w:r>
    </w:p>
    <w:p>
      <w:pPr>
        <w:spacing w:before="240" w:after="120"/>
      </w:pPr>
      <w:r>
        <w:rPr>
          <w:rFonts w:ascii="微软雅黑" w:hAnsi="微软雅黑" w:eastAsia="微软雅黑"/>
          <w:color w:val="C5955C"/>
          <w:sz w:val="22"/>
        </w:rPr>
        <w:t xml:space="preserve">■ </w:t>
      </w:r>
      <w:r>
        <w:rPr>
          <w:rFonts w:ascii="微软雅黑" w:hAnsi="微软雅黑" w:eastAsia="微软雅黑"/>
          <w:b/>
          <w:color w:val="1A5C6E"/>
          <w:sz w:val="28"/>
        </w:rPr>
        <w:t>5. 封面规范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① 封面使用统一模板（深蓝底+金色装饰线条+徽标）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② 项目名称、招标编号、投标单位、日期为必填项</w:t>
      </w:r>
    </w:p>
    <w:p>
      <w:pPr>
        <w:spacing w:line="360" w:lineRule="auto"/>
        <w:ind w:firstLine="480"/>
      </w:pPr>
      <w:r>
        <w:rPr>
          <w:rFonts w:ascii="宋体" w:hAnsi="宋体" w:eastAsia="宋体"/>
          <w:color w:val="2D2D2D"/>
          <w:sz w:val="24"/>
        </w:rPr>
        <w:t>③ 封面不编页码</w:t>
      </w:r>
    </w:p>
    <w:sectPr w:rsidR="00FC693F" w:rsidRPr="0006063C" w:rsidSect="00034616">
      <w:pgSz w:w="11906" w:h="16838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color w:val="2D2D2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