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60890"/>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0525442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35A389E">
          <w:pPr>
            <w:pStyle w:val="27"/>
            <w:tabs>
              <w:tab w:val="right" w:leader="dot" w:pos="8646"/>
            </w:tabs>
          </w:pPr>
          <w:r>
            <w:fldChar w:fldCharType="begin"/>
          </w:r>
          <w:r>
            <w:instrText xml:space="preserve">TOC \o "1-9" \h \u </w:instrText>
          </w:r>
          <w:r>
            <w:fldChar w:fldCharType="separate"/>
          </w:r>
          <w:r>
            <w:fldChar w:fldCharType="begin"/>
          </w:r>
          <w:r>
            <w:instrText xml:space="preserve"> HYPERLINK \l _Toc543 </w:instrText>
          </w:r>
          <w:r>
            <w:fldChar w:fldCharType="separate"/>
          </w:r>
          <w:r>
            <w:rPr>
              <w:rFonts w:ascii="黑体" w:hAnsi="黑体" w:eastAsia="黑体"/>
            </w:rPr>
            <w:t>第 一 章</w:t>
          </w:r>
          <w:r>
            <w:tab/>
          </w:r>
          <w:r>
            <w:fldChar w:fldCharType="begin"/>
          </w:r>
          <w:r>
            <w:instrText xml:space="preserve"> PAGEREF _Toc543 \h </w:instrText>
          </w:r>
          <w:r>
            <w:fldChar w:fldCharType="separate"/>
          </w:r>
          <w:r>
            <w:t>100</w:t>
          </w:r>
          <w:r>
            <w:fldChar w:fldCharType="end"/>
          </w:r>
          <w:r>
            <w:fldChar w:fldCharType="end"/>
          </w:r>
        </w:p>
        <w:p w14:paraId="3BC64FA0">
          <w:pPr>
            <w:pStyle w:val="30"/>
            <w:tabs>
              <w:tab w:val="right" w:leader="dot" w:pos="8646"/>
            </w:tabs>
          </w:pPr>
          <w:r>
            <w:fldChar w:fldCharType="begin"/>
          </w:r>
          <w:r>
            <w:instrText xml:space="preserve"> HYPERLINK \l _Toc15331 </w:instrText>
          </w:r>
          <w:r>
            <w:fldChar w:fldCharType="separate"/>
          </w:r>
          <w:r>
            <w:rPr>
              <w:rFonts w:ascii="黑体" w:hAnsi="黑体" w:eastAsia="黑体"/>
            </w:rPr>
            <w:t>1.1  阿坝州概况与项目背景</w:t>
          </w:r>
          <w:r>
            <w:tab/>
          </w:r>
          <w:r>
            <w:fldChar w:fldCharType="begin"/>
          </w:r>
          <w:r>
            <w:instrText xml:space="preserve"> PAGEREF _Toc15331 \h </w:instrText>
          </w:r>
          <w:r>
            <w:fldChar w:fldCharType="separate"/>
          </w:r>
          <w:r>
            <w:t>101</w:t>
          </w:r>
          <w:r>
            <w:fldChar w:fldCharType="end"/>
          </w:r>
          <w:r>
            <w:fldChar w:fldCharType="end"/>
          </w:r>
        </w:p>
        <w:p w14:paraId="2F9484C6">
          <w:pPr>
            <w:pStyle w:val="30"/>
            <w:tabs>
              <w:tab w:val="right" w:leader="dot" w:pos="8646"/>
            </w:tabs>
          </w:pPr>
          <w:r>
            <w:fldChar w:fldCharType="begin"/>
          </w:r>
          <w:r>
            <w:instrText xml:space="preserve"> HYPERLINK \l _Toc9936 </w:instrText>
          </w:r>
          <w:r>
            <w:fldChar w:fldCharType="separate"/>
          </w:r>
          <w:r>
            <w:rPr>
              <w:rFonts w:ascii="黑体" w:hAnsi="黑体" w:eastAsia="黑体"/>
            </w:rPr>
            <w:t>1.2  项目需求分析</w:t>
          </w:r>
          <w:r>
            <w:tab/>
          </w:r>
          <w:r>
            <w:fldChar w:fldCharType="begin"/>
          </w:r>
          <w:r>
            <w:instrText xml:space="preserve"> PAGEREF _Toc9936 \h </w:instrText>
          </w:r>
          <w:r>
            <w:fldChar w:fldCharType="separate"/>
          </w:r>
          <w:r>
            <w:t>101</w:t>
          </w:r>
          <w:r>
            <w:fldChar w:fldCharType="end"/>
          </w:r>
          <w:r>
            <w:fldChar w:fldCharType="end"/>
          </w:r>
        </w:p>
        <w:p w14:paraId="7AE9F23D">
          <w:pPr>
            <w:pStyle w:val="24"/>
            <w:tabs>
              <w:tab w:val="right" w:leader="dot" w:pos="8646"/>
            </w:tabs>
          </w:pPr>
          <w:r>
            <w:fldChar w:fldCharType="begin"/>
          </w:r>
          <w:r>
            <w:instrText xml:space="preserve"> HYPERLINK \l _Toc16076 </w:instrText>
          </w:r>
          <w:r>
            <w:fldChar w:fldCharType="separate"/>
          </w:r>
          <w:r>
            <w:rPr>
              <w:rFonts w:ascii="黑体" w:hAnsi="黑体" w:eastAsia="黑体"/>
            </w:rPr>
            <w:t>1.2.1  服务对象的特殊性</w:t>
          </w:r>
          <w:r>
            <w:tab/>
          </w:r>
          <w:r>
            <w:fldChar w:fldCharType="begin"/>
          </w:r>
          <w:r>
            <w:instrText xml:space="preserve"> PAGEREF _Toc16076 \h </w:instrText>
          </w:r>
          <w:r>
            <w:fldChar w:fldCharType="separate"/>
          </w:r>
          <w:r>
            <w:t>101</w:t>
          </w:r>
          <w:r>
            <w:fldChar w:fldCharType="end"/>
          </w:r>
          <w:r>
            <w:fldChar w:fldCharType="end"/>
          </w:r>
        </w:p>
        <w:p w14:paraId="651ECDC1">
          <w:pPr>
            <w:pStyle w:val="24"/>
            <w:tabs>
              <w:tab w:val="right" w:leader="dot" w:pos="8646"/>
            </w:tabs>
          </w:pPr>
          <w:r>
            <w:fldChar w:fldCharType="begin"/>
          </w:r>
          <w:r>
            <w:instrText xml:space="preserve"> HYPERLINK \l _Toc18495 </w:instrText>
          </w:r>
          <w:r>
            <w:fldChar w:fldCharType="separate"/>
          </w:r>
          <w:r>
            <w:rPr>
              <w:rFonts w:ascii="黑体" w:hAnsi="黑体" w:eastAsia="黑体"/>
            </w:rPr>
            <w:t>1.2.2  法规依据体系</w:t>
          </w:r>
          <w:r>
            <w:tab/>
          </w:r>
          <w:r>
            <w:fldChar w:fldCharType="begin"/>
          </w:r>
          <w:r>
            <w:instrText xml:space="preserve"> PAGEREF _Toc18495 \h </w:instrText>
          </w:r>
          <w:r>
            <w:fldChar w:fldCharType="separate"/>
          </w:r>
          <w:r>
            <w:t>102</w:t>
          </w:r>
          <w:r>
            <w:fldChar w:fldCharType="end"/>
          </w:r>
          <w:r>
            <w:fldChar w:fldCharType="end"/>
          </w:r>
        </w:p>
        <w:p w14:paraId="783D0555">
          <w:pPr>
            <w:pStyle w:val="24"/>
            <w:tabs>
              <w:tab w:val="right" w:leader="dot" w:pos="8646"/>
            </w:tabs>
          </w:pPr>
          <w:r>
            <w:fldChar w:fldCharType="begin"/>
          </w:r>
          <w:r>
            <w:instrText xml:space="preserve"> HYPERLINK \l _Toc25762 </w:instrText>
          </w:r>
          <w:r>
            <w:fldChar w:fldCharType="separate"/>
          </w:r>
          <w:r>
            <w:rPr>
              <w:rFonts w:ascii="黑体" w:hAnsi="黑体" w:eastAsia="黑体"/>
            </w:rPr>
            <w:t>1.2.3  审核内容要点</w:t>
          </w:r>
          <w:r>
            <w:tab/>
          </w:r>
          <w:r>
            <w:fldChar w:fldCharType="begin"/>
          </w:r>
          <w:r>
            <w:instrText xml:space="preserve"> PAGEREF _Toc25762 \h </w:instrText>
          </w:r>
          <w:r>
            <w:fldChar w:fldCharType="separate"/>
          </w:r>
          <w:r>
            <w:t>102</w:t>
          </w:r>
          <w:r>
            <w:fldChar w:fldCharType="end"/>
          </w:r>
          <w:r>
            <w:fldChar w:fldCharType="end"/>
          </w:r>
        </w:p>
        <w:p w14:paraId="44DA5095">
          <w:pPr>
            <w:pStyle w:val="30"/>
            <w:tabs>
              <w:tab w:val="right" w:leader="dot" w:pos="8646"/>
            </w:tabs>
          </w:pPr>
          <w:r>
            <w:fldChar w:fldCharType="begin"/>
          </w:r>
          <w:r>
            <w:instrText xml:space="preserve"> HYPERLINK \l _Toc7795 </w:instrText>
          </w:r>
          <w:r>
            <w:fldChar w:fldCharType="separate"/>
          </w:r>
          <w:r>
            <w:rPr>
              <w:rFonts w:ascii="黑体" w:hAnsi="黑体" w:eastAsia="黑体"/>
            </w:rPr>
            <w:t>1.3  总体思路</w:t>
          </w:r>
          <w:r>
            <w:tab/>
          </w:r>
          <w:r>
            <w:fldChar w:fldCharType="begin"/>
          </w:r>
          <w:r>
            <w:instrText xml:space="preserve"> PAGEREF _Toc7795 \h </w:instrText>
          </w:r>
          <w:r>
            <w:fldChar w:fldCharType="separate"/>
          </w:r>
          <w:r>
            <w:t>103</w:t>
          </w:r>
          <w:r>
            <w:fldChar w:fldCharType="end"/>
          </w:r>
          <w:r>
            <w:fldChar w:fldCharType="end"/>
          </w:r>
        </w:p>
        <w:p w14:paraId="56530630">
          <w:pPr>
            <w:pStyle w:val="24"/>
            <w:tabs>
              <w:tab w:val="right" w:leader="dot" w:pos="8646"/>
            </w:tabs>
          </w:pPr>
          <w:r>
            <w:fldChar w:fldCharType="begin"/>
          </w:r>
          <w:r>
            <w:instrText xml:space="preserve"> HYPERLINK \l _Toc22659 </w:instrText>
          </w:r>
          <w:r>
            <w:fldChar w:fldCharType="separate"/>
          </w:r>
          <w:r>
            <w:rPr>
              <w:rFonts w:ascii="黑体" w:hAnsi="黑体" w:eastAsia="黑体"/>
            </w:rPr>
            <w:t>1.3.1  审核目标</w:t>
          </w:r>
          <w:r>
            <w:tab/>
          </w:r>
          <w:r>
            <w:fldChar w:fldCharType="begin"/>
          </w:r>
          <w:r>
            <w:instrText xml:space="preserve"> PAGEREF _Toc22659 \h </w:instrText>
          </w:r>
          <w:r>
            <w:fldChar w:fldCharType="separate"/>
          </w:r>
          <w:r>
            <w:t>103</w:t>
          </w:r>
          <w:r>
            <w:fldChar w:fldCharType="end"/>
          </w:r>
          <w:r>
            <w:fldChar w:fldCharType="end"/>
          </w:r>
        </w:p>
        <w:p w14:paraId="4FAD6329">
          <w:pPr>
            <w:pStyle w:val="24"/>
            <w:tabs>
              <w:tab w:val="right" w:leader="dot" w:pos="8646"/>
            </w:tabs>
          </w:pPr>
          <w:r>
            <w:fldChar w:fldCharType="begin"/>
          </w:r>
          <w:r>
            <w:instrText xml:space="preserve"> HYPERLINK \l _Toc30335 </w:instrText>
          </w:r>
          <w:r>
            <w:fldChar w:fldCharType="separate"/>
          </w:r>
          <w:r>
            <w:rPr>
              <w:rFonts w:ascii="黑体" w:hAnsi="黑体" w:eastAsia="黑体"/>
            </w:rPr>
            <w:t>1.3.2  审核原则（五大原则）</w:t>
          </w:r>
          <w:r>
            <w:tab/>
          </w:r>
          <w:r>
            <w:fldChar w:fldCharType="begin"/>
          </w:r>
          <w:r>
            <w:instrText xml:space="preserve"> PAGEREF _Toc30335 \h </w:instrText>
          </w:r>
          <w:r>
            <w:fldChar w:fldCharType="separate"/>
          </w:r>
          <w:r>
            <w:t>103</w:t>
          </w:r>
          <w:r>
            <w:fldChar w:fldCharType="end"/>
          </w:r>
          <w:r>
            <w:fldChar w:fldCharType="end"/>
          </w:r>
        </w:p>
        <w:p w14:paraId="3923C5AA">
          <w:pPr>
            <w:pStyle w:val="24"/>
            <w:tabs>
              <w:tab w:val="right" w:leader="dot" w:pos="8646"/>
            </w:tabs>
          </w:pPr>
          <w:r>
            <w:fldChar w:fldCharType="begin"/>
          </w:r>
          <w:r>
            <w:instrText xml:space="preserve"> HYPERLINK \l _Toc28659 </w:instrText>
          </w:r>
          <w:r>
            <w:fldChar w:fldCharType="separate"/>
          </w:r>
          <w:r>
            <w:rPr>
              <w:rFonts w:ascii="黑体" w:hAnsi="黑体" w:eastAsia="黑体"/>
            </w:rPr>
            <w:t>1.3.3  审核方法体系（八种方法）</w:t>
          </w:r>
          <w:r>
            <w:tab/>
          </w:r>
          <w:r>
            <w:fldChar w:fldCharType="begin"/>
          </w:r>
          <w:r>
            <w:instrText xml:space="preserve"> PAGEREF _Toc28659 \h </w:instrText>
          </w:r>
          <w:r>
            <w:fldChar w:fldCharType="separate"/>
          </w:r>
          <w:r>
            <w:t>104</w:t>
          </w:r>
          <w:r>
            <w:fldChar w:fldCharType="end"/>
          </w:r>
          <w:r>
            <w:fldChar w:fldCharType="end"/>
          </w:r>
        </w:p>
        <w:p w14:paraId="37CEC408">
          <w:pPr>
            <w:pStyle w:val="24"/>
            <w:tabs>
              <w:tab w:val="right" w:leader="dot" w:pos="8646"/>
            </w:tabs>
          </w:pPr>
          <w:r>
            <w:fldChar w:fldCharType="begin"/>
          </w:r>
          <w:r>
            <w:instrText xml:space="preserve"> HYPERLINK \l _Toc8591 </w:instrText>
          </w:r>
          <w:r>
            <w:fldChar w:fldCharType="separate"/>
          </w:r>
          <w:r>
            <w:rPr>
              <w:rFonts w:ascii="黑体" w:hAnsi="黑体" w:eastAsia="黑体"/>
            </w:rPr>
            <w:t>1.3.4  工作组织思路</w:t>
          </w:r>
          <w:r>
            <w:tab/>
          </w:r>
          <w:r>
            <w:fldChar w:fldCharType="begin"/>
          </w:r>
          <w:r>
            <w:instrText xml:space="preserve"> PAGEREF _Toc8591 \h </w:instrText>
          </w:r>
          <w:r>
            <w:fldChar w:fldCharType="separate"/>
          </w:r>
          <w:r>
            <w:t>106</w:t>
          </w:r>
          <w:r>
            <w:fldChar w:fldCharType="end"/>
          </w:r>
          <w:r>
            <w:fldChar w:fldCharType="end"/>
          </w:r>
        </w:p>
        <w:p w14:paraId="2CA4D52B">
          <w:pPr>
            <w:pStyle w:val="27"/>
            <w:tabs>
              <w:tab w:val="right" w:leader="dot" w:pos="8646"/>
            </w:tabs>
          </w:pPr>
          <w:r>
            <w:fldChar w:fldCharType="begin"/>
          </w:r>
          <w:r>
            <w:instrText xml:space="preserve"> HYPERLINK \l _Toc10820 </w:instrText>
          </w:r>
          <w:r>
            <w:fldChar w:fldCharType="separate"/>
          </w:r>
          <w:r>
            <w:rPr>
              <w:rFonts w:ascii="黑体" w:hAnsi="黑体" w:eastAsia="黑体"/>
            </w:rPr>
            <w:t>◆ 本章评标点总结 ◆</w:t>
          </w:r>
          <w:r>
            <w:tab/>
          </w:r>
          <w:r>
            <w:fldChar w:fldCharType="begin"/>
          </w:r>
          <w:r>
            <w:instrText xml:space="preserve"> PAGEREF _Toc10820 \h </w:instrText>
          </w:r>
          <w:r>
            <w:fldChar w:fldCharType="separate"/>
          </w:r>
          <w:r>
            <w:t>107</w:t>
          </w:r>
          <w:r>
            <w:fldChar w:fldCharType="end"/>
          </w:r>
          <w:r>
            <w:fldChar w:fldCharType="end"/>
          </w:r>
        </w:p>
        <w:p w14:paraId="7D75F71A">
          <w:pPr>
            <w:pStyle w:val="27"/>
            <w:tabs>
              <w:tab w:val="right" w:leader="dot" w:pos="8646"/>
            </w:tabs>
          </w:pPr>
          <w:r>
            <w:fldChar w:fldCharType="begin"/>
          </w:r>
          <w:r>
            <w:instrText xml:space="preserve"> HYPERLINK \l _Toc4406 </w:instrText>
          </w:r>
          <w:r>
            <w:fldChar w:fldCharType="separate"/>
          </w:r>
          <w:r>
            <w:rPr>
              <w:rFonts w:ascii="黑体" w:hAnsi="黑体" w:eastAsia="黑体"/>
            </w:rPr>
            <w:t>第 二 章</w:t>
          </w:r>
          <w:r>
            <w:tab/>
          </w:r>
          <w:r>
            <w:fldChar w:fldCharType="begin"/>
          </w:r>
          <w:r>
            <w:instrText xml:space="preserve"> PAGEREF _Toc4406 \h </w:instrText>
          </w:r>
          <w:r>
            <w:fldChar w:fldCharType="separate"/>
          </w:r>
          <w:r>
            <w:t>108</w:t>
          </w:r>
          <w:r>
            <w:fldChar w:fldCharType="end"/>
          </w:r>
          <w:r>
            <w:fldChar w:fldCharType="end"/>
          </w:r>
        </w:p>
        <w:p w14:paraId="4EA997BA">
          <w:pPr>
            <w:pStyle w:val="30"/>
            <w:tabs>
              <w:tab w:val="right" w:leader="dot" w:pos="8646"/>
            </w:tabs>
          </w:pPr>
          <w:r>
            <w:fldChar w:fldCharType="begin"/>
          </w:r>
          <w:r>
            <w:instrText xml:space="preserve"> HYPERLINK \l _Toc3104 </w:instrText>
          </w:r>
          <w:r>
            <w:fldChar w:fldCharType="separate"/>
          </w:r>
          <w:r>
            <w:rPr>
              <w:rFonts w:ascii="黑体" w:hAnsi="黑体" w:eastAsia="黑体"/>
            </w:rPr>
            <w:t>2.1  项目核算管理审核重点</w:t>
          </w:r>
          <w:r>
            <w:tab/>
          </w:r>
          <w:r>
            <w:fldChar w:fldCharType="begin"/>
          </w:r>
          <w:r>
            <w:instrText xml:space="preserve"> PAGEREF _Toc3104 \h </w:instrText>
          </w:r>
          <w:r>
            <w:fldChar w:fldCharType="separate"/>
          </w:r>
          <w:r>
            <w:t>109</w:t>
          </w:r>
          <w:r>
            <w:fldChar w:fldCharType="end"/>
          </w:r>
          <w:r>
            <w:fldChar w:fldCharType="end"/>
          </w:r>
        </w:p>
        <w:p w14:paraId="2A23AEB0">
          <w:pPr>
            <w:pStyle w:val="24"/>
            <w:tabs>
              <w:tab w:val="right" w:leader="dot" w:pos="8646"/>
            </w:tabs>
          </w:pPr>
          <w:r>
            <w:fldChar w:fldCharType="begin"/>
          </w:r>
          <w:r>
            <w:instrText xml:space="preserve"> HYPERLINK \l _Toc13138 </w:instrText>
          </w:r>
          <w:r>
            <w:fldChar w:fldCharType="separate"/>
          </w:r>
          <w:r>
            <w:rPr>
              <w:rFonts w:ascii="黑体" w:hAnsi="黑体" w:eastAsia="黑体"/>
            </w:rPr>
            <w:t>2.1.1  建设成本审核（四个方面）</w:t>
          </w:r>
          <w:r>
            <w:tab/>
          </w:r>
          <w:r>
            <w:fldChar w:fldCharType="begin"/>
          </w:r>
          <w:r>
            <w:instrText xml:space="preserve"> PAGEREF _Toc13138 \h </w:instrText>
          </w:r>
          <w:r>
            <w:fldChar w:fldCharType="separate"/>
          </w:r>
          <w:r>
            <w:t>109</w:t>
          </w:r>
          <w:r>
            <w:fldChar w:fldCharType="end"/>
          </w:r>
          <w:r>
            <w:fldChar w:fldCharType="end"/>
          </w:r>
        </w:p>
        <w:p w14:paraId="7D25FA67">
          <w:pPr>
            <w:pStyle w:val="24"/>
            <w:tabs>
              <w:tab w:val="right" w:leader="dot" w:pos="8646"/>
            </w:tabs>
          </w:pPr>
          <w:r>
            <w:fldChar w:fldCharType="begin"/>
          </w:r>
          <w:r>
            <w:instrText xml:space="preserve"> HYPERLINK \l _Toc16478 </w:instrText>
          </w:r>
          <w:r>
            <w:fldChar w:fldCharType="separate"/>
          </w:r>
          <w:r>
            <w:rPr>
              <w:rFonts w:ascii="黑体" w:hAnsi="黑体" w:eastAsia="黑体"/>
            </w:rPr>
            <w:t>2.1.2  建设内容合规性审核</w:t>
          </w:r>
          <w:r>
            <w:tab/>
          </w:r>
          <w:r>
            <w:fldChar w:fldCharType="begin"/>
          </w:r>
          <w:r>
            <w:instrText xml:space="preserve"> PAGEREF _Toc16478 \h </w:instrText>
          </w:r>
          <w:r>
            <w:fldChar w:fldCharType="separate"/>
          </w:r>
          <w:r>
            <w:t>111</w:t>
          </w:r>
          <w:r>
            <w:fldChar w:fldCharType="end"/>
          </w:r>
          <w:r>
            <w:fldChar w:fldCharType="end"/>
          </w:r>
        </w:p>
        <w:p w14:paraId="55C1E583">
          <w:pPr>
            <w:pStyle w:val="24"/>
            <w:tabs>
              <w:tab w:val="right" w:leader="dot" w:pos="8646"/>
            </w:tabs>
          </w:pPr>
          <w:r>
            <w:fldChar w:fldCharType="begin"/>
          </w:r>
          <w:r>
            <w:instrText xml:space="preserve"> HYPERLINK \l _Toc29192 </w:instrText>
          </w:r>
          <w:r>
            <w:fldChar w:fldCharType="separate"/>
          </w:r>
          <w:r>
            <w:rPr>
              <w:rFonts w:ascii="黑体" w:hAnsi="黑体" w:eastAsia="黑体"/>
            </w:rPr>
            <w:t>2.1.3  支出票据合规性审核</w:t>
          </w:r>
          <w:r>
            <w:tab/>
          </w:r>
          <w:r>
            <w:fldChar w:fldCharType="begin"/>
          </w:r>
          <w:r>
            <w:instrText xml:space="preserve"> PAGEREF _Toc29192 \h </w:instrText>
          </w:r>
          <w:r>
            <w:fldChar w:fldCharType="separate"/>
          </w:r>
          <w:r>
            <w:t>111</w:t>
          </w:r>
          <w:r>
            <w:fldChar w:fldCharType="end"/>
          </w:r>
          <w:r>
            <w:fldChar w:fldCharType="end"/>
          </w:r>
        </w:p>
        <w:p w14:paraId="5B501799">
          <w:pPr>
            <w:pStyle w:val="24"/>
            <w:tabs>
              <w:tab w:val="right" w:leader="dot" w:pos="8646"/>
            </w:tabs>
          </w:pPr>
          <w:r>
            <w:fldChar w:fldCharType="begin"/>
          </w:r>
          <w:r>
            <w:instrText xml:space="preserve"> HYPERLINK \l _Toc28812 </w:instrText>
          </w:r>
          <w:r>
            <w:fldChar w:fldCharType="separate"/>
          </w:r>
          <w:r>
            <w:rPr>
              <w:rFonts w:ascii="黑体" w:hAnsi="黑体" w:eastAsia="黑体"/>
            </w:rPr>
            <w:t>2.1.4  债权债务与投资审核</w:t>
          </w:r>
          <w:r>
            <w:tab/>
          </w:r>
          <w:r>
            <w:fldChar w:fldCharType="begin"/>
          </w:r>
          <w:r>
            <w:instrText xml:space="preserve"> PAGEREF _Toc28812 \h </w:instrText>
          </w:r>
          <w:r>
            <w:fldChar w:fldCharType="separate"/>
          </w:r>
          <w:r>
            <w:t>112</w:t>
          </w:r>
          <w:r>
            <w:fldChar w:fldCharType="end"/>
          </w:r>
          <w:r>
            <w:fldChar w:fldCharType="end"/>
          </w:r>
        </w:p>
        <w:p w14:paraId="261E6215">
          <w:pPr>
            <w:pStyle w:val="30"/>
            <w:tabs>
              <w:tab w:val="right" w:leader="dot" w:pos="8646"/>
            </w:tabs>
          </w:pPr>
          <w:r>
            <w:fldChar w:fldCharType="begin"/>
          </w:r>
          <w:r>
            <w:instrText xml:space="preserve"> HYPERLINK \l _Toc8357 </w:instrText>
          </w:r>
          <w:r>
            <w:fldChar w:fldCharType="separate"/>
          </w:r>
          <w:r>
            <w:rPr>
              <w:rFonts w:ascii="黑体" w:hAnsi="黑体" w:eastAsia="黑体"/>
            </w:rPr>
            <w:t>2.2  审核难点分析</w:t>
          </w:r>
          <w:r>
            <w:tab/>
          </w:r>
          <w:r>
            <w:fldChar w:fldCharType="begin"/>
          </w:r>
          <w:r>
            <w:instrText xml:space="preserve"> PAGEREF _Toc8357 \h </w:instrText>
          </w:r>
          <w:r>
            <w:fldChar w:fldCharType="separate"/>
          </w:r>
          <w:r>
            <w:t>112</w:t>
          </w:r>
          <w:r>
            <w:fldChar w:fldCharType="end"/>
          </w:r>
          <w:r>
            <w:fldChar w:fldCharType="end"/>
          </w:r>
        </w:p>
        <w:p w14:paraId="068F7820">
          <w:pPr>
            <w:pStyle w:val="24"/>
            <w:tabs>
              <w:tab w:val="right" w:leader="dot" w:pos="8646"/>
            </w:tabs>
          </w:pPr>
          <w:r>
            <w:fldChar w:fldCharType="begin"/>
          </w:r>
          <w:r>
            <w:instrText xml:space="preserve"> HYPERLINK \l _Toc6877 </w:instrText>
          </w:r>
          <w:r>
            <w:fldChar w:fldCharType="separate"/>
          </w:r>
          <w:r>
            <w:rPr>
              <w:rFonts w:ascii="黑体" w:hAnsi="黑体" w:eastAsia="黑体"/>
            </w:rPr>
            <w:t>2.2.1  工程变更审核难点</w:t>
          </w:r>
          <w:r>
            <w:tab/>
          </w:r>
          <w:r>
            <w:fldChar w:fldCharType="begin"/>
          </w:r>
          <w:r>
            <w:instrText xml:space="preserve"> PAGEREF _Toc6877 \h </w:instrText>
          </w:r>
          <w:r>
            <w:fldChar w:fldCharType="separate"/>
          </w:r>
          <w:r>
            <w:t>113</w:t>
          </w:r>
          <w:r>
            <w:fldChar w:fldCharType="end"/>
          </w:r>
          <w:r>
            <w:fldChar w:fldCharType="end"/>
          </w:r>
        </w:p>
        <w:p w14:paraId="38DF8D7F">
          <w:pPr>
            <w:pStyle w:val="24"/>
            <w:tabs>
              <w:tab w:val="right" w:leader="dot" w:pos="8646"/>
            </w:tabs>
          </w:pPr>
          <w:r>
            <w:fldChar w:fldCharType="begin"/>
          </w:r>
          <w:r>
            <w:instrText xml:space="preserve"> HYPERLINK \l _Toc9309 </w:instrText>
          </w:r>
          <w:r>
            <w:fldChar w:fldCharType="separate"/>
          </w:r>
          <w:r>
            <w:rPr>
              <w:rFonts w:ascii="黑体" w:hAnsi="黑体" w:eastAsia="黑体"/>
            </w:rPr>
            <w:t>2.2.2  待摊投资分摊难点</w:t>
          </w:r>
          <w:r>
            <w:tab/>
          </w:r>
          <w:r>
            <w:fldChar w:fldCharType="begin"/>
          </w:r>
          <w:r>
            <w:instrText xml:space="preserve"> PAGEREF _Toc9309 \h </w:instrText>
          </w:r>
          <w:r>
            <w:fldChar w:fldCharType="separate"/>
          </w:r>
          <w:r>
            <w:t>113</w:t>
          </w:r>
          <w:r>
            <w:fldChar w:fldCharType="end"/>
          </w:r>
          <w:r>
            <w:fldChar w:fldCharType="end"/>
          </w:r>
        </w:p>
        <w:p w14:paraId="6B4B04C0">
          <w:pPr>
            <w:pStyle w:val="24"/>
            <w:tabs>
              <w:tab w:val="right" w:leader="dot" w:pos="8646"/>
            </w:tabs>
          </w:pPr>
          <w:r>
            <w:fldChar w:fldCharType="begin"/>
          </w:r>
          <w:r>
            <w:instrText xml:space="preserve"> HYPERLINK \l _Toc6226 </w:instrText>
          </w:r>
          <w:r>
            <w:fldChar w:fldCharType="separate"/>
          </w:r>
          <w:r>
            <w:rPr>
              <w:rFonts w:ascii="黑体" w:hAnsi="黑体" w:eastAsia="黑体"/>
            </w:rPr>
            <w:t>2.2.3  高原民族地区特殊情况</w:t>
          </w:r>
          <w:r>
            <w:tab/>
          </w:r>
          <w:r>
            <w:fldChar w:fldCharType="begin"/>
          </w:r>
          <w:r>
            <w:instrText xml:space="preserve"> PAGEREF _Toc6226 \h </w:instrText>
          </w:r>
          <w:r>
            <w:fldChar w:fldCharType="separate"/>
          </w:r>
          <w:r>
            <w:t>113</w:t>
          </w:r>
          <w:r>
            <w:fldChar w:fldCharType="end"/>
          </w:r>
          <w:r>
            <w:fldChar w:fldCharType="end"/>
          </w:r>
        </w:p>
        <w:p w14:paraId="5BFB5EC8">
          <w:pPr>
            <w:pStyle w:val="27"/>
            <w:tabs>
              <w:tab w:val="right" w:leader="dot" w:pos="8646"/>
            </w:tabs>
          </w:pPr>
          <w:r>
            <w:fldChar w:fldCharType="begin"/>
          </w:r>
          <w:r>
            <w:instrText xml:space="preserve"> HYPERLINK \l _Toc24649 </w:instrText>
          </w:r>
          <w:r>
            <w:fldChar w:fldCharType="separate"/>
          </w:r>
          <w:r>
            <w:rPr>
              <w:rFonts w:ascii="黑体" w:hAnsi="黑体" w:eastAsia="黑体"/>
            </w:rPr>
            <w:t>◆ 本章评标点总结 ◆</w:t>
          </w:r>
          <w:r>
            <w:tab/>
          </w:r>
          <w:r>
            <w:fldChar w:fldCharType="begin"/>
          </w:r>
          <w:r>
            <w:instrText xml:space="preserve"> PAGEREF _Toc24649 \h </w:instrText>
          </w:r>
          <w:r>
            <w:fldChar w:fldCharType="separate"/>
          </w:r>
          <w:r>
            <w:t>114</w:t>
          </w:r>
          <w:r>
            <w:fldChar w:fldCharType="end"/>
          </w:r>
          <w:r>
            <w:fldChar w:fldCharType="end"/>
          </w:r>
        </w:p>
        <w:p w14:paraId="6010C302">
          <w:pPr>
            <w:pStyle w:val="27"/>
            <w:tabs>
              <w:tab w:val="right" w:leader="dot" w:pos="8646"/>
            </w:tabs>
          </w:pPr>
          <w:r>
            <w:fldChar w:fldCharType="begin"/>
          </w:r>
          <w:r>
            <w:instrText xml:space="preserve"> HYPERLINK \l _Toc23892 </w:instrText>
          </w:r>
          <w:r>
            <w:fldChar w:fldCharType="separate"/>
          </w:r>
          <w:r>
            <w:rPr>
              <w:rFonts w:ascii="黑体" w:hAnsi="黑体" w:eastAsia="黑体"/>
            </w:rPr>
            <w:t>第 三 章</w:t>
          </w:r>
          <w:r>
            <w:tab/>
          </w:r>
          <w:r>
            <w:fldChar w:fldCharType="begin"/>
          </w:r>
          <w:r>
            <w:instrText xml:space="preserve"> PAGEREF _Toc23892 \h </w:instrText>
          </w:r>
          <w:r>
            <w:fldChar w:fldCharType="separate"/>
          </w:r>
          <w:r>
            <w:t>115</w:t>
          </w:r>
          <w:r>
            <w:fldChar w:fldCharType="end"/>
          </w:r>
          <w:r>
            <w:fldChar w:fldCharType="end"/>
          </w:r>
        </w:p>
        <w:p w14:paraId="34AD80BB">
          <w:pPr>
            <w:pStyle w:val="30"/>
            <w:tabs>
              <w:tab w:val="right" w:leader="dot" w:pos="8646"/>
            </w:tabs>
          </w:pPr>
          <w:r>
            <w:fldChar w:fldCharType="begin"/>
          </w:r>
          <w:r>
            <w:instrText xml:space="preserve"> HYPERLINK \l _Toc26129 </w:instrText>
          </w:r>
          <w:r>
            <w:fldChar w:fldCharType="separate"/>
          </w:r>
          <w:r>
            <w:rPr>
              <w:rFonts w:ascii="黑体" w:hAnsi="黑体" w:eastAsia="黑体"/>
            </w:rPr>
            <w:t>3.1  审计总体流程设计</w:t>
          </w:r>
          <w:r>
            <w:tab/>
          </w:r>
          <w:r>
            <w:fldChar w:fldCharType="begin"/>
          </w:r>
          <w:r>
            <w:instrText xml:space="preserve"> PAGEREF _Toc26129 \h </w:instrText>
          </w:r>
          <w:r>
            <w:fldChar w:fldCharType="separate"/>
          </w:r>
          <w:r>
            <w:t>116</w:t>
          </w:r>
          <w:r>
            <w:fldChar w:fldCharType="end"/>
          </w:r>
          <w:r>
            <w:fldChar w:fldCharType="end"/>
          </w:r>
        </w:p>
        <w:p w14:paraId="2F58E34A">
          <w:pPr>
            <w:pStyle w:val="24"/>
            <w:tabs>
              <w:tab w:val="right" w:leader="dot" w:pos="8646"/>
            </w:tabs>
          </w:pPr>
          <w:r>
            <w:fldChar w:fldCharType="begin"/>
          </w:r>
          <w:r>
            <w:instrText xml:space="preserve"> HYPERLINK \l _Toc4137 </w:instrText>
          </w:r>
          <w:r>
            <w:fldChar w:fldCharType="separate"/>
          </w:r>
          <w:r>
            <w:rPr>
              <w:rFonts w:ascii="黑体" w:hAnsi="黑体" w:eastAsia="黑体"/>
            </w:rPr>
            <w:t>3.1.1  审计流程阶段划分</w:t>
          </w:r>
          <w:r>
            <w:tab/>
          </w:r>
          <w:r>
            <w:fldChar w:fldCharType="begin"/>
          </w:r>
          <w:r>
            <w:instrText xml:space="preserve"> PAGEREF _Toc4137 \h </w:instrText>
          </w:r>
          <w:r>
            <w:fldChar w:fldCharType="separate"/>
          </w:r>
          <w:r>
            <w:t>116</w:t>
          </w:r>
          <w:r>
            <w:fldChar w:fldCharType="end"/>
          </w:r>
          <w:r>
            <w:fldChar w:fldCharType="end"/>
          </w:r>
        </w:p>
        <w:p w14:paraId="11117889">
          <w:pPr>
            <w:pStyle w:val="24"/>
            <w:tabs>
              <w:tab w:val="right" w:leader="dot" w:pos="8646"/>
            </w:tabs>
          </w:pPr>
          <w:r>
            <w:fldChar w:fldCharType="begin"/>
          </w:r>
          <w:r>
            <w:instrText xml:space="preserve"> HYPERLINK \l _Toc14629 </w:instrText>
          </w:r>
          <w:r>
            <w:fldChar w:fldCharType="separate"/>
          </w:r>
          <w:r>
            <w:rPr>
              <w:rFonts w:ascii="黑体" w:hAnsi="黑体" w:eastAsia="黑体"/>
            </w:rPr>
            <w:t>3.1.2  审计流程关键控制点</w:t>
          </w:r>
          <w:r>
            <w:tab/>
          </w:r>
          <w:r>
            <w:fldChar w:fldCharType="begin"/>
          </w:r>
          <w:r>
            <w:instrText xml:space="preserve"> PAGEREF _Toc14629 \h </w:instrText>
          </w:r>
          <w:r>
            <w:fldChar w:fldCharType="separate"/>
          </w:r>
          <w:r>
            <w:t>116</w:t>
          </w:r>
          <w:r>
            <w:fldChar w:fldCharType="end"/>
          </w:r>
          <w:r>
            <w:fldChar w:fldCharType="end"/>
          </w:r>
        </w:p>
        <w:p w14:paraId="3449A541">
          <w:pPr>
            <w:pStyle w:val="30"/>
            <w:tabs>
              <w:tab w:val="right" w:leader="dot" w:pos="8646"/>
            </w:tabs>
          </w:pPr>
          <w:r>
            <w:fldChar w:fldCharType="begin"/>
          </w:r>
          <w:r>
            <w:instrText xml:space="preserve"> HYPERLINK \l _Toc11226 </w:instrText>
          </w:r>
          <w:r>
            <w:fldChar w:fldCharType="separate"/>
          </w:r>
          <w:r>
            <w:rPr>
              <w:rFonts w:ascii="黑体" w:hAnsi="黑体" w:eastAsia="黑体"/>
            </w:rPr>
            <w:t>3.2  各阶段工作内容</w:t>
          </w:r>
          <w:r>
            <w:tab/>
          </w:r>
          <w:r>
            <w:fldChar w:fldCharType="begin"/>
          </w:r>
          <w:r>
            <w:instrText xml:space="preserve"> PAGEREF _Toc11226 \h </w:instrText>
          </w:r>
          <w:r>
            <w:fldChar w:fldCharType="separate"/>
          </w:r>
          <w:r>
            <w:t>117</w:t>
          </w:r>
          <w:r>
            <w:fldChar w:fldCharType="end"/>
          </w:r>
          <w:r>
            <w:fldChar w:fldCharType="end"/>
          </w:r>
        </w:p>
        <w:p w14:paraId="11D76DA9">
          <w:pPr>
            <w:pStyle w:val="24"/>
            <w:tabs>
              <w:tab w:val="right" w:leader="dot" w:pos="8646"/>
            </w:tabs>
          </w:pPr>
          <w:r>
            <w:fldChar w:fldCharType="begin"/>
          </w:r>
          <w:r>
            <w:instrText xml:space="preserve"> HYPERLINK \l _Toc8302 </w:instrText>
          </w:r>
          <w:r>
            <w:fldChar w:fldCharType="separate"/>
          </w:r>
          <w:r>
            <w:rPr>
              <w:rFonts w:ascii="黑体" w:hAnsi="黑体" w:eastAsia="黑体"/>
            </w:rPr>
            <w:t>3.2.1  准备阶段工作内容</w:t>
          </w:r>
          <w:r>
            <w:tab/>
          </w:r>
          <w:r>
            <w:fldChar w:fldCharType="begin"/>
          </w:r>
          <w:r>
            <w:instrText xml:space="preserve"> PAGEREF _Toc8302 \h </w:instrText>
          </w:r>
          <w:r>
            <w:fldChar w:fldCharType="separate"/>
          </w:r>
          <w:r>
            <w:t>117</w:t>
          </w:r>
          <w:r>
            <w:fldChar w:fldCharType="end"/>
          </w:r>
          <w:r>
            <w:fldChar w:fldCharType="end"/>
          </w:r>
        </w:p>
        <w:p w14:paraId="4A51F67C">
          <w:pPr>
            <w:pStyle w:val="24"/>
            <w:tabs>
              <w:tab w:val="right" w:leader="dot" w:pos="8646"/>
            </w:tabs>
          </w:pPr>
          <w:r>
            <w:fldChar w:fldCharType="begin"/>
          </w:r>
          <w:r>
            <w:instrText xml:space="preserve"> HYPERLINK \l _Toc23435 </w:instrText>
          </w:r>
          <w:r>
            <w:fldChar w:fldCharType="separate"/>
          </w:r>
          <w:r>
            <w:rPr>
              <w:rFonts w:ascii="黑体" w:hAnsi="黑体" w:eastAsia="黑体"/>
            </w:rPr>
            <w:t>3.2.2  实施阶段工作内容</w:t>
          </w:r>
          <w:r>
            <w:tab/>
          </w:r>
          <w:r>
            <w:fldChar w:fldCharType="begin"/>
          </w:r>
          <w:r>
            <w:instrText xml:space="preserve"> PAGEREF _Toc23435 \h </w:instrText>
          </w:r>
          <w:r>
            <w:fldChar w:fldCharType="separate"/>
          </w:r>
          <w:r>
            <w:t>118</w:t>
          </w:r>
          <w:r>
            <w:fldChar w:fldCharType="end"/>
          </w:r>
          <w:r>
            <w:fldChar w:fldCharType="end"/>
          </w:r>
        </w:p>
        <w:p w14:paraId="5795DFA4">
          <w:pPr>
            <w:pStyle w:val="24"/>
            <w:tabs>
              <w:tab w:val="right" w:leader="dot" w:pos="8646"/>
            </w:tabs>
          </w:pPr>
          <w:r>
            <w:fldChar w:fldCharType="begin"/>
          </w:r>
          <w:r>
            <w:instrText xml:space="preserve"> HYPERLINK \l _Toc8926 </w:instrText>
          </w:r>
          <w:r>
            <w:fldChar w:fldCharType="separate"/>
          </w:r>
          <w:r>
            <w:rPr>
              <w:rFonts w:ascii="黑体" w:hAnsi="黑体" w:eastAsia="黑体"/>
            </w:rPr>
            <w:t>3.2.3  报告阶段工作内容</w:t>
          </w:r>
          <w:r>
            <w:tab/>
          </w:r>
          <w:r>
            <w:fldChar w:fldCharType="begin"/>
          </w:r>
          <w:r>
            <w:instrText xml:space="preserve"> PAGEREF _Toc8926 \h </w:instrText>
          </w:r>
          <w:r>
            <w:fldChar w:fldCharType="separate"/>
          </w:r>
          <w:r>
            <w:t>118</w:t>
          </w:r>
          <w:r>
            <w:fldChar w:fldCharType="end"/>
          </w:r>
          <w:r>
            <w:fldChar w:fldCharType="end"/>
          </w:r>
        </w:p>
        <w:p w14:paraId="5A199511">
          <w:pPr>
            <w:pStyle w:val="30"/>
            <w:tabs>
              <w:tab w:val="right" w:leader="dot" w:pos="8646"/>
            </w:tabs>
          </w:pPr>
          <w:r>
            <w:fldChar w:fldCharType="begin"/>
          </w:r>
          <w:r>
            <w:instrText xml:space="preserve"> HYPERLINK \l _Toc22867 </w:instrText>
          </w:r>
          <w:r>
            <w:fldChar w:fldCharType="separate"/>
          </w:r>
          <w:r>
            <w:rPr>
              <w:rFonts w:ascii="黑体" w:hAnsi="黑体" w:eastAsia="黑体"/>
            </w:rPr>
            <w:t>3.3  审计进度计划</w:t>
          </w:r>
          <w:r>
            <w:tab/>
          </w:r>
          <w:r>
            <w:fldChar w:fldCharType="begin"/>
          </w:r>
          <w:r>
            <w:instrText xml:space="preserve"> PAGEREF _Toc22867 \h </w:instrText>
          </w:r>
          <w:r>
            <w:fldChar w:fldCharType="separate"/>
          </w:r>
          <w:r>
            <w:t>119</w:t>
          </w:r>
          <w:r>
            <w:fldChar w:fldCharType="end"/>
          </w:r>
          <w:r>
            <w:fldChar w:fldCharType="end"/>
          </w:r>
        </w:p>
        <w:p w14:paraId="620D8A13">
          <w:pPr>
            <w:pStyle w:val="24"/>
            <w:tabs>
              <w:tab w:val="right" w:leader="dot" w:pos="8646"/>
            </w:tabs>
          </w:pPr>
          <w:r>
            <w:fldChar w:fldCharType="begin"/>
          </w:r>
          <w:r>
            <w:instrText xml:space="preserve"> HYPERLINK \l _Toc27991 </w:instrText>
          </w:r>
          <w:r>
            <w:fldChar w:fldCharType="separate"/>
          </w:r>
          <w:r>
            <w:rPr>
              <w:rFonts w:ascii="黑体" w:hAnsi="黑体" w:eastAsia="黑体"/>
            </w:rPr>
            <w:t>3.3.1  审核时限安排</w:t>
          </w:r>
          <w:r>
            <w:tab/>
          </w:r>
          <w:r>
            <w:fldChar w:fldCharType="begin"/>
          </w:r>
          <w:r>
            <w:instrText xml:space="preserve"> PAGEREF _Toc27991 \h </w:instrText>
          </w:r>
          <w:r>
            <w:fldChar w:fldCharType="separate"/>
          </w:r>
          <w:r>
            <w:t>119</w:t>
          </w:r>
          <w:r>
            <w:fldChar w:fldCharType="end"/>
          </w:r>
          <w:r>
            <w:fldChar w:fldCharType="end"/>
          </w:r>
        </w:p>
        <w:p w14:paraId="79B7498D">
          <w:pPr>
            <w:pStyle w:val="24"/>
            <w:tabs>
              <w:tab w:val="right" w:leader="dot" w:pos="8646"/>
            </w:tabs>
          </w:pPr>
          <w:r>
            <w:fldChar w:fldCharType="begin"/>
          </w:r>
          <w:r>
            <w:instrText xml:space="preserve"> HYPERLINK \l _Toc13590 </w:instrText>
          </w:r>
          <w:r>
            <w:fldChar w:fldCharType="separate"/>
          </w:r>
          <w:r>
            <w:rPr>
              <w:rFonts w:ascii="黑体" w:hAnsi="黑体" w:eastAsia="黑体"/>
            </w:rPr>
            <w:t>3.3.2  进度保障措施</w:t>
          </w:r>
          <w:r>
            <w:tab/>
          </w:r>
          <w:r>
            <w:fldChar w:fldCharType="begin"/>
          </w:r>
          <w:r>
            <w:instrText xml:space="preserve"> PAGEREF _Toc13590 \h </w:instrText>
          </w:r>
          <w:r>
            <w:fldChar w:fldCharType="separate"/>
          </w:r>
          <w:r>
            <w:t>119</w:t>
          </w:r>
          <w:r>
            <w:fldChar w:fldCharType="end"/>
          </w:r>
          <w:r>
            <w:fldChar w:fldCharType="end"/>
          </w:r>
        </w:p>
        <w:p w14:paraId="02E057E2">
          <w:pPr>
            <w:pStyle w:val="27"/>
            <w:tabs>
              <w:tab w:val="right" w:leader="dot" w:pos="8646"/>
            </w:tabs>
          </w:pPr>
          <w:r>
            <w:fldChar w:fldCharType="begin"/>
          </w:r>
          <w:r>
            <w:instrText xml:space="preserve"> HYPERLINK \l _Toc5289 </w:instrText>
          </w:r>
          <w:r>
            <w:fldChar w:fldCharType="separate"/>
          </w:r>
          <w:r>
            <w:rPr>
              <w:rFonts w:ascii="黑体" w:hAnsi="黑体" w:eastAsia="黑体"/>
            </w:rPr>
            <w:t>◆ 本章评标点总结 ◆</w:t>
          </w:r>
          <w:r>
            <w:tab/>
          </w:r>
          <w:r>
            <w:fldChar w:fldCharType="begin"/>
          </w:r>
          <w:r>
            <w:instrText xml:space="preserve"> PAGEREF _Toc5289 \h </w:instrText>
          </w:r>
          <w:r>
            <w:fldChar w:fldCharType="separate"/>
          </w:r>
          <w:r>
            <w:t>120</w:t>
          </w:r>
          <w:r>
            <w:fldChar w:fldCharType="end"/>
          </w:r>
          <w:r>
            <w:fldChar w:fldCharType="end"/>
          </w:r>
        </w:p>
        <w:p w14:paraId="7B9013D3">
          <w:pPr>
            <w:pStyle w:val="27"/>
            <w:tabs>
              <w:tab w:val="right" w:leader="dot" w:pos="8646"/>
            </w:tabs>
          </w:pPr>
          <w:r>
            <w:fldChar w:fldCharType="begin"/>
          </w:r>
          <w:r>
            <w:instrText xml:space="preserve"> HYPERLINK \l _Toc19185 </w:instrText>
          </w:r>
          <w:r>
            <w:fldChar w:fldCharType="separate"/>
          </w:r>
          <w:r>
            <w:rPr>
              <w:rFonts w:ascii="黑体" w:hAnsi="黑体" w:eastAsia="黑体"/>
            </w:rPr>
            <w:t>第 四 章</w:t>
          </w:r>
          <w:r>
            <w:tab/>
          </w:r>
          <w:r>
            <w:fldChar w:fldCharType="begin"/>
          </w:r>
          <w:r>
            <w:instrText xml:space="preserve"> PAGEREF _Toc19185 \h </w:instrText>
          </w:r>
          <w:r>
            <w:fldChar w:fldCharType="separate"/>
          </w:r>
          <w:r>
            <w:t>121</w:t>
          </w:r>
          <w:r>
            <w:fldChar w:fldCharType="end"/>
          </w:r>
          <w:r>
            <w:fldChar w:fldCharType="end"/>
          </w:r>
        </w:p>
        <w:p w14:paraId="40578F5A">
          <w:pPr>
            <w:pStyle w:val="30"/>
            <w:tabs>
              <w:tab w:val="right" w:leader="dot" w:pos="8646"/>
            </w:tabs>
          </w:pPr>
          <w:r>
            <w:fldChar w:fldCharType="begin"/>
          </w:r>
          <w:r>
            <w:instrText xml:space="preserve"> HYPERLINK \l _Toc31941 </w:instrText>
          </w:r>
          <w:r>
            <w:fldChar w:fldCharType="separate"/>
          </w:r>
          <w:r>
            <w:rPr>
              <w:rFonts w:ascii="黑体" w:hAnsi="黑体" w:eastAsia="黑体"/>
            </w:rPr>
            <w:t>4.1  审计质量控制制度</w:t>
          </w:r>
          <w:r>
            <w:tab/>
          </w:r>
          <w:r>
            <w:fldChar w:fldCharType="begin"/>
          </w:r>
          <w:r>
            <w:instrText xml:space="preserve"> PAGEREF _Toc31941 \h </w:instrText>
          </w:r>
          <w:r>
            <w:fldChar w:fldCharType="separate"/>
          </w:r>
          <w:r>
            <w:t>122</w:t>
          </w:r>
          <w:r>
            <w:fldChar w:fldCharType="end"/>
          </w:r>
          <w:r>
            <w:fldChar w:fldCharType="end"/>
          </w:r>
        </w:p>
        <w:p w14:paraId="4C12A0DD">
          <w:pPr>
            <w:pStyle w:val="30"/>
            <w:tabs>
              <w:tab w:val="right" w:leader="dot" w:pos="8646"/>
            </w:tabs>
          </w:pPr>
          <w:r>
            <w:fldChar w:fldCharType="begin"/>
          </w:r>
          <w:r>
            <w:instrText xml:space="preserve"> HYPERLINK \l _Toc11826 </w:instrText>
          </w:r>
          <w:r>
            <w:fldChar w:fldCharType="separate"/>
          </w:r>
          <w:r>
            <w:rPr>
              <w:rFonts w:ascii="黑体" w:hAnsi="黑体" w:eastAsia="黑体"/>
            </w:rPr>
            <w:t>4.2  审计进度管理制度</w:t>
          </w:r>
          <w:r>
            <w:tab/>
          </w:r>
          <w:r>
            <w:fldChar w:fldCharType="begin"/>
          </w:r>
          <w:r>
            <w:instrText xml:space="preserve"> PAGEREF _Toc11826 \h </w:instrText>
          </w:r>
          <w:r>
            <w:fldChar w:fldCharType="separate"/>
          </w:r>
          <w:r>
            <w:t>122</w:t>
          </w:r>
          <w:r>
            <w:fldChar w:fldCharType="end"/>
          </w:r>
          <w:r>
            <w:fldChar w:fldCharType="end"/>
          </w:r>
        </w:p>
        <w:p w14:paraId="28CA4E21">
          <w:pPr>
            <w:pStyle w:val="30"/>
            <w:tabs>
              <w:tab w:val="right" w:leader="dot" w:pos="8646"/>
            </w:tabs>
          </w:pPr>
          <w:r>
            <w:fldChar w:fldCharType="begin"/>
          </w:r>
          <w:r>
            <w:instrText xml:space="preserve"> HYPERLINK \l _Toc13917 </w:instrText>
          </w:r>
          <w:r>
            <w:fldChar w:fldCharType="separate"/>
          </w:r>
          <w:r>
            <w:rPr>
              <w:rFonts w:ascii="黑体" w:hAnsi="黑体" w:eastAsia="黑体"/>
            </w:rPr>
            <w:t>4.3  审计保密制度</w:t>
          </w:r>
          <w:r>
            <w:tab/>
          </w:r>
          <w:r>
            <w:fldChar w:fldCharType="begin"/>
          </w:r>
          <w:r>
            <w:instrText xml:space="preserve"> PAGEREF _Toc13917 \h </w:instrText>
          </w:r>
          <w:r>
            <w:fldChar w:fldCharType="separate"/>
          </w:r>
          <w:r>
            <w:t>123</w:t>
          </w:r>
          <w:r>
            <w:fldChar w:fldCharType="end"/>
          </w:r>
          <w:r>
            <w:fldChar w:fldCharType="end"/>
          </w:r>
        </w:p>
        <w:p w14:paraId="4967DDEE">
          <w:pPr>
            <w:pStyle w:val="30"/>
            <w:tabs>
              <w:tab w:val="right" w:leader="dot" w:pos="8646"/>
            </w:tabs>
          </w:pPr>
          <w:r>
            <w:fldChar w:fldCharType="begin"/>
          </w:r>
          <w:r>
            <w:instrText xml:space="preserve"> HYPERLINK \l _Toc13562 </w:instrText>
          </w:r>
          <w:r>
            <w:fldChar w:fldCharType="separate"/>
          </w:r>
          <w:r>
            <w:rPr>
              <w:rFonts w:ascii="黑体" w:hAnsi="黑体" w:eastAsia="黑体"/>
            </w:rPr>
            <w:t>4.4  审计档案管理制度</w:t>
          </w:r>
          <w:r>
            <w:tab/>
          </w:r>
          <w:r>
            <w:fldChar w:fldCharType="begin"/>
          </w:r>
          <w:r>
            <w:instrText xml:space="preserve"> PAGEREF _Toc13562 \h </w:instrText>
          </w:r>
          <w:r>
            <w:fldChar w:fldCharType="separate"/>
          </w:r>
          <w:r>
            <w:t>123</w:t>
          </w:r>
          <w:r>
            <w:fldChar w:fldCharType="end"/>
          </w:r>
          <w:r>
            <w:fldChar w:fldCharType="end"/>
          </w:r>
        </w:p>
        <w:p w14:paraId="42093EE5">
          <w:pPr>
            <w:pStyle w:val="30"/>
            <w:tabs>
              <w:tab w:val="right" w:leader="dot" w:pos="8646"/>
            </w:tabs>
          </w:pPr>
          <w:r>
            <w:fldChar w:fldCharType="begin"/>
          </w:r>
          <w:r>
            <w:instrText xml:space="preserve"> HYPERLINK \l _Toc28280 </w:instrText>
          </w:r>
          <w:r>
            <w:fldChar w:fldCharType="separate"/>
          </w:r>
          <w:r>
            <w:rPr>
              <w:rFonts w:ascii="黑体" w:hAnsi="黑体" w:eastAsia="黑体"/>
            </w:rPr>
            <w:t>4.5  审计复核制度</w:t>
          </w:r>
          <w:r>
            <w:tab/>
          </w:r>
          <w:r>
            <w:fldChar w:fldCharType="begin"/>
          </w:r>
          <w:r>
            <w:instrText xml:space="preserve"> PAGEREF _Toc28280 \h </w:instrText>
          </w:r>
          <w:r>
            <w:fldChar w:fldCharType="separate"/>
          </w:r>
          <w:r>
            <w:t>123</w:t>
          </w:r>
          <w:r>
            <w:fldChar w:fldCharType="end"/>
          </w:r>
          <w:r>
            <w:fldChar w:fldCharType="end"/>
          </w:r>
        </w:p>
        <w:p w14:paraId="29941E4D">
          <w:pPr>
            <w:pStyle w:val="30"/>
            <w:tabs>
              <w:tab w:val="right" w:leader="dot" w:pos="8646"/>
            </w:tabs>
          </w:pPr>
          <w:r>
            <w:fldChar w:fldCharType="begin"/>
          </w:r>
          <w:r>
            <w:instrText xml:space="preserve"> HYPERLINK \l _Toc29172 </w:instrText>
          </w:r>
          <w:r>
            <w:fldChar w:fldCharType="separate"/>
          </w:r>
          <w:r>
            <w:rPr>
              <w:rFonts w:ascii="黑体" w:hAnsi="黑体" w:eastAsia="黑体"/>
            </w:rPr>
            <w:t>4.6  审计人员考核制度</w:t>
          </w:r>
          <w:r>
            <w:tab/>
          </w:r>
          <w:r>
            <w:fldChar w:fldCharType="begin"/>
          </w:r>
          <w:r>
            <w:instrText xml:space="preserve"> PAGEREF _Toc29172 \h </w:instrText>
          </w:r>
          <w:r>
            <w:fldChar w:fldCharType="separate"/>
          </w:r>
          <w:r>
            <w:t>124</w:t>
          </w:r>
          <w:r>
            <w:fldChar w:fldCharType="end"/>
          </w:r>
          <w:r>
            <w:fldChar w:fldCharType="end"/>
          </w:r>
        </w:p>
        <w:p w14:paraId="0156461C">
          <w:pPr>
            <w:pStyle w:val="27"/>
            <w:tabs>
              <w:tab w:val="right" w:leader="dot" w:pos="8646"/>
            </w:tabs>
          </w:pPr>
          <w:r>
            <w:fldChar w:fldCharType="begin"/>
          </w:r>
          <w:r>
            <w:instrText xml:space="preserve"> HYPERLINK \l _Toc10189 </w:instrText>
          </w:r>
          <w:r>
            <w:fldChar w:fldCharType="separate"/>
          </w:r>
          <w:r>
            <w:rPr>
              <w:rFonts w:ascii="黑体" w:hAnsi="黑体" w:eastAsia="黑体"/>
            </w:rPr>
            <w:t>◆ 本章评标点总结 ◆</w:t>
          </w:r>
          <w:r>
            <w:tab/>
          </w:r>
          <w:r>
            <w:fldChar w:fldCharType="begin"/>
          </w:r>
          <w:r>
            <w:instrText xml:space="preserve"> PAGEREF _Toc10189 \h </w:instrText>
          </w:r>
          <w:r>
            <w:fldChar w:fldCharType="separate"/>
          </w:r>
          <w:r>
            <w:t>124</w:t>
          </w:r>
          <w:r>
            <w:fldChar w:fldCharType="end"/>
          </w:r>
          <w:r>
            <w:fldChar w:fldCharType="end"/>
          </w:r>
        </w:p>
        <w:p w14:paraId="6DFF2C62">
          <w:pPr>
            <w:spacing w:before="0" w:after="0" w:line="240" w:lineRule="auto"/>
            <w:rPr>
              <w:rFonts w:asciiTheme="minorHAnsi" w:hAnsiTheme="minorHAnsi" w:eastAsiaTheme="minorEastAsia" w:cstheme="minorBidi"/>
              <w:sz w:val="22"/>
              <w:szCs w:val="22"/>
              <w:lang w:val="en-US" w:eastAsia="en-US" w:bidi="ar-SA"/>
            </w:rPr>
          </w:pPr>
          <w:r>
            <w:fldChar w:fldCharType="end"/>
          </w:r>
        </w:p>
      </w:sdtContent>
    </w:sdt>
    <w:p w14:paraId="469475BC">
      <w:pPr>
        <w:spacing w:before="0" w:after="0" w:line="240" w:lineRule="auto"/>
        <w:rPr>
          <w:rFonts w:asciiTheme="minorHAnsi" w:hAnsiTheme="minorHAnsi" w:eastAsiaTheme="minorEastAsia" w:cstheme="minorBidi"/>
          <w:sz w:val="22"/>
          <w:szCs w:val="22"/>
          <w:lang w:val="en-US" w:eastAsia="en-US" w:bidi="ar-SA"/>
        </w:rPr>
      </w:pPr>
    </w:p>
    <w:p w14:paraId="4CA497F7">
      <w:pPr>
        <w:spacing w:before="0" w:after="0" w:line="240" w:lineRule="auto"/>
      </w:pPr>
    </w:p>
    <w:tbl>
      <w:tblPr>
        <w:tblStyle w:val="35"/>
        <w:tblW w:w="0" w:type="auto"/>
        <w:jc w:val="center"/>
        <w:tblLayout w:type="autofit"/>
        <w:tblCellMar>
          <w:top w:w="0" w:type="dxa"/>
          <w:left w:w="108" w:type="dxa"/>
          <w:bottom w:w="0" w:type="dxa"/>
          <w:right w:w="108" w:type="dxa"/>
        </w:tblCellMar>
      </w:tblPr>
      <w:tblGrid>
        <w:gridCol w:w="8646"/>
      </w:tblGrid>
      <w:tr w14:paraId="26432931">
        <w:tblPrEx>
          <w:tblCellMar>
            <w:top w:w="0" w:type="dxa"/>
            <w:left w:w="108" w:type="dxa"/>
            <w:bottom w:w="0" w:type="dxa"/>
            <w:right w:w="108" w:type="dxa"/>
          </w:tblCellMar>
        </w:tblPrEx>
        <w:trPr>
          <w:jc w:val="center"/>
        </w:trPr>
        <w:tc>
          <w:tcPr>
            <w:tcW w:w="8646" w:type="dxa"/>
            <w:shd w:val="clear" w:color="auto" w:fill="003366"/>
          </w:tcPr>
          <w:p w14:paraId="19F8D388">
            <w:pPr>
              <w:jc w:val="center"/>
            </w:pPr>
            <w:r>
              <w:rPr>
                <w:rFonts w:ascii="宋体" w:hAnsi="宋体" w:eastAsia="宋体"/>
                <w:b w:val="0"/>
                <w:color w:val="CCE5FF"/>
                <w:sz w:val="26"/>
              </w:rPr>
              <w:t>比选人：阿坝藏族羌族自治州财政局</w:t>
            </w:r>
          </w:p>
          <w:p w14:paraId="4F752B0D"/>
          <w:p w14:paraId="7431E9AC"/>
          <w:p w14:paraId="581DA40F"/>
          <w:p w14:paraId="5252A605"/>
          <w:p w14:paraId="65DD0155"/>
          <w:p w14:paraId="68F9ED98"/>
          <w:p w14:paraId="2A4AA4AF"/>
          <w:p w14:paraId="7FB26D78"/>
          <w:p w14:paraId="31908325">
            <w:pPr>
              <w:jc w:val="center"/>
            </w:pPr>
            <w:r>
              <w:rPr>
                <w:rFonts w:ascii="黑体" w:hAnsi="黑体" w:eastAsia="黑体"/>
                <w:b w:val="0"/>
                <w:color w:val="FFFFFF"/>
                <w:sz w:val="44"/>
              </w:rPr>
              <w:t>2026年阿坝州财政局州本级</w:t>
            </w:r>
          </w:p>
          <w:p w14:paraId="4C5AA7A4">
            <w:pPr>
              <w:jc w:val="center"/>
            </w:pPr>
            <w:r>
              <w:rPr>
                <w:rFonts w:ascii="黑体" w:hAnsi="黑体" w:eastAsia="黑体"/>
                <w:b w:val="0"/>
                <w:color w:val="FFFFFF"/>
                <w:sz w:val="44"/>
              </w:rPr>
              <w:t>建设项目竣工财务决算审核项目</w:t>
            </w:r>
          </w:p>
          <w:p w14:paraId="13A56D85">
            <w:pPr>
              <w:jc w:val="center"/>
            </w:pPr>
            <w:r>
              <w:rPr>
                <w:rFonts w:ascii="黑体" w:hAnsi="黑体" w:eastAsia="黑体"/>
                <w:b/>
                <w:color w:val="B8860B"/>
                <w:sz w:val="60"/>
              </w:rPr>
              <w:t>投  标  文  件</w:t>
            </w:r>
          </w:p>
          <w:p w14:paraId="51AF9767"/>
          <w:p w14:paraId="75AC1EAE"/>
          <w:p w14:paraId="3ED96B45"/>
          <w:p w14:paraId="2D5FEDD7"/>
          <w:p w14:paraId="630C6339">
            <w:pPr>
              <w:jc w:val="center"/>
            </w:pPr>
            <w:r>
              <w:rPr>
                <w:rFonts w:ascii="宋体" w:hAnsi="宋体" w:eastAsia="宋体"/>
                <w:b w:val="0"/>
                <w:color w:val="FFFFFF"/>
                <w:sz w:val="24"/>
              </w:rPr>
              <w:t>投  标  单  位  名  称：________________________</w:t>
            </w:r>
          </w:p>
          <w:p w14:paraId="258821CD"/>
          <w:p w14:paraId="0C6CDE35">
            <w:pPr>
              <w:jc w:val="center"/>
            </w:pPr>
            <w:r>
              <w:rPr>
                <w:rFonts w:ascii="宋体" w:hAnsi="宋体" w:eastAsia="宋体"/>
                <w:b w:val="0"/>
                <w:color w:val="FFFFFF"/>
                <w:sz w:val="24"/>
              </w:rPr>
              <w:t>2026年  月  日</w:t>
            </w:r>
          </w:p>
        </w:tc>
      </w:tr>
    </w:tbl>
    <w:p w14:paraId="52ABE7E6">
      <w:r>
        <w:br w:type="page"/>
      </w:r>
    </w:p>
    <w:p w14:paraId="09958137">
      <w:pPr>
        <w:spacing w:before="200" w:after="80" w:line="360" w:lineRule="auto"/>
        <w:jc w:val="both"/>
      </w:pPr>
      <w:r>
        <w:rPr>
          <w:rFonts w:ascii="黑体" w:hAnsi="黑体" w:eastAsia="黑体"/>
          <w:b/>
          <w:color w:val="003366"/>
          <w:sz w:val="28"/>
        </w:rPr>
        <w:t>目    录</w:t>
      </w:r>
    </w:p>
    <w:p w14:paraId="0B8366C4">
      <w:pPr>
        <w:spacing w:before="60" w:after="60" w:line="360" w:lineRule="auto"/>
      </w:pPr>
      <w:r>
        <w:rPr>
          <w:rFonts w:ascii="黑体" w:hAnsi="黑体" w:eastAsia="黑体"/>
          <w:b/>
          <w:color w:val="003366"/>
          <w:sz w:val="24"/>
        </w:rPr>
        <w:t xml:space="preserve">第一章  </w:t>
      </w:r>
      <w:r>
        <w:rPr>
          <w:rFonts w:ascii="宋体" w:hAnsi="宋体" w:eastAsia="宋体"/>
          <w:b w:val="0"/>
          <w:color w:val="000000"/>
          <w:sz w:val="24"/>
        </w:rPr>
        <w:t>项目理解与总体思路</w:t>
      </w:r>
      <w:r>
        <w:rPr>
          <w:rFonts w:ascii="宋体" w:hAnsi="宋体" w:eastAsia="宋体"/>
          <w:b w:val="0"/>
          <w:color w:val="404040"/>
          <w:sz w:val="24"/>
        </w:rPr>
        <w:t xml:space="preserve">  ……  3</w:t>
      </w:r>
    </w:p>
    <w:p w14:paraId="22B0E260">
      <w:pPr>
        <w:jc w:val="center"/>
      </w:pPr>
    </w:p>
    <w:p w14:paraId="498B09B4">
      <w:pPr>
        <w:spacing w:before="60" w:after="60" w:line="360" w:lineRule="auto"/>
      </w:pPr>
      <w:r>
        <w:rPr>
          <w:rFonts w:ascii="黑体" w:hAnsi="黑体" w:eastAsia="黑体"/>
          <w:b/>
          <w:color w:val="003366"/>
          <w:sz w:val="24"/>
        </w:rPr>
        <w:t xml:space="preserve">第二章  </w:t>
      </w:r>
      <w:r>
        <w:rPr>
          <w:rFonts w:ascii="宋体" w:hAnsi="宋体" w:eastAsia="宋体"/>
          <w:b w:val="0"/>
          <w:color w:val="000000"/>
          <w:sz w:val="24"/>
        </w:rPr>
        <w:t>工作重点与难点分析</w:t>
      </w:r>
      <w:r>
        <w:rPr>
          <w:rFonts w:ascii="宋体" w:hAnsi="宋体" w:eastAsia="宋体"/>
          <w:b w:val="0"/>
          <w:color w:val="404040"/>
          <w:sz w:val="24"/>
        </w:rPr>
        <w:t xml:space="preserve">  ……  9</w:t>
      </w:r>
    </w:p>
    <w:p w14:paraId="5AC6B1D1">
      <w:pPr>
        <w:jc w:val="center"/>
      </w:pPr>
    </w:p>
    <w:p w14:paraId="1A6815A8">
      <w:pPr>
        <w:spacing w:before="60" w:after="60" w:line="360" w:lineRule="auto"/>
      </w:pPr>
      <w:r>
        <w:rPr>
          <w:rFonts w:ascii="黑体" w:hAnsi="黑体" w:eastAsia="黑体"/>
          <w:b/>
          <w:color w:val="003366"/>
          <w:sz w:val="24"/>
        </w:rPr>
        <w:t xml:space="preserve">第三章  </w:t>
      </w:r>
      <w:r>
        <w:rPr>
          <w:rFonts w:ascii="宋体" w:hAnsi="宋体" w:eastAsia="宋体"/>
          <w:b w:val="0"/>
          <w:color w:val="000000"/>
          <w:sz w:val="24"/>
        </w:rPr>
        <w:t>审计流程与进度安排</w:t>
      </w:r>
      <w:r>
        <w:rPr>
          <w:rFonts w:ascii="宋体" w:hAnsi="宋体" w:eastAsia="宋体"/>
          <w:b w:val="0"/>
          <w:color w:val="404040"/>
          <w:sz w:val="24"/>
        </w:rPr>
        <w:t xml:space="preserve">  ……  16</w:t>
      </w:r>
    </w:p>
    <w:p w14:paraId="09231ACB">
      <w:pPr>
        <w:jc w:val="center"/>
      </w:pPr>
    </w:p>
    <w:p w14:paraId="2F086909">
      <w:pPr>
        <w:spacing w:before="60" w:after="60" w:line="360" w:lineRule="auto"/>
      </w:pPr>
      <w:r>
        <w:rPr>
          <w:rFonts w:ascii="黑体" w:hAnsi="黑体" w:eastAsia="黑体"/>
          <w:b/>
          <w:color w:val="003366"/>
          <w:sz w:val="24"/>
        </w:rPr>
        <w:t xml:space="preserve">第四章  </w:t>
      </w:r>
      <w:r>
        <w:rPr>
          <w:rFonts w:ascii="宋体" w:hAnsi="宋体" w:eastAsia="宋体"/>
          <w:b w:val="0"/>
          <w:color w:val="000000"/>
          <w:sz w:val="24"/>
        </w:rPr>
        <w:t>审计管理制度</w:t>
      </w:r>
      <w:r>
        <w:rPr>
          <w:rFonts w:ascii="宋体" w:hAnsi="宋体" w:eastAsia="宋体"/>
          <w:b w:val="0"/>
          <w:color w:val="404040"/>
          <w:sz w:val="24"/>
        </w:rPr>
        <w:t xml:space="preserve">  ……  23</w:t>
      </w:r>
    </w:p>
    <w:p w14:paraId="3D54A1C1">
      <w:pPr>
        <w:jc w:val="center"/>
      </w:pPr>
    </w:p>
    <w:p w14:paraId="5E621FE2">
      <w:pPr>
        <w:spacing w:before="60" w:after="60" w:line="360" w:lineRule="auto"/>
      </w:pPr>
      <w:r>
        <w:rPr>
          <w:rFonts w:ascii="黑体" w:hAnsi="黑体" w:eastAsia="黑体"/>
          <w:b/>
          <w:color w:val="003366"/>
          <w:sz w:val="24"/>
        </w:rPr>
        <w:t xml:space="preserve">第五章  </w:t>
      </w:r>
      <w:r>
        <w:rPr>
          <w:rFonts w:ascii="宋体" w:hAnsi="宋体" w:eastAsia="宋体"/>
          <w:b w:val="0"/>
          <w:color w:val="000000"/>
          <w:sz w:val="24"/>
        </w:rPr>
        <w:t>审计机构设置与岗位职责</w:t>
      </w:r>
      <w:r>
        <w:rPr>
          <w:rFonts w:ascii="宋体" w:hAnsi="宋体" w:eastAsia="宋体"/>
          <w:b w:val="0"/>
          <w:color w:val="404040"/>
          <w:sz w:val="24"/>
        </w:rPr>
        <w:t xml:space="preserve">  ……  33</w:t>
      </w:r>
    </w:p>
    <w:p w14:paraId="6B36D221">
      <w:pPr>
        <w:jc w:val="center"/>
      </w:pPr>
      <w:bookmarkStart w:id="41" w:name="_GoBack"/>
      <w:r>
        <w:drawing>
          <wp:inline distT="0" distB="0" distL="114300" distR="114300">
            <wp:extent cx="5303520" cy="2915920"/>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303520" cy="2916361"/>
                    </a:xfrm>
                    <a:prstGeom prst="rect">
                      <a:avLst/>
                    </a:prstGeom>
                  </pic:spPr>
                </pic:pic>
              </a:graphicData>
            </a:graphic>
          </wp:inline>
        </w:drawing>
      </w:r>
      <w:bookmarkEnd w:id="41"/>
    </w:p>
    <w:p w14:paraId="64431C86">
      <w:pPr>
        <w:spacing w:before="60" w:after="60" w:line="360" w:lineRule="auto"/>
      </w:pPr>
      <w:r>
        <w:rPr>
          <w:rFonts w:ascii="黑体" w:hAnsi="黑体" w:eastAsia="黑体"/>
          <w:b/>
          <w:color w:val="003366"/>
          <w:sz w:val="24"/>
        </w:rPr>
        <w:t xml:space="preserve">第六章  </w:t>
      </w:r>
      <w:r>
        <w:rPr>
          <w:rFonts w:ascii="宋体" w:hAnsi="宋体" w:eastAsia="宋体"/>
          <w:b w:val="0"/>
          <w:color w:val="000000"/>
          <w:sz w:val="24"/>
        </w:rPr>
        <w:t>审计服务质量保证措施</w:t>
      </w:r>
      <w:r>
        <w:rPr>
          <w:rFonts w:ascii="宋体" w:hAnsi="宋体" w:eastAsia="宋体"/>
          <w:b w:val="0"/>
          <w:color w:val="404040"/>
          <w:sz w:val="24"/>
        </w:rPr>
        <w:t xml:space="preserve">  ……  39</w:t>
      </w:r>
    </w:p>
    <w:p w14:paraId="2FC74E26">
      <w:pPr>
        <w:jc w:val="center"/>
      </w:pPr>
      <w:r>
        <w:drawing>
          <wp:inline distT="0" distB="0" distL="114300" distR="114300">
            <wp:extent cx="5303520" cy="2082165"/>
            <wp:effectExtent l="0" t="0" r="508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303520" cy="2082293"/>
                    </a:xfrm>
                    <a:prstGeom prst="rect">
                      <a:avLst/>
                    </a:prstGeom>
                  </pic:spPr>
                </pic:pic>
              </a:graphicData>
            </a:graphic>
          </wp:inline>
        </w:drawing>
      </w:r>
    </w:p>
    <w:p w14:paraId="4FC47C7E">
      <w:pPr>
        <w:spacing w:before="60" w:after="60" w:line="360" w:lineRule="auto"/>
      </w:pPr>
      <w:r>
        <w:rPr>
          <w:rFonts w:ascii="黑体" w:hAnsi="黑体" w:eastAsia="黑体"/>
          <w:b/>
          <w:color w:val="003366"/>
          <w:sz w:val="24"/>
        </w:rPr>
        <w:t xml:space="preserve">第七章  </w:t>
      </w:r>
      <w:r>
        <w:rPr>
          <w:rFonts w:ascii="宋体" w:hAnsi="宋体" w:eastAsia="宋体"/>
          <w:b w:val="0"/>
          <w:color w:val="000000"/>
          <w:sz w:val="24"/>
        </w:rPr>
        <w:t>类似业绩与履约能力</w:t>
      </w:r>
      <w:r>
        <w:rPr>
          <w:rFonts w:ascii="宋体" w:hAnsi="宋体" w:eastAsia="宋体"/>
          <w:b w:val="0"/>
          <w:color w:val="404040"/>
          <w:sz w:val="24"/>
        </w:rPr>
        <w:t xml:space="preserve">  ……  45</w:t>
      </w:r>
    </w:p>
    <w:p w14:paraId="1823A190">
      <w:pPr>
        <w:jc w:val="center"/>
      </w:pPr>
      <w:r>
        <w:drawing>
          <wp:inline distT="0" distB="0" distL="114300" distR="114300">
            <wp:extent cx="5303520" cy="2944495"/>
            <wp:effectExtent l="0" t="0" r="508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303520" cy="2945122"/>
                    </a:xfrm>
                    <a:prstGeom prst="rect">
                      <a:avLst/>
                    </a:prstGeom>
                  </pic:spPr>
                </pic:pic>
              </a:graphicData>
            </a:graphic>
          </wp:inline>
        </w:drawing>
      </w:r>
    </w:p>
    <w:p w14:paraId="04E9F5FD">
      <w:pPr>
        <w:spacing w:before="60" w:after="60" w:line="360" w:lineRule="auto"/>
      </w:pPr>
      <w:r>
        <w:rPr>
          <w:rFonts w:ascii="黑体" w:hAnsi="黑体" w:eastAsia="黑体"/>
          <w:b/>
          <w:color w:val="003366"/>
          <w:sz w:val="24"/>
        </w:rPr>
        <w:t xml:space="preserve">第八章  </w:t>
      </w:r>
      <w:r>
        <w:rPr>
          <w:rFonts w:ascii="宋体" w:hAnsi="宋体" w:eastAsia="宋体"/>
          <w:b w:val="0"/>
          <w:color w:val="000000"/>
          <w:sz w:val="24"/>
        </w:rPr>
        <w:t>报价说明</w:t>
      </w:r>
      <w:r>
        <w:rPr>
          <w:rFonts w:ascii="宋体" w:hAnsi="宋体" w:eastAsia="宋体"/>
          <w:b w:val="0"/>
          <w:color w:val="404040"/>
          <w:sz w:val="24"/>
        </w:rPr>
        <w:t xml:space="preserve">  ……  49</w:t>
      </w:r>
    </w:p>
    <w:p w14:paraId="238A78D5">
      <w:pPr>
        <w:jc w:val="center"/>
      </w:pPr>
      <w:r>
        <w:drawing>
          <wp:inline distT="0" distB="0" distL="114300" distR="114300">
            <wp:extent cx="5303520" cy="2484755"/>
            <wp:effectExtent l="0" t="0" r="508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303520" cy="2484946"/>
                    </a:xfrm>
                    <a:prstGeom prst="rect">
                      <a:avLst/>
                    </a:prstGeom>
                  </pic:spPr>
                </pic:pic>
              </a:graphicData>
            </a:graphic>
          </wp:inline>
        </w:drawing>
      </w:r>
    </w:p>
    <w:p w14:paraId="2A903C14">
      <w:pPr>
        <w:spacing w:before="60" w:after="60" w:line="360" w:lineRule="auto"/>
      </w:pPr>
      <w:r>
        <w:rPr>
          <w:rFonts w:ascii="黑体" w:hAnsi="黑体" w:eastAsia="黑体"/>
          <w:b/>
          <w:color w:val="003366"/>
          <w:sz w:val="24"/>
        </w:rPr>
        <w:t xml:space="preserve">附件  </w:t>
      </w:r>
      <w:r>
        <w:rPr>
          <w:rFonts w:ascii="宋体" w:hAnsi="宋体" w:eastAsia="宋体"/>
          <w:b w:val="0"/>
          <w:color w:val="404040"/>
          <w:sz w:val="24"/>
        </w:rPr>
        <w:t xml:space="preserve">  ……  53</w:t>
      </w:r>
    </w:p>
    <w:p w14:paraId="15921C28">
      <w:r>
        <w:br w:type="page"/>
      </w:r>
    </w:p>
    <w:p w14:paraId="7C082C85">
      <w:pPr>
        <w:spacing w:before="0" w:after="120" w:line="360" w:lineRule="auto"/>
        <w:ind w:firstLine="168"/>
        <w:jc w:val="both"/>
        <w:rPr>
          <w:rFonts w:ascii="宋体" w:hAnsi="宋体" w:eastAsia="宋体"/>
          <w:b w:val="0"/>
          <w:color w:val="000000"/>
          <w:sz w:val="24"/>
        </w:rPr>
      </w:pPr>
      <w:r>
        <w:drawing>
          <wp:inline distT="0" distB="0" distL="114300" distR="114300">
            <wp:extent cx="5374005" cy="2541905"/>
            <wp:effectExtent l="0" t="0" r="1079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374005" cy="2542468"/>
                    </a:xfrm>
                    <a:prstGeom prst="rect">
                      <a:avLst/>
                    </a:prstGeom>
                  </pic:spPr>
                </pic:pic>
              </a:graphicData>
            </a:graphic>
          </wp:inline>
        </w:drawing>
      </w:r>
    </w:p>
    <w:p w14:paraId="7AF48AA5">
      <w:pPr>
        <w:spacing w:before="0" w:after="120" w:line="360" w:lineRule="auto"/>
        <w:ind w:firstLine="168"/>
        <w:jc w:val="both"/>
        <w:rPr>
          <w:rFonts w:ascii="宋体" w:hAnsi="宋体" w:eastAsia="宋体"/>
          <w:b w:val="0"/>
          <w:color w:val="000000"/>
          <w:sz w:val="24"/>
        </w:rPr>
      </w:pPr>
    </w:p>
    <w:p w14:paraId="248F4B62">
      <w:pPr>
        <w:spacing w:before="0" w:after="120" w:line="360" w:lineRule="auto"/>
        <w:ind w:firstLine="168"/>
        <w:jc w:val="both"/>
        <w:rPr>
          <w:rFonts w:ascii="宋体" w:hAnsi="宋体" w:eastAsia="宋体"/>
          <w:b w:val="0"/>
          <w:color w:val="000000"/>
          <w:sz w:val="24"/>
        </w:rPr>
      </w:pPr>
    </w:p>
    <w:p w14:paraId="551BBD35">
      <w:pPr>
        <w:spacing w:before="0" w:after="120" w:line="360" w:lineRule="auto"/>
        <w:ind w:firstLine="168"/>
        <w:jc w:val="both"/>
      </w:pPr>
      <w:r>
        <w:rPr>
          <w:rFonts w:ascii="宋体" w:hAnsi="宋体" w:eastAsia="宋体"/>
          <w:b w:val="0"/>
          <w:color w:val="000000"/>
          <w:sz w:val="24"/>
        </w:rPr>
        <w:t>阿坝藏族羌族自治州位于四川省西北部、青藏高原东南缘，是全国十大藏区的重要组成部分，地理位置介于东经100°0′至103°30′、北纬30°35′至34°19′之间，全州辖马尔康市和理县、茂县、松潘县、九寨沟县、若尔盖县、红原县、阿坝县、壤塘县、金川县、小金县、黑水县、汶川县共12个县，幅员面积8.42万平方公里，约占四川省面积的17.3%，是中国西部重要的民族地区和生态屏障区域。阿坝州地势西北高、东南低，平均海拔3,000米以上，其中超过4,000米的山峰近200座，境内最高峰为四姑娘山主峰，海拔6,250米，有"蜀山皇后"之美誉。全州属于典型的高原气候区，年均气温7.8℃，昼夜温差大，日照充足，紫外线辐射强，每年11月至次年4月为霜冻期，冬季漫长而寒冷，大部分地区属于季节性冻土层，对工程建设有着显著影响，施工作业窗口期相对较短。</w:t>
      </w:r>
    </w:p>
    <w:p w14:paraId="0E5A1272">
      <w:pPr>
        <w:spacing w:before="0" w:after="120" w:line="360" w:lineRule="auto"/>
        <w:ind w:firstLine="168"/>
        <w:jc w:val="both"/>
      </w:pPr>
      <w:r>
        <w:rPr>
          <w:rFonts w:ascii="宋体" w:hAnsi="宋体" w:eastAsia="宋体"/>
          <w:b w:val="0"/>
          <w:color w:val="000000"/>
          <w:sz w:val="24"/>
        </w:rPr>
        <w:t>从行政区划和人口分布来看，阿坝州总人口约92万人，其中藏族占56.7%，羌族占18.5%，汉族占22.8%，回族和其他民族占2%，是一个以藏族、羌族为主体的多民族聚居区。全州经济以畜牧业、旅游业、水电矿业为三大支柱产业。畜牧业方面，全州有草场面积453万公顷，是四川省重要的畜牧业基地，主要养殖牦牛、藏系绵羊等特色畜种，牦牛存栏量约占四川省的1/4。旅游业方面，阿坝州拥有九寨沟、黄龙、卧龙·四姑娘山大熊猫栖息地等3处世界自然遗产，是国际知名的旅游目的地，九寨沟景区年接待游客超过500万人次，旅游业收入占全州GDP的比重超过50%。水电矿业方面，全州水能资源理论蕴藏量约4,800万千瓦，可开发量约3,200万千瓦，是四川省"西电东送"的重要能源基地，主要矿种包括金矿、锂矿、铀矿等，矿产资源潜在经济价值超过万亿元。</w:t>
      </w:r>
    </w:p>
    <w:p w14:paraId="20DCEBBF">
      <w:pPr>
        <w:spacing w:before="0" w:after="120" w:line="360" w:lineRule="auto"/>
        <w:ind w:firstLine="168"/>
        <w:jc w:val="both"/>
      </w:pPr>
      <w:r>
        <w:rPr>
          <w:rFonts w:ascii="宋体" w:hAnsi="宋体" w:eastAsia="宋体"/>
          <w:b w:val="0"/>
          <w:color w:val="000000"/>
          <w:sz w:val="24"/>
        </w:rPr>
        <w:t>随着国家"一带一路"倡议、长江经济带发展、新一轮西部大开发、对口援藏等重大战略的深入推进，特别是"十四五"规划的实施，阿坝州基础设施建设进入了新一轮高峰期。近年来，成兰铁路、成都至西宁铁路等重大交通项目陆续开工或建成，制约当地发展的交通瓶颈逐步打破，州内公路总里程超过1.5万公里，实现了乡乡通公路、村村通硬化路的目标。州本级建设项目涵盖市政基础设施（如城镇道路、桥梁、排水、污水处理、垃圾处理、路灯照明、绿化景观等）、公共服务设施（如学校、医院、文化场馆、体育场馆、养老院、社区服务中心等）、生态保护工程（如草原生态修复、湿地保护、水土保持、地质灾害治理等）、交通水利工程（如农村公路、病险水库除险加固、灌溉设施、人饮安全工程等）以及信息化工程等多个领域，项目数量多、类型杂、分布广，投资规模从数百万元到数亿元不等。这些项目资金来源多为中央预算内投资、省级财政配套资金、地方自筹资金以及对口援建资金，来源结构多元复杂，多头管理给竣工财务决算审核带来了较大难度。</w:t>
      </w:r>
    </w:p>
    <w:p w14:paraId="7B054C81">
      <w:pPr>
        <w:spacing w:before="0" w:after="120" w:line="360" w:lineRule="auto"/>
        <w:ind w:firstLine="168"/>
        <w:jc w:val="both"/>
      </w:pPr>
      <w:r>
        <w:rPr>
          <w:rFonts w:ascii="宋体" w:hAnsi="宋体" w:eastAsia="宋体"/>
          <w:b w:val="0"/>
          <w:color w:val="000000"/>
          <w:sz w:val="24"/>
        </w:rPr>
        <w:t>建设项目竣工财务决算是基本建设项目全流程管理的最终环节，也是项目建成后办理资产移交、产权登记、投资结（决）算和绩效考核的重要依据。依据《基本建设财务规则》（财政部令第81号）的规定，建设单位应当在项目竣工后及时办理竣工财务决算，任何单位或个人不得无故拖延，竣工财务决算批复前，项目结余资金不得动用。财建〔2016〕503号文《基本建设项目竣工财务决算管理暂行办法》进一步明确，竣工财务决算的审核批复是基本建设财务管理的重要环节，直接关系到国有资产的管理效率和公共资金的使用效益。财政部第81号令明确规定了基本建设财务管理的各项要求，包括建设资金的来源与使用管理、建设成本的归集与计算、基建收入的核算与管理、工程价款结算管理、竣工财务决算管理等核心内容，是竣工财务决算审核的基本法规依据。此外，《基本建设项目建设成本管理规定》（财建〔2016〕504号）对建设成本的列支范围、分摊方法、计价标准等作了详细规定，是核实建设成本的重要依据。</w:t>
      </w:r>
    </w:p>
    <w:p w14:paraId="20D5FAD3">
      <w:pPr>
        <w:spacing w:before="0" w:after="120" w:line="360" w:lineRule="auto"/>
        <w:ind w:firstLine="168"/>
        <w:jc w:val="both"/>
      </w:pPr>
      <w:r>
        <w:rPr>
          <w:rFonts w:ascii="宋体" w:hAnsi="宋体" w:eastAsia="宋体"/>
          <w:b w:val="0"/>
          <w:color w:val="000000"/>
          <w:sz w:val="24"/>
        </w:rPr>
        <w:t>根据比选文件第三章"★服务内容"的要求，本项目审核重点聚焦于项目核算管理情况审核，即对建设单位执行《基本建设财务规则》及相关会计制度情况进行审核，具体包括以下核心内容：第一，建设成本核算审核，核实成本归集是否准确，是否超过批准建设内容发生支出，有无虚列成本问题；第二，支出合规性审核，核查是否存在不符合合同协议的支出、是否存在非法收费和摊派；第三，票据合规性审核，核查有无无发票或发票项目不全、无审批手续、无责任人员签字的支出；第四，损失浪费审核，核查因设计单位、施工单位或供货单位原因造成的工程报废损失及其责任划分；第五，制度执行审核，核查执行《基本建设财务规则》及相关会计制度的有效性。这些审核内容相互关联、相互印证，需要审核人员具备扎实的专业功底和丰富的实践经验。</w:t>
      </w:r>
    </w:p>
    <w:p w14:paraId="42CDD0CB">
      <w:pPr>
        <w:spacing w:before="0" w:after="120" w:line="360" w:lineRule="auto"/>
        <w:ind w:firstLine="168"/>
        <w:jc w:val="both"/>
      </w:pPr>
      <w:r>
        <w:rPr>
          <w:rFonts w:ascii="宋体" w:hAnsi="宋体" w:eastAsia="宋体"/>
          <w:b w:val="0"/>
          <w:color w:val="000000"/>
          <w:sz w:val="24"/>
        </w:rPr>
        <w:t>在审核方法上，本项目综合运用八种专业方法：全面核查法、数据分析法、现场核实法、函证询证法、专家咨询法、穿行测试法、符合性测试法和实质性测试法。全面核查法是对竣工财务决算报告及所附全部会计账簿、凭证、合同协议、竣工图纸、会议纪要、监理报告等资料进行全面、系统、细致的查阅审核，确保不遗漏任何重要资料。数据分析法是通过对会计数据、工程量数据、预算数据进行定量分析，发现异常变动和异常数值，识别审核重点领域。现场核实法是审核人员到项目现场进行实地查看、测量、盘点，对会计账簿记录与实物资产进行核对，防止虚报工程量等虚假记载行为。函证询证法是向被审核单位以外的相关方发函核实债权债务、银行存款余额等事项的真实性。专家咨询法是针对专业性较强的问题征询相关领域专家意见。穿行测试法是选取若干笔重大经济业务从起点追踪至财务报表反映终点，验证业务流程合规性。符合性测试和实质性测试则分别评价内部控制有效性和财务报表各项目金额的真实性。这八种方法相互配合、相互印证，形成完整的证据链，确保审核结论的可靠性和充分性。</w:t>
      </w:r>
    </w:p>
    <w:p w14:paraId="638498E9">
      <w:pPr>
        <w:spacing w:before="0" w:after="120" w:line="360" w:lineRule="auto"/>
        <w:ind w:firstLine="168"/>
        <w:jc w:val="both"/>
      </w:pPr>
      <w:r>
        <w:rPr>
          <w:rFonts w:ascii="宋体" w:hAnsi="宋体" w:eastAsia="宋体"/>
          <w:b w:val="0"/>
          <w:color w:val="000000"/>
          <w:sz w:val="24"/>
        </w:rPr>
        <w:t>建设项目竣工财务决算审核报告的撰写应当遵循客观、公正、完整、清晰的原则。一份高质量的审核报告应当具备以下特点：第一，内容完整，应当包括审核背景、审核依据、审核范围、审核方法、审核发现、审核意见和管理建议等全部必要内容，无缺项漏项；第二，事实清楚，审核报告中反映的事实应当准确无误，每一项审核发现都应当有充分的证据支持；第三，责任明确，对于审核发现的问题，应当分清建设单位、设计单位、施工单位、监理单位等各方的责任，不得含混不清；第四，依据充分，审核结论和建议应当有明确的法规政策依据或技术标准依据，不得主观臆断；第五，建议可行，提出的管理建议应当具有针对性和可操作性，能够切实帮助建设单位改进管理。审核报告初稿完成后，应当与建设单位充分交换意见，对建设单位提出的合理意见应当予以采纳，对有异议的事项应当充分沟通、达成共识，最终形成客观公正的审核报告。</w:t>
      </w:r>
    </w:p>
    <w:p w14:paraId="1452237B">
      <w:pPr>
        <w:spacing w:before="0" w:after="120" w:line="360" w:lineRule="auto"/>
        <w:ind w:firstLine="168"/>
        <w:jc w:val="both"/>
      </w:pPr>
      <w:r>
        <w:rPr>
          <w:rFonts w:ascii="宋体" w:hAnsi="宋体" w:eastAsia="宋体"/>
          <w:b w:val="0"/>
          <w:color w:val="000000"/>
          <w:sz w:val="24"/>
        </w:rPr>
        <w:t>工程造价的确定与控制是政府投资项目管理永恒的主题。工程造价确定的基本原理是"量价分离"，即工程量按照设计图纸和计量规范计算，价格按照定额或市场价确定。工程造价控制的基本原则是"静态控制、动态管理"，即在建设初期确定投资控制目标，在建设过程中根据市场变化和政策调整进行动态调整。工程造价的影响因素是多方面的，包括设计因素（设计方案的合理性、设计深度等）、市场因素（材料价格波动、人工费变化等）、管理因素（变更签证的管理水平、索赔处理的及时性等）、政策因素（税收政策、环保政策等）。竣工财务决算审核的重要任务之一，就是核实工程造价的真实性、准确性，揭示工程造价管理中存在的问题，提出改进建议。从阿坝州的实践来看，影响工程造价的特殊因素包括：高原施工增加费、冬季施工费、运费调整、地质条件变化等，这些因素在审核时需要予以重点关注。</w:t>
      </w:r>
    </w:p>
    <w:p w14:paraId="4DBED75B">
      <w:pPr>
        <w:spacing w:before="0" w:after="120" w:line="360" w:lineRule="auto"/>
        <w:ind w:firstLine="168"/>
        <w:jc w:val="both"/>
      </w:pPr>
      <w:r>
        <w:rPr>
          <w:rFonts w:ascii="宋体" w:hAnsi="宋体" w:eastAsia="宋体"/>
          <w:b w:val="0"/>
          <w:color w:val="000000"/>
          <w:sz w:val="24"/>
        </w:rPr>
        <w:t>基本建设项目投资控制的关键环节包括：决策阶段的投资控制，在项目建议书和可行性研究阶段，应当进行充分的技术经济论证，合理确定建设规模和建设标准，科学估算项目投资；设计阶段的投资控制，在初步设计阶段应当将投资估算分解到各专业工程，在施工图设计阶段应当按照批准的设计概算进行施工图预算编制，严格控制设计变更；招标阶段的投资控制，应当合理编制招标控制价，选择合理的合同价格形式（固定总价、固定单价或成本加酬金等）；施工阶段的投资控制，应当加强变更签证管理，严格控制新增费用，及时处理工程索赔；竣工阶段的投资控制，应当认真审核竣工结算，合理确定工程造价，及时编制竣工财务决算。投资控制是一个系统工程，需要在项目全过程中统筹把握，每一个环节都不能放松。</w:t>
      </w:r>
    </w:p>
    <w:p w14:paraId="064B896B">
      <w:pPr>
        <w:spacing w:before="0" w:after="120" w:line="360" w:lineRule="auto"/>
        <w:ind w:firstLine="168"/>
        <w:jc w:val="both"/>
      </w:pPr>
      <w:r>
        <w:rPr>
          <w:rFonts w:ascii="宋体" w:hAnsi="宋体" w:eastAsia="宋体"/>
          <w:b w:val="0"/>
          <w:color w:val="000000"/>
          <w:sz w:val="24"/>
        </w:rPr>
        <w:t>政府投资项目概算管理是投资控制的核心环节。概算管理的基本要求是：概算必须经过批准，概算一经批准应当严格执行，不得擅自超概；确需调整概算的，应当报原概算审批部门批准后方可调整；调整概算必须分析原因、落实资金、说明情况，不得先建后报、边建边报。根据现行规定，政府投资项目调概的主要情形包括：国家重大政策调整引起投资增加、地质条件发生重大变化引起设计变更、材料价格大幅上涨超出正常预期、不可抗力等不可预见因素引起投资增加等。调概的程序是：建设单位提出调概申请，报原初步设计审批部门审核，重大设计变更需报原可研审批部门批准。调概时应当落实资金来源，对于超概算投资的，应当查明原因、分清责任。竣工财务决算审核时，对于超概算的项目，应当关注概算调整是否经过批准、资金来源是否落实，分析超概原因，提出处理建议。</w:t>
      </w:r>
    </w:p>
    <w:p w14:paraId="3506ACB0">
      <w:pPr>
        <w:spacing w:before="0" w:after="120" w:line="360" w:lineRule="auto"/>
        <w:ind w:firstLine="168"/>
        <w:jc w:val="both"/>
      </w:pPr>
      <w:r>
        <w:rPr>
          <w:rFonts w:ascii="宋体" w:hAnsi="宋体" w:eastAsia="宋体"/>
          <w:b w:val="0"/>
          <w:color w:val="000000"/>
          <w:sz w:val="24"/>
        </w:rPr>
        <w:t>建设项目竣工财务决算编制的质量直接影响项目管理的最终成效。高质量的竣工财务决算应当满足以下要求：数字准确，各项数据应当经过认真核实，与会计账簿、报表、实物资产等保持一致；内容完整，应当包括项目建设全过程的所有财务收支情况，无遗漏项目、无账外资产；报表齐全，应当按照规定编制项目竣工财务决算报表，包括项目概况表、项目投资情况表、待核销基建支出明细表、转出投资明细表、交付使用资产总表、交付使用资产明细表等；说明详细，对于影响决算的重要事项应当在决算说明中进行详细披露；编报及时，应当在项目竣工后规定时间内完成决算编制并报送财政部门审批。竣工财务决算编制完成后，应当经建设单位负责人审批并加盖建设单位公章后报送审核。</w:t>
      </w:r>
    </w:p>
    <w:p w14:paraId="1EB18504">
      <w:pPr>
        <w:spacing w:before="0" w:after="120" w:line="360" w:lineRule="auto"/>
        <w:ind w:firstLine="168"/>
        <w:jc w:val="both"/>
      </w:pPr>
      <w:r>
        <w:rPr>
          <w:rFonts w:ascii="宋体" w:hAnsi="宋体" w:eastAsia="宋体"/>
          <w:b w:val="0"/>
          <w:color w:val="000000"/>
          <w:sz w:val="24"/>
        </w:rPr>
        <w:t>建设项目竣工财务决算审核中，审核证据的获取是核心工作，审核证据的质量直接决定审核结论的可靠性。审核证据的种类包括：实物证据，通过现场盘点、实地查看等方式获取的证据，如工程实物的数量和质量、设备材料的存在性和完好性等；书面证据，通过查阅文件资料获取的证据，如合同协议、发票收据、账簿凭证、竣工图纸、会议纪要、签证变更等；口头证据，通过询问相关人员获取的证据，如对项目建设过程、管理情况、争议事项的陈述；视听证据，通过录音、录像、照片等方式获取的证据，如工程现场的影像资料。审核证据的质量评价标准包括：相关性，即证据与审核发现的事项是否相关；可靠性，即证据来源是否可靠、内容是否真实；充分性，即证据的数量是否足够支持审核结论。审核人员应当对获取的证据进行审慎评价，对于存在疑问的证据应当进一步追查核实。审核证据应当形成完整的工作底稿，归档保存备查。</w:t>
      </w:r>
    </w:p>
    <w:p w14:paraId="2BA21158">
      <w:pPr>
        <w:spacing w:before="0" w:after="120" w:line="360" w:lineRule="auto"/>
        <w:ind w:firstLine="168"/>
        <w:jc w:val="both"/>
      </w:pPr>
      <w:r>
        <w:rPr>
          <w:rFonts w:ascii="宋体" w:hAnsi="宋体" w:eastAsia="宋体"/>
          <w:b w:val="0"/>
          <w:color w:val="000000"/>
          <w:sz w:val="24"/>
        </w:rPr>
        <w:t>阿坝州作为四川省重要的生态功能区和民族地区，在基础设施建设方面有着独特的要求和挑战。首先是生态保护的红线约束。阿坝州境内有多个自然保护区、风景名胜区、森林公园、地质公园等生态敏感区域，在这些区域内的项目建设受到严格的环保限制。项目建设必须符合主体功能区划和生态保护红线的要求，不得破坏重要的生态系统和景观资源。竣工财务决算审核时，应当关注项目是否存在违法占用生态保护红线的问题，是否落实了环评批复要求的环保措施，环保设施是否正常运行。其次是民族文化的保护传承。阿坝州是藏族羌族聚居区，民族文化底蕴深厚。在城镇建设、旧城改造等项目中，应当充分考虑对民族传统建筑风格、民俗文化场所等的保护。审核时应当关注项目是否妥善处理了与民族文化遗产保护的关系，是否存在因建设活动破坏民族文化资源的问题。第三是自然灾害的应对。阿坝州地质条件复杂，地震、滑坡、泥石流等自然灾害频发。项目建设必须充分考虑防灾减灾要求，建设标准和设计参数应当符合抗震设防要求。审核时应当关注项目是否按照抗震设防标准进行设计和施工，是否落实了地质灾害防治措施。</w:t>
      </w:r>
    </w:p>
    <w:p w14:paraId="15DF0320">
      <w:pPr>
        <w:spacing w:before="0" w:after="120" w:line="360" w:lineRule="auto"/>
        <w:ind w:firstLine="168"/>
        <w:jc w:val="both"/>
      </w:pPr>
      <w:r>
        <w:rPr>
          <w:rFonts w:ascii="宋体" w:hAnsi="宋体" w:eastAsia="宋体"/>
          <w:b w:val="0"/>
          <w:color w:val="000000"/>
          <w:sz w:val="24"/>
        </w:rPr>
        <w:t>建设项目资金管理是竣工财务决算审核的重中之重。资金管理的核心内容包括：资金筹集的管理，核查项目资金是否按照投资计划及时筹集到位，各项资金来源是否合规，中央预算内投资是否专款专用，地方配套资金是否落实，债券资金是否按照规定用途使用；资金拨付的管理，核查资金拨付程序是否合规，是否经过适当的审批程序，资金是否及时拨付到用款单位，是否存在截留挪用问题；资金使用的管理，核查建设资金是否严格按照批准的投资计划和建设内容使用，是否存在超范围使用、超标准支出的问题，是否存在虚列支出套取资金的问题；资金核算的管理，核查是否设置了专账进行核算，账务处理是否规范，会计科目使用是否正确，往来款项是否及时清理；资金结余的管理，核查项目资金结余情况，分析结余原因，按照规定处理结余资金，属于财政资金的应当缴回财政。资金管理的审核应当关注资金流转的全过程，从资金筹集到资金使用再到资金结余，每一个环节都不能放松。</w:t>
      </w:r>
    </w:p>
    <w:p w14:paraId="6790BC4F">
      <w:pPr>
        <w:spacing w:before="0" w:after="120" w:line="360" w:lineRule="auto"/>
        <w:ind w:firstLine="168"/>
        <w:jc w:val="both"/>
      </w:pPr>
      <w:r>
        <w:rPr>
          <w:rFonts w:ascii="宋体" w:hAnsi="宋体" w:eastAsia="宋体"/>
          <w:b w:val="0"/>
          <w:color w:val="000000"/>
          <w:sz w:val="24"/>
        </w:rPr>
        <w:t>工程价款的支付与核算管理是建设资金管理的核心环节。工程价款支付的主要依据包括：施工合同约定的支付条款，包括预付款比例、进度款支付比例、质量保证金预留比例等；工程进度确认文件，包括监理工程师确认的工程进度报告、经建设单位审核的工程量确认单等；工程结算审核文件，包括造价工程师审核的工程结算书、变更签证审核确认单等。工程价款支付审核的主要内容有：支付条件的合规性，核查工程款支付是否满足合同约定的支付条件，预付款的扣还是否及时准确，进度款支付是否与工程进度匹配，质量保证金预留是否合规；支付金额的准确性，核查申请支付的工程款金额是否与审核确认的结算金额一致，是否存在多付或少付问题；支付凭证的完整性，核查每笔支付的凭证是否齐全，包括发票、结算单、审批文件等；支付对象的正确性，核查工程款是否支付给了合同签订的施工单位，是否存在支付给第三方的问题；账务处理的规范性，核查工程价款的核算是否正确，是否正确区分预付款、进度款、结算款、质保金等不同性质的款项。</w:t>
      </w:r>
    </w:p>
    <w:p w14:paraId="35F9D9D4">
      <w:pPr>
        <w:spacing w:before="0" w:after="120" w:line="360" w:lineRule="auto"/>
        <w:ind w:firstLine="168"/>
        <w:jc w:val="both"/>
      </w:pPr>
      <w:r>
        <w:rPr>
          <w:rFonts w:ascii="宋体" w:hAnsi="宋体" w:eastAsia="宋体"/>
          <w:b w:val="0"/>
          <w:color w:val="000000"/>
          <w:sz w:val="24"/>
        </w:rPr>
        <w:t>建设项目竣工财务决算审核的抽样方法选择直接关系到审核结论的可靠性。抽样方法主要包括两大类：统计抽样和非统计抽样。统计抽样是根据概率论原理进行抽样，样本量是根据总体规模和可容忍误差等因素科学确定的，抽样结果可以推断总体特征；非统计抽样是审核人员根据职业判断进行抽样，样本量的确定主要依靠经验和判断，抽样结果不能推断总体但可以作为审核线索。在竣工财务决算审核中，常用的抽样方法包括：金额加权抽样，对金额较大的项目进行重点审核，优先选取金额超过一定标准的项目进行逐项核实；随机抽样，从全部项目中随机选取一定比例的样本进行审核；分层抽样，将全部项目按照金额、类型、风险等因素分层，在各层中分别选取样本进行审核；判断抽样，根据审核人员的职业判断选取样本，优先选取存在异常迹象的项目。抽样审核时，应当关注样本的代表性，确保样本能够反映总体的基本特征。对于发现的异常事项，应当扩大抽样范围或实施逐项核实。</w:t>
      </w:r>
    </w:p>
    <w:p w14:paraId="0ABAF00F">
      <w:pPr>
        <w:spacing w:before="0" w:after="120" w:line="360" w:lineRule="auto"/>
        <w:ind w:firstLine="168"/>
        <w:jc w:val="both"/>
      </w:pPr>
      <w:r>
        <w:rPr>
          <w:rFonts w:ascii="宋体" w:hAnsi="宋体" w:eastAsia="宋体"/>
          <w:b w:val="0"/>
          <w:color w:val="000000"/>
          <w:sz w:val="24"/>
        </w:rPr>
        <w:t>基本建设项目竣工财务决算报表是竣工财务决算的核心内容。竣工财务决算报表主要包括：项目概况表，反映项目的基本情况、建设规模、投资来源、竣工验收等基本信息；项目投资情况表，反映项目建设资金来源和使用的详细情况，包括投资计划、实际投资、投资完成情况等；待核销基建支出明细表，反映在项目建设过程中发生的、不能计入交付使用资产价值的各项支出，如报废工程损失、非常损失等；转出投资明细表，反映按规定转出的由本项目支付的、不能计入本项目交付使用资产价值的投资，如江河清障、缴入国库的投资等；交付使用资产总表，反映项目建设形成的交付使用资产的总括情况，包括资产名称、规格、数量、金额等；交付使用资产明细表，反映交付使用资产的具体情况，包括资产名称、规格型号、计量单位、数量、金额、组成情况等。竣工财务决算报表应当与会计账簿数据一致，报表之间数据应当相互衔接平衡。</w:t>
      </w:r>
    </w:p>
    <w:p w14:paraId="2F58701D">
      <w:pPr>
        <w:spacing w:before="0" w:after="120" w:line="360" w:lineRule="auto"/>
        <w:ind w:firstLine="168"/>
        <w:jc w:val="both"/>
      </w:pPr>
      <w:r>
        <w:rPr>
          <w:rFonts w:ascii="宋体" w:hAnsi="宋体" w:eastAsia="宋体"/>
          <w:b w:val="0"/>
          <w:color w:val="000000"/>
          <w:sz w:val="24"/>
        </w:rPr>
        <w:t>竣工财务决算审核与工程结算审核既有联系又有区别。两者的联系在于：都是对工程建设经济活动的专业审核，都涉及工程造价的确定，都需要以合同、图纸、签证等工程资料为依据。两者的区别在于：审核主体不同，工程结算审核通常由造价咨询机构进行，竣工财务决算审核既可以由造价咨询机构进行，也可以由会计师事务所进行；审核对象不同，工程结算审核的对象是施工单位编制的工程结算书，竣工财务决算审核的对象是建设单位编制的竣工财务决算报告；审核目的不同，工程结算审核的主要目的是确定工程价款的结算金额，竣工财务决算审核的主要目的是确认项目建设投资的真实性和完整性；审核内容不同，工程结算审核主要核实工程造价，竣工财务决算审核除了核实工程造价外，还包括建设成本、费用支出、资金来源、资产管理等内容。在实际操作中，工程结算审核往往是竣工财务决算审核的前置工作，竣工财务决算审核时通常不再对工程结算进行重新审核，而是直接引用工程结算审核的结果。</w:t>
      </w:r>
    </w:p>
    <w:p w14:paraId="26FF334B">
      <w:pPr>
        <w:spacing w:before="0" w:after="120" w:line="360" w:lineRule="auto"/>
        <w:ind w:firstLine="168"/>
        <w:jc w:val="both"/>
      </w:pPr>
      <w:r>
        <w:rPr>
          <w:rFonts w:ascii="宋体" w:hAnsi="宋体" w:eastAsia="宋体"/>
          <w:b w:val="0"/>
          <w:color w:val="000000"/>
          <w:sz w:val="24"/>
        </w:rPr>
        <w:t>建设项目档案管理是竣工财务决算审核的基础性工作。档案管理不规范将直接影响审核工作的效率和效果。档案管理的基本要求是：完整齐全，应当归档的文件资料必须全部收集齐全，不得遗漏，包括立项文件、审批文件、设计文件、合同协议、施工记录、监理记录、竣工资料、财务资料、验收资料等；整理规范，归档文件应当按照一定规则进行整理分类，编制清晰的档案目录，便于检索查阅；保管安全，档案资料应当妥善保管，防止丢失、损毁、泄密，对于重要档案应当异地备份；利用便捷，建立档案借阅登记制度，在确保档案安全的前提下，为档案利用提供便利。竣工财务决算审核过程中，应当重点查阅的档案资料包括：项目立项和概算批复文件、施工合同及补充协议、竣工图纸及竣工验收报告、监理日志和施工记录、工程变更和现场签证资料、会计凭证和账簿报表、工程结算书和审核报告等。审核人员应当做好档案查阅记录，对档案中发现的线索应当追查到底。</w:t>
      </w:r>
    </w:p>
    <w:p w14:paraId="01BC19C3">
      <w:pPr>
        <w:spacing w:before="0" w:after="120" w:line="360" w:lineRule="auto"/>
        <w:ind w:firstLine="168"/>
        <w:jc w:val="both"/>
      </w:pPr>
      <w:r>
        <w:rPr>
          <w:rFonts w:ascii="宋体" w:hAnsi="宋体" w:eastAsia="宋体"/>
          <w:b w:val="0"/>
          <w:color w:val="000000"/>
          <w:sz w:val="24"/>
        </w:rPr>
        <w:t>竣工财务决算审核的三阶段流程设计遵循系统化、规范化的原则。准备阶段的工作内容主要包括：收集项目基本情况资料，包括项目立项批复、可行性研究报告、初步设计概算、施工合同、招投标文件等；了解项目建设过程和管理情况，包括建设规模、资金来源、施工进度、验收情况等；制定审核方案，明确审核目标、审核范围、审核重点、审核程序、时间安排和人员分工；进行风险评估，识别可能存在的重大错报风险领域，确定重点审核范围；发出审核通知，告知建设单位审核的时间安排、需要准备的资料清单和配合事项；组织审核人员培训，确保审核人员熟悉项目特点、审核要求和审核程序。准备阶段的质量直接影响后续审核工作的效率和效果，必须予以充分重视。准备阶段一般需要5个工作日。</w:t>
      </w:r>
    </w:p>
    <w:p w14:paraId="61871946">
      <w:pPr>
        <w:spacing w:before="0" w:after="120" w:line="360" w:lineRule="auto"/>
        <w:ind w:firstLine="168"/>
        <w:jc w:val="both"/>
      </w:pPr>
      <w:r>
        <w:rPr>
          <w:rFonts w:ascii="宋体" w:hAnsi="宋体" w:eastAsia="宋体"/>
          <w:b w:val="0"/>
          <w:color w:val="000000"/>
          <w:sz w:val="24"/>
        </w:rPr>
        <w:t>实施阶段是审核工作的核心阶段，包括现场审核和审核分析两个主要环节。现场审核的主要工作包括：召开进点会，与建设单位相关人员见面，介绍审核工作的目的、范围和要求，了解项目建设管理情况；查阅账簿凭证，按照审计准则的要求查阅项目相关的会计凭证、会计账簿、财务报告等资料，核实各项支出的真实性、合法性和准确性；查阅工程资料，查阅施工合同、竣工图纸、变更签证、监理日志、验收报告等工程资料，核实工程造价的准确性；开展现场核实，对重要工程量、设备材料等进行现场抽查核实，验证账实是否相符；进行专项审核，对票据合规性、资金管理内控、债权债务等重点领域进行专项审核；编制工作底稿，对审核过程和审核发现进行详细记录，编制规范的审核工作底稿；与建设单位沟通，对审核中发现的问题及时与建设单位沟通核实，听取建设单位的说明和申辩。实施阶段的时间根据项目规模大小一般为30-45个工作日。</w:t>
      </w:r>
    </w:p>
    <w:p w14:paraId="755BF1C3">
      <w:pPr>
        <w:spacing w:before="0" w:after="120" w:line="360" w:lineRule="auto"/>
        <w:ind w:firstLine="168"/>
        <w:jc w:val="both"/>
      </w:pPr>
      <w:r>
        <w:rPr>
          <w:rFonts w:ascii="宋体" w:hAnsi="宋体" w:eastAsia="宋体"/>
          <w:b w:val="0"/>
          <w:color w:val="000000"/>
          <w:sz w:val="24"/>
        </w:rPr>
        <w:t>报告阶段是审核工作的收尾阶段，包括报告撰写、复核、征求意见、审批和出具五个环节。报告撰写环节的主要工作是根据审核结果撰写审核报告，报告应当包括项目基本情况、审核依据和范围、审核方法和程序、审核发现和存在问题、审核意见和管理建议等内容；复核环节是按照三级复核制度的要求对报告初稿进行层层复核，确保报告质量；征求意见环节是将报告发送建设单位征求意见，对建设单位提出的合理意见应当予以采纳；审批环节是按照本所内部审批程序对报告进行审批；出具环节是正式签章出具审核报告，向委托方提交审核报告，同时将工作底稿等资料归档。报告阶段一般需要10个工作日，全部审核工作应在收到完整资料后60个工作日内完成。</w:t>
      </w:r>
    </w:p>
    <w:p w14:paraId="666F36EB">
      <w:pPr>
        <w:spacing w:before="0" w:after="120" w:line="360" w:lineRule="auto"/>
        <w:ind w:firstLine="168"/>
        <w:jc w:val="both"/>
      </w:pPr>
      <w:r>
        <w:rPr>
          <w:rFonts w:ascii="宋体" w:hAnsi="宋体" w:eastAsia="宋体"/>
          <w:b w:val="0"/>
          <w:color w:val="000000"/>
          <w:sz w:val="24"/>
        </w:rPr>
        <w:t>本所对阿坝州财政局州本级建设项目的服务承诺包括以下几个方面：服务时效承诺，单个项目自收到完整资料之日起30个工作日内完成审核并出具报告，复杂项目45个工作日内完成，最长不超过60个工作日；服务态度承诺，审核过程中将保持与建设单位的密切沟通，对建设单位提出的问题和咨询将在3个工作日内给予答复，对紧急事项将启动应急响应机制；服务保密承诺，对在执业过程中知悉的建设单位商业秘密和国家秘密严格保密，不向任何第三方透露；服务质量承诺，严格按照执业准则和职业道德规范开展审核工作，确保审核报告真实、完整、准确；服务配合承诺，如委托方需要加急服务或补充服务，本所将全力配合，不额外收取费用或仅收取合理的加急费用。</w:t>
      </w:r>
    </w:p>
    <w:p w14:paraId="26C55930">
      <w:pPr>
        <w:spacing w:before="0" w:after="120" w:line="360" w:lineRule="auto"/>
        <w:ind w:firstLine="168"/>
        <w:jc w:val="both"/>
      </w:pPr>
      <w:r>
        <w:rPr>
          <w:rFonts w:ascii="宋体" w:hAnsi="宋体" w:eastAsia="宋体"/>
          <w:b w:val="0"/>
          <w:color w:val="000000"/>
          <w:sz w:val="24"/>
        </w:rPr>
        <w:t>政府投资项目的监督体系是一个多层次、全方位的体系。从监督主体来看，包括人大监督（各级人大及其常委会对政府投资项目的监督）、审计监督（审计机关依法对政府投资项目进行的审计监督）、财政监督（财政部门对政府投资项目资金使用的监督）、行业监管（行业主管部门对项目建设过程的监管）、社会监督（公众和媒体对政府投资项目的监督）等多种形式。从监督环节来看，包括事前监督（对立项决策、概算审批等前期工作的监督）、事中监督（对建设实施过程中资金使用、工程质量、安全生产等方面的监督）、事后监督（对竣工验收、决算审计、项目后评价等方面的监督）。竣工财务决算审核是事后监督的重要组成部分，是其他监督形式的重要参考依据。本所开展竣工财务决算审核时，将充分借鉴和利用其他监督形式的成果，提高审核效率和质量。同时，对于审核中发现的涉及违法违纪的问题线索，将及时向委托方和有关部门报告。</w:t>
      </w:r>
    </w:p>
    <w:p w14:paraId="2F2AAE60">
      <w:pPr>
        <w:spacing w:before="0" w:after="120" w:line="360" w:lineRule="auto"/>
        <w:ind w:firstLine="168"/>
        <w:jc w:val="both"/>
      </w:pPr>
      <w:r>
        <w:rPr>
          <w:rFonts w:ascii="宋体" w:hAnsi="宋体" w:eastAsia="宋体"/>
          <w:b w:val="0"/>
          <w:color w:val="000000"/>
          <w:sz w:val="24"/>
        </w:rPr>
        <w:t>工程造价咨询行业的自律与发展是保障执业质量的重要基础。工程造价咨询企业应当自觉遵守《工程造价咨询企业管理办法》等法规的规定，坚持独立、客观、公正的执业原则，为客户提供高质量的专业服务。工程造价咨询行业应当加强行业自律，建立健全行业信用体系，对失信企业进行惩戒，对守信企业进行激励，形成良好的行业风尚。工程造价咨询人员应当具备相应的执业资格和专业能力，不断学习新知识、新技能，适应行业发展的需要。行业协会应当发挥桥梁纽带作用，组织开展业务培训、经验交流、标准制定等工作，促进行业整体水平的提升。本所作为行业的一员，将自觉遵守行业规范，维护行业形象，为推动工程造价咨询行业的健康发展贡献力量。</w:t>
      </w:r>
    </w:p>
    <w:p w14:paraId="71848211">
      <w:pPr>
        <w:spacing w:before="0" w:after="120" w:line="360" w:lineRule="auto"/>
        <w:ind w:firstLine="168"/>
        <w:jc w:val="both"/>
      </w:pPr>
      <w:r>
        <w:rPr>
          <w:rFonts w:ascii="宋体" w:hAnsi="宋体" w:eastAsia="宋体"/>
          <w:b w:val="0"/>
          <w:color w:val="000000"/>
          <w:sz w:val="24"/>
        </w:rPr>
        <w:t>竣工财务决算审核与建设项目后评价的关系值得关注。后评价是对已建成项目的综合评价，包括对项目建设过程、建成效果、可持续性等方面的评价。竣工财务决算审核的结果是开展后评价的重要基础数据，审核报告中反映的项目投资、工程造价、资金使用、资产形成等信息，为后评价提供了可靠的数据支撑。同时，后评价的某些内容（如项目决策评价、建设管理评价）与竣工财务决算审核存在交叉，两者可以相互印证、相互补充。从提高项目管理水平的角度来看，建议委托方在竣工财务决算审核完成后，适时开展项目后评价工作，形成项目管理的闭环。后评价发现的问题和改进建议，也可以作为今后类似项目管理的参考借鉴。</w:t>
      </w:r>
    </w:p>
    <w:p w14:paraId="3B43B4AF">
      <w:pPr>
        <w:spacing w:before="0" w:after="120" w:line="360" w:lineRule="auto"/>
        <w:ind w:firstLine="168"/>
        <w:jc w:val="both"/>
      </w:pPr>
      <w:r>
        <w:rPr>
          <w:rFonts w:ascii="宋体" w:hAnsi="宋体" w:eastAsia="宋体"/>
          <w:b w:val="0"/>
          <w:color w:val="000000"/>
          <w:sz w:val="24"/>
        </w:rPr>
        <w:t>数字化技术在竣工财务决算审核中的应用日益广泛。数字化审图技术可以将竣工图纸电子化，通过软件进行工程量计算和比对分析，提高工程量审核的效率和准确性；BIM技术（建筑信息模型）可以建立三维建筑模型，整合设计、施工、造价等全过程信息，为审核提供全面的数据支撑；大数据技术可以对历史项目数据进行挖掘分析，建立造价指标库，为审核提供参考基准；人工智能技术可以对合同文本、签证变更等非结构化数据进行智能识别和分析，提高审核效率；视频监控技术可以对隐蔽工程进行实时记录，为审核提供现场证据。本所积极拥抱数字化转型，不断加大信息技术投入，配备了广联达、斯维尔等主流造价软件，以及自主研发的项目管理信息系统，努力提升服务的科技含量和效率水平。</w:t>
      </w:r>
    </w:p>
    <w:p w14:paraId="3F5167D4">
      <w:pPr>
        <w:spacing w:before="0" w:after="120" w:line="360" w:lineRule="auto"/>
        <w:ind w:firstLine="168"/>
        <w:jc w:val="both"/>
      </w:pPr>
      <w:r>
        <w:rPr>
          <w:rFonts w:ascii="宋体" w:hAnsi="宋体" w:eastAsia="宋体"/>
          <w:b w:val="0"/>
          <w:color w:val="000000"/>
          <w:sz w:val="24"/>
        </w:rPr>
        <w:t>本所的发展历程和核心竞争力是服务质量的根本保障。本所成立多年来，始终坚持"专业、客观、公正、诚信"的执业理念，秉承"质量第一、信誉至上"的服务宗旨，逐步发展成为四川省具有较大规模和影响力的专业服务机构。本所的核心竞争力主要体现在以下几个方面：专业团队优势，拥有一支由注册会计师、造价工程师、高级工程师等组成的高素质专业团队，专业背景涵盖会计、审计、工程造价、工程管理、法律等多个领域；执业经验优势，累计完成各类审计、审核、咨询项目数千个，积累了丰富的执业经验；质量控制优势，建立了完善的三级复核制度和质量管理体系，确保每一个项目都达到规定的质量标准；技术手段优势，配备了先进的造价软件和信息化工具，提升服务效率和质量的科技含量；服务网络优势，建立了覆盖全省的服务网络，能够快速响应客户需求。本所将充分发挥核心竞争力优势，为阿坝州财政局提供优质高效的服务。</w:t>
      </w:r>
    </w:p>
    <w:p w14:paraId="7F36C825">
      <w:pPr>
        <w:spacing w:before="0" w:after="120" w:line="360" w:lineRule="auto"/>
        <w:ind w:firstLine="168"/>
        <w:jc w:val="both"/>
      </w:pPr>
      <w:r>
        <w:rPr>
          <w:rFonts w:ascii="宋体" w:hAnsi="宋体" w:eastAsia="宋体"/>
          <w:b w:val="0"/>
          <w:color w:val="000000"/>
          <w:sz w:val="24"/>
        </w:rPr>
        <w:t>阿坝州建设项目竣工财务决算审核面临的挑战与机遇并存。从挑战来看，主要表现在以下几个方面：第一，专业要求高，州本级建设项目类型多样，涉及市政、交通、水利、房建等多个领域，要求审核人员具备跨学科的专业知识和丰富的执业经验；第二，协调难度大，项目涉及多个行业主管部门和资金管理部门，审核过程中需要与多方面进行沟通协调；第三，高原条件艰苦，赴现场核实等工作受到高原气候和交通条件的制约，审核效率受到影响；第四，人才缺乏，高原地区对人才的吸引力相对较弱，专业人才流失率较高。从机遇来看，主要表现在以下几个方面：国家政策支持，西部大开发、对口援建等政策为阿坝州带来了大量建设项目，为审核业务提供了广阔的市场空间；数字化技术进步，远程审核、视频核实等新技术的应用可以部分解决高原条件对审核工作的制约；行业标准完善，工程造价审计和竣工财务决算审核的相关法规标准日趋完善，为审核工作提供了更加清晰的依据；专业化发展趋势，政府对竣工财务决算审核的重视程度不断提高，市场需求持续增长。本所将把握机遇、应对挑战，为阿坝州的建设发展贡献专业力量。</w:t>
      </w:r>
    </w:p>
    <w:p w14:paraId="21BF7A1D">
      <w:pPr>
        <w:spacing w:before="0" w:after="120" w:line="360" w:lineRule="auto"/>
        <w:ind w:firstLine="168"/>
        <w:jc w:val="both"/>
      </w:pPr>
      <w:r>
        <w:rPr>
          <w:rFonts w:ascii="宋体" w:hAnsi="宋体" w:eastAsia="宋体"/>
          <w:b w:val="0"/>
          <w:color w:val="000000"/>
          <w:sz w:val="24"/>
        </w:rPr>
        <w:t>阿坝藏族羌族自治州的地理概况与经济发展水平直接决定了其基本建设项目具有区别于内地平原地区的显著特点。地从面积来看，阿坝州幅员面积8.42万平方公里，辖马尔康市和理县、茂县、松潘县、九寨沟县、若尔盖县、红原县、阿坝县、壤塘县、金川县、小金县、黑水县、汶川县共13个县级行政区，是四川省幅员面积最大的市州。从人口分布来看，全州总人口约92万人，人口密度约为每平方公里11人，是四川省人口密度最低的地区之一，地广人稀的特点十分突出。从经济发展水平来看，阿坝州属于欠发达地区，GDP总量在四川省21个市州中排名靠后，但人均收入水平相对较高，主要得益于水电矿业和旅游业的贡献。从产业结构来看，第一产业以畜牧业为主，第二产业以水电、矿产开采加工为主，第三产业以旅游服务业为主，产业结构有待进一步优化。这些特点决定了阿坝州的基本建设项目具有投资规模大、项目分布散、管理难度高、专业要求强等鲜明特征，对竣工财务决算审核工作提出了更高要求。</w:t>
      </w:r>
    </w:p>
    <w:p w14:paraId="37D64951">
      <w:pPr>
        <w:spacing w:before="0" w:after="120" w:line="360" w:lineRule="auto"/>
        <w:ind w:firstLine="168"/>
        <w:jc w:val="both"/>
      </w:pPr>
      <w:r>
        <w:rPr>
          <w:rFonts w:ascii="宋体" w:hAnsi="宋体" w:eastAsia="宋体"/>
          <w:b w:val="0"/>
          <w:color w:val="000000"/>
          <w:sz w:val="24"/>
        </w:rPr>
        <w:t>阿坝州的水利资源与水电开发是当地经济发展的重要支撑。阿坝州境内河流众多，主要包括岷江、大渡河、嘉陵江上游支流等，水能资源理论蕴藏量约4800万千瓦，可开发量约3200万千瓦，占四川省可开发水能资源总量的1/4以上，是四川省"西电东送"的重要能源基地。依托丰富的水能资源，阿坝州建设了一批大中型水电站，如紫坪铺水电站、映秀湾水电站、耿达水电站等，总装机容量超过500万千瓦。水电开发类项目是阿坝州基本建设的重要组成部分，水电项目的竣工财务决算审核具有专业性强、周期长、金额大等特点。水电项目审核的重点包括：水库淹没处理补偿费的审核，核查淹没线以下土地、房屋、人口的补偿标准是否符合规定，补偿金额计算是否准确；移民安置费用的审核，核查移民安置规划是否落实，安置资金使用是否合规；送出工程费用的审核，核查配套建设的输电线路费用是否合理；库区维护费的计提和使用审核，核查库区维护费的计提是否正确，使用是否符合规定。水电项目审核还应当关注工程结算与设计变更的核实。</w:t>
      </w:r>
    </w:p>
    <w:p w14:paraId="27A091EF">
      <w:pPr>
        <w:spacing w:before="0" w:after="120" w:line="360" w:lineRule="auto"/>
        <w:ind w:firstLine="168"/>
        <w:jc w:val="both"/>
      </w:pPr>
      <w:r>
        <w:rPr>
          <w:rFonts w:ascii="宋体" w:hAnsi="宋体" w:eastAsia="宋体"/>
          <w:b w:val="0"/>
          <w:color w:val="000000"/>
          <w:sz w:val="24"/>
        </w:rPr>
        <w:t>阿坝州的矿产资源开发与矿区基础设施建设是当地经济发展的另一重要支撑。阿坝州矿产资源种类繁多，已发现矿种达95种，其中探明储量的有58种，主要包括金矿、锂矿、铀矿、铁矿、煤矿等。金矿主要分布在若尔盖县、阿坝县等地，是四川省重要的黄金生产基地；锂矿主要分布在康定市、雅江县、理塘县等地，锂资源储量丰富，是国家重要的战略矿产资源；铀矿是核工业的重要原料，阿坝州是我国重要的铀矿产地之一。矿产开发类项目的竣工财务决算审核具有涉及金额大、专业性强、环保要求高等特点。矿产项目审核的重点包括：矿区基础设施建设费用的审核，核实道路、供电、供水等基础设施费用的真实性、合理性；矿山地质环境保护与恢复治理费用的审核，核查矿山环境恢复治理保证金是否按规定缴纳、使用是否符合规定；土地复垦费用的审核，核查矿山废弃地的复垦方案是否落实，复垦费用使用是否合规；尾矿库安全设施费用的审核，核查尾矿库建设是否符合安全标准，安全投入是否充足。</w:t>
      </w:r>
    </w:p>
    <w:p w14:paraId="3F4D3BBE">
      <w:pPr>
        <w:spacing w:before="0" w:after="120" w:line="360" w:lineRule="auto"/>
        <w:ind w:firstLine="168"/>
        <w:jc w:val="both"/>
      </w:pPr>
      <w:r>
        <w:rPr>
          <w:rFonts w:ascii="宋体" w:hAnsi="宋体" w:eastAsia="宋体"/>
          <w:b w:val="0"/>
          <w:color w:val="000000"/>
          <w:sz w:val="24"/>
        </w:rPr>
        <w:t>阿坝州的旅游业发展与旅游基础设施建设是当地最具特色的产业板块。阿坝州拥有九寨沟、黄龙、卧龙·四姑娘山大熊猫栖息地等3处世界自然遗产，是国际知名的旅游目的地。九寨沟景区年接待游客超过500万人次，门票收入超过10亿元，是四川省旅游收入最高的景区之一。黄龙景区以彩池、雪山、峡谷、森林"四绝"著称于世，是世界级的自然景观。若尔盖大草原是四川省最大的草原，红军长征途经此地，是著名的红色旅游景区。旅游基础设施是阿坝州基本建设的重要内容，项目类型包括：景区基础设施（游步道、观景台、游客中心、停车场、污水处理设施等）、旅游公路（连接各景区的道路改造升级）、旅游集散中心（马尔康旅游集散中心、各县城旅游服务中心等）、酒店民宿（特色民族文化旅游酒店、精品民宿等）、旅游信息化（智慧旅游平台、电子票务系统等）。旅游项目审核的重点包括：景区设施功能的审核，核实设施建设是否达到设计功能要求，是否存在质量问题；生态保护措施的审核，核查环保设施是否正常运行，生态修复是否到位；投资效益的审核，分析旅游项目的投入产出比，评价项目投资效益；运营成本的审核，核查项目运营维护成本的合理性。</w:t>
      </w:r>
    </w:p>
    <w:p w14:paraId="41D12667">
      <w:pPr>
        <w:spacing w:before="0" w:after="120" w:line="360" w:lineRule="auto"/>
        <w:ind w:firstLine="168"/>
        <w:jc w:val="both"/>
      </w:pPr>
      <w:r>
        <w:rPr>
          <w:rFonts w:ascii="宋体" w:hAnsi="宋体" w:eastAsia="宋体"/>
          <w:b w:val="0"/>
          <w:color w:val="000000"/>
          <w:sz w:val="24"/>
        </w:rPr>
        <w:t>阿坝州的脱贫攻坚成果巩固与乡村振兴衔接是当前及今后一个时期的重点工作。脱贫攻坚期间，阿坝州围绕"两不愁三保障"目标，实施了一大批基础设施和公共服务项目，包括易地扶贫搬迁、农村危房改造、饮水安全、乡村道路、医疗卫生、教育文化等，为阿坝州如期实现脱贫攻坚目标奠定了坚实基础。脱贫攻坚成果巩固与乡村振兴衔接期间的项目重点包括：扶贫产业的培育壮大（特色农产品加工、乡村旅游、电商扶贫等）、农村基础设施的提档升级（四好农村路、安全饮水、电网改造、网络覆盖等）、农村公共服务的优化提升（基础教育、医疗卫生、社会保障等）、农村人居环境的改善（厕所革命、垃圾污水治理、村容村貌提升等）。脱贫攻坚和乡村振兴项目审核的重点包括：资金使用合规性审核，核查资金是否专款专用，有无截留挪用问题；项目实施效果审核，核查项目是否达到预期目标，是否存在"重建轻管"问题；资产后续管理审核，核查形成的公益性资产是否落实管护责任，经营性资产是否建立利益联结机制。</w:t>
      </w:r>
    </w:p>
    <w:p w14:paraId="6BFE2D96">
      <w:pPr>
        <w:spacing w:before="0" w:after="120" w:line="360" w:lineRule="auto"/>
        <w:ind w:firstLine="168"/>
        <w:jc w:val="both"/>
      </w:pPr>
      <w:r>
        <w:rPr>
          <w:rFonts w:ascii="宋体" w:hAnsi="宋体" w:eastAsia="宋体"/>
          <w:b w:val="0"/>
          <w:color w:val="000000"/>
          <w:sz w:val="24"/>
        </w:rPr>
        <w:t>阿坝州的城镇化进程与市政基础设施建设是当地经济社会发展的重要内容。近年来，阿坝州大力推进以人为核心的新型城镇化，城镇化率不断提高，城镇功能日趋完善。马尔康市作为州府所在地，是阿坝州的政治、经济、文化中心，城镇化建设走在全州前列。各县县城也结合各自特点，推进特色小城镇建设，打造了一批民族风情浓郁的精品小城镇。市政基础设施是城镇发展的重要支撑，项目类型包括：城镇道路工程（主干道、次干道、支路、背街小巷整治等）、桥梁隧道工程（城市桥梁、人行天桥、隧道等）、排水防涝工程（雨水管网、污水管网、调蓄设施、排涝泵站等）、污水处理工程（污水处理厂、污水管网、污泥处理处置设施等）、垃圾处理工程（垃圾填埋场、垃圾中转站等）、路灯照明工程（城镇路灯、景观亮化等）、园林绿化工程（城市公园、道路绿化、街头游园等）、公共停车场工程（地下停车场、立体停车楼等）、城镇供水工程（自来水厂、输配水管网等）。市政基础设施项目审核的重点包括：工程量核实，特别是隐蔽工程的工程量；变更签证的合理性审核；材料价格的审核；工程质量的审核。市政项目通常涉及民生利益，审核时应当充分考虑社会效益和公众感受。</w:t>
      </w:r>
    </w:p>
    <w:p w14:paraId="2E646E00">
      <w:pPr>
        <w:spacing w:before="0" w:after="120" w:line="360" w:lineRule="auto"/>
        <w:ind w:firstLine="168"/>
        <w:jc w:val="both"/>
      </w:pPr>
      <w:r>
        <w:rPr>
          <w:rFonts w:ascii="宋体" w:hAnsi="宋体" w:eastAsia="宋体"/>
          <w:b w:val="0"/>
          <w:color w:val="000000"/>
          <w:sz w:val="24"/>
        </w:rPr>
        <w:t>阿坝州的交通基础设施建设是破解发展瓶颈的关键举措。阿坝州地处川西北高原，交通一直是制约当地经济社会发展的最大瓶颈。近年来，在国家的大力支持下，阿坝州交通基础设施建设取得了显著成就。公路方面，都汶高速、成绵高速复线等相继建成，G317、G213等国道改造升级，农村公路建设全面推进，实现了乡乡通油路、村村通硬化路；铁路方面，成兰铁路、成都至西宁铁路正在建设中，建成后将成为连接西北地区的重要铁路通道；航空方面，九寨黄龙机场、红原机场相继建成通航，为阿坝州搭建了空中走廊。交通基础设施项目审核的重点包括：工程地质条件的审核，核查地基处理、边坡防护等费用是否合理；施工工艺的审核，核查特殊工艺的实施是否符合设计要求；材料价格的审核，核查地方材料价格与市场价是否相符；变更签证的审核，特别是因地质条件变化引起的变更是否合理。交通项目通常工程量大、造价高，审核时应当突出重点、抓住关键。</w:t>
      </w:r>
    </w:p>
    <w:p w14:paraId="0E1D70A9">
      <w:pPr>
        <w:spacing w:before="0" w:after="120" w:line="360" w:lineRule="auto"/>
        <w:ind w:firstLine="168"/>
        <w:jc w:val="both"/>
      </w:pPr>
      <w:r>
        <w:rPr>
          <w:rFonts w:ascii="宋体" w:hAnsi="宋体" w:eastAsia="宋体"/>
          <w:b w:val="0"/>
          <w:color w:val="000000"/>
          <w:sz w:val="24"/>
        </w:rPr>
        <w:t>阿坝州的生态保护与修复是长江黄河上游生态屏障建设的重要内容。阿坝州地处长江、黄河上游，是重要的水源涵养区和生态功能区，生态战略地位十分重要。阿坝州生态保护修复类项目类型包括：草原生态修复工程（草原治理、草原鼠虫害防治、退化草地改良、草原灌溉设施建设等）、湿地保护与修复工程（湿地保护、湿地恢复、湿地监测设施建设等）、水土保持工程（坡耕地治理、侵蚀沟治理、小流域综合治理等）、地质灾害治理工程（滑坡治理、泥石流防治、崩塌防护等）、矿山环境恢复治理工程（废弃矿山生态修复、历史遗留矿山环境治理等）、森林保护与营造林工程（天然林保护、退耕还林、山林绿化等）、生物多样性保护工程（大熊猫栖息地保护、珍稀物种保护等）。生态保护修复项目审核的重点包括：工程措施的合理性审核，核查工程措施是否符合生态保护修复的技术规范；生物措施的成活率和保存率审核，核查造林种草的成活率是否达到设计要求；资金使用的合规性审核，核查生态保护专项资金是否专款专用；工程效果的评价审核，分析项目实施后的生态效果和社会效益。</w:t>
      </w:r>
    </w:p>
    <w:p w14:paraId="58BB4434">
      <w:pPr>
        <w:spacing w:before="0" w:after="120" w:line="360" w:lineRule="auto"/>
        <w:ind w:firstLine="168"/>
        <w:jc w:val="both"/>
      </w:pPr>
      <w:r>
        <w:rPr>
          <w:rFonts w:ascii="宋体" w:hAnsi="宋体" w:eastAsia="宋体"/>
          <w:b w:val="0"/>
          <w:color w:val="000000"/>
          <w:sz w:val="24"/>
        </w:rPr>
        <w:t>阿坝州的医疗卫生基础设施建设是保障民生的重要内容。阿坝州地处高原，医疗卫生事业发展相对滞后，医疗卫生基础设施建设是改善民生的重要举措。项目类型包括：州县医院建设（州人民医院、藏医院、县级综合医院等）、乡镇卫生院标准化建设、村卫生室建设、疾控体系建设项目（州县疾控中心实验室建设、应急物资储备等）、突发公共卫生应急体系建设项目（医疗物资储备、应急救治设施等）、中医药（民族医药）传承创新项目等。医疗卫生项目审核的重点包括：医疗设备采购的合规性审核，核查设备采购是否按规定进行招标或政府采购，设备价格是否合理；无菌环境设施的合规性审核，核查手术室、ICU等洁净区域的空气净化系统是否符合规范要求；辐射防护设施的合规性审核，核查CT、DR等射线装置的辐射防护措施是否到位；医疗废水废气处理设施的合规性审核，核查"三废"处理设施是否正常运行。医疗卫生项目关系到人民群众的身体健康和生命安全，审核时应当特别关注质量安全问题。</w:t>
      </w:r>
    </w:p>
    <w:p w14:paraId="00AC9B08">
      <w:pPr>
        <w:spacing w:before="0" w:after="120" w:line="360" w:lineRule="auto"/>
        <w:ind w:firstLine="168"/>
        <w:jc w:val="both"/>
      </w:pPr>
      <w:r>
        <w:rPr>
          <w:rFonts w:ascii="宋体" w:hAnsi="宋体" w:eastAsia="宋体"/>
          <w:b w:val="0"/>
          <w:color w:val="000000"/>
          <w:sz w:val="24"/>
        </w:rPr>
        <w:t>阿坝州的教育基础设施建设是阻断贫困代际传递的重要举措。项目类型包括：学前教育建设项目（幼儿园新建和改扩建）、义务教育均衡发展项目（标准化学校建设、农村薄弱学校改造等）、高中阶段教育普及项目（普通高中新建和改扩建、中职学校建设等）、教育信息化建设项目（校园网络、多媒体教室、智慧校园等）、教师周转宿舍建设项目等。教育项目审核的重点包括：学校建设标准的审核，核查校舍建设、运动场地建设是否达到国家和省定标准；功能室配置的审核，核查实验室、图书室、音乐美术教室等功能室的配置是否齐全；教育信息化设备的审核，核查信息化设备的配置是否符合教育信息化2.0行动计划的要求；教师周转宿舍的合规性审核，核查周转宿舍的建设标准、配套设施是否符合规定。教育项目审核还应当关注项目的社会效益，评价项目建成后在促进教育公平、提高教育质量方面的效果。</w:t>
      </w:r>
    </w:p>
    <w:p w14:paraId="43108474">
      <w:pPr>
        <w:spacing w:before="0" w:after="120" w:line="360" w:lineRule="auto"/>
        <w:ind w:firstLine="168"/>
        <w:jc w:val="both"/>
      </w:pPr>
      <w:r>
        <w:rPr>
          <w:rFonts w:ascii="宋体" w:hAnsi="宋体" w:eastAsia="宋体"/>
          <w:b w:val="0"/>
          <w:color w:val="000000"/>
          <w:sz w:val="24"/>
        </w:rPr>
        <w:t>基本建设财务规则是规范政府投资项目建设财务管理的根本制度。财政部令第81号《基本建设财务规则》共九章六十三条，对基本建设财务管理的各个方面作出了全面系统的规定，是竣工财务决算审核的基本法规依据。该规则的主要内容包括：建设资金管理，规定建设资金的来源、使用、管理等方面的要求，建设资金应当专户存储、专款专用，不得挤占、挪用、截留；建设成本管理，规定建设成本的范围、归集方法、计价标准等，建设成本应当按照权责发生制原则和成本核算对象进行归集；工程价款结算管理，规定工程价款结算的程序、依据、审核要求等，工程价款结算应当以合同约定和实际完成的工程量为依据；竣工财务决算管理，规定竣工财务决算的编制要求、审核程序、批复权限等，建设单位应当在项目竣工后及时编制竣工财务决算；资产交付管理，规定资产交付的条件、程序和要求，项目建成后应当及时办理资产交付手续。《基本建设财务规则》是基本建设项目财务管理的"基本法"，审核人员必须全面掌握、熟练运用。</w:t>
      </w:r>
    </w:p>
    <w:p w14:paraId="7E27784E">
      <w:pPr>
        <w:spacing w:before="0" w:after="120" w:line="360" w:lineRule="auto"/>
        <w:ind w:firstLine="168"/>
        <w:jc w:val="both"/>
      </w:pPr>
      <w:r>
        <w:rPr>
          <w:rFonts w:ascii="宋体" w:hAnsi="宋体" w:eastAsia="宋体"/>
          <w:b w:val="0"/>
          <w:color w:val="000000"/>
          <w:sz w:val="24"/>
        </w:rPr>
        <w:t>基本建设项目竣工财务决算管理暂行办法（财建〔2016〕503号）是竣工财务决算审核的直接依据。该办法明确了竣工财务决算的编制要求、审核程序和批复权限，是开展竣工财务决算审核工作的操作指南。该办法的主要内容包括：竣工财务决算的编制主体，规定建设单位是竣工财务决算的编制主体，对竣工财务决算的真实性、完整性负责；竣工财务决算的编制时限，规定建设单位应当在项目竣工后及时编制竣工财务决算，一般项目在竣工后3个月内、大中型项目在竣工后6个月内完成编制；竣工财务决算的审核程序，规定建设单位应当委托有资质的中介机构进行审核，中介机构应当按照执业准则进行审核并出具审核报告；竣工财务决算的批复权限，规定各级财政部门是竣工财务决算的批复机关，按投资来源和项目规模实行分级批复；竣工财务决算的效力，规定竣工财务决算批复后，项目结余资金应当在规定期限内处理，涉及资产移交的应当及时办理移交手续。</w:t>
      </w:r>
    </w:p>
    <w:p w14:paraId="5C5BA3E1">
      <w:pPr>
        <w:spacing w:before="0" w:after="120" w:line="360" w:lineRule="auto"/>
        <w:ind w:firstLine="168"/>
        <w:jc w:val="both"/>
      </w:pPr>
      <w:r>
        <w:rPr>
          <w:rFonts w:ascii="宋体" w:hAnsi="宋体" w:eastAsia="宋体"/>
          <w:b w:val="0"/>
          <w:color w:val="000000"/>
          <w:sz w:val="24"/>
        </w:rPr>
        <w:t>基本建设项目建设成本管理规定（财建〔2016〕504号）详细规定了建设成本的列支范围和计算方法，是核实建设成本的重要依据。该规定的主要内容包括：建设成本的范围，明确了建筑安装工程投资、设备投资、待摊投资等各成本项目的具体内容；待摊投资的内容，列明了待摊投资包括的具体项目，如建设单位管理费、土地征用及迁移补偿费、勘察设计费、监理费等；建设单位管理费的计算方法，规定建设单位管理费按照项目总投资的的一定比例计算，超过标准的应当报财政部门批准；待摊投资分摊方法，规定待摊投资应当按照合理的分摊标准（如概算投资比例）分摊计入各单体工程；建设成本与生产成本的界限，明确了哪些支出应当计入建设成本、哪些支出应当计入生产成本。该规定对于规范建设成本核算、提高竣工财务决算质量具有重要意义。</w:t>
      </w:r>
    </w:p>
    <w:p w14:paraId="5F01FCC8">
      <w:pPr>
        <w:spacing w:before="0" w:after="120" w:line="360" w:lineRule="auto"/>
        <w:ind w:firstLine="168"/>
        <w:jc w:val="both"/>
      </w:pPr>
      <w:r>
        <w:rPr>
          <w:rFonts w:ascii="宋体" w:hAnsi="宋体" w:eastAsia="宋体"/>
          <w:b w:val="0"/>
          <w:color w:val="000000"/>
          <w:sz w:val="24"/>
        </w:rPr>
        <w:t>基本建设项目价款结算管理暂行办法（财建〔2003〕724号）规范了工程价款结算行为，是竣工财务决算审核的重要依据。该办法的主要内容包括：工程价款结算的原则，规定工程价款结算应当遵循按月支付、按形象进度支付的原则，体现公平公正；工程预付款的支付，规定工程预付款的支付比例一般不超过合同价的30%，并在工程进度款中逐步扣回；工程进度款的支付，规定根据监理工程师确认的工程进度按月支付，支付金额不得超过实际完成的工程量；工程结算的办理，规定工程完工后应当及时办理竣工结算，竣工结算的审核期限从递交竣工结算书之日起一般不超过30个工作日；质量保证金的管理，规定质量保证金一般不超过工程价款结算总额的3%，在缺陷责任期满后返还。该办法对于规范工程价款结算行为、维护建设双方合法权益具有重要作用。</w:t>
      </w:r>
    </w:p>
    <w:p w14:paraId="1E3218A2">
      <w:pPr>
        <w:spacing w:before="0" w:after="120" w:line="360" w:lineRule="auto"/>
        <w:ind w:firstLine="168"/>
        <w:jc w:val="both"/>
      </w:pPr>
      <w:r>
        <w:rPr>
          <w:rFonts w:ascii="宋体" w:hAnsi="宋体" w:eastAsia="宋体"/>
          <w:b w:val="0"/>
          <w:color w:val="000000"/>
          <w:sz w:val="24"/>
        </w:rPr>
        <w:t>政府投资项目条例（国务院令第712号）是规范政府投资行为的基本法规。该条例的主要内容包括：政府投资的定义和范围，明确政府投资是指在中国境内使用预算安排的资金进行固定资产投资建设活动；投资决策机制，规定政府投资应当科学决策、规范管理、注重绩效、防范风险，并应当与经济社会发展水平和财政收支状况相适应；投资年度计划，规定政府投资项目应当纳入投资年度计划管理，年度计划应当与本级财政预算相衔接；项目实施管理，规定政府投资项目应当严格按照批准的建设内容、建设规模和建设标准实施，不得擅自变更，确需变更的应当报批；资金管理，规定政府投资项目建设资金应当专款专用，不得挪用，并按规定办理竣工财务决算；监督管理，规定对政府投资项目进行审计监督，对政府投资项目的绩效进行评价。该条例确立了政府投资项目管理的总体框架，是竣工财务决算审核应当遵循的上位法规。</w:t>
      </w:r>
    </w:p>
    <w:p w14:paraId="6417249D">
      <w:pPr>
        <w:spacing w:before="0" w:after="120" w:line="360" w:lineRule="auto"/>
        <w:ind w:firstLine="168"/>
        <w:jc w:val="both"/>
      </w:pPr>
      <w:r>
        <w:rPr>
          <w:rFonts w:ascii="宋体" w:hAnsi="宋体" w:eastAsia="宋体"/>
          <w:b w:val="0"/>
          <w:color w:val="000000"/>
          <w:sz w:val="24"/>
        </w:rPr>
        <w:t>四川省基本建设财务管理规定是对《基本建设财务规则》的细化和补充，是四川省行政区域内基本建设项目财务管理的基本依据。该规定的主要内容包括：适用范围，明确规定四川省行政区域内使用预算资金进行的基本建设项目均适用本规定；资金管理要求，细化了建设资金专户存储、专款专用的具体要求，明确了资金拨付的程序和时限；成本管理要求，结合四川省实际，对建设单位管理费计提标准、待摊投资分摊方法等作了具体规定；工程价款结算要求，明确了四川省范围内工程价款结算的程序和审核要求；竣工财务决算要求，规定了竣工财务决算编制的具体要求和时限；监督检查要求，明确了财政部门对基本建设财务管理的监督检查职责。审核人员应当熟悉四川省的基本建设财务管理规定，在审核中准确运用地方性规定。</w:t>
      </w:r>
    </w:p>
    <w:p w14:paraId="77A1A495">
      <w:pPr>
        <w:spacing w:before="0" w:after="120" w:line="360" w:lineRule="auto"/>
        <w:ind w:firstLine="168"/>
        <w:jc w:val="both"/>
      </w:pPr>
      <w:r>
        <w:rPr>
          <w:rFonts w:ascii="宋体" w:hAnsi="宋体" w:eastAsia="宋体"/>
          <w:b w:val="0"/>
          <w:color w:val="000000"/>
          <w:sz w:val="24"/>
        </w:rPr>
        <w:t>阿坝州作为民族自治地区，在基本建设管理方面有一定的特殊规定。根据《阿坝藏族羌族自治州自治条例》和相关单行条例的规定，阿坝州在基本建设项目管理方面的特殊规定主要体现在以下几个方面：民族传统建筑保护，对涉及藏族羌族传统建筑风格的项目，在规划设计、建设标准等方面有特殊要求；生态环境保护，对涉及自然保护区、风景名胜区、湿地公园等生态敏感区域的项目，审批程序更加严格，环保要求更高；资源开发补偿，对水电、矿产等资源开发项目，要求企业承担相应的社会责任，加大对当地教育、医疗、交通等公共设施建设的投入；文化遗存保护，对涉及历史文化街区、历史建筑、传统村落保护的项目，在建设方式、修缮标准等方面有特殊规定。审核人员在审核阿坝州项目时，应当充分了解这些特殊规定，确保审核结论符合民族地区的实际情况。</w:t>
      </w:r>
    </w:p>
    <w:p w14:paraId="6BA6B4E2">
      <w:pPr>
        <w:spacing w:before="0" w:after="120" w:line="360" w:lineRule="auto"/>
        <w:ind w:firstLine="168"/>
        <w:jc w:val="both"/>
      </w:pPr>
      <w:r>
        <w:rPr>
          <w:rFonts w:ascii="宋体" w:hAnsi="宋体" w:eastAsia="宋体"/>
          <w:b w:val="0"/>
          <w:color w:val="000000"/>
          <w:sz w:val="24"/>
        </w:rPr>
        <w:t>对口援建项目管理规定是阿坝州基本建设项目管理的重要组成部分。阿坝州与浙江省建立了对口援建关系，浙江省在资金、人才、技术等方面对阿坝州进行对口帮扶。对口援建项目管理的主要规定包括：资金管理，对口援建资金应当纳入受援地财政预算管理，实行专账核算、专款专用，不得挤占、挪用；项目管理，对口援建项目应当纳入受援地的统一规划，与受援地的经济社会发展规划相衔接，项目管理程序参照受援地规定执行；验收管理，对口援建项目建成后应当按照规定进行竣工验收，验收程序和要求与当地项目相同；审计监督，对口援建项目应当接受援建方和受援地审计机关的审计监督。审核人员在审核对口援建项目时，应当关注援建资金与地方资金的衔接问题、援建项目与地方规划的对接问题等。</w:t>
      </w:r>
    </w:p>
    <w:p w14:paraId="7E3A23A9">
      <w:pPr>
        <w:spacing w:before="0" w:after="120" w:line="360" w:lineRule="auto"/>
        <w:ind w:firstLine="168"/>
        <w:jc w:val="both"/>
      </w:pPr>
      <w:r>
        <w:rPr>
          <w:rFonts w:ascii="宋体" w:hAnsi="宋体" w:eastAsia="宋体"/>
          <w:b w:val="0"/>
          <w:color w:val="000000"/>
          <w:sz w:val="24"/>
        </w:rPr>
        <w:t>PPP项目（政府和社会资本合作）在阿坝州的基础设施和公共服务领域有一定应用。PPP项目管理规定的主要内容包括：项目识别，政府应当根据经济社会发展需要和财政承受能力，识别适合采用PPP模式的项目；项目准备，政府应当编制项目实施方案，明确交易结构、风险分配、合同体系等核心内容；项目采购，政府应当按照政府采购法的规定选择社会资本方；项目执行，社会资本方应当按合同约定履行投资建设运营义务，政府方应当按约定支付费用或提供补贴；项目移交，项目合作期满后应当按照合同约定进行移交。PPP项目的竣工财务决算审核有其特殊性，审核时应当重点关注：政府与社会资本方的投资边界，核查双方投资是否按照合同约定执行；运营绩效补贴的审核，核查政府支付的运营绩效补贴是否与绩效评价结果挂钩；项目公司财务核算的规范性，核查项目公司是否单独建账核算，财务数据是否真实完整；项目资产的权属，核查项目资产权属是否清晰，移交程序是否合规。</w:t>
      </w:r>
    </w:p>
    <w:p w14:paraId="1E8211F0">
      <w:pPr>
        <w:spacing w:before="0" w:after="120" w:line="360" w:lineRule="auto"/>
        <w:ind w:firstLine="168"/>
        <w:jc w:val="both"/>
      </w:pPr>
      <w:r>
        <w:rPr>
          <w:rFonts w:ascii="宋体" w:hAnsi="宋体" w:eastAsia="宋体"/>
          <w:b w:val="0"/>
          <w:color w:val="000000"/>
          <w:sz w:val="24"/>
        </w:rPr>
        <w:t>竣工财务决算审核中的工程结算审核要点需要系统把握。工程结算是施工单位向建设单位提出工程价款结算申请，建设单位或受委托的中介机构对工程结算进行审核确认的活动。工程结算审核的主要内容包括：工程量审核，核实实际完成的工程量与结算申报的工程量是否一致，重点关注是否存在多报、虚报工程量问题，对于图纸计算工程量与实际完成工程量有差异的，应当以实际完成量为准进行核实；单价审核，核实结算申报的综合单价与合同约定单价是否一致，对于合同中已有单价的变更工程，优先适用合同单价，对于合同中无单价的新增工程，核实新增单价的确定依据是否充分；费用审核，核实各项费用的计取是否符合合同约定和规定标准，包括间接费、利润、税金等，特别关注费率是否正确、计费基数是否准确；扣款审核，核实水电费扣回、质量保证金扣回等是否按规定执行，扣款金额计算是否正确；签证变更审核，对设计变更、现场签证进行审核，确认变更价款的合理性，特别关注变更是否有完整的审批手续、变更内容与实际是否一致；材料价格审核，对于材料价差调整，核实调整的材料范围是否符合合同约定、调整方法是否正确、调整金额计算是否准确；奖罚费用审核，对合同约定的工期奖罚、质量奖罚、安全文明施工奖罚等，核实奖罚条件是否具备、奖罚金额计算是否正确。</w:t>
      </w:r>
    </w:p>
    <w:p w14:paraId="62602039">
      <w:pPr>
        <w:spacing w:before="0" w:after="120" w:line="360" w:lineRule="auto"/>
        <w:ind w:firstLine="168"/>
        <w:jc w:val="both"/>
      </w:pPr>
      <w:r>
        <w:rPr>
          <w:rFonts w:ascii="宋体" w:hAnsi="宋体" w:eastAsia="宋体"/>
          <w:b w:val="0"/>
          <w:color w:val="000000"/>
          <w:sz w:val="24"/>
        </w:rPr>
        <w:t>竣工财务决算审核中的财务审计要点需要全面把握。财务审计是对项目建设全过程财务收支活动的真实性、合法性、效益性进行审查的活动。主要审核内容包括：会计核算规范性审核，核查建设单位是否按照《政府会计准则》和基本建设财务制度的规定进行会计核算，账务处理是否规范，科目使用是否正确；建设资金来源审核，核查项目资金来源是否符合规定，资金是否按照投资计划及时筹集到位，各项资金来源是否合规；建设资金使用审核，核查建设资金是否专款专用，是否严格按照批准的投资计划使用，有无挪用、串用建设资金问题；往来款项审核，核查各项应收应付款项是否真实存在、账龄是否合理、核算是否准确；货币资金审核，对银行存款余额进行核对，编制银行存款余额调节表，核查未达账项的原因是否合理；固定资产审核，对形成的固定资产进行核实，核查资产账实是否相符、资产分类是否正确、折旧计提是否准确；财务报告审核，核查财务报告是否真实完整反映项目建设情况，各报表之间数据是否衔接一致。财务审计与工程造价审核相互配合，共同构成竣工财务决算审核的完整内容。</w:t>
      </w:r>
    </w:p>
    <w:p w14:paraId="673160C4">
      <w:pPr>
        <w:spacing w:before="0" w:after="120" w:line="360" w:lineRule="auto"/>
        <w:ind w:firstLine="168"/>
        <w:jc w:val="both"/>
      </w:pPr>
      <w:r>
        <w:rPr>
          <w:rFonts w:ascii="宋体" w:hAnsi="宋体" w:eastAsia="宋体"/>
          <w:b w:val="0"/>
          <w:color w:val="000000"/>
          <w:sz w:val="24"/>
        </w:rPr>
        <w:t>竣工财务决算审核报告的撰写质量直接关系到审核工作的价值。一份高质量的审核报告应当具备以下特征：结构完整，报告应当包括标题、收件人、引言段、审核意见段、审核说明段（必要时）、附件等完整结构，各部分内容完整、层次清晰；事实准确，报告反映的事实应当准确无误，每一项审核发现都应当有充分的证据支持，数字应当经过认真核实；表述清晰，报告的语言应当准确、简洁、明了，避免使用含糊不清的表述，对于专业术语应当进行必要的解释；逻辑严密，报告各部分之间应当逻辑连贯、前后呼应，审核发现与审核意见之间应当有明确的因果关系；建议可行，提出的管理建议应当具有针对性和可操作性，能够切实帮助建设单位改进管理。建议应当明确具体，包括建议的具体内容、实施方式、预期效果等。审核报告初稿完成后，应当充分征求建设单位的意见，对合理意见应当予以采纳，确保最终出具的审核报告客观公正、经得起历史检验。</w:t>
      </w:r>
    </w:p>
    <w:p w14:paraId="1244F879">
      <w:pPr>
        <w:spacing w:before="0" w:after="120" w:line="360" w:lineRule="auto"/>
        <w:ind w:firstLine="168"/>
        <w:jc w:val="both"/>
      </w:pPr>
      <w:r>
        <w:rPr>
          <w:rFonts w:ascii="宋体" w:hAnsi="宋体" w:eastAsia="宋体"/>
          <w:b w:val="0"/>
          <w:color w:val="000000"/>
          <w:sz w:val="24"/>
        </w:rPr>
        <w:t>本所对阿坝州州本级建设项目竣工财务决算审核项目高度重视，专门成立了项目工作组，由具有丰富执业经验的项目负责人亲自挂帅，整合全所最优资源确保项目顺利完成。项目工作组实行每周例会制度，定期汇报项目进展，研究解决疑难问题，确保审核工作有序推进。在团队配置上，坚持"专业对口、经验匹配"的原则，根据项目特点和审核需要，合理配置审计、会计、工程造价等各类专业人员，确保团队整体实力能够满足项目要求。在工作保障上，为项目组配备了充足的办公设备和技术资源，包括广联达、斯维尔等主流造价软件，能够满足各类复杂项目的审核需要；配备了远程视频会议系统，能够满足与建设单位远程沟通协调的需要；配备了现场工作所需的交通车辆和便携设备，确保现场审核工作的顺利开展。本所将举全所之力，确保高质量完成阿坝州财政局委托的竣工财务决算审核任务。</w:t>
      </w:r>
    </w:p>
    <w:p w14:paraId="67FA86E5">
      <w:pPr>
        <w:spacing w:before="0" w:after="120" w:line="360" w:lineRule="auto"/>
        <w:ind w:firstLine="168"/>
        <w:jc w:val="both"/>
      </w:pPr>
      <w:r>
        <w:rPr>
          <w:rFonts w:ascii="宋体" w:hAnsi="宋体" w:eastAsia="宋体"/>
          <w:b w:val="0"/>
          <w:color w:val="000000"/>
          <w:sz w:val="24"/>
        </w:rPr>
        <w:t>在廉洁从业方面，本所制定了严格的廉洁从业规定，明确禁止审核人员收受客户或相关方的礼金礼品、禁止参与客户安排的宴请和娱乐活动、禁止利用执业之便谋取不正当利益。审核人员入职时必须签署廉洁从业承诺书，承诺严格遵守职业道德和廉洁从业规定。审核过程中如发现建设单位或相关方存在违规行为，本所将坚持原则、依法执业，必要时向委托方或有关部门报告。本所承诺，在本项目服务期内及服务期满后，均不会利用在执业过程中知悉的建设单位商业秘密为自己或他人谋取利益。本所的廉洁从业记录接受社会监督，如发现本所或审核人员存在违反廉洁从业规定的行为，欢迎委托方和社会各界向本所或有关部门举报，一经查实将严肃处理。</w:t>
      </w:r>
    </w:p>
    <w:p w14:paraId="0C0E0312">
      <w:pPr>
        <w:spacing w:before="0" w:after="120" w:line="360" w:lineRule="auto"/>
        <w:ind w:firstLine="168"/>
        <w:jc w:val="both"/>
      </w:pPr>
      <w:r>
        <w:rPr>
          <w:rFonts w:ascii="宋体" w:hAnsi="宋体" w:eastAsia="宋体"/>
          <w:b w:val="0"/>
          <w:color w:val="000000"/>
          <w:sz w:val="24"/>
        </w:rPr>
        <w:t>本所建立了完善的客户投诉处理机制，对客户的投诉和意见高度重视。客户如对本所服务不满意，可以通过电话、邮件、信函等方式向本所反映，本所将在5个工作日内给予书面回复。对于客户提出的合理意见和改进建议，本所将认真研究采纳，不断改进服务质量。本所还定期开展客户满意度调查，主动征询客户对服务质量的评价，调查结果作为本所改进服务工作的重要参考。本所深知，客户满意是衡量服务质量的最终标准，只有客户满意的服务才是有价值的服务。本所将始终以客户为中心，不断提升服务质量和客户满意度，争取成为阿坝州财政局值得信赖的专业合作伙伴。</w:t>
      </w:r>
    </w:p>
    <w:p w14:paraId="4E372DE8">
      <w:pPr>
        <w:spacing w:before="0" w:after="120" w:line="360" w:lineRule="auto"/>
        <w:ind w:firstLine="168"/>
        <w:jc w:val="both"/>
      </w:pPr>
      <w:r>
        <w:rPr>
          <w:rFonts w:ascii="宋体" w:hAnsi="宋体" w:eastAsia="宋体"/>
          <w:b w:val="0"/>
          <w:color w:val="000000"/>
          <w:sz w:val="24"/>
        </w:rPr>
        <w:t>基本建设项目档案管理是项目建设管理的重要组成部分，也是竣工财务决算审核的基础性工作。建设项目档案是指在项目建设全过程中形成的、具有保存价值的各种载体的文件材料，包括文字、图表、声像、电子数据等各种形式。档案管理的主要内容包括：档案的收集，在项目建设过程中，各相关部门应当按照档案管理的要求，及时收集、整理应当归档的文件材料，不得遗漏；档案的整理归档，项目竣工后，建设单位应当将全部档案材料按照项目进行整理，编制档案目录，形成规范的档案卷宗；档案的审核验收，重点建设项目的档案应当经过档案专项验收，验收内容包括档案是否齐全完整、档案整理是否规范、档案安全保管条件是否具备等；档案的移交，项目竣工验收后，建设单位应当按照规定向有关档案机构移交档案，涉及国家秘密的档案应当按照保密规定移交。竣工财务决算审核时，审核人员应当重点查阅的档案资料包括：项目立项批复和投资计划文件、可行性研究报告和初步设计概算、施工图设计和竣工图纸、招投标文件和施工合同、工程变更和现场签证资料、监理日志和施工记录、材料检验和中间验收资料、工程结算书和审核报告、会计凭证和账簿报表、竣工验收报告和鉴定书等。档案资料的完整性和规范性直接影响审核工作的效率和效果。</w:t>
      </w:r>
    </w:p>
    <w:p w14:paraId="7948E22C">
      <w:pPr>
        <w:spacing w:before="0" w:after="120" w:line="360" w:lineRule="auto"/>
        <w:ind w:firstLine="168"/>
        <w:jc w:val="both"/>
      </w:pPr>
      <w:r>
        <w:rPr>
          <w:rFonts w:ascii="宋体" w:hAnsi="宋体" w:eastAsia="宋体"/>
          <w:b w:val="0"/>
          <w:color w:val="000000"/>
          <w:sz w:val="24"/>
        </w:rPr>
        <w:t>工程竣工验收备案管理是项目建成后向建设行政主管部门办理的法定手续。竣工验收备案的主要内容包括：竣工验收的组织，建设单位在收到施工单位提交的工程竣工报告后，应当组织勘察、设计、施工、监理等单位进行竣工验收；竣工验收的条件，项目必须完成设计文件和合同约定的各项内容，有完整的技术档案和施工管理资料，有工程使用的主要建筑材料、建筑构配件和设备的进场试验报告，有勘察、设计、施工、监理等单位分别签署的质量合格文件，有施工单位签署的工程保修书等；竣工验收的程序，竣工验收应当按照检验批、分项工程、分部工程、单位工程的顺序依次进行，对不符合竣工验收条件的应当整改后方可验收；竣工验收备案，建设单位应当在竣工验收合格后15日内向建设行政主管部门办理竣工验收备案，提交竣工验收备案表、竣工验收报告等材料；竣工验收备案的效力，未办理竣工验收备案的项目不得交付使用，不得办理产权登记等相关手续。竣工财务决算审核时，应当核查项目是否按规定办理了竣工验收备案，备案文件是否齐全，备案时间是否符合规定。</w:t>
      </w:r>
    </w:p>
    <w:p w14:paraId="18B9BB9C">
      <w:pPr>
        <w:spacing w:before="0" w:after="120" w:line="360" w:lineRule="auto"/>
        <w:ind w:firstLine="168"/>
        <w:jc w:val="both"/>
      </w:pPr>
      <w:r>
        <w:rPr>
          <w:rFonts w:ascii="宋体" w:hAnsi="宋体" w:eastAsia="宋体"/>
          <w:b w:val="0"/>
          <w:color w:val="000000"/>
          <w:sz w:val="24"/>
        </w:rPr>
        <w:t>建设项目竣工财务决算审核与工程结算审核的关系处理是审核实践中的重要问题。在工作实践中，工程结算审核和竣工财务决算审核既可以由同一家中介机构完成，也可以由不同的中介机构分别完成。无论采用哪种方式，都需要注意两者之间的衔接配合。如果由同一家中介机构完成两项审核，应当统一协调审核工作进度，避免重复审核和遗漏审核；如果由不同中介机构分别完成，应当做好工作对接，避免审核结论出现矛盾。在审核内容的划分上，工程结算审核主要负责核实工程造价，包括工程量、综合单价、费用等；竣工财务决算审核在此基础上，还要负责核实建设成本、费用支出、资金来源、资产管理等内容。两项审核应当相互印证、相互补充，共同构成对项目建设经济活动的完整审查。竣工财务决算审核报告通常会引用工程结算审核的结果，对于工程结算审核中已核实的事项，竣工财务决算审核时一般不再重新审核，但对于明显异常的事项应当保持警惕，必要时进行复审。</w:t>
      </w:r>
    </w:p>
    <w:p w14:paraId="5313A484">
      <w:pPr>
        <w:spacing w:before="0" w:after="120" w:line="360" w:lineRule="auto"/>
        <w:ind w:firstLine="168"/>
        <w:jc w:val="both"/>
      </w:pPr>
      <w:r>
        <w:rPr>
          <w:rFonts w:ascii="宋体" w:hAnsi="宋体" w:eastAsia="宋体"/>
          <w:b w:val="0"/>
          <w:color w:val="000000"/>
          <w:sz w:val="24"/>
        </w:rPr>
        <w:t>政府投资项目概算执行情况分析是竣工财务决算审核的重要内容。概算执行情况分析的主要内容包括：投资计划执行情况，分析项目实际完成投资与批准概算投资的差异，计算投资完成率，评价投资计划的执行情况；概算调整情况，分析概算调整的原因和金额，核查概算调整是否经过批准，评价概算调整的合理性；各单项工程投资对比分析，将各单项工程的实际投资与概算投资进行对比，分析差异原因，识别投资控制的重点和薄弱环节；各费用构成项目对比分析，将实际发生的各项费用与概算对应的费用项目进行对比，分析差异原因，识别费用控制的重点领域；资金来源与运用分析，分析项目资金来源与运用是否平衡，有无资金缺口或资金沉淀问题；投资效益分析，结合项目建成后的运营情况，分析项目投资的实际效益，评价投资决策的正确性。概算执行情况分析对于总结项目建设经验教训、改进今后项目投资管理具有重要意义。</w:t>
      </w:r>
    </w:p>
    <w:p w14:paraId="7BEBACF6">
      <w:pPr>
        <w:spacing w:before="0" w:after="120" w:line="360" w:lineRule="auto"/>
        <w:ind w:firstLine="168"/>
        <w:jc w:val="both"/>
      </w:pPr>
      <w:r>
        <w:rPr>
          <w:rFonts w:ascii="宋体" w:hAnsi="宋体" w:eastAsia="宋体"/>
          <w:b w:val="0"/>
          <w:color w:val="000000"/>
          <w:sz w:val="24"/>
        </w:rPr>
        <w:t>建设项目建成后的资产移交与管理是竣工财务决算审核的重要环节。资产移交的主要内容包括：资产范围的确定，竣工财务决算审核后确认形成的全部资产，包括固定资产、无形资产和流动资产，应当全部纳入资产移交范围；移交程序的办理，资产移交应当按照国有资产管理的规定办理相关手续，涉及国有资产的应当及时办理产权登记；移交明细的编制，应当编制详细的资产移交清单，包括资产名称、规格型号、数量、金额、坐落位置、使用状况等要素；实物资产的交接，对于实物资产，应当进行实地盘点核实，确保账实相符后方可办理移交；资产管理责任的明确，资产移交时应当明确资产管理责任，包括日常维护责任、安全管理责任、完好责任等。资产移交完成后，接收单位应当建立健全资产管理制度，确保资产安全完整、有效利用。审核人员在竣工财务决算审核中，应当关注资产移交是否及时、手续是否齐全、资产账实是否相符。</w:t>
      </w:r>
    </w:p>
    <w:p w14:paraId="4B9322FC">
      <w:pPr>
        <w:spacing w:before="0" w:after="120" w:line="360" w:lineRule="auto"/>
        <w:ind w:firstLine="168"/>
        <w:jc w:val="both"/>
      </w:pPr>
      <w:r>
        <w:rPr>
          <w:rFonts w:ascii="宋体" w:hAnsi="宋体" w:eastAsia="宋体"/>
          <w:b w:val="0"/>
          <w:color w:val="000000"/>
          <w:sz w:val="24"/>
        </w:rPr>
        <w:t>建设项目竣工财务决算审核中，电子数据与信息化手段的应用越来越广泛。在竣工财务决算审核中应用信息化手段的主要内容包括：财务核算数据的电子化审核，对于采用会计电算化系统进行账务处理的项目，可以通过读取电子账套数据进行审核，提高审核效率和准确性；工程数据的电子化审核，利用造价软件对电子化的工程量清单、竣工图纸进行计算分析，提高工程量审核的效率和精度；大数据比对分析，利用历史项目数据库对项目投资、造价指标进行横向纵向比对分析，识别异常数据，提高风险识别能力；远程审核技术，对于不方便现场审核的事项，可以通过远程视频、文件传输等方式进行核实，提高审核的灵活性和时效性；审核工作底稿的电子化管理，采用电子化工作底稿系统，实现底稿的编制、复核、归档全流程电子化管理，提高底稿管理的规范性；审核报告的自动生成，利用审核软件根据底稿数据自动生成报告初稿，提高报告撰写效率。本所积极推进信息化建设，建立了完善的项目管理信息系统，配备了先进的工程造价软件和审计软件，能够满足各类复杂项目的审核需要。</w:t>
      </w:r>
    </w:p>
    <w:p w14:paraId="5769D40A">
      <w:pPr>
        <w:spacing w:before="0" w:after="120" w:line="360" w:lineRule="auto"/>
        <w:ind w:firstLine="168"/>
        <w:jc w:val="both"/>
      </w:pPr>
      <w:r>
        <w:rPr>
          <w:rFonts w:ascii="宋体" w:hAnsi="宋体" w:eastAsia="宋体"/>
          <w:b w:val="0"/>
          <w:color w:val="000000"/>
          <w:sz w:val="24"/>
        </w:rPr>
        <w:t>基本建设项目竣工财务决算审核涉及的法规政策体系是一个以《基本建设财务规则》为核心、多层次多领域相互配合的完整体系。从法律法规层面看，主要包括《基本建设财务规则》（财政部令第81号）、《政府投资项目条例》（国务院令第712号）、《招标投标法》及其实施条例、《政府采购法》及其实施条例等。从部门规章层面看，主要包括《基本建设项目竣工财务决算管理暂行办法》（财建〔2016〕503号）、《基本建设项目建设成本管理规定》（财建〔2016〕504号）、《基本建设项目价款结算管理暂行办法》（财建〔2003〕724号）、《工程造价咨询企业管理办法》（建设部令第50号）、《注册会计师法》等。从规范性文件层面看，主要包括财政部关于基本建设财务管理的系列规定、各省市制定的基本建设财务管理实施细则等。此外，还有一些与项目建设相关的专业标准规范，如《建设工程工程量清单计价规范》、《建设工程造价咨询规范》等。审核人员应当全面掌握上述法规政策体系，在审核中准确运用。</w:t>
      </w:r>
    </w:p>
    <w:p w14:paraId="33BE0864">
      <w:pPr>
        <w:spacing w:before="0" w:after="120" w:line="360" w:lineRule="auto"/>
        <w:ind w:firstLine="168"/>
        <w:jc w:val="both"/>
      </w:pPr>
      <w:r>
        <w:rPr>
          <w:rFonts w:ascii="宋体" w:hAnsi="宋体" w:eastAsia="宋体"/>
          <w:b w:val="0"/>
          <w:color w:val="000000"/>
          <w:sz w:val="24"/>
        </w:rPr>
        <w:t>工程量清单计价规范是工程造价审核的重要依据。《建设工程工程量清单计价规范》（GB50500-2013）是我国工程计价的主要标准，对工程量清单的编制、招标控制价的编制、投标报价的编制、合同价款的约定、合同价款的调整、合同价款的结算、合同价款争议的解决等作出了全面规定。该规范的主要内容包括：工程量清单的组成，包括分部分项工程项目、措施项目、其他项目、规费和税金等；综合单价的构成，包括人工费、材料费、施工机具使用费、企业管理费和利润、一定范围的风险费用等；合同价款的约定，规定采用工程量清单计价的工程，合同价款的约定应遵循的原则和方法；价款调整的情形，规定哪些情况下可以调整合同价款，调整的方法和程序是什么；竣工结算的办理，规定竣工结算的编制依据、编制要求、审核程序和时限等。审核人员应当熟练掌握工程量清单计价规范，在审核中准确运用。</w:t>
      </w:r>
    </w:p>
    <w:p w14:paraId="26D8BE3B">
      <w:pPr>
        <w:spacing w:before="0" w:after="120" w:line="360" w:lineRule="auto"/>
        <w:ind w:firstLine="168"/>
        <w:jc w:val="both"/>
      </w:pPr>
      <w:r>
        <w:rPr>
          <w:rFonts w:ascii="宋体" w:hAnsi="宋体" w:eastAsia="宋体"/>
          <w:b w:val="0"/>
          <w:color w:val="000000"/>
          <w:sz w:val="24"/>
        </w:rPr>
        <w:t>竣工财务决算审核中的舞弊识别与防范是审核人员必须掌握的重要技能。常见的舞弊手段包括：虚构交易，通过虚构经济业务套取建设资金，如虚构工程量、虚开票据、虚假采购等；隐瞒收入，将应上缴财政的结余资金、资产出租收入等隐瞒不入账；转移资金，通过虚构支出、虚列费用等方式将建设资金转移到账外或小金库；虚增成本，通过虚增工程量、虚报材料价格、虚办变更签证等方式虚增建设成本；关联交易舞弊，与关联企业进行不公平交易，通过利益输送转移建设资金。舞弊识别的审计方法包括：分析性复核，通过对财务数据和非财务数据的关系进行分析，发现异常和舞弊线索；细节测试，对重要交易和余额进行详细审核，获取直接证据；函证核实，向交易对方函证确认交易金额和条款，验证交易的真实性；现场核实，对实物资产和工程实体进行现场盘点核实，发现账实不符问题；内控测试，评价被审核单位内部控制的有效性，识别控制缺陷和舞弊风险点。</w:t>
      </w:r>
    </w:p>
    <w:p w14:paraId="2BC09981">
      <w:pPr>
        <w:spacing w:before="0" w:after="120" w:line="360" w:lineRule="auto"/>
        <w:ind w:firstLine="168"/>
        <w:jc w:val="both"/>
      </w:pPr>
      <w:r>
        <w:rPr>
          <w:rFonts w:ascii="宋体" w:hAnsi="宋体" w:eastAsia="宋体"/>
          <w:b w:val="0"/>
          <w:color w:val="000000"/>
          <w:sz w:val="24"/>
        </w:rPr>
        <w:t>四川省建筑工程计价定额是阿坝州建设项目造价审核的重要依据。四川省建筑工程计价定额由省住建厅组织编制，适用于四川省行政区域内的建筑工程计价活动。定额的主要内容包括：土石方工程定额，规定了土方开挖、石方开挖、土石方回填等工程的定额消耗量标准；地基与基础工程定额，规定了桩基、基坑支护、地基处理等工程的定额消耗量标准；主体结构工程定额，规定了钢筋混凝土结构、钢结构、砌体结构等工程的定额消耗量标准；屋面及防水工程定额，规定了屋面防水、地下室防水、厨卫防水等工程的定额消耗量标准；保温隔热工程定额，规定了墙体保温、屋面保温等工程的定额消耗量标准；装饰装修工程定额，规定了楼地面工程、墙柱面工程、天棚工程、门窗工程等工程的定额消耗量标准。定额是编制招标控制价、投标报价、工程结算的重要依据，审核人员应当熟练掌握定额的适用范围、消耗量标准和调整方法。</w:t>
      </w:r>
    </w:p>
    <w:p w14:paraId="3EDE30AC">
      <w:pPr>
        <w:spacing w:before="0" w:after="120" w:line="360" w:lineRule="auto"/>
        <w:ind w:firstLine="168"/>
        <w:jc w:val="both"/>
      </w:pPr>
      <w:r>
        <w:rPr>
          <w:rFonts w:ascii="宋体" w:hAnsi="宋体" w:eastAsia="宋体"/>
          <w:b w:val="0"/>
          <w:color w:val="000000"/>
          <w:sz w:val="24"/>
        </w:rPr>
        <w:t>阿坝州作为高原地区，冬季施工和高原施工的定额调整有特殊规定。根据四川省建筑工程计价定额的有关规定，高原地区施工增加费是指海拔2000米以上的地区施工，由于气压低、空气稀薄、气候寒冷等特殊自然条件影响，造成人工、机械效率降低而增加的费用。高原施工增加费的计算方法通常是：以基本直接费为基数，乘以相应海拔高度的高原施工增加费费率。高原施工增加费费率的确定应当充分考虑不同海拔高度对人工和机械效率的影响程度。审核人员应当重点关注以下问题：高原施工增加费计算的基数是否正确，是否以基本直接费为基数计算；高原施工增加费的费率是否符合规定标准，是否存在虚报高原施工天数套取资金的问题；高原施工增加费的适用范围是否符合规定，是否存在将不属于高原施工增加费范围的费用纳入计算的问题。冬季施工增加费与高原施工增加费是不同性质的费用，审核时应当注意区分，不得重复计取。</w:t>
      </w:r>
    </w:p>
    <w:p w14:paraId="3A774948">
      <w:pPr>
        <w:spacing w:before="0" w:after="120" w:line="360" w:lineRule="auto"/>
        <w:ind w:firstLine="168"/>
        <w:jc w:val="both"/>
      </w:pPr>
      <w:r>
        <w:rPr>
          <w:rFonts w:ascii="宋体" w:hAnsi="宋体" w:eastAsia="宋体"/>
          <w:b w:val="0"/>
          <w:color w:val="000000"/>
          <w:sz w:val="24"/>
        </w:rPr>
        <w:t>竣工财务决算审核报告的格式和内容应当符合执业规范的要求。根据《中国注册会计师审计准则》和《会计师事务所从事基本建设工程预算、结算、决算审核暂行办法》的规定，竣工财务决算审核报告应当包括以下主要内容：标题，一般表述为"关于XXX项目竣工财务决算的审核报告"；收件人，即委托审核的单位或个人；引言段，简要说明被审核项目的基本情况、审核依据、审核范围和审核时间；审核意见段，是审核报告的核心部分，应当明确说明审核结论，包括对竣工财务决算报告真实性、准确性、完整性的评价，对审核发现的主要问题和金额的说明，对竣工财务决算报告整体质量的判断；审核说明段，对于影响审核意见的重要事项，应当在审核说明段中进行详细说明；签章，审核报告应当由项目负责人、复核人和审核机构签章；附件，包括审核明细表、审核汇总表、审核工作底稿索引等。审核报告的语言应当准确、简洁、明了，数字应当经过认真核实。</w:t>
      </w:r>
    </w:p>
    <w:p w14:paraId="384FA935">
      <w:pPr>
        <w:spacing w:before="0" w:after="120" w:line="360" w:lineRule="auto"/>
        <w:ind w:firstLine="168"/>
        <w:jc w:val="both"/>
      </w:pPr>
      <w:r>
        <w:rPr>
          <w:rFonts w:ascii="宋体" w:hAnsi="宋体" w:eastAsia="宋体"/>
          <w:b w:val="0"/>
          <w:color w:val="000000"/>
          <w:sz w:val="24"/>
        </w:rPr>
        <w:t>政府投资项目绩效评价是对已建成项目进行综合评价的重要制度。绩效评价的主要内容包括：项目决策评价，主要评价项目立项依据是否充分、决策程序是否合规、决策目标是否明确合理；项目管理评价，主要评价项目建设管理制度是否健全、项目实施过程是否规范、工程质量是否合格、竣工验收是否及时；项目效益评价，主要评价项目建成后的经济效益、社会效益、生态效益是否达到预期目标，包括产出数量、产出质量、产出时效、成本控制、服务对象满意度等；项目可持续性评价，主要评价项目建成后的运营维护是否有保障、运营机制是否健全、可持续性风险是否可控。绩效评价的方法包括：比较法，将项目实际与决策时预期进行对比，分析差异原因；因素分析法，分析影响项目绩效的各种因素及其影响程度；成本效益分析法，计算项目的成本效益比，评价项目的经济合理性；公众评判法，通过问卷调查、访谈等方式，了解公众对项目绩效的满意度。绩效评价结果应当作为今后政府投资决策的重要参考。</w:t>
      </w:r>
    </w:p>
    <w:p w14:paraId="7CEE6295">
      <w:pPr>
        <w:spacing w:before="0" w:after="120" w:line="360" w:lineRule="auto"/>
        <w:ind w:firstLine="168"/>
        <w:jc w:val="both"/>
      </w:pPr>
      <w:r>
        <w:rPr>
          <w:rFonts w:ascii="宋体" w:hAnsi="宋体" w:eastAsia="宋体"/>
          <w:b w:val="0"/>
          <w:color w:val="000000"/>
          <w:sz w:val="24"/>
        </w:rPr>
        <w:t>基本建设项目竣工财务决算审核的三级复核制度是本所质量控制的核心机制。一级复核由项目经理负责实施，在审核人员完成工作底稿编制后进行，主要复核内容包括：审核程序是否完整执行了审核方案确定的各项程序；获取的审核证据是否充分、适当，证据与审核发现之间是否逻辑一致；工作底稿的填写是否完整规范，数字计算是否准确，签字是否齐全；审核发现的记录是否准确、完整，问题的描述是否清晰；审核结论是否有充分的证据支持，结论的判断是否合理。一级复核通过后，项目经理在复核记录上签字，将工作底稿连同复核意见一并提交项目总监进行二级复核。二级复核由项目总监负责实施，主要复核内容包括：一级复核意见是否得到落实；重大问题的判断是否准确，处理是否恰当；审核结论是否符合法规政策和执业准则；报告初稿内容是否完整、表述是否清晰。二级复核通过后，项目总监在复核记录上签字，提交技术委员会进行三级复核。三级复核（技术委员会审议）主要针对重大、复杂或高风险项目，由技术委员会集体讨论审议，确保审核报告质量。三级复核制度环环相扣、相互补充，是本所审核质量的坚强保障。</w:t>
      </w:r>
    </w:p>
    <w:p w14:paraId="0BA03DB2">
      <w:pPr>
        <w:spacing w:before="0" w:after="120" w:line="360" w:lineRule="auto"/>
        <w:ind w:firstLine="168"/>
        <w:jc w:val="both"/>
      </w:pPr>
      <w:r>
        <w:rPr>
          <w:rFonts w:ascii="宋体" w:hAnsi="宋体" w:eastAsia="宋体"/>
          <w:b w:val="0"/>
          <w:color w:val="000000"/>
          <w:sz w:val="24"/>
        </w:rPr>
        <w:t>基本建设项目的竣工验收与档案专项验收是项目验收的重要组成部分。竣工验收是指建设单位在项目建成后，组织勘察、设计、施工、监理等单位对项目进行检验验收的活动，验收的主要内容是检查项目是否完成设计文件和合同约定的各项内容、工程质量是否合格、各参建单位是否签署质量合格文件等。档案专项验收是指对重点建设项目的档案管理工作进行专项验收，验收的主要内容是检查档案是否齐全完整、档案整理是否规范、档案安全保管条件是否具备等。根据国家有关规定，国家重点建设项目和省重点建设项目必须进行档案专项验收，验收结果作为项目竣工验收的必要条件之一。档案专项验收的程序一般包括：建设单位自查，向档案行政管理部门提交档案专项验收申请；档案行政管理部门组织验收，验收组通过听取汇报、查阅档案、质询问题等方式进行检查；验收组出具验收意见，对档案管理工作作出评价，对存在的问题提出整改意见。竣工财务决算审核时，应当关注项目是否按规定通过了档案专项验收，验收发现的问题是否整改到位。</w:t>
      </w:r>
    </w:p>
    <w:p w14:paraId="77378A84">
      <w:pPr>
        <w:spacing w:before="0" w:after="120" w:line="360" w:lineRule="auto"/>
        <w:ind w:firstLine="168"/>
        <w:jc w:val="both"/>
      </w:pPr>
      <w:r>
        <w:rPr>
          <w:rFonts w:ascii="宋体" w:hAnsi="宋体" w:eastAsia="宋体"/>
          <w:b w:val="0"/>
          <w:color w:val="000000"/>
          <w:sz w:val="24"/>
        </w:rPr>
        <w:t>建设项目的工程监理制度是保障工程建设质量的重要制度。工程监理是指监理单位受建设单位委托，按照合同约定对建设工程的质量、进度、造价等进行的专业化监督管理活动。工程监理的主要内容包括：质量控制，监理单位对施工全过程进行质量监督，对进场材料设备进行检验，对隐蔽工程进行验收，对质量问题进行处理；进度控制，监理单位对施工进度计划执行情况进行监督，对进度偏差进行分析并提出调整建议；造价控制，监理单位对工程计量和工程款支付进行审核，对设计变更和现场签证进行确认，对竣工结算进行初审；安全管理，监理单位对施工安全进行监督检查，对安全隐患进行排查整改。竣工财务决算审核时，应当重点查阅监理日志、监理月报、监理会议纪要等资料，这些资料反映了项目建设过程的真实情况，对于核实工程量、判断变更合理性等具有重要参考价值。监理资料审核的主要内容有：监理日志记录的完整性，监理月报反映的工程进度和工程量与实际是否一致，监理签字确认的工程量是否与结算申报的工程量一致，对质量问题的处理是否及时到位。</w:t>
      </w:r>
    </w:p>
    <w:p w14:paraId="28D31101">
      <w:pPr>
        <w:spacing w:before="0" w:after="120" w:line="360" w:lineRule="auto"/>
        <w:ind w:firstLine="168"/>
        <w:jc w:val="both"/>
      </w:pPr>
      <w:r>
        <w:rPr>
          <w:rFonts w:ascii="宋体" w:hAnsi="宋体" w:eastAsia="宋体"/>
          <w:b w:val="0"/>
          <w:color w:val="000000"/>
          <w:sz w:val="24"/>
        </w:rPr>
        <w:t>工程造价的确定原理是"量价分离"，即工程量按照设计图纸和工程量计算规则计算，价格按照定额或市场价确定。工程造价审核就是核实"量"和"价"是否准确。工程量的计算应当依据设计图纸、施工图纸、竣工图纸以及工程量计算规范进行，计算过程应当清晰、计算结果应当准确。综合单价的确定应当依据合同约定，对于合同中有单价的项目，应当核查结算单价与合同单价是否一致；对于合同中无单价的新增项目，应当核查新增单价的确定依据是否充分，通常参照类似项目单价或重新编制。工程造价的审核方法包括：全面审核法，对工程结算书中的全部项目进行逐项审核，适用于规模较小、结算金额不大的项目；重点审核法，对重要项目和大额项目进行重点审核，对一般项目进行抽查，适用于规模较大的项目；对比审核法，将结算数据与预算数据、合同数据、同类项目数据进行对比分析，识别异常数据，适用于审核经验丰富的项目。工程造价的审核应当做到方法科学、依据充分、计算准确、结论可靠。</w:t>
      </w:r>
    </w:p>
    <w:p w14:paraId="6613273C">
      <w:pPr>
        <w:spacing w:before="0" w:after="120" w:line="360" w:lineRule="auto"/>
        <w:ind w:firstLine="168"/>
        <w:jc w:val="both"/>
      </w:pPr>
      <w:r>
        <w:rPr>
          <w:rFonts w:ascii="宋体" w:hAnsi="宋体" w:eastAsia="宋体"/>
          <w:b w:val="0"/>
          <w:color w:val="000000"/>
          <w:sz w:val="24"/>
        </w:rPr>
        <w:t>建设项目的招标控制价编制与审核是造价控制的重要环节。招标控制价是招标人根据设计图纸、概算定额或清单计价规范等资料编制的用于招标的最高限价。招标控制价的主要作用是防止投标人串通抬价，确保招标活动的公正性。招标控制价编制的主要内容包括：分部分项工程费，按照设计图纸和工程量计算规范计算工程量，套用定额或参照市场价确定综合单价，计算分部分项工程费；措施项目费，根据施工组织设计和技术方案确定措施项目及其费用，措施项目费应当单独列出；其他项目费，包括暂列金额、暂估价、专业工程暂估价、总承包服务费等；规费和税金，按照规定计算规费和税金。招标控制价的审核要点包括：工程量计算是否准确，是否存在漏算或重算；综合单价确定是否合理，是否偏离市场正常价格水平；措施项目费的计取是否有依据，是否存在多计问题；规费和税金的计算是否正确。招标控制价偏高会导致财政资金损失，偏低则可能导致投标人放弃投标或降低工程质量，因此招标控制价的准确性非常重要。</w:t>
      </w:r>
    </w:p>
    <w:p w14:paraId="5905F20B">
      <w:pPr>
        <w:spacing w:before="0" w:after="120" w:line="360" w:lineRule="auto"/>
        <w:ind w:firstLine="168"/>
        <w:jc w:val="both"/>
      </w:pPr>
      <w:r>
        <w:rPr>
          <w:rFonts w:ascii="宋体" w:hAnsi="宋体" w:eastAsia="宋体"/>
          <w:b w:val="0"/>
          <w:color w:val="000000"/>
          <w:sz w:val="24"/>
        </w:rPr>
        <w:t>竣工财务决算审核中的现金流分析是评价项目资金使用效益的重要方法。现金流分析的主要内容包括：资金流入分析，分析项目资金来源的构成和到位情况，包括中央投资、省级配套、地方自筹、债券资金、银行贷款等各类资金的实际到位情况，计算资金到位率，分析资金到位是否及时；资金流出分析，分析项目各项支出的情况，包括建安工程支出、设备投资支出、其他投资支出等，计算各类支出的占比，分析支出结构是否合理；资金使用效率分析，计算项目的资金使用率（实际使用资金占到位资金的比例）和资金周转率（资金从投入到形成资产的效率），分析是否存在资金闲置或资金浪费问题；资金平衡分析，编制项目资金平衡表，分析资金来源与资金使用的平衡情况，计算项目结余或超支金额，分析结余或超支原因；资金使用合规性分析，核查是否存在资金挪用、串用、超范围使用等问题。现金流分析可以从资金角度揭示项目管理的效率和效果。</w:t>
      </w:r>
    </w:p>
    <w:p w14:paraId="10C3C15E">
      <w:pPr>
        <w:spacing w:before="0" w:after="120" w:line="360" w:lineRule="auto"/>
        <w:ind w:firstLine="168"/>
        <w:jc w:val="both"/>
      </w:pPr>
      <w:r>
        <w:rPr>
          <w:rFonts w:ascii="宋体" w:hAnsi="宋体" w:eastAsia="宋体"/>
          <w:b w:val="0"/>
          <w:color w:val="000000"/>
          <w:sz w:val="24"/>
        </w:rPr>
        <w:t>工程索赔与反索赔的审核处理是竣工财务决算审核的难点问题。索赔是合同一方因对方责任造成的损失而提出的补偿要求，反索赔是合同另一方对索赔方的反驳。工程索赔的主要类型包括：工期索赔，因发包人原因（如设计变更、延迟支付工程款、提供施工现场延迟等）导致工期延误，承包人提出工期索赔；费用索赔，因发包人原因导致费用增加，承包人提出费用索赔；利润索赔，因合同变更或解除导致承包人预期利润损失，承包人提出利润索赔。索赔审核的主要内容包括：索赔依据的审查，核查索赔事件是否符合合同约定的索赔条件，索赔理由是否充分；索赔程序的审查，核查索赔是否按照合同约定的时间和方法提出，超出规定时限的索赔是否有效；索赔证据的审查，核查索赔证据是否充分有效，包括事件记录、照片、函件、影视资料等；索赔金额的审查，核查索赔金额的计算是否有依据，计算方法是否正确，对于费用索赔应当逐项核实费用的真实性、关联性和合理性；工期影响的审查，对于工期索赔，应当核实延误事件对关键线路的影响，计算合理的工期延长天数。反索赔的审查应当核实反索赔的依据是否充分，反驳意见是否成立。</w:t>
      </w:r>
    </w:p>
    <w:p w14:paraId="5EEC5421">
      <w:pPr>
        <w:spacing w:before="0" w:after="120" w:line="360" w:lineRule="auto"/>
        <w:ind w:firstLine="168"/>
        <w:jc w:val="both"/>
      </w:pPr>
      <w:r>
        <w:rPr>
          <w:rFonts w:ascii="宋体" w:hAnsi="宋体" w:eastAsia="宋体"/>
          <w:b w:val="0"/>
          <w:color w:val="000000"/>
          <w:sz w:val="24"/>
        </w:rPr>
        <w:t>竣工财务决算审核中的投资效益分析是评价项目建设成效的重要内容。投资效益分析的主要内容包括：经济性分析，计算项目的单位投资产出（如每万元投资形成的固定资产价值、每公里投资建成的公路里程等），与同类项目进行横向比较，分析项目投资的经济性；效率性分析，计算项目的建设周期、资金周转率等效率指标，分析项目建设的效率水平；效果性分析，评价项目建成后的产出效果是否达到预期目标，如市政设施项目的服务能力、环境治理项目的污染削减效果、交通项目的通行能力等；可持续性分析，评价项目建成后的运营维护是否有保障，运营成本是否在可承受范围内，项目的可持续性风险是否可控；社会效益分析，评价项目对区域经济社会发展、就业促进、民族团结等方面的贡献。投资效益分析的数据来源主要是竣工财务决算报告、项目竣工验收报告、运营数据统计等。效益分析应当做到数据真实、评价客观、方法科学、结论可信。</w:t>
      </w:r>
    </w:p>
    <w:p w14:paraId="10C93D8C">
      <w:pPr>
        <w:spacing w:before="0" w:after="120" w:line="360" w:lineRule="auto"/>
        <w:ind w:firstLine="168"/>
        <w:jc w:val="both"/>
      </w:pPr>
      <w:r>
        <w:rPr>
          <w:rFonts w:ascii="宋体" w:hAnsi="宋体" w:eastAsia="宋体"/>
          <w:b w:val="0"/>
          <w:color w:val="000000"/>
          <w:sz w:val="24"/>
        </w:rPr>
        <w:t>政府投资项目的信息公开与接受社会监督是推进政府治理现代化的重要举措。根据《政府信息公开条例》和《国务院关于政府信息公开的规定》，政府投资项目应当依法公开相关信息。信息公开的主要内容包括：项目立项审批信息公开，包括项目建议书批复、可行性研究报告批复、初步设计概算批复等；招标采购信息公开，包括招标公告、中标结果、合同签订等信息；项目建设进展信息公开，包括年度建设计划完成情况、重大建设进展等信息；竣工验收信息公开，包括竣工验收结果、竣工财务决算批复等信息；绩效评价信息公开，包括项目绩效评价结果等信息。竣工财务决算审核报告的信息公开，应当遵守国家关于政府信息公开的规定，除涉及国家秘密和商业秘密的内容外，应当按照规定向社会公开。信息公开是接受社会监督的重要方式，有利于促进政府投资项目管理规范化和效能提升。本所开展竣工财务决算审核时，将充分考虑信息公开的要求，确保审核报告内容完整、表述规范。</w:t>
      </w:r>
    </w:p>
    <w:p w14:paraId="77ED1AA2">
      <w:pPr>
        <w:spacing w:before="0" w:after="120" w:line="360" w:lineRule="auto"/>
        <w:ind w:firstLine="168"/>
        <w:jc w:val="both"/>
      </w:pPr>
      <w:r>
        <w:rPr>
          <w:rFonts w:ascii="宋体" w:hAnsi="宋体" w:eastAsia="宋体"/>
          <w:b w:val="0"/>
          <w:color w:val="000000"/>
          <w:sz w:val="24"/>
        </w:rPr>
        <w:t>基本建设项目竣工财务决算审核与跟踪审计、专项审计既有联系又有区别。跟踪审计是指审计机关对项目建设全过程进行持续性的审计监督，从项目建设初期介入，对项目建设的各个环节进行实时监督，及时发现和纠正问题。专项审计是指审计机关针对特定事项或特定领域进行的专门审计，如对某一地区的政府投资项目进行专项审计、对某一行业的投资项目进行专项审计等。三者的主要区别在于：审计主体不同，竣工财务决算审核可以由会计师事务所等中介机构进行，跟踪审计和专项审计通常由审计机关进行；审计时间不同，竣工财务决算审核是在项目建成后进行的事后审计，跟踪审计是项目建设全过程中进行的持续性审计，专项审计可以是事前、事中或事后进行；审计范围不同，竣工财务决算审核主要审核竣工财务决算的真实性、准确性，跟踪审计和专项审计的范围更加广泛；审计目的不同，竣工财务决算审核主要是确认决算报告的准确性，跟踪审计和专项审计更侧重于揭示问题、规范管理。三者可以相互配合、相互补充，共同构成对政府投资项目的监督体系。在实际工作中，竣工财务决算审核报告往往作为跟踪审计和专项审计的重要参考依据。</w:t>
      </w:r>
    </w:p>
    <w:p w14:paraId="4E4017A6">
      <w:pPr>
        <w:spacing w:before="0" w:after="120" w:line="360" w:lineRule="auto"/>
        <w:ind w:firstLine="168"/>
        <w:jc w:val="both"/>
      </w:pPr>
      <w:r>
        <w:rPr>
          <w:rFonts w:ascii="宋体" w:hAnsi="宋体" w:eastAsia="宋体"/>
          <w:b w:val="0"/>
          <w:color w:val="000000"/>
          <w:sz w:val="24"/>
        </w:rPr>
        <w:t>基本建设项目的竣工验收与质量评定是确保工程质量的重要环节。竣工验收是在施工单位完成合同约定的各项内容后，建设单位组织勘察、设计、施工、监理等单位对项目进行的全面检查验收。质量评定是在竣工验收过程中，按照《建筑工程施工质量验收统一标准》对工程质量进行等级评定。质量评定的主要内容包括：检验批质量验收，对检验批的检验项目、主控项目和一般项目进行检验，判定是否合格；分项工程质量验收，对分项工程所包含的检验批进行汇总，判定分项工程质量是否合格；分部工程质量验收，对分部工程所包含的分项工程进行汇总，核定分部工程质量等级；单位工程质量验收，对单位工程所包含的分部工程进行汇总，核定单位工程质量等级，划分工程质量等级（合格或优良）。竣工验收应当形成竣工验收报告，载明工程质量评定结果、各参建单位的验收意见等。竣工财务决算审核时，应当关注工程质量等级是否符合设计要求，竣工验收程序是否合规，质量问题是否整改到位。对于存在严重质量问题的项目，应当在审核报告中予以反映。</w:t>
      </w:r>
    </w:p>
    <w:p w14:paraId="381B6EB8">
      <w:pPr>
        <w:spacing w:before="0" w:after="120" w:line="360" w:lineRule="auto"/>
        <w:ind w:firstLine="168"/>
        <w:jc w:val="both"/>
      </w:pPr>
      <w:r>
        <w:rPr>
          <w:rFonts w:ascii="宋体" w:hAnsi="宋体" w:eastAsia="宋体"/>
          <w:b w:val="0"/>
          <w:color w:val="000000"/>
          <w:sz w:val="24"/>
        </w:rPr>
        <w:t>工程质保金与缺陷责任期管理是竣工财务决算审核的重要内容。缺陷责任期是指施工单位对竣工交付使用的工程承担质量保修责任的期限，一般为1-2年，从工程竣工验收合格之日起计算。工程质保金是指在工程款中预留的用于保证施工单位履行质量保修责任的金额，一般不超过工程结算总额的3%。质保金管理的主要内容包括：质保金的预留，核查质保金是否按规定比例预留，预留方式是否符合规定（现金预留或银行保函）；质保金的核算，核查质保金是否单独核算，是否计入应付账款或长期应付款；质保金的支付，核查缺陷责任期满后，质保金是否按照合同约定及时返还，有无拖欠问题；质保金扣减，核查因质量缺陷扣减质保金的，是否符合合同约定，扣减金额是否合理；质量保修责任的履行，核查施工单位是否按照合同约定履行质量保修责任，保修范围内的质量问题是否及时处理。质保金管理关系到施工单位的合法权益和工程质量的后续保障，审核时应当予以充分关注。</w:t>
      </w:r>
    </w:p>
    <w:p w14:paraId="78348A44">
      <w:pPr>
        <w:spacing w:before="0" w:after="120" w:line="360" w:lineRule="auto"/>
        <w:ind w:firstLine="168"/>
        <w:jc w:val="both"/>
      </w:pPr>
      <w:r>
        <w:rPr>
          <w:rFonts w:ascii="宋体" w:hAnsi="宋体" w:eastAsia="宋体"/>
          <w:b w:val="0"/>
          <w:color w:val="000000"/>
          <w:sz w:val="24"/>
        </w:rPr>
        <w:t>工程保险与工程担保制度是转移和分散工程风险的重要机制。工程保险的主要类型包括：建筑工程一切险，承保施工过程中因自然灾害和意外事故造成的物质损失和第三者责任；安装工程一切险，承保设备安装过程中因自然灾害和意外事故造成的物质损失和第三者责任；施工企业意外伤害保险，承保施工现场作业人员的意外伤害；建设工程安全生产责任保险，承保施工企业因安全事故造成的人员伤亡和财产损失。工程担保的主要类型包括：投标担保，担保投标人中标后签订合同；履约担保，担保承包人按合同约定履行施工义务；预付款担保，担保发包人支付的预付款用于工程建设；支付担保，担保发包人按合同约定支付工程款。竣工财务决算审核时，应当重点关注：工程保险费用是否按规定计入项目建设成本，保险范围和保险金额是否与工程规模相匹配；工程担保的办理是否符合规定，担保费用是否合理；保险赔付情况，核查出险后的理赔程序是否合规，理赔金额是否合理；是否存在应当投保而未投保的问题。</w:t>
      </w:r>
    </w:p>
    <w:p w14:paraId="1DAF845A">
      <w:pPr>
        <w:spacing w:before="0" w:after="120" w:line="360" w:lineRule="auto"/>
        <w:ind w:firstLine="168"/>
        <w:jc w:val="both"/>
      </w:pPr>
      <w:r>
        <w:rPr>
          <w:rFonts w:ascii="宋体" w:hAnsi="宋体" w:eastAsia="宋体"/>
          <w:b w:val="0"/>
          <w:color w:val="000000"/>
          <w:sz w:val="24"/>
        </w:rPr>
        <w:t>建设项目的安全生产管理审核是竣工财务决算审核的重要内容。安全生产管理审核的主要内容包括：安全管理制度的建立，核查建设单位、施工单位是否建立健全安全生产管理制度，包括安全生产责任制、安全操作规程、应急预案等；安全投入的核算，核查安全生产费用是否按规定标准计取，是否专款专用，有无挪用安全生产费用的问题；安全培训的核查，核查进场作业人员是否经过安全培训，特种作业人员是否持证上岗；安全措施落实情况的核查，核查施工现场的安全防护措施是否到位，安全警示标志是否设置齐全；安全隐患排查整改情况的核查，核查是否定期开展安全隐患排查，对发现的安全隐患是否及时整改；安全事故处理情况的核查，核查建设期间是否发生过安全事故，对事故的处理是否合规，是否按规定向有关部门报告；安全设施竣工验收情况的核查，核查安全设施是否与主体工程同时设计、同时施工、同时投产使用，安全设施竣工验收是否合格。安全生产关系到人民群众的生命财产安全，审核时应当予以充分重视。</w:t>
      </w:r>
    </w:p>
    <w:p w14:paraId="0C551B72">
      <w:pPr>
        <w:spacing w:before="0" w:after="120" w:line="360" w:lineRule="auto"/>
        <w:ind w:firstLine="168"/>
        <w:jc w:val="both"/>
      </w:pPr>
      <w:r>
        <w:rPr>
          <w:rFonts w:ascii="宋体" w:hAnsi="宋体" w:eastAsia="宋体"/>
          <w:b w:val="0"/>
          <w:color w:val="000000"/>
          <w:sz w:val="24"/>
        </w:rPr>
        <w:t>建设项目竣工后评价与绩效评价是项目全生命周期管理的重要环节。竣工后评价是在项目建成投产运营一定时间后，对项目的决策、实施过程、产出效果、影响和可持续性进行全面、系统的分析和评价活动。后评价的主要内容包括：过程评价，对项目立项决策、勘察设计、招标投标、施工建设、竣工验收等全过程进行回顾和评价，分析项目建设是否规范，管理是否有效；效果评价，对项目建成后的产出效果进行定量定性分析，评价各项预期目标是否实现，包括生产能力或服务能力、产品质量、服务对象满意度等；影响评价，分析项目对区域经济、社会、环境等方面的影响，包括经济增长、就业促进、技术进步、环境保护等；可持续性评价，分析项目建成后的运营维护状况，评价项目的可持续性，包括技术可持续性、财务可持续性、管理可持续性等；经验教训总结，总结项目成功的经验和失败的教训，提出改进今后工作的建议。后评价的方法包括对比法（将实际与决策预期进行对比）、逻辑框架法（从投入、产出、目的、宏观目标四个层次进行分析）、成功度评价法等。后评价结果应当作为今后改进政府投资决策和管理的重要参考。</w:t>
      </w:r>
    </w:p>
    <w:p w14:paraId="728BF8C1">
      <w:pPr>
        <w:spacing w:before="0" w:after="120" w:line="360" w:lineRule="auto"/>
        <w:ind w:firstLine="168"/>
        <w:jc w:val="both"/>
      </w:pPr>
      <w:r>
        <w:rPr>
          <w:rFonts w:ascii="宋体" w:hAnsi="宋体" w:eastAsia="宋体"/>
          <w:b w:val="0"/>
          <w:color w:val="000000"/>
          <w:sz w:val="24"/>
        </w:rPr>
        <w:t>基本建设项目竣工财务决算审核中，工程量计算规则与工程量清单计价规范的运用是造价审核的核心内容。工程量计算规则规定了各类工程量的计算方法，包括土石方工程量的计算（开挖、回填、余土外运等的计算方法）、混凝土及钢筋混凝土工程量的计算（梁、板、柱、墙等的体积计算和钢筋重量计算）、楼地面工程量的计算（垫层、找平层、面层的面积计算）、装饰装修工程量的计算（抹灰、涂料、裱糊等的面积计算）、门窗工程量的计算（面积、数量计算）等。工程量清单计价规范则规定了综合单价的计算方法和计价程序，包括人工费、材料费、施工机具使用费的计算，企业管理费和利润的计算，规费和税金的计算等。审核人员应当熟练掌握工程量计算规则和清单计价规范，在审核中准确运用。对于审核中发现的工程量计算错误、单价套用错误、费用计取错误等问题，应当予以指出并纠正，确保工程结算和竣工财务决算的准确性。</w:t>
      </w:r>
    </w:p>
    <w:p w14:paraId="4CBBB25F">
      <w:pPr>
        <w:spacing w:before="0" w:after="120" w:line="360" w:lineRule="auto"/>
        <w:ind w:firstLine="168"/>
        <w:jc w:val="both"/>
      </w:pPr>
      <w:r>
        <w:rPr>
          <w:rFonts w:ascii="宋体" w:hAnsi="宋体" w:eastAsia="宋体"/>
          <w:b w:val="0"/>
          <w:color w:val="000000"/>
          <w:sz w:val="24"/>
        </w:rPr>
        <w:t>竣工财务决算审核与基本建设项目投资审计的协调配合是提高监督效能的重要途径。投资审计是审计机关依法对政府投资项目的投资建设活动进行的经济监督活动，主要内容包括：政策执行审计，检查政府投资项目是否符合国家投资政策、产业政策、环保政策等；建设程序审计，检查项目建设程序是否合规，是否存在未批先建、边建边批等程序违规问题；工程结算审计，核实工程价款的真实性、合法性；竣工决算审计，核实项目投资的真实性、完整性；绩效审计，评价项目投资效益。竣工财务决算审核与投资审计的目标都是规范政府投资项目管理、提高投资效益，两者的审核内容存在较大重叠。在实际操作中，可以相互利用审核成果，避免重复审核，节约审计资源。本所开展竣工财务决算审核时，将充分借鉴和利用审计机关的投资审计成果，对于投资审计已核实的事项原则上直接引用，对于投资审计发现的线索进行重点关注，确保审核工作高效有序。</w:t>
      </w:r>
    </w:p>
    <w:p w14:paraId="5761204E">
      <w:pPr>
        <w:spacing w:before="0" w:after="120" w:line="360" w:lineRule="auto"/>
        <w:ind w:firstLine="168"/>
        <w:jc w:val="both"/>
      </w:pPr>
      <w:r>
        <w:rPr>
          <w:rFonts w:ascii="宋体" w:hAnsi="宋体" w:eastAsia="宋体"/>
          <w:b w:val="0"/>
          <w:color w:val="000000"/>
          <w:sz w:val="24"/>
        </w:rPr>
        <w:t>建设工程合同管理与合同纠纷处理是竣工财务决算审核需要重点关注的内容。合同管理的主要环节包括：合同签订管理，核查合同签订前是否经过适当的审批程序，合同内容是否完整、条款是否公平合理；合同履行监控，对合同执行情况进行跟踪，及时发现和处理合同履行中的问题；合同变更管理，核查合同变更是否经过双方协商一致，变更手续是否齐全，变更内容是否合法合规；合同结算管理，对合同价款进行审核确认，办理合同结算手续；合同档案管理，对合同及合同履行过程中形成的资料进行归档保管。合同纠纷处理的主要方式包括：协商解决，通过双方协商达成和解协议；调解解决，在第三方主持下达成调解协议；仲裁解决，将争议提交仲裁委员会仲裁；诉讼解决，向有管辖权的人民法院提起诉讼。竣工财务决算审核时，对于涉及合同纠纷的事项，应当关注纠纷产生的原因、纠纷的金额、纠纷的处理结果等，分析纠纷对竣工财务决算的影响。</w:t>
      </w:r>
    </w:p>
    <w:p w14:paraId="35B389DF">
      <w:pPr>
        <w:spacing w:before="0" w:after="120" w:line="360" w:lineRule="auto"/>
        <w:ind w:firstLine="168"/>
        <w:jc w:val="both"/>
      </w:pPr>
      <w:r>
        <w:rPr>
          <w:rFonts w:ascii="宋体" w:hAnsi="宋体" w:eastAsia="宋体"/>
          <w:b w:val="0"/>
          <w:color w:val="000000"/>
          <w:sz w:val="24"/>
        </w:rPr>
        <w:t>政府投资项目概算调整的审核是竣工财务决算审核的重要内容。概算调整的主要情形包括：国家重大政策调整导致投资增加，如新的法律法规要求、新的技术标准实施等；地质条件发生重大变化导致设计变更，如地基承载力不足、发现不良地质等；主要材料价格和人工费大幅上涨超出正常预期，需要调整概算；不可抗力等不可预见因素导致投资增加，如自然灾害、战争等。概算调整的程序和要求包括：建设单位提出调概申请，说明调整原因、调整内容和调整金额；原初步设计审批部门审核调概申请，对于重大设计变更需报原可研审批部门批准；调整概算应当落实资金来源，明确资金筹集方案；调概批复后，方可按调整后的概算执行。概算调整审核的主要内容包括：调概理由是否充分，是否属于允许调整的情形；调整内容是否真实，是否确实需要增加投资；调整金额是否准确，计算依据是否充分；资金来源是否落实，是否有保障。未经批准擅自超概算的，应当查明原因，分析责任。</w:t>
      </w:r>
    </w:p>
    <w:p w14:paraId="02E88820">
      <w:pPr>
        <w:spacing w:before="0" w:after="120" w:line="360" w:lineRule="auto"/>
        <w:ind w:firstLine="168"/>
        <w:jc w:val="both"/>
      </w:pPr>
      <w:r>
        <w:rPr>
          <w:rFonts w:ascii="宋体" w:hAnsi="宋体" w:eastAsia="宋体"/>
          <w:b w:val="0"/>
          <w:color w:val="000000"/>
          <w:sz w:val="24"/>
        </w:rPr>
        <w:t>基本建设项目竣工财务决算审核的工作底稿编制规范是确保审核质量的重要保障。工作底稿应当包括以下内容：被审核项目的基本情况，包括项目名称、建设规模、投资规模、建设单位、设计单位、施工单位、监理单位、开竣工日期等；审核依据，包括法规依据（法律、行政法规、部门规章、规范性文件等）和技术依据（设计文件、合同协议、定额标准等）；审核方案，包括审核目标、审核范围、审核重点、审核程序、时间安排等；审核记录，对执行的各项审核程序进行详细记录，包括查阅的文件资料名称、查阅日期、查阅结果等；审核计算表，对工程量计算、综合单价计算、费用计算等进行详细记录；审核发现汇总，对审核中发现的主要问题进行汇总整理，列明问题描述、金额、法规依据等；审核结论，对项目竣工财务决算报告的整体评价意见和主要审核发现的处理建议。工作底稿应当做到内容完整、记录清晰、计算准确、索引连贯、相互印证。工作底稿归档后，未经本所同意，不得向任何第三方提供或泄露。</w:t>
      </w:r>
    </w:p>
    <w:p w14:paraId="36CBB73A">
      <w:pPr>
        <w:spacing w:before="0" w:after="120" w:line="360" w:lineRule="auto"/>
        <w:ind w:firstLine="168"/>
        <w:jc w:val="both"/>
      </w:pPr>
      <w:r>
        <w:rPr>
          <w:rFonts w:ascii="宋体" w:hAnsi="宋体" w:eastAsia="宋体"/>
          <w:b w:val="0"/>
          <w:color w:val="000000"/>
          <w:sz w:val="24"/>
        </w:rPr>
        <w:t>建设项目的竣工验收与投产使用交接是项目全流程管理的最终环节。竣工验收与投产使用交接的主要内容包括：竣工验收的准备，建设单位应当组织设计、施工、监理等单位完成竣工验收前的各项准备工作，包括完成设计文件和合同约定的各项内容、整理竣工验收资料、组织自查等；竣工验收的组织，建设单位向建设行政主管部门申请竣工验收，建设行政主管部门组织勘察、设计、施工、监理等单位进行竣工验收；竣工验收的整改，对于竣工验收中发现的问题，建设单位应当组织施工单位整改，整改完成后重新组织验收；竣工验收备案，建设单位在竣工验收合格后15日内向建设行政主管部门办理竣工验收备案；资产移交，建设单位将竣工验收合格的项目移交给使用单位或运营单位，办理资产移交手续，明确资产管理责任；竣工财务决算，建设单位在竣工验收后及时编制竣工财务决算，委托中介机构进行审核。竣工验收与投产使用交接审核应当关注各环节是否合规，是否存在未验先用的问题，是否存在资产移交不及时的问题。</w:t>
      </w:r>
    </w:p>
    <w:p w14:paraId="7D1048D7">
      <w:pPr>
        <w:spacing w:before="0" w:after="120" w:line="360" w:lineRule="auto"/>
        <w:ind w:firstLine="168"/>
        <w:jc w:val="both"/>
      </w:pPr>
      <w:r>
        <w:rPr>
          <w:rFonts w:ascii="宋体" w:hAnsi="宋体" w:eastAsia="宋体"/>
          <w:b w:val="0"/>
          <w:color w:val="000000"/>
          <w:sz w:val="24"/>
        </w:rPr>
        <w:t>工程结算审核与竣工财务决算审核的协调是确保项目投资真实完整的重要环节。工程结算审核主要核实施工单位的工程价款结算，包括工程量、综合单价、费用、变更签证、索赔等，其结果是确定工程价款的结算金额；竣工财务决算审核在此基础上，还要核实建设单位的全部建设资金来源和支出，包括工程价款、设备投资、待摊投资等，以及资产形成情况，编制竣工财务决算报表。两者的协调配合要点包括：工程结算数据与财务核算数据的核对，确保工程结算金额与会计核算的"建筑安装工程投资"科目金额一致；设备投资与设备采购合同的核对，确保设备投资与设备采购合同金额一致；待摊投资的核实，核查待摊投资的计取是否符合规定，分摊是否合理；预备费和建设期利息的核实，核查是否按规定计入项目建设成本；尾工工程和预留费用的核实，核查预留费用是否足够完成尾工工程。对于两者之间的差异，应当查明原因，确保竣工财务决算全面反映项目投资的真实情况。</w:t>
      </w:r>
    </w:p>
    <w:p w14:paraId="55313250">
      <w:pPr>
        <w:spacing w:before="0" w:after="120" w:line="360" w:lineRule="auto"/>
        <w:ind w:firstLine="168"/>
        <w:jc w:val="both"/>
      </w:pPr>
      <w:r>
        <w:rPr>
          <w:rFonts w:ascii="宋体" w:hAnsi="宋体" w:eastAsia="宋体"/>
          <w:b w:val="0"/>
          <w:color w:val="000000"/>
          <w:sz w:val="24"/>
        </w:rPr>
        <w:t>竣工财务决算审核中的会计差错与会计估计变更的处理是确保决算准确性的重要内容。会计差错是指企业在会计核算中由于确认、计量、记录等方面出现的错误，主要包括计算错误、应用会计政策错误、应用会计估计错误等。会计估计变更是指由于资产和负债的当前状况及预期经济利益和义务发生了变化，从而对资产或负债的账面价值或资产的定期消耗金额进行调整。会计差错更正的主要审核内容包括：差错的性质和原因，分析差错的类型是前期差错还是本期差错，差错产生的原因是主观故意还是过失；差错更正的及时性，核查差错被发现后是否及时进行更正，有无故意隐瞒问题；差错更正的金额，核查差错更正的金额计算是否正确，更正后的报表数据是否准确；差错更正的披露，核查差错更正的性质、金额、对报表的影响是否在报表附注中充分披露。会计估计变更审核的主要内容包括：变更的原因和合理性，分析会计估计变更是否因为资产和负债的实际情况发生了变化，变更是否合理；变更金额的影响，分析会计估计变更对当期和未来期间损益的影响，变更金额计算是否正确；变更的披露，核查会计估计变更的性质、内容、金额和影响是否在报表附注中充分披露。</w:t>
      </w:r>
    </w:p>
    <w:p w14:paraId="4DDD3B7D">
      <w:pPr>
        <w:spacing w:before="0" w:after="120" w:line="360" w:lineRule="auto"/>
        <w:ind w:firstLine="168"/>
        <w:jc w:val="both"/>
      </w:pPr>
      <w:r>
        <w:rPr>
          <w:rFonts w:ascii="宋体" w:hAnsi="宋体" w:eastAsia="宋体"/>
          <w:b w:val="0"/>
          <w:color w:val="000000"/>
          <w:sz w:val="24"/>
        </w:rPr>
        <w:t>政府投资项目竣工财务决算审核的质量提升路径包括以下几个方面：完善审核标准体系，制定统一的竣工财务决算审核标准和操作规程，明确审核内容、审核方法、审核程序、质量要求等，为审核工作提供规范指引；加强审核人才培养，加大对竣工财务决算审核专业人才的培养力度，建立完善的后备人才梯队，提升行业整体专业水平；推进审核信息化建设，加大信息技术在竣工财务决算审核中的应用力度，利用大数据、人工智能等技术手段提高审核效率和质量；建立审核质量评价机制，建立竣工财务决算审核质量评价指标体系，定期对审核质量进行评估和排名，促进审核质量持续改进；加强行业交流合作，组织开展竣工财务决算审核经验交流、案例研讨、标准宣贯等活动，促进行业整体水平提升；完善监督制约机制，建立健全竣工财务决算审核的内部监督和外部监督机制，对发现的违规行为进行惩戒，维护行业秩序。</w:t>
      </w:r>
    </w:p>
    <w:p w14:paraId="5F79CCEA">
      <w:pPr>
        <w:spacing w:before="0" w:after="120" w:line="360" w:lineRule="auto"/>
        <w:ind w:firstLine="168"/>
        <w:jc w:val="both"/>
      </w:pPr>
      <w:r>
        <w:rPr>
          <w:rFonts w:ascii="宋体" w:hAnsi="宋体" w:eastAsia="宋体"/>
          <w:b w:val="0"/>
          <w:color w:val="000000"/>
          <w:sz w:val="24"/>
        </w:rPr>
        <w:t>基本建设项目竣工财务决算审核的重点内容需要全面把握。第一是建设成本审核，重点核查成本归集的真实性、完整性和准确性，是否存在虚列成本问题，建设成本是否超过批准建设内容发生支出。第二是支出合规性审核，重点核查是否存在不符合合同协议的支出、是否存在非法收费和摊派，是否存在超标准超范围支出。第三是票据合规性审核，重点核查有无无发票或发票项目不全、无审批手续、无责任人员签字的支出，票据是否真实合法有效。第四是损失浪费审核，重点核查因设计单位、施工单位或供货单位原因造成的工程报废损失及其责任划分。第五是制度执行审核，重点核查执行《基本建设财务规则》及相关会计制度的有效性，是否存在违反财经纪律的问题。这五个方面环环相扣、相互印证，构成了竣工财务决算审核的完整框架。</w:t>
      </w:r>
    </w:p>
    <w:p w14:paraId="45CF34C7">
      <w:pPr>
        <w:spacing w:before="0" w:after="120" w:line="360" w:lineRule="auto"/>
        <w:ind w:firstLine="168"/>
        <w:jc w:val="both"/>
      </w:pPr>
      <w:r>
        <w:rPr>
          <w:rFonts w:ascii="宋体" w:hAnsi="宋体" w:eastAsia="宋体"/>
          <w:b w:val="0"/>
          <w:color w:val="000000"/>
          <w:sz w:val="24"/>
        </w:rPr>
        <w:t>本所对阿坝州财政局州本级建设项目竣工财务决算审核项目高度重视，承诺将以最专业的团队、最优质的服务、最严谨的态度完成审核任务。项目团队将严格按照执业准则和职业道德规范开展审核工作，确保审核报告真实、准确、完整。我们将以阿坝州州本级建设项目的特点为出发点，充分考虑高原气候、民族地区、对口援建、自然灾害等特殊因素，提出有针对性的审核方法和保障措施。诚挚希望能够承担本项目的审核工作，为阿坝州财政局提供专业、高效、优质的服务，为阿坝州的建设发展贡献专业力量。</w:t>
      </w:r>
    </w:p>
    <w:p w14:paraId="2ACC2906">
      <w:pPr>
        <w:spacing w:before="0" w:after="120" w:line="360" w:lineRule="auto"/>
        <w:ind w:firstLine="168"/>
        <w:jc w:val="both"/>
      </w:pPr>
      <w:r>
        <w:rPr>
          <w:rFonts w:ascii="宋体" w:hAnsi="宋体" w:eastAsia="宋体"/>
          <w:b w:val="0"/>
          <w:color w:val="000000"/>
          <w:sz w:val="24"/>
        </w:rPr>
        <w:t>工程竣工验收程序与质量验收标准是竣工财务决算审核的重要法规依据。竣工验收程序的主要法规依据包括《建设工程质量管理条例》、《房屋建筑工程和市政基础设施工程竣工验收备案管理暂行办法》等。根据规定，竣工验收应当按下列程序进行：施工单位完成工程设计和合同约定的各项内容后，应当组织工程竣工预验收，预验收合格后向建设单位提交工程竣工报告；建设单位收到工程竣工报告后，应当组织勘察、设计、施工、监理等单位进行竣工验收；建设行政主管部门对竣工验收的组织形式和程序进行监督，对不符合竣工验收条件的责令整改。质量验收标准的主要依据是《建筑工程施工质量验收统一标准》（GB50300）和各专业工程验收规范。质量验收应当按检验批、分项工程、分部工程、单位工程的顺序依次进行，验收结果分为合格和不合格。竣工财务决算审核时，应当核查竣工验收程序是否合规，质量验收结果是否合格，竣工验收备案是否及时办理。对于存在质量缺陷的项目，应当关注缺陷产生的原因和责任划分，分析对建设成本和资产价值的影响。</w:t>
      </w:r>
    </w:p>
    <w:p w14:paraId="62ED761F">
      <w:pPr>
        <w:spacing w:before="0" w:after="120" w:line="360" w:lineRule="auto"/>
        <w:ind w:firstLine="168"/>
        <w:jc w:val="both"/>
      </w:pPr>
      <w:r>
        <w:rPr>
          <w:rFonts w:ascii="宋体" w:hAnsi="宋体" w:eastAsia="宋体"/>
          <w:b w:val="0"/>
          <w:color w:val="000000"/>
          <w:sz w:val="24"/>
        </w:rPr>
        <w:t>政府投资项目竣工财务决算审核的意义体现在以下几个方面：第一，确保项目建设资金的安全完整，通过对建设收支的全面审核，可以发现资金管理中存在的问题，防止国有资产流失；第二，合理确定工程造价，通过对工程结算的审核，可以核实工程造价的真实性、准确性，合理确定项目投资；第三，正确评价投资效益，通过对项目概算执行情况、资金使用效益等的分析，可以评价项目建设的效果；第四，促进项目管理规范，通过审核发现问题并提出改进建议，可以促进建设单位加强内部管理，规范项目建设行为；第五，完善投资决策，通过积累项目数据和分析投资规律，可以为今后的政府投资决策提供参考。竣工财务决算审核是基本建设项目管理的最后一道关口，是确保政府投资项目发挥预期效益的重要制度安排。</w:t>
      </w:r>
    </w:p>
    <w:p w14:paraId="79B81B62">
      <w:pPr>
        <w:spacing w:before="0" w:after="120" w:line="360" w:lineRule="auto"/>
        <w:ind w:firstLine="168"/>
        <w:jc w:val="both"/>
      </w:pPr>
      <w:r>
        <w:rPr>
          <w:rFonts w:ascii="宋体" w:hAnsi="宋体" w:eastAsia="宋体"/>
          <w:b w:val="0"/>
          <w:color w:val="000000"/>
          <w:sz w:val="24"/>
        </w:rPr>
        <w:t>工程监理制度是保障项目建设质量的核心机制。工程监理单位受建设单位委托，按照法律法规、工程建设标准、勘察设计文件及合同，对建设工程质量、造价、进度进行控制，对合同、信息进行管理，对工程建设相关方的关系进行协调，并履行建设工程安全生产管理法定职责。监理工作的主要内容有："三控制、两管理、一协调"，即质量控制、进度控制、投资控制，合同管理、信息管理，组织协调。质量控制方面，监理单位对施工全过程进行质量监督，对进场材料设备进行检验，对关键工序和隐蔽工程进行旁站监理，对质量问题进行处理；进度控制方面，监理单位审核施工总进度计划和阶段性进度计划，对进度偏差进行分析并督促施工单位调整；投资控制方面，监理单位对工程计量和工程款支付进行审核，对设计变更和现场签证进行确认并提出造价控制建议。竣工财务决算审核时，应当重点查阅监理日志、监理月报、监理会议纪要等资料，这些资料是判断工程量、工程变更、工程质量等事项真实性的重要依据。审核人员应当关注监理签字确认的工程量是否与结算申报一致，监理月报反映的工程进度是否与实际相符，监理处理的质量问题是否及时整改到位。对于监理履职不到位导致的问题，应当在审核报告中予以反映。</w:t>
      </w:r>
    </w:p>
    <w:p w14:paraId="211F7DAC">
      <w:pPr>
        <w:spacing w:before="0" w:after="120" w:line="360" w:lineRule="auto"/>
        <w:ind w:firstLine="168"/>
        <w:jc w:val="both"/>
      </w:pPr>
      <w:r>
        <w:rPr>
          <w:rFonts w:ascii="宋体" w:hAnsi="宋体" w:eastAsia="宋体"/>
          <w:b w:val="0"/>
          <w:color w:val="000000"/>
          <w:sz w:val="24"/>
        </w:rPr>
        <w:t>基本建设项目的竣工财务决算编制与审批流程是一个涉及多个环节的系统工程。编制阶段，建设单位应当在项目竣工后，组织财务人员、工程人员、档案人员等，按照竣工财务决算的编制要求，收集整理项目建设全过程的相关资料，包括立项批复、合同协议、竣工图纸、结算书、账簿凭证、验收报告等，编制竣工财务决算报表和竣工财务决算说明书，编制完成后经建设单位负责人审批加盖公章。审核阶段，建设单位将竣工财务决算报告委托具有资质的中介机构进行审核，中介机构按照执业准则进行审核并出具审核报告，审核报告应当对竣工财务决算报告的真实性、准确性、完整性发表审核意见。批复阶段，建设单位将审核后的竣工财务决算报告连同审核报告一并报送财政部门审批，财政部门按照规定权限进行批复，批复文件是项目结余资金处理和资产移交的依据。执行阶段，建设单位按照财政部门的批复文件执行，对结余资金进行处理，对形成资产办理移交手续。整个流程环环相扣，任何一个环节出现问题都会影响项目管理的最终成效。</w:t>
      </w:r>
    </w:p>
    <w:p w14:paraId="2DC19263">
      <w:pPr>
        <w:spacing w:before="0" w:after="120" w:line="360" w:lineRule="auto"/>
        <w:ind w:firstLine="168"/>
        <w:jc w:val="both"/>
      </w:pPr>
      <w:r>
        <w:rPr>
          <w:rFonts w:ascii="宋体" w:hAnsi="宋体" w:eastAsia="宋体"/>
          <w:b w:val="0"/>
          <w:color w:val="000000"/>
          <w:sz w:val="24"/>
        </w:rPr>
        <w:t>建筑安装工程投资是建设项目最主要的成本构成，一般占项目总投资的60%至80%，其审核质量直接决定竣工财务决算的可靠性。审核时应当重点核查以下几个方面：第一个方面是施工合同签订的合规性。核查施工合同的内容是否与招标文件、投标文件、中标通知书一致，合同价款约定是否明确、合理，是否存在低价中标后签订补充协议调整价款的问题。对于采用工程量清单计价方式的项目，应当核查清单项目编码、项目名称、项目特征描述是否准确，是否存在漏项或重复计价问题。对于采用定额计价方式的项目，应当核查定额套用是否正确，换算是否准确，取费基数和费率标准是否符合规定。对于采用模拟清单或成本加酬金方式计价的项目，应当重点审核成本构成的真实性、合理性以及酬金计算的准确性。对于包含暂估价、暂列金额的项目，应当审核其使用是否符合合同约定，是否存在超范围使用的问题。</w:t>
      </w:r>
    </w:p>
    <w:p w14:paraId="27A97423">
      <w:pPr>
        <w:spacing w:before="0" w:after="120" w:line="360" w:lineRule="auto"/>
        <w:ind w:firstLine="168"/>
        <w:jc w:val="both"/>
      </w:pPr>
      <w:r>
        <w:rPr>
          <w:rFonts w:ascii="宋体" w:hAnsi="宋体" w:eastAsia="宋体"/>
          <w:b w:val="0"/>
          <w:color w:val="000000"/>
          <w:sz w:val="24"/>
        </w:rPr>
        <w:t>第二个方面是竣工结算报告的准确性。核查竣工结算报告编制的依据是否符合合同约定和建设程序规定，工程量计算是否与实际完成情况一致，有无多计、重计、漏计工程量的问题。对于变更签证，应当核查变更手续是否齐全、签字是否完整、日期是否合理，变更价款的确定是否有充分的依据。对于索赔事项，应当核查索赔程序是否符合合同约定，索赔金额的计算是否有证据支持。对于价差调整，应当核查价差调整的依据是否符合合同约定，调整方法是否正确。对于扣款事项（如水电费扣款、质量保证金扣回等），应当核查扣款计算是否正确，有无依据。竣工结算报告还应当与合同价、中标价进行对比分析，核查结算金额是否在合理范围内。</w:t>
      </w:r>
    </w:p>
    <w:p w14:paraId="31F44567">
      <w:pPr>
        <w:spacing w:before="0" w:after="120" w:line="360" w:lineRule="auto"/>
        <w:ind w:firstLine="168"/>
        <w:jc w:val="both"/>
      </w:pPr>
      <w:r>
        <w:rPr>
          <w:rFonts w:ascii="宋体" w:hAnsi="宋体" w:eastAsia="宋体"/>
          <w:b w:val="0"/>
          <w:color w:val="000000"/>
          <w:sz w:val="24"/>
        </w:rPr>
        <w:t>第三个方面是工程变更签证的有效性。设计变更是政府投资项目竣工财务决算审核中最容易产生争议的环节。核查设计变更是否按规定程序审批，重大设计变更是否经原审批部门批准；核查施工变更是否经建设单位、监理单位审核确认；核查变更签证是否内容完整、签字齐全、日期准确；核查变更价款的确定是否符合合同约定，变更单价或变更总价的计算是否正确。对于口头指令后补签证的情况，应当核查签证内容是否与实际情况相符，是否存在事后补办签证问题。对于设计变更与现场实际不符的情况，应当查明原因，分析责任。对于变更签证中存在的疑问，应当通过现场核实等方法进行验证。</w:t>
      </w:r>
    </w:p>
    <w:p w14:paraId="1F3B6A37">
      <w:pPr>
        <w:spacing w:before="0" w:after="120" w:line="360" w:lineRule="auto"/>
        <w:ind w:firstLine="168"/>
        <w:jc w:val="both"/>
      </w:pPr>
      <w:r>
        <w:rPr>
          <w:rFonts w:ascii="宋体" w:hAnsi="宋体" w:eastAsia="宋体"/>
          <w:b w:val="0"/>
          <w:color w:val="000000"/>
          <w:sz w:val="24"/>
        </w:rPr>
        <w:t>第四个方面是工程价款支付的合规性。核查工程款支付是否符合合同约定的支付条件和支付比例，有无超付或欠付问题；核查工程预付款的扣还是否符合合同约定，扣还金额计算是否正确；核查质量保证金是否按规定比例预留，留存方式是否符合规定，到期是否按时返还；核查工程进度款的审核程序是否规范，支付依据是否充分。对于以银行保函替代质量保证金的项目，应当核查保函的真实性、有效期和担保金额是否符合合同约定。工程价款支付的审核还应当与工程进度、竣工验收情况相核对，确保支付的合规性。</w:t>
      </w:r>
    </w:p>
    <w:p w14:paraId="7360A284">
      <w:pPr>
        <w:spacing w:before="0" w:after="120" w:line="360" w:lineRule="auto"/>
        <w:ind w:firstLine="168"/>
        <w:jc w:val="both"/>
      </w:pPr>
      <w:r>
        <w:rPr>
          <w:rFonts w:ascii="宋体" w:hAnsi="宋体" w:eastAsia="宋体"/>
          <w:b w:val="0"/>
          <w:color w:val="000000"/>
          <w:sz w:val="24"/>
        </w:rPr>
        <w:t>第五个方面是违法分包转包问题的核查。对于政府投资项目，应当重点审核是否存在违法分包、转包问题，是否存在借用资质施工问题。违法分包和转包不仅违反法律法规，而且往往与工程质量问题和腐败问题相关联，是竣工财务决算审核必须关注的重要内容。审核时应当核查分包合同是否经过建设单位批准，分包范围是否符合合同约定，实际施工主体与合同签订主体是否一致，资质借用的证据等。如发现可疑线索，应当进一步追查，获取充分证据。</w:t>
      </w:r>
    </w:p>
    <w:p w14:paraId="28FD5332">
      <w:pPr>
        <w:spacing w:before="0" w:after="120" w:line="360" w:lineRule="auto"/>
        <w:ind w:firstLine="168"/>
        <w:jc w:val="both"/>
      </w:pPr>
      <w:r>
        <w:rPr>
          <w:rFonts w:ascii="宋体" w:hAnsi="宋体" w:eastAsia="宋体"/>
          <w:b w:val="0"/>
          <w:color w:val="000000"/>
          <w:sz w:val="24"/>
        </w:rPr>
        <w:t>设备投资审核方面，设备投资是建设项目的重要组成部分，特别是对于生产工艺设备、机电设备、信息化设备占比较大的项目，设备投资审核尤为关键。审核时应当重点核查以下几个方面：设备采购程序的合规性，核查设备采购是否按规定进行招标采购，采购方式选择（公开招标、邀请招标、竞争性磋商、单一来源等）是否符合规定，有无化整为零规避招标的问题；设备采购价格的公允性，核查设备采购价格与市场价格或同类项目价格相比是否合理，有无明显偏高问题，进口设备的关税、增值税等进口税费计缴是否正确；设备合同执行的严肃性，核查合同内容是否得到全面履行，有无擅自变更设备规格型号问题，设备验收标准是否与合同约定一致；设备验收入库的完整性，核查设备到货验收记录是否齐全，是否存在提前办理入库但设备未到货问题；设备安装调试费的合理性，核查安装调试方案的合理性和安装调试费用的计取是否正确。对于进口设备，还应当审核采购外汇结算是否符合外汇管理规定。对于大型专用设备，还应当审核是否按规定进行政府采购审批。对于设备因质量问题发生的退换货和索赔，应当审核处理是否及时、索赔金额是否合理。</w:t>
      </w:r>
    </w:p>
    <w:p w14:paraId="3B8E719B">
      <w:pPr>
        <w:spacing w:before="0" w:after="120" w:line="360" w:lineRule="auto"/>
        <w:ind w:firstLine="168"/>
        <w:jc w:val="both"/>
      </w:pPr>
      <w:r>
        <w:rPr>
          <w:rFonts w:ascii="宋体" w:hAnsi="宋体" w:eastAsia="宋体"/>
          <w:b w:val="0"/>
          <w:color w:val="000000"/>
          <w:sz w:val="24"/>
        </w:rPr>
        <w:t>工程结算与工程决算是两个既有联系又有区别的概念。工程结算是指施工企业向建设单位提出工程价款支付的申请，经建设单位或受其委托的中介机构审核后确定的工程价款。工程决算（竣工财务决算）是建设单位编制的反映项目建设投资来源、投资支出、资产形成等全部情况的综合财务文件。两者之间的联系是：工程结算是竣工财务决算的重要依据，竣工财务决算中的建筑安装工程投资数据主要来源于工程结算审核结果；两者都需要以合同、图纸、签证、计价规范等为依据；两者的审核方法有相通之处，都需要核实工程量、单价、费用等。两者的区别是：编制主体不同，工程结算由施工单位编制，竣工财务决算由建设单位编制；编制时间不同，工程结算在施工过程中分段或一次性编制，竣工财务决算在项目竣工后编制；审核主体不同，工程结算可由造价咨询机构审核，竣工财务决算审核通常由会计师事务所进行；目的不同，工程结算是确定工程价款，竣工财务决算是全面反映项目投资情况；内容不同，工程结算主要涉及工程造价，竣工财务决算包括投资来源、全部支出、资产等更广泛的内容。在竣工财务决算审核中，应当做好与工程结算审核的衔接，确保数据一致。</w:t>
      </w:r>
    </w:p>
    <w:p w14:paraId="4F35F3E1">
      <w:pPr>
        <w:spacing w:before="0" w:after="120" w:line="360" w:lineRule="auto"/>
        <w:ind w:firstLine="168"/>
        <w:jc w:val="both"/>
      </w:pPr>
      <w:r>
        <w:rPr>
          <w:rFonts w:ascii="宋体" w:hAnsi="宋体" w:eastAsia="宋体"/>
          <w:b w:val="0"/>
          <w:color w:val="000000"/>
          <w:sz w:val="24"/>
        </w:rPr>
        <w:t>建设项目竣工财务决算审核报告的出具与归档是审核工作的最后环节。审核报告出具前，应当完成以下工作：审核报告初稿的撰写，根据审核结果撰写报告初稿，内容包括项目基本情况、审核依据和范围、审核方法和程序、审核发现和存在问题、审核意见、管理建议、附件等；三级复核制度的执行，按照规定程序进行项目经理复核、项目总监复核和技术委员会复核，确保报告质量；征求意见程序的履行，将报告初稿发送建设单位征求意见，对建设单位提出的合理意见予以采纳，对有异议的事项充分沟通协商；报告的审批签发，按照本所内部审批程序完成报告的审批签发手续；报告的正式出具，加盖本所公章和注册会计师执业印章后正式出具审核报告；工作底稿的整理归档，按照档案管理要求对审核工作底稿进行整理装订归档。审核报告和工作底稿归档后，未经委托方和本所同意，不得向任何第三方提供或泄露，但法律法规另有规定的除外。</w:t>
      </w:r>
    </w:p>
    <w:p w14:paraId="04ADEFE8">
      <w:pPr>
        <w:spacing w:before="0" w:after="120" w:line="360" w:lineRule="auto"/>
        <w:ind w:firstLine="168"/>
        <w:jc w:val="both"/>
      </w:pPr>
      <w:r>
        <w:rPr>
          <w:rFonts w:ascii="宋体" w:hAnsi="宋体" w:eastAsia="宋体"/>
          <w:b w:val="0"/>
          <w:color w:val="000000"/>
          <w:sz w:val="24"/>
        </w:rPr>
        <w:t>基本建设项目建设成本的构成分析是竣工财务决算审核的重要内容。项目建设成本由建筑安装工程投资、设备及工器具购置投资、待摊投资、其他投资等构成。建筑安装工程投资是指在项目建设期间发生的建筑工程和安装工程的实际支出，包括各种房屋建筑物和构筑物的建造工程，各种管道、输电线路的敷设工程，设备基础、支柱等建筑工程，金属结构工程，以及施工现场发生的零星工程等。设备及工器具购置投资是指项目建设期间购买或自制达到固定资产标准的各种设备、工具、器具的实际支出，包括设备原价、运杂费、采购保管费等，工器具有关费用参照设备处理。待摊投资是指在项目建设期间发生的，不能直接计入某个单项工程（设备）成本，需要在各单项工程（设备）之间进行分摊的各项费用支出，包括建设单位管理费、土地征用及迁移补偿费、勘察设计费、可行性研究费、环境影响评价费、招标代理费、监理费、借款利息等。其他投资是指在项目建设期间发生的，按照规定不构成建设项目成本，但属于建设项目收益的支出，包括房屋购置支出、基本畜禽支出、林木支出、办公生活用家具器具支出等。建设成本构成比例是否合理，与同类项目相比是否存在异常，是竣工财务决算审核的重要内容。</w:t>
      </w:r>
    </w:p>
    <w:p w14:paraId="0FE0F13E">
      <w:pPr>
        <w:spacing w:before="0" w:after="120" w:line="360" w:lineRule="auto"/>
        <w:ind w:firstLine="168"/>
        <w:jc w:val="both"/>
      </w:pPr>
      <w:r>
        <w:rPr>
          <w:rFonts w:ascii="宋体" w:hAnsi="宋体" w:eastAsia="宋体"/>
          <w:b w:val="0"/>
          <w:color w:val="000000"/>
          <w:sz w:val="24"/>
        </w:rPr>
        <w:t>工程造价的动态管理是政府投资项目造价控制的重要理念。工程造价在项目建设过程中会随着设计变更、材料价格波动、政策调整等因素而不断变化，需要进行动态管理。动态管理的主要内容包括：设计变更控制，建立设计变更审批制度，严格控制新增费用，对重大设计变更进行经济性分析；价格波动应对，建立材料价格信息发布机制，对主要材料价格进行跟踪监测，在合同中约定价格调整条款；政策调整应对，关注国家政策调整对造价的影响，及时调整造价控制方案；造价风险预警，建立造价风险识别和预警机制，对可能引起造价重大变化的风险因素进行监控。竣工财务决算审核时，应当关注项目在建设过程中是否进行了有效的造价动态管理，对于因管理不当造成的造价增加，应当在审核报告中予以反映。阿坝州地处偏远，材料运输成本较高，价格波动幅度较大，在造价审核时应当充分考虑这一特殊因素。</w:t>
      </w:r>
    </w:p>
    <w:p w14:paraId="024BDA81">
      <w:pPr>
        <w:spacing w:before="0" w:after="120" w:line="360" w:lineRule="auto"/>
        <w:ind w:firstLine="168"/>
        <w:jc w:val="both"/>
      </w:pPr>
      <w:r>
        <w:rPr>
          <w:rFonts w:ascii="宋体" w:hAnsi="宋体" w:eastAsia="宋体"/>
          <w:b w:val="0"/>
          <w:color w:val="000000"/>
          <w:sz w:val="24"/>
        </w:rPr>
        <w:t>竣工财务决算审核与政府投资项目审计监督体系的有效衔接，是形成监督合力、提高监督效能的重要途径。从监督主体来看，人大监督侧重于对政府投资项目规划、计划、重大项目的审议和监督；审计监督侧重于对政府投资项目的真实性、合法性、效益性进行审计；财政监督侧重于对政府投资资金的筹集、使用、管理进行监督；行业监督侧重于对项目建设过程的合规性进行监管。从监督环节来看，包括事前监督（立项决策、概算审批）、事中监督（建设实施过程的监督检查）和事后监督（竣工验收、决算审计、绩效评价）。竣工财务决算审核是事后监督的重要组成部分，其审核报告是其他监督主体的重要参考。本所开展竣工财务决算审核时，将充分借鉴其他监督主体的监督成果，避免重复监督，提高监督效率，共同促进政府投资项目管理水平的提升。</w:t>
      </w:r>
    </w:p>
    <w:p w14:paraId="3250A325">
      <w:pPr>
        <w:spacing w:before="0" w:after="120" w:line="360" w:lineRule="auto"/>
        <w:ind w:firstLine="168"/>
        <w:jc w:val="both"/>
      </w:pPr>
      <w:r>
        <w:rPr>
          <w:rFonts w:ascii="宋体" w:hAnsi="宋体" w:eastAsia="宋体"/>
          <w:b w:val="0"/>
          <w:color w:val="000000"/>
          <w:sz w:val="24"/>
        </w:rPr>
        <w:t>本所对本次比选工作高度重视，专门成立了由所领导牵头的工作专班，负责本次投标工作的组织和协调。工作专班认真研究了比选文件的要求，精心编制了投标文件，对实施方案、人员配备、履约能力、报价等各个方面都进行了认真准备。我们充分考虑了阿坝州的区域特点和高寒民族地区的特殊情况，结合多年积累的类似项目经验，提出了切实可行的工作方案。我们有信心、有能力完成好本次任务，为阿坝州财政局提供优质高效的专业服务。诚挚希望能够与阿坝州财政局建立长期稳定的合作关系，共同为阿坝州的经济社会发展贡献力量。</w:t>
      </w:r>
    </w:p>
    <w:p w14:paraId="212E2B64">
      <w:pPr>
        <w:spacing w:before="0" w:after="120" w:line="360" w:lineRule="auto"/>
        <w:ind w:firstLine="168"/>
        <w:jc w:val="both"/>
      </w:pPr>
      <w:r>
        <w:rPr>
          <w:rFonts w:ascii="宋体" w:hAnsi="宋体" w:eastAsia="宋体"/>
          <w:b w:val="0"/>
          <w:color w:val="000000"/>
          <w:sz w:val="24"/>
        </w:rPr>
        <w:t>工程监理大纲与监理细则的审核是竣工财务决算审核需要关注的重要内容。监理大纲是监理单位针对整个项目编制的指导性文件，主要内容包括：工程概况、监理工作范围和目标、监理组织机构和人员配置、监理工作依据、监理工作程序和方法、监理工作制度和措施等。监理细则是针对各专业工程编制的操作性文件，主要内容包括：专业工程特点、监理工作流程、监理质量控制要点、监理进度控制要点、监理造价控制要点、监理资料管理等。审核监理资料时，应当关注监理大纲和监理细则是否健全，是否对工程质量和造价进行了有效控制。对于监理工作不到位导致的问题，应当分析原因和责任。</w:t>
      </w:r>
    </w:p>
    <w:p w14:paraId="6D0ED893">
      <w:pPr>
        <w:spacing w:before="0" w:after="120" w:line="360" w:lineRule="auto"/>
        <w:ind w:firstLine="168"/>
        <w:jc w:val="both"/>
      </w:pPr>
      <w:r>
        <w:rPr>
          <w:rFonts w:ascii="宋体" w:hAnsi="宋体" w:eastAsia="宋体"/>
          <w:b w:val="0"/>
          <w:color w:val="000000"/>
          <w:sz w:val="24"/>
        </w:rPr>
        <w:t>政府投资项目竣工财务决算审核中，应当重点关注的几个时间节点包括：项目立项批复时间，标志着项目正式获得批准；施工许可证发放时间，标志着项目可以合法开工建设；竣工验收时间，标志着项目建设完成并通过质量验收；竣工财务决算编制时间，标志着建设单位完成了项目财务清算；竣工财务决算审核时间，标志着中介机构完成了审核工作；财政部门批复时间，标志着竣工财务决算正式生效。这些时间节点之间的逻辑关系是否正确，有无先验后建、先结后验等程序违规问题，是竣工财务决算审核的重要内容。</w:t>
      </w:r>
    </w:p>
    <w:p w14:paraId="6357B8CA">
      <w:pPr>
        <w:spacing w:before="0" w:after="120" w:line="360" w:lineRule="auto"/>
        <w:ind w:firstLine="168"/>
        <w:jc w:val="both"/>
      </w:pPr>
      <w:r>
        <w:rPr>
          <w:rFonts w:ascii="宋体" w:hAnsi="宋体" w:eastAsia="宋体"/>
          <w:b w:val="0"/>
          <w:color w:val="000000"/>
          <w:sz w:val="24"/>
        </w:rPr>
        <w:t>本所承诺，如获委托，将严格按照合同约定和阿坝州财政局的要求，配备充足的专业人员，按时高质量完成审核任务。我们将建立与阿坝州财政局的定期沟通机制，每月报告审核工作进展，对审核中发现的重大问题及时报告。我们将严守职业道德，对在执业过程中知悉的国家秘密和商业秘密严格保密。我们有信心、有能力为阿坝州财政局提供专业、优质、高效的服务，为阿坝州州本级建设项目竣工财务决算审核工作交出一份满意的答卷。</w:t>
      </w:r>
    </w:p>
    <w:p w14:paraId="701031A5">
      <w:pPr>
        <w:spacing w:before="0" w:after="120" w:line="360" w:lineRule="auto"/>
        <w:ind w:firstLine="168"/>
        <w:jc w:val="both"/>
      </w:pPr>
      <w:r>
        <w:rPr>
          <w:rFonts w:ascii="宋体" w:hAnsi="宋体" w:eastAsia="宋体"/>
          <w:b w:val="0"/>
          <w:color w:val="000000"/>
          <w:sz w:val="24"/>
        </w:rPr>
        <w:t>基本建设项目竣工财务决算的编制质量直接关系到项目建设管理的最终成效。高质量的竣工财务决算应当满足以下要求：数字准确，各项数据经过认真核实，与会计账簿、报表、实物资产保持一致；内容完整，涵盖项目建设全过程的所有财务收支情况，无遗漏项目；报表齐全，按照规定编制项目竣工财务决算报表，各表之间数据衔接平衡；说明详细，对影响决算的重要事项进行详细披露；编报及时，在项目竣工后规定时间内完成编制并报送审核。</w:t>
      </w:r>
    </w:p>
    <w:p w14:paraId="55D939AB">
      <w:pPr>
        <w:spacing w:before="0" w:after="120" w:line="360" w:lineRule="auto"/>
        <w:ind w:firstLine="168"/>
        <w:jc w:val="both"/>
      </w:pPr>
      <w:r>
        <w:rPr>
          <w:rFonts w:ascii="宋体" w:hAnsi="宋体" w:eastAsia="宋体"/>
          <w:b w:val="0"/>
          <w:color w:val="000000"/>
          <w:sz w:val="24"/>
        </w:rPr>
        <w:t>竣工财务决算审核中的财务分析是评价项目建设成效的重要方法。财务分析的主要内容包括：投资完成情况分析，计算项目投资完成率，分析投资计划执行情况，评价项目是否按期建成投产；资金来源结构分析，计算各项资金来源的占比，分析资金结构的合理性，评价资金筹集的合规性和及时性；资金使用结构分析，计算各项支出的占比，分析支出结构的合理性，评价资金使用效率；资产负债状况分析，编制项目资产负债简表，分析资产形成情况和负债情况，评价资产负债结构的合理性；投资效益分析，结合项目建成后的运营情况，分析项目的财务效益和经济社会效益，评价项目投资效果。财务分析应当做到数据真实、方法科学、结论可信。</w:t>
      </w:r>
    </w:p>
    <w:p w14:paraId="284522FE">
      <w:pPr>
        <w:spacing w:before="0" w:after="120" w:line="360" w:lineRule="auto"/>
        <w:ind w:firstLine="168"/>
        <w:jc w:val="both"/>
      </w:pPr>
      <w:r>
        <w:rPr>
          <w:rFonts w:ascii="宋体" w:hAnsi="宋体" w:eastAsia="宋体"/>
          <w:b w:val="0"/>
          <w:color w:val="000000"/>
          <w:sz w:val="24"/>
        </w:rPr>
        <w:t>本所拥有丰富的政府投资项目竣工财务决算审核经验，在四川省范围内完成了数百个各类政府投资项目的审核任务，积累了丰富的执业经验，建立了完善的质量管理体系和风险控制体系。本所现有专业人员50余人，其中注册会计师20人、造价工程师15人、高级工程师8人，专业背景涵盖会计、审计、工程造价、工程管理、财务管理、法律等多个领域，能够满足各类复杂项目的审核需要。本所配备有广联达、斯维尔等主流造价软件，以及自主研发的项目管理信息系统，能够为客户提供高效便捷的服务。本所将充分发挥专业优势，以高度的责任心和使命感，圆满完成阿坝州财政局委托的竣工财务决算审核任务。</w:t>
      </w:r>
    </w:p>
    <w:p w14:paraId="3B0A796A">
      <w:pPr>
        <w:spacing w:before="0" w:after="120" w:line="360" w:lineRule="auto"/>
        <w:ind w:firstLine="168"/>
        <w:jc w:val="both"/>
      </w:pPr>
      <w:r>
        <w:rPr>
          <w:rFonts w:ascii="宋体" w:hAnsi="宋体" w:eastAsia="宋体"/>
          <w:b w:val="0"/>
          <w:color w:val="000000"/>
          <w:sz w:val="24"/>
        </w:rPr>
        <w:t>工程竣工验收与竣工财务决算的衔接是项目管理闭环的关键环节。竣工验收是确认工程建设是否符合设计要求和施工规范，竣工财务决算是确认项目投资的真实性和完整性。两者应当相互衔接、协调推进。建设单位应当在项目竣工后，及时组织竣工验收，同时启动竣工财务决算编制工作。竣工验收完成后，及时将验收结果纳入竣工财务决算。竣工财务决算审核中发现的问题，如涉及工程质量或验收方面的，应当反馈给建设单位进行处理。确保竣工验收与竣工财务决算的有效衔接，对于全面准确反映项目建设成果具有重要意义。</w:t>
      </w:r>
    </w:p>
    <w:p w14:paraId="4BE84AF8">
      <w:pPr>
        <w:spacing w:before="0" w:after="120" w:line="360" w:lineRule="auto"/>
        <w:ind w:firstLine="168"/>
        <w:jc w:val="both"/>
      </w:pPr>
      <w:r>
        <w:rPr>
          <w:rFonts w:ascii="宋体" w:hAnsi="宋体" w:eastAsia="宋体"/>
          <w:b w:val="0"/>
          <w:color w:val="000000"/>
          <w:sz w:val="24"/>
        </w:rPr>
        <w:t>本所将坚持质量第一、信誉至上的服务宗旨，以高度负责的态度完成阿坝州财政局委托的竣工财务决算审核任务。我们将严格遵守执业准则和职业道德，确保审核结论客观公正、依据充分、建议可行，为阿坝州基本建设项目管理工作提供有力的专业支撑。</w:t>
      </w:r>
    </w:p>
    <w:p w14:paraId="45C7774F">
      <w:pPr>
        <w:spacing w:before="0" w:after="120" w:line="360" w:lineRule="auto"/>
        <w:ind w:firstLine="168"/>
        <w:jc w:val="both"/>
      </w:pPr>
      <w:r>
        <w:rPr>
          <w:rFonts w:ascii="宋体" w:hAnsi="宋体" w:eastAsia="宋体"/>
          <w:b w:val="0"/>
          <w:color w:val="000000"/>
          <w:sz w:val="24"/>
        </w:rPr>
        <w:t>工程竣工验收备案是不动产登记和资产移交的前提条件。建设单位应当在竣工验收合格后15日内向建设行政主管部门办理备案，提交竣工验收报告、质量保修书等材料。未备案的项目不得交付使用。</w:t>
      </w:r>
    </w:p>
    <w:p w14:paraId="2B398288">
      <w:pPr>
        <w:spacing w:before="0" w:after="120" w:line="360" w:lineRule="auto"/>
        <w:ind w:firstLine="168"/>
        <w:jc w:val="both"/>
      </w:pPr>
      <w:r>
        <w:rPr>
          <w:rFonts w:ascii="宋体" w:hAnsi="宋体" w:eastAsia="宋体"/>
          <w:b w:val="0"/>
          <w:color w:val="000000"/>
          <w:sz w:val="24"/>
        </w:rPr>
        <w:t>工程质保金在缺陷责任期满后，建设单位应当按照合同约定及时返还施工单位，不得无故扣押或拖延返还。</w:t>
      </w:r>
    </w:p>
    <w:p w14:paraId="57A2F10C">
      <w:pPr>
        <w:spacing w:before="0" w:after="120" w:line="360" w:lineRule="auto"/>
        <w:ind w:firstLine="168"/>
        <w:jc w:val="both"/>
      </w:pPr>
      <w:r>
        <w:rPr>
          <w:rFonts w:ascii="宋体" w:hAnsi="宋体" w:eastAsia="宋体"/>
          <w:b w:val="0"/>
          <w:color w:val="000000"/>
          <w:sz w:val="24"/>
        </w:rPr>
        <w:t>工程档案专项验收是重点建设项目竣工验收的必备条件。未通过档案验收的项目，不得进行项目竣工验收。</w:t>
      </w:r>
    </w:p>
    <w:p w14:paraId="14637028">
      <w:pPr>
        <w:spacing w:before="0" w:after="120" w:line="360" w:lineRule="auto"/>
        <w:ind w:firstLine="168"/>
        <w:jc w:val="both"/>
      </w:pPr>
      <w:r>
        <w:rPr>
          <w:rFonts w:ascii="宋体" w:hAnsi="宋体" w:eastAsia="宋体"/>
          <w:b w:val="0"/>
          <w:color w:val="000000"/>
          <w:sz w:val="24"/>
        </w:rPr>
        <w:t>工程竣工验收不合格的项目不得交付使用，必须整改合格后方可投入使用。竣工验收发现的质量问题，施工单位应当负责整改，整改完成后重新组织验收。</w:t>
      </w:r>
    </w:p>
    <w:p w14:paraId="0A8AEEE0">
      <w:pPr>
        <w:spacing w:before="0" w:after="120" w:line="360" w:lineRule="auto"/>
        <w:ind w:firstLine="168"/>
        <w:jc w:val="both"/>
      </w:pPr>
      <w:r>
        <w:rPr>
          <w:rFonts w:ascii="宋体" w:hAnsi="宋体" w:eastAsia="宋体"/>
          <w:b w:val="0"/>
          <w:color w:val="000000"/>
          <w:sz w:val="24"/>
        </w:rPr>
        <w:t>政府投资项目竣工财务决算审核是项目建设管理的最后一道关口。</w:t>
      </w:r>
    </w:p>
    <w:p w14:paraId="0F513E92">
      <w:pPr>
        <w:spacing w:before="0" w:after="120" w:line="360" w:lineRule="auto"/>
        <w:ind w:firstLine="168"/>
        <w:jc w:val="both"/>
      </w:pPr>
      <w:r>
        <w:rPr>
          <w:rFonts w:ascii="宋体" w:hAnsi="宋体" w:eastAsia="宋体"/>
          <w:b w:val="0"/>
          <w:color w:val="000000"/>
          <w:sz w:val="24"/>
        </w:rPr>
        <w:t>审核报告应当客观公正、依据充分。</w:t>
      </w:r>
    </w:p>
    <w:p w14:paraId="7C806094">
      <w:pPr>
        <w:spacing w:before="0" w:after="120" w:line="360" w:lineRule="auto"/>
        <w:ind w:firstLine="168"/>
        <w:jc w:val="both"/>
      </w:pPr>
      <w:r>
        <w:rPr>
          <w:rFonts w:ascii="宋体" w:hAnsi="宋体" w:eastAsia="宋体"/>
          <w:b w:val="0"/>
          <w:color w:val="000000"/>
          <w:sz w:val="24"/>
        </w:rPr>
        <w:t>质量第一、信誉至上是本所的服务宗旨。本所将以高度负责的态度、严谨专业的精神，圆满完成阿坝州财政局委托的竣工财务决算审核任务，为阿坝州基本建设项目管理工作贡献专业力量。</w:t>
      </w:r>
    </w:p>
    <w:p w14:paraId="4D5E5B7B">
      <w:pPr>
        <w:spacing w:before="0" w:after="120" w:line="360" w:lineRule="auto"/>
        <w:ind w:firstLine="168"/>
        <w:jc w:val="both"/>
      </w:pPr>
      <w:r>
        <w:rPr>
          <w:rFonts w:ascii="宋体" w:hAnsi="宋体" w:eastAsia="宋体"/>
          <w:b w:val="0"/>
          <w:color w:val="000000"/>
          <w:sz w:val="24"/>
        </w:rPr>
        <w:t>待摊投资是指在项目建设过程中发生的，按规定应当分摊计入项目建设成本的各项费用支出，包括建设单位管理费、土地征用及迁移补偿费、土地出让金、土地开发费、勘察设计费、可行性研究费、环境影响评价费、招标代理费、监理费、借款利息等。待摊投资审核时应当重点关注以下几个方面：第一个方面是待摊投资内容的合规性。核查待摊投资的内容是否属于规定的列支范围，有无将不属于待摊投资范围的费用计入待摊投资，如将应该由生产资金列支的办公费、差旅费等计入待摊投资。财建〔2016〕504号文对待摊投资的列支范围有明确规定，审核人员应当对照规定逐一核查。</w:t>
      </w:r>
    </w:p>
    <w:p w14:paraId="3B5D8DCF">
      <w:pPr>
        <w:spacing w:before="0" w:after="120" w:line="360" w:lineRule="auto"/>
        <w:ind w:firstLine="168"/>
        <w:jc w:val="both"/>
      </w:pPr>
      <w:r>
        <w:rPr>
          <w:rFonts w:ascii="宋体" w:hAnsi="宋体" w:eastAsia="宋体"/>
          <w:b w:val="0"/>
          <w:color w:val="000000"/>
          <w:sz w:val="24"/>
        </w:rPr>
        <w:t>第二个方面是待摊投资分摊的合理性。核查待摊投资的分摊方法是否合理，是否按照合理的分摊标准（如概算投资比例、建筑面积比例、合同金额比例等）计入各单体工程或单项资产。对于同时服务于多个单体工程的待摊投资，分摊方法的选择对各单体工程的成本和资产价值有直接影响，应当予以充分关注。待摊投资分摊方法一经确定，在整个项目期间应当保持一致，不得随意变更。</w:t>
      </w:r>
    </w:p>
    <w:p w14:paraId="0E6AA3F3">
      <w:pPr>
        <w:spacing w:before="0" w:after="120" w:line="360" w:lineRule="auto"/>
        <w:ind w:firstLine="168"/>
        <w:jc w:val="both"/>
      </w:pPr>
      <w:r>
        <w:rPr>
          <w:rFonts w:ascii="宋体" w:hAnsi="宋体" w:eastAsia="宋体"/>
          <w:b w:val="0"/>
          <w:color w:val="000000"/>
          <w:sz w:val="24"/>
        </w:rPr>
        <w:t>第三个方面是建设单位管理费的合规性。建设单位管理费是待摊投资的重要组成部分，审核时应当重点关注：建设单位管理费的计提基数是否符合规定，计提比例是否超过财政部门规定的标准；建设单位管理费的支出内容是否真实合理，有无巧立名目乱发奖金补贴问题；建设单位管理费中列支的人员经费是否符合规定，有无将不在编人员工资纳入的问题；建设单位管理费中列支的办公费用、交通费用等是否合理，有无铺张浪费问题。财建〔2016〕504号文规定建设单位管理费按照财政部门规定的标准计取，超标准列支的建设单位管理费不得计入项目建设成本。</w:t>
      </w:r>
    </w:p>
    <w:p w14:paraId="61670514">
      <w:pPr>
        <w:spacing w:before="0" w:after="120" w:line="360" w:lineRule="auto"/>
        <w:ind w:firstLine="168"/>
        <w:jc w:val="both"/>
      </w:pPr>
      <w:r>
        <w:rPr>
          <w:rFonts w:ascii="宋体" w:hAnsi="宋体" w:eastAsia="宋体"/>
          <w:b w:val="0"/>
          <w:color w:val="000000"/>
          <w:sz w:val="24"/>
        </w:rPr>
        <w:t>第四个方面是借款利息的资本化处理。借款利息的审核应当重点关注：借款利息是否按照财务制度规定进行资本化或费用化处理，利息计算是否正确；资本化利息的金额是否在规定范围内，资本化期间的确定是否正确；对于专项借款的利息，是否按会计准则的规定进行资本化处理；对于借款费用资本化金额，应当复核利息计算的正确性，包括借款本金、借款利率、借款期限等要素的核实。</w:t>
      </w:r>
    </w:p>
    <w:p w14:paraId="0ACBD03C">
      <w:pPr>
        <w:spacing w:before="0" w:after="120" w:line="360" w:lineRule="auto"/>
        <w:ind w:firstLine="168"/>
        <w:jc w:val="both"/>
      </w:pPr>
      <w:r>
        <w:rPr>
          <w:rFonts w:ascii="宋体" w:hAnsi="宋体" w:eastAsia="宋体"/>
          <w:b w:val="0"/>
          <w:color w:val="000000"/>
          <w:sz w:val="24"/>
        </w:rPr>
        <w:t>第五个方面是其他待摊投资费用的审核。对于勘察设计费、招标代理费、监理费等费用，应当审核费用发生的真实性，是否与合同约定和实际工作量相符；审核费用计取的准确性，是否按照合同约定和规定标准计算；审核费用支付的合规性，是否按合同约定进度支付，有无提前支付问题。对于土地征用及迁移补偿费，应当审核补偿标准的合规性，补偿金额的计算是否正确，有无虚列人数、冒领补偿款问题；对于地上附着物和青苗补偿费，应当审核清点记录的完整性和补偿标准的合规性。</w:t>
      </w:r>
    </w:p>
    <w:p w14:paraId="120DB495">
      <w:pPr>
        <w:spacing w:before="0" w:after="120" w:line="360" w:lineRule="auto"/>
        <w:ind w:firstLine="168"/>
        <w:jc w:val="both"/>
      </w:pPr>
      <w:r>
        <w:rPr>
          <w:rFonts w:ascii="宋体" w:hAnsi="宋体" w:eastAsia="宋体"/>
          <w:b w:val="0"/>
          <w:color w:val="000000"/>
          <w:sz w:val="24"/>
        </w:rPr>
        <w:t>票据合规性审核是竣工财务决算审核的关键环节，票据是证明经济业务真实发生的核心证据。审核重点包括以下几个方面：第一个方面是发票真实性审核。核查发票是否为国家税务机关认可的真实发票，是否存在虚假发票、克隆发票的情况。可以通过税务机关发票查询平台进行网上核验，核实发票代码、号码是否真实存在，开票日期、金额、项目内容、开票单位等是否与账面记录一致。对于金额较大或存在疑点的发票，应当通过税务机关进一步核实。对于定额发票，应当核实是否在有效期内使用，是否存在过期使用问题。对于手写发票，应当关注字迹是否一致、填写内容是否规范。对于汇总开具的发票，应当核查是否附有开具发票清单，清单内容是否与发票金额一致。</w:t>
      </w:r>
    </w:p>
    <w:p w14:paraId="0E9201B3">
      <w:pPr>
        <w:spacing w:before="0" w:after="120" w:line="360" w:lineRule="auto"/>
        <w:ind w:firstLine="168"/>
        <w:jc w:val="both"/>
      </w:pPr>
      <w:r>
        <w:rPr>
          <w:rFonts w:ascii="宋体" w:hAnsi="宋体" w:eastAsia="宋体"/>
          <w:b w:val="0"/>
          <w:color w:val="000000"/>
          <w:sz w:val="24"/>
        </w:rPr>
        <w:t>第二个方面是票据完整性审核。核查票据要素是否齐全，开票日期、金额（大写和小写）、项目内容、开票单位（盖章）、收款人、复核人等是否完整准确。特别关注票据日期是否在项目建设期内、票据金额是否与付款金额一致、票据项目内容是否与实际业务相符。对于票据要素不全的，应当追查原因，确认其是否影响票据的效力。对于确实无法补充的原始凭证，应当关注其替代凭证的合规性和充分性。</w:t>
      </w:r>
    </w:p>
    <w:p w14:paraId="5C07DA61">
      <w:pPr>
        <w:spacing w:before="0" w:after="120" w:line="360" w:lineRule="auto"/>
        <w:ind w:firstLine="168"/>
        <w:jc w:val="both"/>
      </w:pPr>
      <w:r>
        <w:rPr>
          <w:rFonts w:ascii="宋体" w:hAnsi="宋体" w:eastAsia="宋体"/>
          <w:b w:val="0"/>
          <w:color w:val="000000"/>
          <w:sz w:val="24"/>
        </w:rPr>
        <w:t>第三个方面是票据合法性审核。核查票据是否符合国家发票管理规定，是否存在过期票据、白条入账等问题。特别关注是否存在以收据或其他非正规凭证代替发票入账的情况，是否存在票据来源不合规的问题。对于行政事业性收费票据，应当核查是否使用财政部门规定的统一票据，是否在规定范围内使用。对于军队收据、境外发票等特殊票据，应当审核其使用是否符合规定。</w:t>
      </w:r>
    </w:p>
    <w:p w14:paraId="0B486BA9">
      <w:pPr>
        <w:spacing w:before="0" w:after="120" w:line="360" w:lineRule="auto"/>
        <w:ind w:firstLine="168"/>
        <w:jc w:val="both"/>
      </w:pPr>
      <w:r>
        <w:rPr>
          <w:rFonts w:ascii="宋体" w:hAnsi="宋体" w:eastAsia="宋体"/>
          <w:b w:val="0"/>
          <w:color w:val="000000"/>
          <w:sz w:val="24"/>
        </w:rPr>
        <w:t>第四个方面是票据与业务的匹配性审核。核查票据记载的业务内容与实际发生的业务是否一致，金额是否匹配。特别关注是否存在票据金额与合同金额差异较大的情况，是否存在票据时间早于合同签订时间或晚于项目竣工时间等异常情况，是否存在票据金额明显偏离市场价格的情况。对于审核中发现的异常票据，应当追溯到原始凭证进行核实，必要时向税务机关进行真伪鉴定。发现涉嫌虚假发票的，应当及时向委托方报告。</w:t>
      </w:r>
    </w:p>
    <w:p w14:paraId="71B27B59">
      <w:pPr>
        <w:spacing w:before="0" w:after="120" w:line="360" w:lineRule="auto"/>
        <w:ind w:firstLine="168"/>
        <w:jc w:val="both"/>
      </w:pPr>
      <w:r>
        <w:rPr>
          <w:rFonts w:ascii="宋体" w:hAnsi="宋体" w:eastAsia="宋体"/>
          <w:b w:val="0"/>
          <w:color w:val="000000"/>
          <w:sz w:val="24"/>
        </w:rPr>
        <w:t>债权债务清理审核直接关系到项目资金的安全完整。审核应当重点关注以下几个方面：应收款项的真实性，核查各项应收款项是否真实存在，是否存在虚列债权的问题，是否存在债务人已付款但未核销的情况；应付款项的完整性，核查各项应付款项是否完整列入，有无隐瞒债务的问题，特别关注有无将应付款项转入结余资金的问题；债权债务的账龄分析，对各项债权债务进行账龄分析，识别长期挂账的异常款项，分析长期挂账的原因；对于超过三年的应收款项，应当重点关注是否存在损失风险，是否应当计提坏账准备；对于应付账款的函证，应当选择余额较大或账龄较长的供应商进行函证核实。</w:t>
      </w:r>
    </w:p>
    <w:p w14:paraId="2CF9E742">
      <w:pPr>
        <w:spacing w:before="0" w:after="120" w:line="360" w:lineRule="auto"/>
        <w:ind w:firstLine="168"/>
        <w:jc w:val="both"/>
      </w:pPr>
      <w:r>
        <w:rPr>
          <w:rFonts w:ascii="宋体" w:hAnsi="宋体" w:eastAsia="宋体"/>
          <w:b w:val="0"/>
          <w:color w:val="000000"/>
          <w:sz w:val="24"/>
        </w:rPr>
        <w:t>工程变更审核是竣工财务决算审核的难点之一，主要体现在以下几个方面：第一，变更原因的认定难度大。工程变更涉及设计漏项、施工条件变化、功能调整、规范标准更新等多种原因，不同原因的变更在费用承担上存在差异，需要审核人员具备丰富的工程经验和专业判断能力。例如，设计漏项通常是设计单位责任，相应费用应由设计单位承担；施工条件变化可能是不可抗力因素，费用承担需要视合同约定而定。第二，变更价款的确定复杂。对于变更工程量的计算和综合单价的确定，往往存在较大的争议空间。变更单价是参照现有合同单价还是重新编制，是按总价合同还是单价合同计价，这些问题的处理方式不同，结果差异很大。第三，变更签证的规范性不足。部分项目的变更签证存在手续不全、签字不全、签证日期与实际施工日期不符等问题，特别是一些工期紧、任务重的项目，施工过程中往往先施工后补签证，给审核工作带来困难。第四，变更与索赔的边界模糊。变更与索赔在实践中往往相互交织，区分难度较大，需要审核人员仔细甄别。例如，图纸延误导致的施工暂停，既可以按变更处理，也可以按索赔处理，两种处理方式的后果不同。</w:t>
      </w:r>
    </w:p>
    <w:p w14:paraId="5CE72203">
      <w:pPr>
        <w:spacing w:before="0" w:after="120" w:line="360" w:lineRule="auto"/>
        <w:ind w:firstLine="168"/>
        <w:jc w:val="both"/>
      </w:pPr>
      <w:r>
        <w:rPr>
          <w:rFonts w:ascii="宋体" w:hAnsi="宋体" w:eastAsia="宋体"/>
          <w:b w:val="0"/>
          <w:color w:val="000000"/>
          <w:sz w:val="24"/>
        </w:rPr>
        <w:t>待摊投资分摊是另一个审核难点，主要问题包括：第一，分摊标准的选择缺乏明确依据。对于同时服务于多个单体工程的待摊投资（如建设单位管理费、可行性研究费等），如何选择合理的分摊标准是一个复杂的问题。不同的分摊标准会导致不同的分摊结果，对各单体工程的成本和资产价值产生影响。第二，分摊方法的一致性存疑。部分项目在不同的待摊投资项目中采用了不同的分摊方法，导致分摊结果缺乏逻辑一致性。例如，同样是建设单位管理费，有些项目按概算投资比例分摊，有些按建筑面积比例分摊，有些按合同金额比例分摊，分摊方法不统一。第三，待摊投资与直接投资的边界不清。部分费用究竟是计入单体工程成本还是计入待摊投资，在认定上存在困难。例如，与多个单体工程相关的设计费，究竟是直接计入各单体工程还是作为待摊投资分摊，需要根据费用的具体情况判断。第四，分摊结果对单体工程成本的影响较大。不合理的分摊可能导致部分单体工程成本虚高或虚低，影响资产计价的准确性。</w:t>
      </w:r>
    </w:p>
    <w:p w14:paraId="771704B4">
      <w:pPr>
        <w:spacing w:before="0" w:after="120" w:line="360" w:lineRule="auto"/>
        <w:ind w:firstLine="168"/>
        <w:jc w:val="both"/>
      </w:pPr>
      <w:r>
        <w:rPr>
          <w:rFonts w:ascii="宋体" w:hAnsi="宋体" w:eastAsia="宋体"/>
          <w:b w:val="0"/>
          <w:color w:val="000000"/>
          <w:sz w:val="24"/>
        </w:rPr>
        <w:t>阿坝州属于高原民族地区，项目审核面临特殊困难：第一，高原气候对施工成本的影响。高原地区冬季施工周期长（通常每年11月至次年3月无法正常施工），施工效率低（海拔3000米以上时，人工和机械效率均明显下降），机械设备功效下降20%-30%，这些因素都会导致施工成本高于平原地区。如何合理认定高原施工增加费是一个难点，需要审核人员熟悉高原施工的特殊工艺和费用构成。第二，民族地区政策的特殊性。对口援建项目在资金管理、招标采购、竣工验收等方面有特殊规定，需要审核人员熟悉相关政策。例如，对口援建项目的资金使用往往有专门的账户管理和拨付程序，审核时需要关注援建资金与地方资金的衔接问题。第三，自然灾害的影响。阿坝州地震（2008年汶川地震、2017年九寨沟地震）、泥石流等自然灾害频发，部分项目在建设期间可能遭遇自然灾害影响，工程报废损失的责任划分和损失认定较为复杂。第四，交通条件对审核工作的制约。高原地区交通条件较差，部分项目地处偏远山区（如阿坝县、壤塘县等距马尔康200公里以上），审核人员赴现场核实存在实际困难。</w:t>
      </w:r>
    </w:p>
    <w:p w14:paraId="2C38576A">
      <w:pPr>
        <w:spacing w:before="0" w:after="120" w:line="360" w:lineRule="auto"/>
        <w:ind w:firstLine="168"/>
        <w:jc w:val="both"/>
      </w:pPr>
      <w:r>
        <w:rPr>
          <w:rFonts w:ascii="宋体" w:hAnsi="宋体" w:eastAsia="宋体"/>
          <w:b w:val="0"/>
          <w:color w:val="000000"/>
          <w:sz w:val="24"/>
        </w:rPr>
        <w:t>审计流程总体设计遵循"分阶段实施、分层级复核"原则，将审核全过程划分为准备阶段、实施阶段和报告阶段三个主要阶段。第一阶段准备阶段（从合同签订到审核方案审批，约5个工作日），主要工作包括：收集项目基本情况、组建审核团队、编制审核方案、进行风险评估、发出审核通知等。第二阶段实施阶段（从审核方案批准到出具审核报告初稿，约30-45个工作日），主要工作包括：现场审核、资料查阅、数据分析、问题核实、编制审核工作底稿等。第三阶段报告阶段（从审核报告初稿到最终报告出具，约10个工作日），主要工作包括：报告撰写、内部复核、与建设单位交换意见、报告修改、报告审批和出具等。每个阶段的工作内容、工作要求和质量控制措施均有明确规定，确保审核工作规范有序、优质高效。</w:t>
      </w:r>
    </w:p>
    <w:p w14:paraId="33D890DA">
      <w:pPr>
        <w:spacing w:before="0" w:after="120" w:line="360" w:lineRule="auto"/>
        <w:ind w:firstLine="168"/>
        <w:jc w:val="both"/>
      </w:pPr>
      <w:r>
        <w:rPr>
          <w:rFonts w:ascii="宋体" w:hAnsi="宋体" w:eastAsia="宋体"/>
          <w:b w:val="0"/>
          <w:color w:val="000000"/>
          <w:sz w:val="24"/>
        </w:rPr>
        <w:t>在总体流程设计上，本项目采用"风险导向"的审核思路，即首先对项目的风险状况进行全面评估，根据风险评估结果确定审核的重点领域和关键事项，然后有针对性地配置审核资源，实施差异化的审核程序。对于高风险领域（如变更签证金额较大、合同外支出较多等），加大人力投入和工作深度；对于低风险领域（如标准化的设备采购、常规性的费用支出等），可适当简化审核程序。这种流程设计既保证了审核质量，又提高了审核效率，实现了质量与效率的平衡。同时，审核流程特别注重与建设单位的沟通协调，在审核的各个关键节点，主动与建设单位相关人员进行沟通，了解项目建设背景和管理情况，核实有关事实，协调审核进度，确保审核意见客观公正。</w:t>
      </w:r>
    </w:p>
    <w:p w14:paraId="74926DC6">
      <w:pPr>
        <w:spacing w:before="0" w:after="120" w:line="360" w:lineRule="auto"/>
        <w:ind w:firstLine="168"/>
        <w:jc w:val="both"/>
      </w:pPr>
      <w:r>
        <w:rPr>
          <w:rFonts w:ascii="宋体" w:hAnsi="宋体" w:eastAsia="宋体"/>
          <w:b w:val="0"/>
          <w:color w:val="000000"/>
          <w:sz w:val="24"/>
        </w:rPr>
        <w:t>审计质量控制制度是审核工作的生命线。本所制定了严格的审计质量控制制度，涵盖质量目标、组织架构、控制流程、考核评价等方面，形成了全过程、全方位的质量控制体系。质量控制制度的核心是"三级复核制度"，即在项目经理一级复核的基础上，增加项目总监二级复核和技术委员会三级把关，确保每一个项目都达到规定的质量标准。三级复核各有侧重：一级复核侧重于业务操作的规范性，核查审核程序是否符合准则要求、证据是否充分适当、问题记录是否完整准确；二级复核侧重于重大问题的判断准确性，核查一级复核意见是否落实、重大判断是否准确、结论是否合理；三级复核侧重于报告质量的整体评价，核查报告是否真实完整反映审核情况、意见是否有充分证据支持、披露是否适当谨慎。三级复核不是简单的重复审查，而是各有重点、相互补充的质量保障机制。本所还实行"质量一票否决制"，任何项目未经质量复核或复核未通过的，一律不得出具正式报告。</w:t>
      </w:r>
    </w:p>
    <w:p w14:paraId="26245B22">
      <w:pPr>
        <w:spacing w:before="0" w:after="120" w:line="360" w:lineRule="auto"/>
        <w:ind w:firstLine="168"/>
        <w:jc w:val="both"/>
      </w:pPr>
      <w:r>
        <w:rPr>
          <w:rFonts w:ascii="宋体" w:hAnsi="宋体" w:eastAsia="宋体"/>
          <w:b w:val="0"/>
          <w:color w:val="000000"/>
          <w:sz w:val="24"/>
        </w:rPr>
        <w:t>审计进度管理制度确保审核工作按时完成。本所建立了完善的进度管理制度，明确进度管理的目标、职责、方法和保障措施。在进度计划编制方面，每个项目在启动时都必须编制详细的进度计划，明确各阶段的工作内容、起止时间、里程碑节点和责任人。在进度监控方面，实行"周报制度"，每周汇总各项目的进度情况，对于进度滞后的项目，及时分析原因并采取纠正措施。在进度保障方面，建立了资源调配机制，当项目进度出现偏差时，可及时调配其他项目组的人员进行支援。对于客户的原因导致进度延误的，及时与客户沟通协调。对于因不可抗力等原因导致项目无法按计划进行的，经批准后可适当调整进度计划。本所承诺单个项目自收到完整资料之日起30个工作日内完成，复杂项目45个工作日内完成，最长不超过60个工作日。</w:t>
      </w:r>
    </w:p>
    <w:p w14:paraId="3C8537B3">
      <w:pPr>
        <w:spacing w:before="0" w:after="120" w:line="360" w:lineRule="auto"/>
        <w:ind w:firstLine="168"/>
        <w:jc w:val="both"/>
      </w:pPr>
      <w:r>
        <w:rPr>
          <w:rFonts w:ascii="宋体" w:hAnsi="宋体" w:eastAsia="宋体"/>
          <w:b w:val="0"/>
          <w:color w:val="000000"/>
          <w:sz w:val="24"/>
        </w:rPr>
        <w:t>审计保密制度是保护客户商业秘密和国家秘密的重要保障。本所制定了严格的保密制度，明确保密的范围、要求、责任和处罚措施。保密范围包括：在执业过程中知悉的涉及国家秘密的信息，涉及客户商业秘密的信息，以及本所的内部管理信息。保密要求方面，所有人员入职时必须签订保密协议，明确保密义务，保密协议规定的保密义务在离职后仍然有效。保密措施方面，项目资料实行专人管理，建立严格的资料借阅和复制审批制度；电子资料实行分级授权管理，严禁非授权人员接触敏感信息；废弃的纸质资料实行粉碎销毁处理，不得随意丢弃。保密责任方面，对于违反保密制度造成泄密事件的，根据情节轻重给予警告、降级、解除劳动合同等处分；涉嫌犯罪的，移送司法机关处理。</w:t>
      </w:r>
    </w:p>
    <w:p w14:paraId="56129714">
      <w:pPr>
        <w:spacing w:before="0" w:after="120" w:line="360" w:lineRule="auto"/>
        <w:ind w:firstLine="168"/>
        <w:jc w:val="both"/>
      </w:pPr>
      <w:r>
        <w:rPr>
          <w:rFonts w:ascii="宋体" w:hAnsi="宋体" w:eastAsia="宋体"/>
          <w:b w:val="0"/>
          <w:color w:val="000000"/>
          <w:sz w:val="24"/>
        </w:rPr>
        <w:t>审计档案管理制度规范档案管理。本所建立了完善的档案管理制度，明确档案管理的范围、整理要求、保管期限和借阅规定。档案范围包括：业务约定书、审核报告、工作底稿、证据材料、沟通函件、客户提供的原始资料等。档案整理要求方面，项目完成后必须按规定整理归档，归档资料应当完整、整洁、规范，编制清晰的档案目录，编制归档说明。保管期限方面，一般项目档案保管期限不少于10年，重大项目保管期限不少于30年。借阅管理方面，建立档案借阅登记制度，档案原件一般不外借，确需借阅的须经档案管理部门负责人批准，借阅人应当妥善保管档案，不得转借、复制或损毁。</w:t>
      </w:r>
    </w:p>
    <w:p w14:paraId="51C45111">
      <w:pPr>
        <w:spacing w:before="0" w:after="120" w:line="360" w:lineRule="auto"/>
        <w:ind w:firstLine="168"/>
        <w:jc w:val="both"/>
      </w:pPr>
      <w:r>
        <w:rPr>
          <w:rFonts w:ascii="宋体" w:hAnsi="宋体" w:eastAsia="宋体"/>
          <w:b w:val="0"/>
          <w:color w:val="000000"/>
          <w:sz w:val="24"/>
        </w:rPr>
        <w:t>项目组织架构实行"项目负责制"，建立三层级组织架构：决策管理层（项目负责人和质量总监，负责总体规划、重大问题决策和质量控制）、项目执行层（3名核心审核人员，负责审核工作具体组织和实施）、审核作业层（5名辅助审核人员，负责具体执行性工作）。项目负责人必须由具有注册会计师资格和高级职称的人员担任，具备10年以上工作经验，全面负责审核工作的组织实施、质量进度控制和对外协调。项目团队共9人，含1名项目负责人（注册会计师+高级工程师）、3名核心审核人员（含3名注册会计师）、5名辅助审核人员（初级以上职称）。所有人员均具有本科以上学历，专业背景涵盖会计、审计、工程造价、工程管理、财务管理等，能够胜任本项目的审核工作。</w:t>
      </w:r>
    </w:p>
    <w:p w14:paraId="0E794AE4">
      <w:pPr>
        <w:spacing w:before="0" w:after="120" w:line="360" w:lineRule="auto"/>
        <w:ind w:firstLine="168"/>
        <w:jc w:val="both"/>
      </w:pPr>
      <w:r>
        <w:rPr>
          <w:rFonts w:ascii="宋体" w:hAnsi="宋体" w:eastAsia="宋体"/>
          <w:b w:val="0"/>
          <w:color w:val="000000"/>
          <w:sz w:val="24"/>
        </w:rPr>
        <w:t>工程变更签证是政府投资项目竣工财务决算审核中最容易产生争议的环节，也是最能体现审核人员专业能力和执业水平的领域。工程变更的审核应当重点关注以下几个方面：第一个方面是变更原因的认定与责任划分。工程变更涉及设计漏项、施工条件变化、功能调整、规范标准更新、地质条件变化、不可抗力等多种原因，不同原因的变更在费用承担上存在差异。例如，设计漏项通常是设计单位责任，相应费用应由设计单位承担，审核时应当核查设计合同中关于设计质量责任的约定；施工条件变化如果是不可抗力因素（如地质灾害、恶劣气候等），费用承担需要视合同约定和法律规定处理；功能调整通常属于建设单位责任，相应费用由建设单位承担。审核人员应当根据变更的具体情况，分析变更原因，合理划分责任。</w:t>
      </w:r>
    </w:p>
    <w:p w14:paraId="78B2EFC2">
      <w:pPr>
        <w:spacing w:before="0" w:after="120" w:line="360" w:lineRule="auto"/>
        <w:ind w:firstLine="168"/>
        <w:jc w:val="both"/>
      </w:pPr>
      <w:r>
        <w:rPr>
          <w:rFonts w:ascii="宋体" w:hAnsi="宋体" w:eastAsia="宋体"/>
          <w:b w:val="0"/>
          <w:color w:val="000000"/>
          <w:sz w:val="24"/>
        </w:rPr>
        <w:t>第二个方面是变更价款的确定方法。对于变更工程量的计算，应当核查变更工程的工程量计算是否准确，是否有详细的计算过程和依据；对于变更单价的确定，应当核查是参照现有合同单价、还是重新编制新单价。参照合同单价时，应当核查合同中关于变更单价确定方法的约定是否明确；重新编制单价时，应当核查单价确定的依据是否充分，定额套用或清单计价方法是否正确。对于总价包干项目中的变更，应当核查合同中关于变更处理方式的约定，是否采用价格谈判、单价计价等方式调整合同价款。</w:t>
      </w:r>
    </w:p>
    <w:p w14:paraId="376CED78">
      <w:pPr>
        <w:spacing w:before="0" w:after="120" w:line="360" w:lineRule="auto"/>
        <w:ind w:firstLine="168"/>
        <w:jc w:val="both"/>
      </w:pPr>
      <w:r>
        <w:rPr>
          <w:rFonts w:ascii="宋体" w:hAnsi="宋体" w:eastAsia="宋体"/>
          <w:b w:val="0"/>
          <w:color w:val="000000"/>
          <w:sz w:val="24"/>
        </w:rPr>
        <w:t>第三个方面是变更签证的规范性和完整性。核查变更签证是否内容完整，包括变更的部位、变更的内容、变更的工程量、变更的价款等要素是否齐全；核查变更签证签字是否齐全，包括施工单位、监理单位、建设单位等各方签字是否完整；核查变更签证日期是否与实际施工日期一致，是否存在事后补办签证的问题。对于口头指令后补签证的情况，应当核查签证内容是否与实际情况相符，是否存在事后补办签证问题。对于设计变更与现场实际不符的情况，应当查明原因，分析责任。</w:t>
      </w:r>
    </w:p>
    <w:p w14:paraId="54E74366">
      <w:pPr>
        <w:spacing w:before="0" w:after="120" w:line="360" w:lineRule="auto"/>
        <w:ind w:firstLine="168"/>
        <w:jc w:val="both"/>
      </w:pPr>
      <w:r>
        <w:rPr>
          <w:rFonts w:ascii="宋体" w:hAnsi="宋体" w:eastAsia="宋体"/>
          <w:b w:val="0"/>
          <w:color w:val="000000"/>
          <w:sz w:val="24"/>
        </w:rPr>
        <w:t>第四个方面是变更与索赔的边界界定。变更与索赔在实践中往往相互交织，区分难度较大。变更是对原有合同内容的修改，通常由建设单位提出或经建设单位同意；索赔是因对方责任造成的损失而提出的补偿要求，通常依据合同约定或法律规定提出。在竣工财务决算审核中，应当注意区分变更费用和索赔费用的处理方式是否正确，是否存在将索赔当作变更处理或反之的问题。对于同一事项既涉及变更又涉及索赔的情况，应当分别按照各自的处理方式进行处理。</w:t>
      </w:r>
    </w:p>
    <w:p w14:paraId="177B0C30">
      <w:pPr>
        <w:spacing w:before="0" w:after="120" w:line="360" w:lineRule="auto"/>
        <w:ind w:firstLine="168"/>
        <w:jc w:val="both"/>
      </w:pPr>
      <w:r>
        <w:rPr>
          <w:rFonts w:ascii="宋体" w:hAnsi="宋体" w:eastAsia="宋体"/>
          <w:b w:val="0"/>
          <w:color w:val="000000"/>
          <w:sz w:val="24"/>
        </w:rPr>
        <w:t>高原民族地区项目审核的特殊考虑因素包括：第一，高原施工增加费的认定。高原地区海拔高、气压低、氧气稀薄，对人工和机械效率均有显著影响。根据相关规定，在海拔3000米以上地区施工，可以计取高原施工增加费。审核时应当核查高原施工增加费的计算是否正确，包括施工期间的确定、高原施工人数和天数的统计、增加费费率的计取等是否准确。同时，应当注意区分高原施工增加费与冬季施工增加费，两者性质不同，不应重复计取。第二，冬季施工费用的处理。阿坝州大部分地区冬季时间较长（通常11月至次年3月），这段时间内施工需要采取保温措施，施工成本显著增加。审核时应当核查冬季施工费用的计取是否有充分的依据，包括施工许可证上的冬季施工批准文件、冬季施工方案、保温措施费用清单等。</w:t>
      </w:r>
    </w:p>
    <w:p w14:paraId="069C35BC">
      <w:pPr>
        <w:spacing w:before="0" w:after="120" w:line="360" w:lineRule="auto"/>
        <w:ind w:firstLine="168"/>
        <w:jc w:val="both"/>
      </w:pPr>
      <w:r>
        <w:rPr>
          <w:rFonts w:ascii="宋体" w:hAnsi="宋体" w:eastAsia="宋体"/>
          <w:b w:val="0"/>
          <w:color w:val="000000"/>
          <w:sz w:val="24"/>
        </w:rPr>
        <w:t>第三，对口援建项目的特殊规定。对口援建项目在资金管理、招标采购、竣工验收等方面有特殊规定，需要审核人员熟悉相关政策。例如，对口援建资金通常有专门的账户管理和拨付程序，审核时需要关注援建资金与地方资金的衔接问题，是否存在资金混用、串用的问题。援建项目的招标采购有时采用援建方所在地区的采购规定，与四川省的规定可能存在差异，审核时应当关注这些差异的合规性。第四，地质灾害对工程的影响。阿坝州地震、泥石流等自然灾害频发，部分项目在建设期间可能遭遇自然灾害影响，工程报废损失的责任划分和损失认定较为复杂。审核时应当关注：自然灾害发生的时间、是否在项目施工期间、自然灾害对工程造成的具体损失、责任方的认定、损失金额的确定等。对于应当由责任方承担的损失，不得计入项目建设成本。</w:t>
      </w:r>
    </w:p>
    <w:p w14:paraId="5BFB5244">
      <w:pPr>
        <w:spacing w:before="0" w:after="120" w:line="360" w:lineRule="auto"/>
        <w:ind w:firstLine="168"/>
        <w:jc w:val="both"/>
      </w:pPr>
      <w:r>
        <w:rPr>
          <w:rFonts w:ascii="宋体" w:hAnsi="宋体" w:eastAsia="宋体"/>
          <w:b w:val="0"/>
          <w:color w:val="000000"/>
          <w:sz w:val="24"/>
        </w:rPr>
        <w:t>第五，民族地区特殊政策的把握。阿坝州作为藏族羌族自治州，在部分政策执行上可能有特殊规定。例如，对于涉及民族传统文化保护的项目，在建设标准、投资安排等方面可能有特殊考量；对于宗教场所相关的建设项目，在审批程序和管理要求上可能有特殊规定。审核人员应当充分了解民族地区的特殊政策，在审核中予以充分关注。第六，交通条件对审核工作的影响。高原地区交通条件较差，部分项目地处偏远山区（如阿坝县、壤塘县等距马尔康200公里以上），每年12月至次年3月部分路段可能因冰雪封路，审核人员赴现场核实存在实际困难。审核机构应当合理安排审核时间，对于确实无法现场核实的事项，可以采用视频核实、远程核验等方式替代，但应当在审核报告中说明替代程序的采用原因和可靠性。</w:t>
      </w:r>
    </w:p>
    <w:p w14:paraId="76F0A527">
      <w:pPr>
        <w:spacing w:before="0" w:after="120" w:line="360" w:lineRule="auto"/>
        <w:ind w:firstLine="168"/>
        <w:jc w:val="both"/>
      </w:pPr>
      <w:r>
        <w:rPr>
          <w:rFonts w:ascii="宋体" w:hAnsi="宋体" w:eastAsia="宋体"/>
          <w:b w:val="0"/>
          <w:color w:val="000000"/>
          <w:sz w:val="24"/>
        </w:rPr>
        <w:t>人员配备是比选文件评分标准的重要组成部分，占25分，是仅次于实施方案的第二大评分因素。本所对本项目高度重视，配备了高素质的专业团队，确保人员资质满足评分要求并具有竞争优势。项目负责人必须由具有注册会计师资格和高级职称的人员担任，具备10年以上工程造价或财务审计工作经验，主持过多个大型政府投资项目的竣工决算审核工作，专业能力突出，职业道德良好。本项目拟派项目负责人为XXX，具有注册会计师（CPA）、高级工程师职称，从事工程造价审计和财务审计工作XX年，主持过XX省/市/县XX个政府投资项目的竣工决算审核工作，累计审核项目投资额超过XX亿元，专业能力和管理经验都非常突出。</w:t>
      </w:r>
    </w:p>
    <w:p w14:paraId="0AB43CDB">
      <w:pPr>
        <w:spacing w:before="0" w:after="120" w:line="360" w:lineRule="auto"/>
        <w:ind w:firstLine="168"/>
        <w:jc w:val="both"/>
      </w:pPr>
      <w:r>
        <w:rPr>
          <w:rFonts w:ascii="宋体" w:hAnsi="宋体" w:eastAsia="宋体"/>
          <w:b w:val="0"/>
          <w:color w:val="000000"/>
          <w:sz w:val="24"/>
        </w:rPr>
        <w:t>核心审核团队由3名注册会计师和5名中级工程师及以上职称人员组成，共计9人。其中：注册会计师3名，年龄均在XX-XX岁之间，年富力强，专业功底扎实，均具有5年以上竣工决算审核工作经验；中级工程师5名，专业背景涵盖工程造价、工程管理、财务管理、会计学等专业；初级职称人员若干名，具备一定的专业基础。所有人员均具有本科以上学历，其中研究生学历XX人，专业背景涵盖会计、审计、工程造价、工程管理、财务管理、计算机等多个专业领域。团队整体专业技术能力强，工作经验丰富，能够胜任本项目的审核工作。</w:t>
      </w:r>
    </w:p>
    <w:p w14:paraId="109C56F5">
      <w:pPr>
        <w:spacing w:before="0" w:after="120" w:line="360" w:lineRule="auto"/>
        <w:ind w:firstLine="168"/>
        <w:jc w:val="both"/>
      </w:pPr>
      <w:r>
        <w:rPr>
          <w:rFonts w:ascii="宋体" w:hAnsi="宋体" w:eastAsia="宋体"/>
          <w:b w:val="0"/>
          <w:color w:val="000000"/>
          <w:sz w:val="24"/>
        </w:rPr>
        <w:t>主要类似业绩包括：阿坝州某县市政基础设施建设项目竣工财务决算审核项目，该项目总投资1.2亿元，涉及道路、排水、照明、绿化等多个分项工程；四川省某市公共卫生建设项目竣工财务决算审核，项目总投资8,000万元，涉及医院建筑和医疗设备安装；甘孜州某县脱贫攻坚住房建设项目竣工决算审核，项目涉及农村危房改造和易地扶贫搬迁，资金量大、覆盖户数多；成都市某区学校建设项目群竣工财务决算审核，项目总投资2亿元，涉及多所学校的教学楼、体育馆等建筑；四川省某市污水处理厂建设项目竣工财务决算审核，项目总投资1.5亿元，涉及厂区建设和设备安装。上述项目中，不乏涉及高原民族地区、涉及交通、水利、市政等多个领域的复杂项目，我所均按时高质量完成了审核任务，得到了委托单位的好评和认可。</w:t>
      </w:r>
    </w:p>
    <w:p w14:paraId="2929183E">
      <w:pPr>
        <w:spacing w:before="0" w:after="120" w:line="360" w:lineRule="auto"/>
        <w:ind w:firstLine="168"/>
        <w:jc w:val="both"/>
      </w:pPr>
      <w:r>
        <w:rPr>
          <w:rFonts w:ascii="宋体" w:hAnsi="宋体" w:eastAsia="宋体"/>
          <w:b w:val="0"/>
          <w:color w:val="000000"/>
          <w:sz w:val="24"/>
        </w:rPr>
        <w:t>本所具备强大的履约能力保障。在人员保障方面，拥有注册会计师20人、造价工程师15人、中级职称人员20余人，所有人员均具有本科以上学历，部分人员具有研究生学历。我所还聘有由资深专家组成的专业技术委员会，为重大复杂项目提供技术支撑。在技术保障方面，配备了广联达、斯维尔等主流造价软件，以及财务审计软件、大数据分析工具等信息化手段，能够满足各类复杂项目的审核需要。在质量保障方面，建立了完善的质量控制制度体系，实行严格的三级复核制度。在信誉保障方面，多年来恪守职业道德，坚持客观公正、诚信执业的理念，在业界享有良好的信誉和口碑。</w:t>
      </w:r>
    </w:p>
    <w:p w14:paraId="6CE5D5ED">
      <w:pPr>
        <w:spacing w:before="0" w:after="120" w:line="360" w:lineRule="auto"/>
        <w:ind w:firstLine="168"/>
        <w:jc w:val="both"/>
      </w:pPr>
      <w:r>
        <w:rPr>
          <w:rFonts w:ascii="宋体" w:hAnsi="宋体" w:eastAsia="宋体"/>
          <w:b w:val="0"/>
          <w:color w:val="000000"/>
          <w:sz w:val="24"/>
        </w:rPr>
        <w:t>报价依据方面，本项目报价依据主要包括：《四川省会计师事务所服务收费管理办法》（川发改价格〔2013〕901号），该文件规定了四川省会计师事务所服务收费的计算方法和标准，是本项目收费的直接依据；四川省物价局关于规范工程造价咨询服务收费的通知，规定了工程造价咨询服务的收费标准；《基本建设财务规则》（财政部令第81号）和《基本建设项目竣工财务决算管理暂行办法》（财建〔2016〕503号），是本项目服务的法规依据。报价组成方面，根据川发改价格〔2013〕901号文的规定，结合本项目实际情况，报价由审核服务费、现场差旅费、资料整理费、报告编制费等部分组成。本所报价体现优质优价原则，在保证服务质量的前提下尽可能为客户节约成本，已充分考虑阿坝州地处高原民族地区、交通条件较差等特殊因素。</w:t>
      </w:r>
    </w:p>
    <w:p w14:paraId="2BC59FA2">
      <w:pPr>
        <w:spacing w:before="0" w:after="120" w:line="360" w:lineRule="auto"/>
        <w:ind w:firstLine="168"/>
        <w:jc w:val="both"/>
      </w:pPr>
      <w:r>
        <w:rPr>
          <w:rFonts w:ascii="宋体" w:hAnsi="宋体" w:eastAsia="宋体"/>
          <w:b w:val="0"/>
          <w:color w:val="000000"/>
          <w:sz w:val="24"/>
        </w:rPr>
        <w:t>本所建立了全面的风险防控体系，对项目可能面临的各类风险进行识别、评估和防控。审核业务面临的主要风险包括：质量风险（审核结论不准确的风险）、进度风险（不能在约定时间内完成的风险）、保密风险（信息泄露的风险）、合规风险（违反法律法规的风险）等。针对每类风险，均制定了相应的防控措施。质量风险防控方面：严格执行三级复核制度，确保审核质量；加强人员培训，提高专业胜任能力；建立质量问题责任追究机制。进度风险防控方面：制定详细的进度计划并严格执行；建立进度监控和预警机制；配置充足的资源，确保进度不受人员不足影响。保密风险防控方面：加强保密教育，提高保密意识；严格权限管理，防止信息泄露；建立泄密应急处置预案。合规风险防控方面：加强法律法规培训，确保执业合规；建立合规检查机制，及时发现和纠正违规行为。</w:t>
      </w:r>
    </w:p>
    <w:p w14:paraId="7427F20F">
      <w:pPr>
        <w:spacing w:before="0" w:after="120" w:line="360" w:lineRule="auto"/>
        <w:ind w:firstLine="168"/>
        <w:jc w:val="both"/>
      </w:pPr>
      <w:r>
        <w:rPr>
          <w:rFonts w:ascii="宋体" w:hAnsi="宋体" w:eastAsia="宋体"/>
          <w:b w:val="0"/>
          <w:color w:val="000000"/>
          <w:sz w:val="24"/>
        </w:rPr>
        <w:t>建设规模与标准的合规性审核是竣工财务决算审核的重要环节。核查实际建成规模（建筑面积、道路长度、管网长度、绿化面积等）是否超出批准文件核定的规模，是否存在擅自提高建设标准的情况。对于超规模超标准建设部分，应查明资金来源，分析其合规性，区分资金来源渠道。同时，还应当核查是否存在未经批准擅自缩减建设规模、降低建设标准的问题，以及缩减部分的资金去向。对于分期建设的项目，还应当审核已建成部分与总体规划的符合性，是否存在先建后批、边建边批等程序违规问题。建设规模的审核应当以竣工图纸为主要依据，结合现场实测数据进行核实。对于市政道路、排水管网等线性工程，还应当核查实际完成的工程量是否与设计工程量相符，是否存在偷工减料的问题。</w:t>
      </w:r>
    </w:p>
    <w:p w14:paraId="26CA39CC">
      <w:pPr>
        <w:spacing w:before="0" w:after="120" w:line="360" w:lineRule="auto"/>
        <w:ind w:firstLine="168"/>
        <w:jc w:val="both"/>
      </w:pPr>
      <w:r>
        <w:rPr>
          <w:rFonts w:ascii="宋体" w:hAnsi="宋体" w:eastAsia="宋体"/>
          <w:b w:val="0"/>
          <w:color w:val="000000"/>
          <w:sz w:val="24"/>
        </w:rPr>
        <w:t>资金使用的合规性审核重点关注建设资金是否严格按照批准的资金来源和投资计划使用，有无挪用、串用建设资金的情况。重点关注是否存在以"项目配套"名义进行计划外支出的情况，是否存在将非本项目支出纳入本项目核算的情况。对于专项债券资金，要审核资金使用是否符合专项债券管理的相关规定，有无挪用或闲置问题。对于中央预算内投资资金，要审核资金使用是否符合专项资金管理的相关规定，有无超范围使用问题。对于对口援建资金，要审核援建资金与地方资金的衔接是否规范，是否存在混用、串用问题。资金使用审核还应当关注项目资金的使用进度是否与工程进度相匹配，是否存在资金沉淀或资金短缺问题。</w:t>
      </w:r>
    </w:p>
    <w:p w14:paraId="66819ABD">
      <w:pPr>
        <w:spacing w:before="0" w:after="120" w:line="360" w:lineRule="auto"/>
        <w:ind w:firstLine="168"/>
        <w:jc w:val="both"/>
      </w:pPr>
      <w:r>
        <w:rPr>
          <w:rFonts w:ascii="宋体" w:hAnsi="宋体" w:eastAsia="宋体"/>
          <w:b w:val="0"/>
          <w:color w:val="000000"/>
          <w:sz w:val="24"/>
        </w:rPr>
        <w:t>招标采购的合规性审核是竣工财务决算审核的重要内容。核查达到招标规模标准的工程和货物是否依法进行了招标采购，招标程序是否符合《招标投标法》及相关规定，中标价格与合同价格是否一致。对于单一来源采购、竞争性磋商等非招标方式，核查是否具备法定理由，审批程序是否合规。对于政府采购项目，还应当核查是否按照政府采购程序执行。对于PPP项目，还应当核查社会资本方的采购程序是否合规。对于EPC总承包项目，还应当核查总承包商的招标采购程序是否合规。招标采购审核还应当关注是否存在化整为零规避招标的问题，是否存在明招暗定的问题，是否存在围标串标的问题。这些问题虽然不一定直接体现在竣工财务决算中，但可能影响工程成本和合同价款的合理性。</w:t>
      </w:r>
    </w:p>
    <w:p w14:paraId="715A846F">
      <w:pPr>
        <w:spacing w:before="0" w:after="120" w:line="360" w:lineRule="auto"/>
        <w:ind w:firstLine="168"/>
        <w:jc w:val="both"/>
      </w:pPr>
      <w:r>
        <w:rPr>
          <w:rFonts w:ascii="宋体" w:hAnsi="宋体" w:eastAsia="宋体"/>
          <w:b w:val="0"/>
          <w:color w:val="000000"/>
          <w:sz w:val="24"/>
        </w:rPr>
        <w:t>票据合规性审核是竣工财务决算审核的关键环节。第一个审核要点是发票真伪鉴别。可以通过税务机关发票查询平台进行网上核验，核实发票代码、号码是否真实存在，开票日期、金额、项目内容等是否与账面记录一致。对于金额较大（如超过10万元）或存在疑点的发票，应当通过税务机关进一步核实。对于定额发票，应当核实是否在有效期内使用，是否存在过期使用问题。对于手写发票，应当关注字迹是否一致、填写内容是否规范。对于汇总开具的发票，应当核查是否附有开具发票清单，清单内容是否与发票金额一致。</w:t>
      </w:r>
    </w:p>
    <w:p w14:paraId="295D6DB0">
      <w:pPr>
        <w:spacing w:before="0" w:after="120" w:line="360" w:lineRule="auto"/>
        <w:ind w:firstLine="168"/>
        <w:jc w:val="both"/>
      </w:pPr>
      <w:r>
        <w:rPr>
          <w:rFonts w:ascii="宋体" w:hAnsi="宋体" w:eastAsia="宋体"/>
          <w:b w:val="0"/>
          <w:color w:val="000000"/>
          <w:sz w:val="24"/>
        </w:rPr>
        <w:t>第二个审核要点是票据内容的完整性。核查票据要素是否齐全，包括开票日期、金额（大写和小写）、项目内容、开票单位（加盖发票专用章）、收款人、复核人等是否完整准确。特别关注票据日期是否在项目建设期内（不得早于立项批复日期，不得晚于竣工决算编制日期）、票据金额是否与付款金额一致、票据项目内容是否与实际业务相符。对于票据要素不全的，应当追查原因，确认其是否影响票据的效力。对于确实无法补充的原始凭证，应当关注其替代凭证的合规性和充分性，并在审核报告中予以说明。</w:t>
      </w:r>
    </w:p>
    <w:p w14:paraId="70EA3F07">
      <w:pPr>
        <w:spacing w:before="0" w:after="120" w:line="360" w:lineRule="auto"/>
        <w:ind w:firstLine="168"/>
        <w:jc w:val="both"/>
      </w:pPr>
      <w:r>
        <w:rPr>
          <w:rFonts w:ascii="宋体" w:hAnsi="宋体" w:eastAsia="宋体"/>
          <w:b w:val="0"/>
          <w:color w:val="000000"/>
          <w:sz w:val="24"/>
        </w:rPr>
        <w:t>第三个审核要点是票据来源的合法性。核查票据是否符合国家发票管理规定，是否存在过期票据（增值税发票180天以内有效）、白条入账等问题。特别关注是否存在以收据或其他非正规凭证代替发票入账的情况，是否存在票据来源不合规的问题。对于行政事业性收费票据，应当核查是否使用财政部门规定的统一票据，是否在规定范围内使用。对于军队收据、境外发票等特殊票据，应当审核其使用是否符合规定。对于内部收据和白条，原则上不能作为计入项目建设成本的凭据，除非有充分理由并经适当审批。</w:t>
      </w:r>
    </w:p>
    <w:p w14:paraId="7C4B9E8F">
      <w:pPr>
        <w:spacing w:before="0" w:after="120" w:line="360" w:lineRule="auto"/>
        <w:ind w:firstLine="168"/>
        <w:jc w:val="both"/>
      </w:pPr>
      <w:r>
        <w:rPr>
          <w:rFonts w:ascii="宋体" w:hAnsi="宋体" w:eastAsia="宋体"/>
          <w:b w:val="0"/>
          <w:color w:val="000000"/>
          <w:sz w:val="24"/>
        </w:rPr>
        <w:t>第四个审核要点是票据与业务的匹配性。核查票据记载的业务内容与实际发生的业务是否一致，金额是否匹配。特别关注是否存在票据金额与合同金额差异较大的情况，是否存在票据时间早于合同签订时间或晚于项目竣工时间等异常情况，是否存在票据金额明显偏离市场价格的情况。对于审核中发现的异常票据，应当追溯到原始凭证进行核实，必要时向税务机关进行真伪鉴定。发现涉嫌虚假发票的，应当及时向委托方报告。</w:t>
      </w:r>
    </w:p>
    <w:p w14:paraId="15B1B612">
      <w:pPr>
        <w:spacing w:before="0" w:after="120" w:line="360" w:lineRule="auto"/>
        <w:ind w:firstLine="168"/>
        <w:jc w:val="both"/>
      </w:pPr>
      <w:r>
        <w:rPr>
          <w:rFonts w:ascii="宋体" w:hAnsi="宋体" w:eastAsia="宋体"/>
          <w:b w:val="0"/>
          <w:color w:val="000000"/>
          <w:sz w:val="24"/>
        </w:rPr>
        <w:t>实质性测试是竣工财务决算审核获取审计证据的核心方法。实质性测试包括细节测试和分析性程序两种类型。细节测试主要针对重要科目的重要余额和交易进行逐项核实，包括：存货监盘，对建筑材料、设备等存货进行实地盘点，与账簿记录进行核对；银行存款余额核对，取得银行对账单，与账面余额进行核对，对未达账项进行调节；往来款项账龄分析，对各项应收应付款项进行账龄分析，识别长期挂账款项；工程款支付核查，对大额工程款支付进行逐笔核对，确认支付依据是否充分。分析性程序主要通过对财务数据和非财务数据之间的关系进行分析，识别可能存在的重大错报风险，包括：预算执行分析，比较预算与实际支出的差异，分析差异原因；成本构成分析，计算各项成本占比，与同类项目进行比较；工程进度与支出匹配分析，核对工程进度与资金支付的匹配性。</w:t>
      </w:r>
    </w:p>
    <w:p w14:paraId="31E19D16">
      <w:pPr>
        <w:spacing w:before="0" w:after="120" w:line="360" w:lineRule="auto"/>
        <w:ind w:firstLine="168"/>
        <w:jc w:val="both"/>
      </w:pPr>
      <w:r>
        <w:rPr>
          <w:rFonts w:ascii="宋体" w:hAnsi="宋体" w:eastAsia="宋体"/>
          <w:b w:val="0"/>
          <w:color w:val="000000"/>
          <w:sz w:val="24"/>
        </w:rPr>
        <w:t>符合性测试是评价被审核单位内部控制制度是否得到有效执行的重要方法。通过对关键控制点的符合性测试，可以评价建设单位内部控制的健全性和有效性，确定实质性测试的范围和重点。符合性测试的内容通常包括：授权审批控制测试，检查重大经济业务是否经过适当授权审批，审批权限设置是否合理，审批程序是否得到执行；不相容职务分离控制测试，检查不相容职务是否真正分离，如授权与执行分离、执行与记录分离等；凭证记录控制测试，检查经济业务发生后是否及时编制凭证，凭证内容是否完整，凭证传递是否及时；财产安全控制测试，检查资产安全保护措施是否到位，是否存在资产被盗用或挪用风险。符合性测试通常采用抽样方式进行，样本量的确定应当考虑被审核单位内部控制的健全程度和审核人员对内部控制的信赖程度。</w:t>
      </w:r>
    </w:p>
    <w:p w14:paraId="7497CD8E">
      <w:pPr>
        <w:spacing w:before="0" w:after="120" w:line="360" w:lineRule="auto"/>
        <w:ind w:firstLine="168"/>
        <w:jc w:val="both"/>
      </w:pPr>
      <w:r>
        <w:rPr>
          <w:rFonts w:ascii="宋体" w:hAnsi="宋体" w:eastAsia="宋体"/>
          <w:b w:val="0"/>
          <w:color w:val="000000"/>
          <w:sz w:val="24"/>
        </w:rPr>
        <w:t>穿行测试是验证业务流程合规性的重要方法。通过穿行测试，可以确认各项控制措施是否有效执行，发现业务流程中可能存在的漏洞和舞弊风险。具体操作方法是：选取若干笔重大经济业务，从业务发生起点（原始凭证）开始，顺着业务处理流程逐一追踪至财务报表反映终点，验证业务处理的各个环节是否合规。对于发现控制缺陷的环节，应当扩大测试范围，评估缺陷的普遍性和影响程度。穿行测试要求选取的样本具有代表性，能够反映不同类型（如采购付款、工程款支付、费用报销等）、不同金额（重大金额和一般金额）、不同时间段（年初、年中、年末）的业务特点。穿行测试的结果应当详细记录，包括所选取的业务样本、业务流程的各控制节点、控制缺陷的具体表现等。</w:t>
      </w:r>
    </w:p>
    <w:p w14:paraId="35187A43">
      <w:pPr>
        <w:spacing w:before="0" w:after="120" w:line="360" w:lineRule="auto"/>
        <w:ind w:firstLine="168"/>
        <w:jc w:val="both"/>
      </w:pPr>
      <w:r>
        <w:rPr>
          <w:rFonts w:ascii="宋体" w:hAnsi="宋体" w:eastAsia="宋体"/>
          <w:b w:val="0"/>
          <w:color w:val="000000"/>
          <w:sz w:val="24"/>
        </w:rPr>
        <w:t>函证询证法是核实债权债务和银行存款余额真实性的重要方法。函证分为积极函证和消极函证两种方式：积极函证要求被函证方必须回函确认，无论余额是否正确均需回函；消极函证仅在被函证方认为余额不正确时才回函。对于重大余额（如大额应付账款、长期挂账应收款等）或重要项目，通常采用积极函证方式。函证过程中，应当严格控制函证过程，防止被审核单位拦截、篡改函证内容。函证的可靠性很大程度上取决于函证过程控制的有效性，因此必须建立严格的函证控制程序。对于未回函或回函金额不符的事项，应当采取替代审计程序予以核实，如审查期后收款记录、查阅相关合同协议、实地走访等，确保相关余额的真实性。</w:t>
      </w:r>
    </w:p>
    <w:p w14:paraId="4739C909">
      <w:pPr>
        <w:spacing w:before="0" w:after="120" w:line="360" w:lineRule="auto"/>
        <w:ind w:firstLine="168"/>
        <w:jc w:val="both"/>
      </w:pPr>
      <w:r>
        <w:rPr>
          <w:rFonts w:ascii="宋体" w:hAnsi="宋体" w:eastAsia="宋体"/>
          <w:b w:val="0"/>
          <w:color w:val="000000"/>
          <w:sz w:val="24"/>
        </w:rPr>
        <w:t>现场核实法是确保账实相符的重要手段。审核人员应当到项目现场进行实地查看、测量、盘点，对会计账簿记录与实物资产、工程实体进行核对。现场核实的重点包括：实际建成规模与竣工图纸的一致性，实地测量关键尺寸，与竣工图纸进行比对；实物资产与账簿记录的一致性，实地盘点重要设备、材料等资产，与账簿记录进行核对；资产使用状况与设计要求的符合性，检查建成资产是否按设计要求使用，是否存在改变用途的问题；现场管理与内控制度的符合性，检查现场管理是否规范，人员是否在岗。对于发现账实不符的情况，应当深入追查原因，在审核报告中如实反映。现场核实应当配备必要的测量工具和记录设备，核实过程应当形成详细的工作底稿，包括现场照片、测量记录、盘点清单等。</w:t>
      </w:r>
    </w:p>
    <w:p w14:paraId="63CACC18">
      <w:pPr>
        <w:spacing w:before="0" w:after="120" w:line="360" w:lineRule="auto"/>
        <w:ind w:firstLine="168"/>
        <w:jc w:val="both"/>
      </w:pPr>
      <w:r>
        <w:rPr>
          <w:rFonts w:ascii="宋体" w:hAnsi="宋体" w:eastAsia="宋体"/>
          <w:b w:val="0"/>
          <w:color w:val="000000"/>
          <w:sz w:val="24"/>
        </w:rPr>
        <w:t>专家咨询法是解决专业性问题的重要手段。针对审核过程中遇到的专业性、技术性较强的问题，征询相关领域专家意见。在竣工财务决算审核中，经常涉及的专家咨询领域包括：工程技术问题，如工程报废损失认定（判断是否存在设计缺陷、施工不当等问题）、变更签证合理性判断（判断变更是否有必要、费用是否合理）、隐蔽工程验收（判断已覆盖的工程质量是否合格）；设备性能问题，如设备型号是否符合设计要求、设备性能是否达到预期效果；法律问题，如合同条款的解释（争议条款的理解）、法律责任的划分（多方责任如何分担）；经济评价问题，如项目投资效益的评价方法、运营成本是否合理等。专家咨询意见可作为审核判断的重要参考，但最终判断仍应由审核人员依据专业标准作出。专家咨询应当形成书面意见归档，注明咨询的问题、专家的资格背景、咨询意见及依据。</w:t>
      </w:r>
    </w:p>
    <w:p w14:paraId="05682AFE">
      <w:pPr>
        <w:spacing w:before="0" w:after="120" w:line="360" w:lineRule="auto"/>
        <w:ind w:firstLine="168"/>
        <w:jc w:val="both"/>
      </w:pPr>
      <w:r>
        <w:rPr>
          <w:rFonts w:ascii="宋体" w:hAnsi="宋体" w:eastAsia="宋体"/>
          <w:b w:val="0"/>
          <w:color w:val="000000"/>
          <w:sz w:val="24"/>
        </w:rPr>
        <w:t>阿坝州的基本建设财务管理具有鲜明的区域特点，这是由其所处的地理位置、气候条件、民族文化和经济结构等多重因素决定的。首先，从地理位置来看，阿坝州地处川西北高原向四川盆地过渡地带，境内地形复杂多样，有高山峡谷、高原宽谷、丘陵平坝等不同地貌类型，平均海拔在3000米以上，部分地区超过4000米。这种特殊的地形条件决定了阿坝州的工程项目普遍具有施工难度大、施工周期长、工程造价高等特点。以公路工程为例，同样等级的公路，阿坝州的造价可能是成都平原地区的1.5倍至2倍，主要原因在于地形地质条件复杂、筑路材料运距远、冬季施工成本高等。</w:t>
      </w:r>
    </w:p>
    <w:p w14:paraId="67E92E4E">
      <w:pPr>
        <w:spacing w:before="0" w:after="120" w:line="360" w:lineRule="auto"/>
        <w:ind w:firstLine="168"/>
        <w:jc w:val="both"/>
      </w:pPr>
      <w:r>
        <w:rPr>
          <w:rFonts w:ascii="宋体" w:hAnsi="宋体" w:eastAsia="宋体"/>
          <w:b w:val="0"/>
          <w:color w:val="000000"/>
          <w:sz w:val="24"/>
        </w:rPr>
        <w:t>其次，从气候条件来看，阿坝州属于典型的高原气候区，具有气压低、氧气稀薄、昼夜温差大、紫外线辐射强等特点。每年11月至次年3月为霜冻期，部分高海拔地区最低气温可达零下20℃以下。这种气候条件对工程建设产生了多方面的影响：一是施工效率降低，高原地区人工和机械效率均比平原地区低15%-30%；二是施工成本增加，冬季施工需要采取保温措施，材料运输成本增加；三是施工季节缩短，实际可施工时间每年只有6-7个月。这些因素综合起来，使得阿坝州的建设项目投资规模普遍偏大，工期普遍偏长，竣工财务决算审核时需要对这些特殊因素有充分的认识和理解。</w:t>
      </w:r>
    </w:p>
    <w:p w14:paraId="65C168C4">
      <w:pPr>
        <w:spacing w:before="0" w:after="120" w:line="360" w:lineRule="auto"/>
        <w:ind w:firstLine="168"/>
        <w:jc w:val="both"/>
      </w:pPr>
      <w:r>
        <w:rPr>
          <w:rFonts w:ascii="宋体" w:hAnsi="宋体" w:eastAsia="宋体"/>
          <w:b w:val="0"/>
          <w:color w:val="000000"/>
          <w:sz w:val="24"/>
        </w:rPr>
        <w:t>第三，从民族文化特点来看，阿坝州是藏羌民族聚居区，在项目建设中需要充分考虑民族地区的特殊情况。一方面，部分项目涉及民族传统文化保护，如藏族传统建筑风格的民居改造、宗教文化场所的维护修缮等，在建设标准和要求上可能有特殊规定；另一方面，民族地区的群众工作要求更高，征地拆迁补偿、移民安置等工作需要充分尊重当地民族习惯，补偿标准和使用方式可能与汉族地区有所不同。审核人员在开展竣工财务决算审核时，应当充分了解这些特殊因素，在审核中予以充分关注，确保审核结论符合实际情况。</w:t>
      </w:r>
    </w:p>
    <w:p w14:paraId="52EA01C0">
      <w:pPr>
        <w:spacing w:before="0" w:after="120" w:line="360" w:lineRule="auto"/>
        <w:ind w:firstLine="168"/>
        <w:jc w:val="both"/>
      </w:pPr>
      <w:r>
        <w:rPr>
          <w:rFonts w:ascii="宋体" w:hAnsi="宋体" w:eastAsia="宋体"/>
          <w:b w:val="0"/>
          <w:color w:val="000000"/>
          <w:sz w:val="24"/>
        </w:rPr>
        <w:t>第四，从经济结构来看，阿坝州经济以旅游业为支柱产业，对生态环境的要求较高。近年来，阿坝州大力推进全域旅游发展，一批旅游基础设施项目陆续建成，如九寨黄龙景区基础设施提升工程、若尔盖湿地保护工程、卧龙大熊猫栖息地修复工程等。这些项目在资金来源、建设管理、竣工验收等方面往往有特殊规定，审核时需要区别对待。同时，旅游业受突发事件影响较大，如2017年九寨沟地震对当地旅游业造成了重大冲击，部分在建项目也受到了影响，由此产生的工程损失和恢复重建费用如何处理，是竣工财务决算审核中需要关注的问题。</w:t>
      </w:r>
    </w:p>
    <w:p w14:paraId="48B69486">
      <w:pPr>
        <w:spacing w:before="0" w:after="120" w:line="360" w:lineRule="auto"/>
        <w:ind w:firstLine="168"/>
        <w:jc w:val="both"/>
      </w:pPr>
      <w:r>
        <w:rPr>
          <w:rFonts w:ascii="宋体" w:hAnsi="宋体" w:eastAsia="宋体"/>
          <w:b w:val="0"/>
          <w:color w:val="000000"/>
          <w:sz w:val="24"/>
        </w:rPr>
        <w:t>第五，从对口援建情况来看，阿坝州与浙江、广东等发达省份建立了对口援建关系，大量援建资金涌入阿坝州，有力促进了当地经济社会发展。对口援建项目在资金管理、招标采购、竣工验收等方面有特殊规定，审核时需要关注援建资金与地方资金的衔接问题、援建项目与地方规划的衔接问题等。同时，对口援建项目的建设标准往往较高，体现了援建省市的帮扶力度，但也可能存在超标准建设的问题，审核时应当客观评价。</w:t>
      </w:r>
    </w:p>
    <w:p w14:paraId="74550CBB">
      <w:pPr>
        <w:spacing w:before="0" w:after="120" w:line="360" w:lineRule="auto"/>
        <w:ind w:firstLine="168"/>
        <w:jc w:val="both"/>
      </w:pPr>
      <w:r>
        <w:rPr>
          <w:rFonts w:ascii="宋体" w:hAnsi="宋体" w:eastAsia="宋体"/>
          <w:b w:val="0"/>
          <w:color w:val="000000"/>
          <w:sz w:val="24"/>
        </w:rPr>
        <w:t>基于对阿坝州特殊情况的深入分析，本所认为，承担阿坝州州本级建设项目竣工财务决算审核任务，需要审核机构具备以下几方面的能力：第一，高原施工成本的专业判断能力。审核人员应当熟悉高原地区施工的特殊工艺和费用构成，能够对高原施工增加费、冬季施工费等特殊费用进行准确认定。第二，民族地区政策的把握能力。审核人员应当了解民族地区的特殊政策，在资金管理、招标采购、竣工验收等方面能够准确把握政策边界。第三，多头管理的协调能力。州本级建设项目涉及多个行业主管部门和资金管理部门，审核过程中需要与多方面进行沟通协调。第四，高海拔地区的适应能力。审核团队应当具备在高海拔地区开展工作的身体条件和工作能力，能够适应缺氧、寒冷、交通不便等艰苦环境。</w:t>
      </w:r>
    </w:p>
    <w:p w14:paraId="5B6EEB46">
      <w:pPr>
        <w:spacing w:before="0" w:after="120" w:line="360" w:lineRule="auto"/>
        <w:ind w:firstLine="168"/>
        <w:jc w:val="both"/>
      </w:pPr>
      <w:r>
        <w:rPr>
          <w:rFonts w:ascii="宋体" w:hAnsi="宋体" w:eastAsia="宋体"/>
          <w:b w:val="0"/>
          <w:color w:val="000000"/>
          <w:sz w:val="24"/>
        </w:rPr>
        <w:t>建设成本核算的真实性是竣工财务决算审核的核心内容。虚列成本是政府投资项目竣工财务决算中最为常见的问题之一，主要表现包括：一是以虚假的工程量申报结算，如上报的工程量超过实际完成工程量，虚构零星工程量等；二是以虚假的材料价格申报结算，如材料单价明显高于市场价格，或虚构材料采购业务套取资金；三是以虚假的签证变更套取资金，如虚构工程变更、增加合同外工程量等；四是以虚假的费用支出套取资金，如虚列人员、虚报差旅费等。这些虚列成本的行为不仅违反了财经纪律，而且损害了公共资金的使用效益，必须在竣工财务决算审核中予以坚决揭露和纠正。</w:t>
      </w:r>
    </w:p>
    <w:p w14:paraId="7D6DE9EE">
      <w:pPr>
        <w:spacing w:before="0" w:after="120" w:line="360" w:lineRule="auto"/>
        <w:ind w:firstLine="168"/>
        <w:jc w:val="both"/>
      </w:pPr>
      <w:r>
        <w:rPr>
          <w:rFonts w:ascii="宋体" w:hAnsi="宋体" w:eastAsia="宋体"/>
          <w:b w:val="0"/>
          <w:color w:val="000000"/>
          <w:sz w:val="24"/>
        </w:rPr>
        <w:t>防止虚列成本的主要审核手段包括：一是数据分析比对，将项目实际成本与合同金额、预算金额、同类项目金额进行纵向和横向比较，识别异常差异；二是现场核实，实地测量工程量，盘点设备和材料，与账面记录进行核对；三是函证和访谈，向供应商、施工单位等第三方核实交易的真实性；四是穿行测试，从原始凭证追溯到财务报表，验证业务流程的合规性；五是多维度印证，将财务数据与业务数据、工程数据、管理数据进行交叉验证。这些方法相互配合，可以有效识别虚列成本问题，确保建设成本真实可靠。</w:t>
      </w:r>
    </w:p>
    <w:p w14:paraId="400C750F">
      <w:pPr>
        <w:spacing w:before="0" w:after="120" w:line="360" w:lineRule="auto"/>
        <w:ind w:firstLine="168"/>
        <w:jc w:val="both"/>
      </w:pPr>
      <w:r>
        <w:rPr>
          <w:rFonts w:ascii="宋体" w:hAnsi="宋体" w:eastAsia="宋体"/>
          <w:b w:val="0"/>
          <w:color w:val="000000"/>
          <w:sz w:val="24"/>
        </w:rPr>
        <w:t>工程款支付是建设资金管理的关键环节，也是竣工财务决算审核的重点关注领域。工程款支付审核的主要内容包括：一是支付条件的合规性，核查工程款支付是否符合合同约定的支付条件，预付款的支付是否符合规定（一般不超过合同价的30%）；二是支付比例的准确性，核查工程款支付比例是否符合合同约定，是否存在超付问题；三是支付依据的充分性，核查每笔工程款支付是否有充分的依据，如监理审核意见、造价工程师审核意见等；四是扣款处理的规范性，核查水电费扣回、质量保证金扣回等是否按规定执行；五是资金流向的合规性，核查工程款是否最终支付给了实际施工单位，是否存在资金体外循环问题。</w:t>
      </w:r>
    </w:p>
    <w:p w14:paraId="2A5008D9">
      <w:pPr>
        <w:spacing w:before="0" w:after="120" w:line="360" w:lineRule="auto"/>
        <w:ind w:firstLine="168"/>
        <w:jc w:val="both"/>
      </w:pPr>
      <w:r>
        <w:rPr>
          <w:rFonts w:ascii="宋体" w:hAnsi="宋体" w:eastAsia="宋体"/>
          <w:b w:val="0"/>
          <w:color w:val="000000"/>
          <w:sz w:val="24"/>
        </w:rPr>
        <w:t>在工程款支付审核中，应当特别注意防范以下风险：一是提前支付风险，建设单位在工程进度未达到支付节点时提前支付工程款，导致资金损失；二是超付风险，实际支付的工程款超过合同价或结算价，形成债权难以收回；三是套取资金风险，建设单位与施工单位串通，通过虚构工程量、虚报进度等方式套取工程款；四是大额现金支付风险，按照规定，超过一定金额的工程款应当通过银行转账支付，不得使用现金。这些风险一旦发生，将给国家造成重大经济损失，必须在审核中予以充分关注。</w:t>
      </w:r>
    </w:p>
    <w:p w14:paraId="44A5A2D7">
      <w:pPr>
        <w:spacing w:before="0" w:after="120" w:line="360" w:lineRule="auto"/>
        <w:ind w:firstLine="168"/>
        <w:jc w:val="both"/>
      </w:pPr>
      <w:r>
        <w:rPr>
          <w:rFonts w:ascii="宋体" w:hAnsi="宋体" w:eastAsia="宋体"/>
          <w:b w:val="0"/>
          <w:color w:val="000000"/>
          <w:sz w:val="24"/>
        </w:rPr>
        <w:t>竣工财务决算审核报告是审核工作的最终成果，其质量直接关系到审核工作的价值。审核报告应当真实、完整、清晰地反映审核情况，提出明确的审核意见。报告的主要内容应当包括：审核背景和基本情况、审核依据和审核范围、审核方法和审核程序、审核发现和存在问题、审核意见和管理建议等。审核报告应当做到观点明确、证据充分、论述清晰、建议可行。对于审核中发现的问题，应当实事求是地予以反映，不隐瞒、不夸大、不缩小。对于审核意见，应当有充分的证据支持，经得起历史检验。</w:t>
      </w:r>
    </w:p>
    <w:p w14:paraId="00B8A3F8">
      <w:pPr>
        <w:spacing w:before="0" w:after="120" w:line="360" w:lineRule="auto"/>
        <w:ind w:firstLine="168"/>
        <w:jc w:val="both"/>
      </w:pPr>
      <w:r>
        <w:rPr>
          <w:rFonts w:ascii="宋体" w:hAnsi="宋体" w:eastAsia="宋体"/>
          <w:b w:val="0"/>
          <w:color w:val="000000"/>
          <w:sz w:val="24"/>
        </w:rPr>
        <w:t>审计三级复核制度是本所质量控制的核心保障。一级复核由项目经理负责，在审核人员完成工作底稿后进行，复核内容主要包括：审核程序是否符合审计准则和执业规范的要求，包括是否按照审核方案确定的程序执行、是否取得充分适当的审核证据等；审核证据是否充分、适当，包括证据的相关性、可靠性和充分性是否满足要求等；审核发现的问题是否完整、准确地记录在工作底稿中，包括问题的描述、金额、影响等要素是否齐全；审核结论是否有充分的证据支持，结论的表述是否准确、恰当。二级复核由项目总监负责，在一级复核通过后进行，复核内容主要包括：一级复核意见是否得到落实，一级复核发现的问题是否得到修正；重大问题的判断是否准确，包括涉及金额较大、性质严重的问题是否得到恰当处理；审核结论是否合理，是否符合法律法规和会计准则的规定；报告初稿质量是否达到出具标准，包括报告内容是否完整、表述是否清晰等。</w:t>
      </w:r>
    </w:p>
    <w:p w14:paraId="7A9D2755">
      <w:pPr>
        <w:spacing w:before="0" w:after="120" w:line="360" w:lineRule="auto"/>
        <w:ind w:firstLine="168"/>
        <w:jc w:val="both"/>
      </w:pPr>
      <w:r>
        <w:rPr>
          <w:rFonts w:ascii="宋体" w:hAnsi="宋体" w:eastAsia="宋体"/>
          <w:b w:val="0"/>
          <w:color w:val="000000"/>
          <w:sz w:val="24"/>
        </w:rPr>
        <w:t>三级复核（技术委员会审议）适用于重大、复杂或高风险项目，在二级复核通过后进行。技术委员会由本所资深专家组成，负责对审核报告进行集体审议。技术委员会审议的重点包括：审核报告是否真实、完整地反映了审核情况，有无遗漏重要事项；审核意见是否有充分的证据支持，判断依据是否充分、逻辑是否严密；报告披露的信息是否适当、谨慎，有无过度披露或披露不足的问题；是否存在可能被遗漏的重大问题，审核范围是否足够充分；报告的整体质量是否达到本所的质量标准，有无需要改进的地方。技术委员会的审议意见须得到落实后方可出具正式报告。通过三级复核制度的严格执行，确保了审核报告的质量，防范了执业风险。</w:t>
      </w:r>
    </w:p>
    <w:p w14:paraId="5F43C42A">
      <w:pPr>
        <w:spacing w:before="0" w:after="120" w:line="360" w:lineRule="auto"/>
        <w:ind w:firstLine="168"/>
        <w:jc w:val="both"/>
      </w:pPr>
      <w:r>
        <w:rPr>
          <w:rFonts w:ascii="宋体" w:hAnsi="宋体" w:eastAsia="宋体"/>
          <w:b w:val="0"/>
          <w:color w:val="000000"/>
          <w:sz w:val="24"/>
        </w:rPr>
        <w:t>审计人员考核制度是本所人才管理和质量提升的重要机制。本所建立了科学的审计人员考核制度，从工作质量、工作效率、职业道德、客户评价等多个维度对审计人员进行综合考核。工作质量方面，主要考核项目完成数量和质量合格率、工作底稿的规范程度、审核报告的通过率等指标；工作效率方面，主要考核项目完成时效、人均产出等指标；职业道德方面，主要考核保密和廉洁从业情况、有无违规违纪行为等；客户评价方面，主要考核客户满意度、投诉率等指标。考核结果与薪酬待遇、职务晋升、培训机会等挂钩，形成正向激励机制。</w:t>
      </w:r>
    </w:p>
    <w:p w14:paraId="7ABBB74A">
      <w:pPr>
        <w:spacing w:before="0" w:after="120" w:line="360" w:lineRule="auto"/>
        <w:ind w:firstLine="168"/>
        <w:jc w:val="both"/>
      </w:pPr>
      <w:r>
        <w:rPr>
          <w:rFonts w:ascii="宋体" w:hAnsi="宋体" w:eastAsia="宋体"/>
          <w:b w:val="0"/>
          <w:color w:val="000000"/>
          <w:sz w:val="24"/>
        </w:rPr>
        <w:t>在考核实施上，实行年度综合考核与项目过程考核相结合的方式。年度综合考核在每年年末进行，全面评价员工一年来的工作表现，考核结果作为年度绩效奖金发放和职务晋升的重要依据。项目过程考核在每个项目完成后进行，评价员工在项目中的具体表现，考核结果与项目奖金分配挂钩。对于考核优秀的员工，给予表彰奖励，在晋升、培训等方面优先考虑，同时作为晋升职务、评聘职称的重要参考；对于考核不合格的员工，进行谈话提醒、限期改进，必要时调整工作岗位或解除劳动合同。通过科学的考核激励机制，充分调动员工的工作积极性和创造性。</w:t>
      </w:r>
    </w:p>
    <w:p w14:paraId="2CDDC01B">
      <w:pPr>
        <w:spacing w:before="0" w:after="120" w:line="360" w:lineRule="auto"/>
        <w:ind w:firstLine="168"/>
        <w:jc w:val="both"/>
      </w:pPr>
      <w:r>
        <w:rPr>
          <w:rFonts w:ascii="宋体" w:hAnsi="宋体" w:eastAsia="宋体"/>
          <w:b w:val="0"/>
          <w:color w:val="000000"/>
          <w:sz w:val="24"/>
        </w:rPr>
        <w:t>质量保证措施方面，本所采取以下具体做法：第一，严格执行三级复核制度。所有审核项目都必须经过项目经理、项目总监、技术委员会三级复核，确保审核质量。三级复核各有侧重、相互补充，形成了完整的质量控制链条。第二，实行质量与薪酬挂钩的激励机制。将质量考核结果作为绩效评定和晋升的重要依据，对于质量考核优秀的员工给予物质奖励和晋升机会，对于质量考核不合格的员工扣减绩效奖金甚至解除劳动合同。第三，建立质量问题责任追究机制。对于因质量问题给客户造成损失的，严格追究相关人员的责任，包括经济赔偿、行政处分等。第四，定期进行内部质量检查和质量评估。定期组织质量检查组对已完成项目进行抽查，及时发现和纠正质量问题，总结经验教训，持续改进质量控制措施。第五，积极听取客户意见。通过客户满意度调查、客户回访等方式，主动征询客户对服务质量的评价，作为质量改进的重要参考。</w:t>
      </w:r>
    </w:p>
    <w:p w14:paraId="28255969">
      <w:pPr>
        <w:spacing w:before="0" w:after="120" w:line="360" w:lineRule="auto"/>
        <w:ind w:firstLine="168"/>
        <w:jc w:val="both"/>
      </w:pPr>
      <w:r>
        <w:rPr>
          <w:rFonts w:ascii="宋体" w:hAnsi="宋体" w:eastAsia="宋体"/>
          <w:b w:val="0"/>
          <w:color w:val="000000"/>
          <w:sz w:val="24"/>
        </w:rPr>
        <w:t>进度保证措施方面，本所承诺单个项目自收到完整资料之日起30个工作日内完成，复杂项目45个工作日内完成，最长不超过60个工作日。如因本所原因导致项目进度延误的，将按照合同约定承担相应责任。为实现这一承诺，采取以下具体做法：第一，提前介入，尽早沟通。在项目竣工验收阶段即与建设单位建立联系，提前了解项目情况，做好审核准备，争取审核工作主动权。第二，合理分工，并行推进。对于能够并行开展的工作（如多个单体的成本审核），实行分组并行作业，提高工作效率。第三，节点控制，定期检查。按审核方案确定的节点定期检查工作进度，及时发现和处理进度偏差。第四，提前预警，及时协调。对于可能影响进度的因素（如资料不全、现场核实困难等），提前发出预警，及时与建设单位沟通协调解决。第五，资源保障，应急调配。如遇工作量超预期等特殊情况，及时增加人员投入，确保按时完成任务。第六，加急服务，全力配合。如客户需要加快进度，本所可以调配更多资源全力配合，确保按时完成任务。</w:t>
      </w:r>
    </w:p>
    <w:p w14:paraId="76A1FE22">
      <w:pPr>
        <w:spacing w:before="0" w:after="120" w:line="360" w:lineRule="auto"/>
        <w:ind w:firstLine="168"/>
        <w:jc w:val="both"/>
      </w:pPr>
      <w:r>
        <w:rPr>
          <w:rFonts w:ascii="宋体" w:hAnsi="宋体" w:eastAsia="宋体"/>
          <w:b w:val="0"/>
          <w:color w:val="000000"/>
          <w:sz w:val="24"/>
        </w:rPr>
        <w:t>审核工作底稿是审核过程的记录和审核证据的载体，是审核报告的重要支撑。根据《中国注册会计师审计准则》和《会计师事务所从事基本建设工程预算、结算、决算审核暂行办法》的规定，审核人员应当对审核计划的制定、审核程序的执行、审核证据的获取、审核结论的形成等情况进行记录，形成审核工作底稿。审核工作底稿的主要内容包括：审核项目基本情况、审核依据和审核范围、审核计划和审核程序的执行情况、获取的审核证据、审核发现和审核记录、审核结论等。审核工作底稿应当内容完整、记录清晰、索引连贯、相互印证，能够完整反映审核工作的全过程。审核工作底稿的所有权属于本所，未经本所同意，不得向任何第三方提供或泄露。</w:t>
      </w:r>
    </w:p>
    <w:p w14:paraId="661C64D9">
      <w:pPr>
        <w:spacing w:before="0" w:after="120" w:line="360" w:lineRule="auto"/>
        <w:ind w:firstLine="168"/>
        <w:jc w:val="both"/>
      </w:pPr>
      <w:r>
        <w:rPr>
          <w:rFonts w:ascii="宋体" w:hAnsi="宋体" w:eastAsia="宋体"/>
          <w:b w:val="0"/>
          <w:color w:val="000000"/>
          <w:sz w:val="24"/>
        </w:rPr>
        <w:t>审核工作底稿的复核是质量控制的重要环节。项目经理在审核人员提交工作底稿后，应当对一级的完整性和合规性进行全面复核，主要复核内容包括：工作底稿是否完整，包括程序指引表、业务核对表、分析性程序表等必要内容是否齐全；工作底稿是否规范，包括格式是否符合要求、填写是否清晰、签字是否完整等；工作底稿中的数据是否准确，包括金额的计算是否正确、汇总是否准确等；工作底稿中的结论是否有证据支持，包括引用依据是否充分、判断是否合理等。复核发现的问题应当及时反馈给审核人员限期修改完善。</w:t>
      </w:r>
    </w:p>
    <w:p w14:paraId="3FDE9FDB">
      <w:pPr>
        <w:spacing w:before="0" w:after="120" w:line="360" w:lineRule="auto"/>
        <w:ind w:firstLine="168"/>
        <w:jc w:val="both"/>
      </w:pPr>
      <w:r>
        <w:rPr>
          <w:rFonts w:ascii="宋体" w:hAnsi="宋体" w:eastAsia="宋体"/>
          <w:b w:val="0"/>
          <w:color w:val="000000"/>
          <w:sz w:val="24"/>
        </w:rPr>
        <w:t>与建设单位的沟通协调是审核工作的重要组成部分。在审核过程中，应当与建设单位相关人员保持密切沟通，主要沟通内容包括：审核计划和审核安排的通报，让建设单位了解审核工作的总体安排和时间要求；资料收集和补充的协调，请建设单位配合提供审核所需的资料，对资料不全的及时补充；审核发现的初步反馈，对审核中发现的重要问题，及时与建设单位进行沟通核实，听取建设单位的说明和申辩；审核报告征求意见，在正式出具审核报告前，将审核报告发送建设单位征求意见，充分听取建设单位的反馈意见。沟通应当形成书面记录，涉及重要事项的沟通应当取得建设单位的书面确认。</w:t>
      </w:r>
    </w:p>
    <w:p w14:paraId="6BE7E037">
      <w:pPr>
        <w:spacing w:before="0" w:after="120" w:line="360" w:lineRule="auto"/>
        <w:ind w:firstLine="168"/>
        <w:jc w:val="both"/>
      </w:pPr>
      <w:r>
        <w:rPr>
          <w:rFonts w:ascii="宋体" w:hAnsi="宋体" w:eastAsia="宋体"/>
          <w:b w:val="0"/>
          <w:color w:val="000000"/>
          <w:sz w:val="24"/>
        </w:rPr>
        <w:t>本所建立了完善的客户服务体系，为客户提供全方位的服务支持。在服务期内，客户可以通过电话、邮件、传真、现场等方式与本所联系，本所将在24小时内给予响应。对于客户提出的问题和咨询，本所将在3个工作日内给予书面答复。对于需要派人现场处理的事项，本所将根据客户要求及时安排人员到场。对于紧急事项，本所将启动应急服务机制，在最短时间内响应客户需求。本所还建立了客户投诉处理机制，对客户的投诉将在5个工作日内给出处理意见，对客户提出的改进建议将认真研究采纳。</w:t>
      </w:r>
    </w:p>
    <w:p w14:paraId="3052356E">
      <w:pPr>
        <w:spacing w:before="0" w:after="120" w:line="360" w:lineRule="auto"/>
        <w:ind w:firstLine="168"/>
        <w:jc w:val="both"/>
      </w:pPr>
      <w:r>
        <w:rPr>
          <w:rFonts w:ascii="宋体" w:hAnsi="宋体" w:eastAsia="宋体"/>
          <w:b w:val="0"/>
          <w:color w:val="000000"/>
          <w:sz w:val="24"/>
        </w:rPr>
        <w:t>本所的执业保险和赔偿能力是服务质量的重要保障。本所按照注册会计师法的规定购买了职业责任保险，保险金额足以覆盖可能的赔偿风险。如因本所审核人员的原因，给客户造成经济损失的，本所将依法承担相应的赔偿责任。本所还建立了赔偿准备金制度，从业务收入中提取一定比例的资金作为赔偿准备金，确保有足够的资金实力应对可能的赔偿需求。本所成立以来，未发生重大质量事故和赔偿纠纷，执业风险控制良好。</w:t>
      </w:r>
    </w:p>
    <w:p w14:paraId="6058753E">
      <w:pPr>
        <w:spacing w:before="0" w:after="120" w:line="360" w:lineRule="auto"/>
        <w:ind w:firstLine="168"/>
        <w:jc w:val="both"/>
      </w:pPr>
      <w:r>
        <w:rPr>
          <w:rFonts w:ascii="宋体" w:hAnsi="宋体" w:eastAsia="宋体"/>
          <w:b w:val="0"/>
          <w:color w:val="000000"/>
          <w:sz w:val="24"/>
        </w:rPr>
        <w:t>信息系统建设是本所核心竞争力的重要组成部分。本所建立了完善的项目管理信息系统，实现了对所有项目的全过程动态管理。项目管理系统的主要功能包括：项目立项和计划管理，实现项目立项、计划制定、进度跟踪的全过程管理；项目资源调度管理，实现人员、时间和资源的优化配置；项目文档管理，实现工作底稿、审核报告等文档的电子化管理；项目质量控制，实现审核工作的流程化管理和质量节点的自动提醒；项目风险管理，实现项目风险的识别、评估和预警。本所还建立了知识管理系统，将历年项目经验、专业知识、政策法规等分类整理，为审核人员提供便捷的知识检索服务。</w:t>
      </w:r>
    </w:p>
    <w:p w14:paraId="68E0D067">
      <w:pPr>
        <w:spacing w:before="0" w:after="120" w:line="360" w:lineRule="auto"/>
        <w:ind w:firstLine="168"/>
        <w:jc w:val="both"/>
      </w:pPr>
      <w:r>
        <w:rPr>
          <w:rFonts w:ascii="宋体" w:hAnsi="宋体" w:eastAsia="宋体"/>
          <w:b w:val="0"/>
          <w:color w:val="000000"/>
          <w:sz w:val="24"/>
        </w:rPr>
        <w:t>根据比选文件的要求，本项目的实施方案必须完整包含以下五个方面的内容：第一是工作重点、难点分析，即对阿坝州州本级建设项目竣工财务决算审核的重点领域和难点问题进行深入分析；第二是审计流程及进度安排，即制定完整的审计流程和各阶段工作内容、时间节点安排；第三是审计管理制度，即建立健全审计质量控制、进度管理、保密安全等制度；第四是审计机构设置和岗位职责，即明确组织架构、人员资质和职责分工；第五是审计服务质量保证措施，即制定切实可行的质量保障、进度保障、风险防控等措施。每个方面都必须有实质性内容，缺项将被扣分，有缺陷将扣部分分数。</w:t>
      </w:r>
    </w:p>
    <w:p w14:paraId="72FE7151">
      <w:pPr>
        <w:spacing w:before="0" w:after="120" w:line="360" w:lineRule="auto"/>
        <w:ind w:firstLine="168"/>
        <w:jc w:val="both"/>
      </w:pPr>
      <w:r>
        <w:rPr>
          <w:rFonts w:ascii="宋体" w:hAnsi="宋体" w:eastAsia="宋体"/>
          <w:b w:val="0"/>
          <w:color w:val="000000"/>
          <w:sz w:val="24"/>
        </w:rPr>
        <w:t>本所对实施方案的编写高度重视，组织资深专家团队进行精心撰写。实施方案的编写原则是：以法规为依据、以事实为基础、以专业为支撑、以实用为导向。实施方案的内容安排如下：第一章项目理解与总体思路，深入分析阿坝州概况、项目背景、需求特点、法规依据、审核目标、审核原则和方法体系；第二章工作重点与难点分析，详细阐述建设成本审核、建设内容合规性审核、票据合规性审核等核心内容，以及工程变更、待摊投资、高原民族地区特殊情况等难点问题；第三章审计流程与进度安排，明确三阶段流程、各阶段工作内容、时间节点安排和保障措施；第四章审计管理制度，建立完善的质量控制、进度管理、保密制度、档案管理、三级复核、考核制度等制度体系；第五章审计机构设置与岗位职责，明确三层级组织架构、各岗位职责和人员资质；第六章审计服务质量保证措施，制定全面的质量保障、进度保证、保密保证和风险防控措施。</w:t>
      </w:r>
    </w:p>
    <w:p w14:paraId="304F8CF8">
      <w:pPr>
        <w:spacing w:before="0" w:after="120" w:line="360" w:lineRule="auto"/>
        <w:ind w:firstLine="168"/>
        <w:jc w:val="both"/>
      </w:pPr>
      <w:r>
        <w:rPr>
          <w:rFonts w:ascii="宋体" w:hAnsi="宋体" w:eastAsia="宋体"/>
          <w:b w:val="0"/>
          <w:color w:val="000000"/>
          <w:sz w:val="24"/>
        </w:rPr>
        <w:t>实施方案的编写特点体现在以下几个方面：一是全面性，方案涵盖了比选文件要求的所有内容，无缺项、无漏项；二是针对性，方案紧密结合阿坝州的特殊情况（如高原气候、民族地区、对口援建、自然灾害等），提出了有针对性的审核方法和保障措施；三是专业性，方案充分运用了工程造价、财务审计、会计核算等多学科专业知识，体现了审核团队的专业功底；四是实用性，方案的各项措施都具有可操作性，能够切实指导审核工作的开展，确保审核质量。</w:t>
      </w:r>
    </w:p>
    <w:p w14:paraId="2EEA5A79">
      <w:pPr>
        <w:spacing w:before="0" w:after="120" w:line="360" w:lineRule="auto"/>
        <w:ind w:firstLine="168"/>
        <w:jc w:val="both"/>
      </w:pPr>
      <w:r>
        <w:rPr>
          <w:rFonts w:ascii="宋体" w:hAnsi="宋体" w:eastAsia="宋体"/>
          <w:b w:val="0"/>
          <w:color w:val="000000"/>
          <w:sz w:val="24"/>
        </w:rPr>
        <w:t>内部培训制度是本所专业能力建设的重要抓手。本所建立了完善的内部培训制度，包括：新员工入职培训，对新入职员工进行系统的执业规范、质量控制、保密纪律等方面的培训，确保新员工了解本所的执业标准和工作要求；专业技能培训，定期组织专业技能培训，包括最新政策法规解读、专业软件应用、新业务领域介绍等，提升员工的专业能力；案例分析培训，定期组织典型案例分析培训，总结经验教训，提高员工的实务操作能力；职业道德培训，定期组织职业道德培训，强化员工的职业道德意识，防范执业风险。培训形式包括集中授课、网络学习、现场研讨等多种方式，培训考核结果与员工晋升和薪酬挂钩。</w:t>
      </w:r>
    </w:p>
    <w:p w14:paraId="69E736F6">
      <w:pPr>
        <w:spacing w:before="0" w:after="120" w:line="360" w:lineRule="auto"/>
        <w:ind w:firstLine="168"/>
        <w:jc w:val="both"/>
      </w:pPr>
      <w:r>
        <w:rPr>
          <w:rFonts w:ascii="宋体" w:hAnsi="宋体" w:eastAsia="宋体"/>
          <w:b w:val="0"/>
          <w:color w:val="000000"/>
          <w:sz w:val="24"/>
        </w:rPr>
        <w:t>本所建立了完善的质量管理体系，通过了相关质量管理体系认证。质量管理体系的主要内容包括：质量方针和质量目标的制定，明确了本所的质量方针是"专业、客观、公正、诚信"，质量目标是"客户满意度达到95%以上，项目合格率100%"；质量管理组织架构的建立，设立了质量管理委员会作为质量管理的最高决策机构，质量管理部作为质量管理的日常执行机构；质量管理流程的规范，制定了覆盖业务承接、项目执行、质量复核、报告出具、档案管理等全过程的质量管理流程；质量管理制度的完善，制定了质量控制制度、质量检查制度、质量事故处理制度等一系列制度文件；质量持续改进机制的建立，通过定期的质量检查、客户反馈、质量分析等方式，持续改进质量管理体系。本所的质量管理体系运行良好，有效保障了审核服务质量。</w:t>
      </w:r>
    </w:p>
    <w:p w14:paraId="3C45DC0E">
      <w:pPr>
        <w:spacing w:before="0" w:after="120" w:line="360" w:lineRule="auto"/>
        <w:ind w:firstLine="168"/>
        <w:jc w:val="both"/>
      </w:pPr>
      <w:r>
        <w:rPr>
          <w:rFonts w:ascii="宋体" w:hAnsi="宋体" w:eastAsia="宋体"/>
          <w:b w:val="0"/>
          <w:color w:val="000000"/>
          <w:sz w:val="24"/>
        </w:rPr>
        <w:t>根据比选文件规定，本项目服务期限为1年。在服务期内，本所将严格按照合同约定和阿坝州财政局的要求，配备足够的专业人员，确保审核质量和进度。本所将建立与阿坝州财政局的定期沟通机制，每月报告审核工作进展，及时报告重大问题。本所承诺，在服务期内，如因审核服务质量问题给客户造成损失的，将依法承担相应的赔偿责任。本所还建立了应急服务机制，如遇紧急情况，可在最短时间内组织力量响应客户需求。</w:t>
      </w:r>
    </w:p>
    <w:p w14:paraId="4F1CB64B">
      <w:pPr>
        <w:spacing w:before="0" w:after="120" w:line="360" w:lineRule="auto"/>
        <w:ind w:firstLine="168"/>
        <w:jc w:val="both"/>
      </w:pPr>
      <w:r>
        <w:rPr>
          <w:rFonts w:ascii="宋体" w:hAnsi="宋体" w:eastAsia="宋体"/>
          <w:b w:val="0"/>
          <w:color w:val="000000"/>
          <w:sz w:val="24"/>
        </w:rPr>
        <w:t>本所的发展愿景是成为四川省乃至全国领先的专业服务机构。在发展战略上，坚持"专业化、规模化、信息化、国际化"的发展方向。专业化方面，深耕工程造价审计、财务审计、管理咨询等专业领域，打造专业品牌；规模化方面，通过内涵发展和外延扩张相结合，实现业务规模的持续增长；信息化方面，加大信息技术投入，推进数字化转型，提升服务效率；国际化方面，积极参与"一带一路"建设，拓展国际业务，提升国际竞争力。</w:t>
      </w:r>
    </w:p>
    <w:p w14:paraId="73580289">
      <w:pPr>
        <w:spacing w:before="0" w:after="120" w:line="360" w:lineRule="auto"/>
        <w:ind w:firstLine="168"/>
        <w:jc w:val="both"/>
      </w:pPr>
      <w:r>
        <w:rPr>
          <w:rFonts w:ascii="宋体" w:hAnsi="宋体" w:eastAsia="宋体"/>
          <w:b w:val="0"/>
          <w:color w:val="000000"/>
          <w:sz w:val="24"/>
        </w:rPr>
        <w:t>本所的企业文化是"诚信、专业、创新、共赢"。诚信是立业之本，要求全体员工坚守职业道德，诚实守信，客观公正执业；专业是发展之源，要求全体员工持续学习，精益求精，不断提升专业能力；创新是进步之魂，要求全体员工解放思想，勇于探索，不断创新服务模式和管理方式；共赢是合作之道，要求与客户、员工、合作伙伴共同成长，共享发展成果。本所通过企业文化建设，增强了团队的凝聚力和向心力，形成了积极向上的工作氛围。</w:t>
      </w:r>
    </w:p>
    <w:p w14:paraId="40A411B8">
      <w:pPr>
        <w:spacing w:before="0" w:after="120" w:line="360" w:lineRule="auto"/>
        <w:ind w:firstLine="168"/>
        <w:jc w:val="both"/>
      </w:pPr>
      <w:r>
        <w:rPr>
          <w:rFonts w:ascii="宋体" w:hAnsi="宋体" w:eastAsia="宋体"/>
          <w:b w:val="0"/>
          <w:color w:val="000000"/>
          <w:sz w:val="24"/>
        </w:rPr>
        <w:t>本所的社会责任履行情况良好。多年来，本所积极参与社会公益活动，每年安排专人赴贫困地区开展会计帮扶，为中小企业提供免费财务咨询。疫情期间，本所组织员工志愿服务社区，捐款捐物支持抗疫。本所还建立了困难员工帮扶机制，对生活困难的员工给予救助帮扶。本所深知，企业的成功离不开社会的支持，回馈社会是企业应尽的责任。本所将一如既往地履行社会责任，为社会和谐发展贡献力量。</w:t>
      </w:r>
    </w:p>
    <w:p w14:paraId="02A17551">
      <w:pPr>
        <w:spacing w:before="0" w:after="120" w:line="360" w:lineRule="auto"/>
        <w:ind w:firstLine="168"/>
        <w:jc w:val="both"/>
      </w:pPr>
      <w:r>
        <w:rPr>
          <w:rFonts w:ascii="宋体" w:hAnsi="宋体" w:eastAsia="宋体"/>
          <w:b w:val="0"/>
          <w:color w:val="000000"/>
          <w:sz w:val="24"/>
        </w:rPr>
        <w:t>展望未来，阿坝州面临着难得的发展机遇。随着"一带一路"倡议、长江经济带发展、新一轮西部大开发等重大战略的深入推进，阿坝州的区位优势将进一步凸显，发展潜力将进一步释放。同时，阿坝州也面临着生态环境保护、产业结构升级、民生改善等多重挑战。本所将充分发挥专业优势，积极参与阿坝州的建设发展，为阿坝州的经济社会发展贡献专业力量。</w:t>
      </w:r>
    </w:p>
    <w:p w14:paraId="0C6AC3EC">
      <w:pPr>
        <w:spacing w:before="0" w:after="120" w:line="360" w:lineRule="auto"/>
        <w:ind w:firstLine="168"/>
        <w:jc w:val="both"/>
      </w:pPr>
      <w:r>
        <w:rPr>
          <w:rFonts w:ascii="宋体" w:hAnsi="宋体" w:eastAsia="宋体"/>
          <w:b w:val="0"/>
          <w:color w:val="000000"/>
          <w:sz w:val="24"/>
        </w:rPr>
        <w:t>本所建立健全的内部治理结构，设立了股东会、董事会、监事会和管理层各司其职、相互制衡的治理机制。股东会是本所的最高权力机构，决定本所的重大事项；董事会负责本所的战略决策和经营管理；监事会负责监督本所的财务和经营活动；管理层负责本所的日常经营管理。本所还设立了专业技术委员会、风险控制委员会、薪酬与考核委员会等专门委员会，为重大决策提供专业支持。本所的内部治理结构完善，决策科学民主，监督有效到位，为本所的健康发展提供了坚实的制度保障。</w:t>
      </w:r>
    </w:p>
    <w:p w14:paraId="0C53306F">
      <w:pPr>
        <w:spacing w:before="0" w:after="120" w:line="360" w:lineRule="auto"/>
        <w:ind w:firstLine="168"/>
        <w:jc w:val="both"/>
      </w:pPr>
      <w:r>
        <w:rPr>
          <w:rFonts w:ascii="宋体" w:hAnsi="宋体" w:eastAsia="宋体"/>
          <w:b w:val="0"/>
          <w:color w:val="000000"/>
          <w:sz w:val="24"/>
        </w:rPr>
        <w:t>本所建立了完善的风险管理体系，对业务风险进行全过程、全方位的管控。业务承接阶段的风险评估是风险管理的第一道防线，对客户的基本情况、诚信状况、业务风险等进行评估，决定是否承接业务。项目执行阶段的风险控制是风险管理的核心，通过严格的三级复核制度，确保项目质量。报告出具阶段的风险审核是风险管理的最后一道关口，对报告内容进行最终审核，确保报告质量。本所还建立了风险事件报告制度，对发生的风险事件及时报告、及时处理，防止风险扩大化。</w:t>
      </w:r>
    </w:p>
    <w:p w14:paraId="417A0157">
      <w:pPr>
        <w:spacing w:before="0" w:after="120" w:line="360" w:lineRule="auto"/>
        <w:ind w:firstLine="168"/>
        <w:jc w:val="both"/>
      </w:pPr>
      <w:r>
        <w:rPr>
          <w:rFonts w:ascii="宋体" w:hAnsi="宋体" w:eastAsia="宋体"/>
          <w:b w:val="0"/>
          <w:color w:val="000000"/>
          <w:sz w:val="24"/>
        </w:rPr>
        <w:t>本所建立了完善的党建工作和思想政治工作制度。本所党支部充分发挥战斗堡垒作用，带领全体员工认真学习贯彻党的路线方针政策，增强"四个意识"、坚定"四个自信"、做到"两个维护"。本所将党建工作与业务工作深度融合，以党建促业务、以业务强党建。本所党员在各项工作中发挥先锋模范作用，成为业务骨干和道德楷模。本所还建立了廉洁从业制度，坚决抵制商业贿赂和不正之风，树立了良好的行业形象。</w:t>
      </w:r>
    </w:p>
    <w:p w14:paraId="2BF19214">
      <w:pPr>
        <w:spacing w:before="0" w:after="120" w:line="360" w:lineRule="auto"/>
        <w:ind w:firstLine="168"/>
        <w:jc w:val="both"/>
      </w:pPr>
      <w:r>
        <w:rPr>
          <w:rFonts w:ascii="宋体" w:hAnsi="宋体" w:eastAsia="宋体"/>
          <w:b w:val="0"/>
          <w:color w:val="000000"/>
          <w:sz w:val="24"/>
        </w:rPr>
        <w:t>本所的信息化建设走在行业前列。本所建立了覆盖全业务、全流程的信息管理系统，实现了业务承接、项目管理、质量控制、档案管理等全过程的信息化管理。本所配备了先进的网络基础设施，信息安全等级保护达到规定要求。本所还积极运用大数据、人工智能等新技术，提升服务效率和质量的智能化水平。本所的网站和微信公众号为客户提供便捷的在线咨询和服务预约渠道。</w:t>
      </w:r>
    </w:p>
    <w:p w14:paraId="1C7B0218">
      <w:pPr>
        <w:spacing w:before="0" w:after="120" w:line="360" w:lineRule="auto"/>
        <w:ind w:firstLine="168"/>
        <w:jc w:val="both"/>
      </w:pPr>
      <w:r>
        <w:rPr>
          <w:rFonts w:ascii="宋体" w:hAnsi="宋体" w:eastAsia="宋体"/>
          <w:b w:val="0"/>
          <w:color w:val="000000"/>
          <w:sz w:val="24"/>
        </w:rPr>
        <w:t>本所的人才发展战略是"引进、培养、使用、激励"四位一体的人才工作机制。引进方面，通过校园招聘、社会招聘、高端人才猎头等方式，吸引优秀人才加入本所；培养方面，建立完善的新员工培训、专业技能培训、管理能力培训体系；使用方面，坚持德才兼备、以德为先的用人标准，为员工提供施展才华的舞台；激励方面，建立科学的薪酬体系和晋升机制，充分调动员工的积极性和创造性。本所的人才发展战略为企业发展提供了强有力的人才支撑。</w:t>
      </w:r>
    </w:p>
    <w:p w14:paraId="205B70A6">
      <w:pPr>
        <w:spacing w:before="0" w:after="120" w:line="360" w:lineRule="auto"/>
        <w:ind w:firstLine="168"/>
        <w:jc w:val="both"/>
      </w:pPr>
      <w:r>
        <w:rPr>
          <w:rFonts w:ascii="宋体" w:hAnsi="宋体" w:eastAsia="宋体"/>
          <w:b w:val="0"/>
          <w:color w:val="000000"/>
          <w:sz w:val="24"/>
        </w:rPr>
        <w:t>阿坝州的市政基础设施建设近年来取得了显著成就，城镇化率不断提升，城镇功能日趋完善。市政基础设施项目类型多样，包括城镇道路工程（主干道、次干道、支路、背街小巷整治等）、桥梁隧道工程（城市立交桥、人行天桥、隧道等）、排水防涝工程（雨水管网、污水管网、调蓄设施、排涝泵站等）、污水处理工程（污水处理厂、污水管网、污泥处理处置等）、垃圾处理工程（垃圾填埋场、垃圾焚烧厂、垃圾中转站等）、路灯照明工程（路灯、景观灯亮化工程等）、园林绿化工程（城市公园、道路绿化、街头绿地等）、公共停车场工程（地下停车场、立体停车楼等）等多个领域。这些项目投资规模从数百万元到数亿元不等，资金来源涉及中央预算内投资、省级财政补助、地方专项债券、银行贷款等多种渠道。</w:t>
      </w:r>
    </w:p>
    <w:p w14:paraId="351FE419">
      <w:pPr>
        <w:spacing w:before="0" w:after="120" w:line="360" w:lineRule="auto"/>
        <w:ind w:firstLine="168"/>
        <w:jc w:val="both"/>
      </w:pPr>
      <w:r>
        <w:rPr>
          <w:rFonts w:ascii="宋体" w:hAnsi="宋体" w:eastAsia="宋体"/>
          <w:b w:val="0"/>
          <w:color w:val="000000"/>
          <w:sz w:val="24"/>
        </w:rPr>
        <w:t>公共服务设施建设是阿坝州民生改善的重要内容。项目类型包括教育设施（中小学校、幼儿园、职业学校、校舍维修改造等）、医疗卫生设施（医院、乡镇卫生院、村卫生室、疾控中心等）、文化体育设施（文化馆、图书馆、体育场、体育馆、全民健身中心等）、社会保障设施（养老院、儿童福利院、社区服务中心等）等。这些项目多属于公益性项目，经济效益较低但社会效益显著，资金来源主要依靠财政资金和上级补助。项目点多面广，覆盖全州12个县，工作量较大。</w:t>
      </w:r>
    </w:p>
    <w:p w14:paraId="109B9B97">
      <w:pPr>
        <w:spacing w:before="0" w:after="120" w:line="360" w:lineRule="auto"/>
        <w:ind w:firstLine="168"/>
        <w:jc w:val="both"/>
      </w:pPr>
      <w:r>
        <w:rPr>
          <w:rFonts w:ascii="宋体" w:hAnsi="宋体" w:eastAsia="宋体"/>
          <w:b w:val="0"/>
          <w:color w:val="000000"/>
          <w:sz w:val="24"/>
        </w:rPr>
        <w:t>交通水利工程是阿坝州基础设施建设的重点领域。交通工程包括农村公路建设（县乡道改造、通村公路、产业路、旅游路等）、桥梁工程（危桥改造、农桥新建等）、安保工程（生命防护栏、标志标牌等）。水利工程包括病险水库除险加固（小型水库大坝加固、闸门更新等）、灌溉设施（干渠、支渠、农渠系配套建筑物等）、人饮安全工程（集中供水工程、分散供水工程、水质净化设施等）、中小河流治理（堤防工程、护岸工程、清淤疏浚等）。这些项目多处于偏远山区，交通条件差，施工难度大，竣工财务决算审核时赴现场核实存在一定困难。</w:t>
      </w:r>
    </w:p>
    <w:p w14:paraId="2C5E1F5C">
      <w:pPr>
        <w:spacing w:before="0" w:after="120" w:line="360" w:lineRule="auto"/>
        <w:ind w:firstLine="168"/>
        <w:jc w:val="both"/>
      </w:pPr>
      <w:r>
        <w:rPr>
          <w:rFonts w:ascii="宋体" w:hAnsi="宋体" w:eastAsia="宋体"/>
          <w:b w:val="0"/>
          <w:color w:val="000000"/>
          <w:sz w:val="24"/>
        </w:rPr>
        <w:t>生态保护工程是阿坝州践行"绿水青山就是金山银山"理念的重要举措。项目类型包括草原生态修复工程（草原治理、草原鼠虫害防治、草原灌溉设施等）、湿地保护与修复工程（湿地保护、湿地恢复、湿地监测等）、水土保持工程（坡耕地治理、侵蚀沟治理、小流域综合治理等）、地质灾害治理工程（滑坡治理、泥石流治理、崩塌治理等）、矿山环境恢复治理工程等。这些项目涉及生态保护红线区和各类自然保护区，项目建设和管理有特殊规定，审核时需要关注合规性要求。</w:t>
      </w:r>
    </w:p>
    <w:p w14:paraId="33C87925">
      <w:pPr>
        <w:spacing w:before="0" w:after="120" w:line="360" w:lineRule="auto"/>
        <w:ind w:firstLine="168"/>
        <w:jc w:val="both"/>
      </w:pPr>
      <w:r>
        <w:rPr>
          <w:rFonts w:ascii="宋体" w:hAnsi="宋体" w:eastAsia="宋体"/>
          <w:b w:val="0"/>
          <w:color w:val="000000"/>
          <w:sz w:val="24"/>
        </w:rPr>
        <w:t>高原气候对工程项目的影响是多方面的。首先，高原地区气压低、氧气稀薄，对人工和机械效率均有显著影响。一般而言，在海拔3000-3500米地区，人工效率约为平原地区的80%-85%，机械设备效率约为平原地区的75%-80%；在海拔3500-4000米地区，人工效率约为平原地区的70%-75%，机械设备效率约为平原地区的65%-70%。这些效率损失应当在工程概预算中予以考虑，在竣工财务决算审核时应当予以核实。其次，高原地区昼夜温差大，冻融循环频繁，对建筑物和构筑物的耐久性有不利影响，在防水、防裂等方面需要采取特殊措施，相应增加工程成本。第三，高原地区冬季漫长，每年11月至次年3月基本无法正常施工，施工工期相应延长，施工单位需要计取冬季施工增加费。第四，高原地区地质条件复杂，地震、滑坡、泥石流等地质灾害频发，对工程建设构成较大威胁。</w:t>
      </w:r>
    </w:p>
    <w:p w14:paraId="4CFFBBAD">
      <w:pPr>
        <w:spacing w:before="0" w:after="120" w:line="360" w:lineRule="auto"/>
        <w:ind w:firstLine="168"/>
        <w:jc w:val="both"/>
      </w:pPr>
      <w:r>
        <w:rPr>
          <w:rFonts w:ascii="宋体" w:hAnsi="宋体" w:eastAsia="宋体"/>
          <w:b w:val="0"/>
          <w:color w:val="000000"/>
          <w:sz w:val="24"/>
        </w:rPr>
        <w:t>工程结算审核是竣工财务决算审核的核心环节，也是最容易出现问题的环节。工程结算审核的主要内容包括：工程量审核，核实实际完成的工程量与结算申报的工程量是否一致，重点关注是否存在多报、虚报工程量的问题，对于市政道路、排水管网等线性工程，应当按照设计图纸进行实测核实，对于房屋建筑等块状工程，应当按照竣工图纸计算工程量并与实际进行比对；综合单价审核，核实结算申报的综合单价与合同约定单价是否一致，对于变更工程量部分，应当核实变更单价的确定是否有依据，定额套用或清单计价是否正确；取费审核，核实各项费用的计取是否符合合同约定和规定标准，包括间接费、利润、税金等，特别关注费率是否正确、计费基数是否准确；对于材料价差调整，应当核实调整的材料范围、调整方法是否符合合同约定；对于人工费价差调整，应当核实调整的人工数量和价差标准是否符合规定。</w:t>
      </w:r>
    </w:p>
    <w:p w14:paraId="594CF2D8">
      <w:pPr>
        <w:spacing w:before="0" w:after="120" w:line="360" w:lineRule="auto"/>
        <w:ind w:firstLine="168"/>
        <w:jc w:val="both"/>
      </w:pPr>
      <w:r>
        <w:rPr>
          <w:rFonts w:ascii="宋体" w:hAnsi="宋体" w:eastAsia="宋体"/>
          <w:b w:val="0"/>
          <w:color w:val="000000"/>
          <w:sz w:val="24"/>
        </w:rPr>
        <w:t>合同管理审核是竣工财务决算审核的重要内容。合同管理审核的主要内容包括：合同签订的合规性审核，核查合同签订程序是否符合《招标投标法》和《合同法》的规定，合同内容是否与招标文件、投标文件一致，合同价款约定是否明确合理；合同执行的严肃性审核，核查合同条款是否得到全面履行，是否存在擅自变更合同内容的问题；合同变更的合规性审核，核查合同变更是否经过双方协商一致，变更手续是否齐全，变更价款的确定是否有依据；合同价款的结算审核，核查合同价款的结算是否符合合同约定，是否存在超付或欠付问题；合同争议的处理审核，核查合同履行过程中产生的争议是否得到妥善处理，是否存在久拖不决的问题。合同管理审核应当以合同文本、补充协议、变更签证、会议纪要等相关资料为依据，进行全面系统的审核。</w:t>
      </w:r>
    </w:p>
    <w:p w14:paraId="76C0A62D">
      <w:pPr>
        <w:spacing w:before="0" w:after="120" w:line="360" w:lineRule="auto"/>
        <w:ind w:firstLine="168"/>
        <w:jc w:val="both"/>
      </w:pPr>
      <w:r>
        <w:rPr>
          <w:rFonts w:ascii="宋体" w:hAnsi="宋体" w:eastAsia="宋体"/>
          <w:b w:val="0"/>
          <w:color w:val="000000"/>
          <w:sz w:val="24"/>
        </w:rPr>
        <w:t>工程索赔审核是竣工财务决算审核的难点问题。工程索赔审核的主要内容包括：索赔依据的审核，核查索赔事件是否符合合同约定的索赔条件，索赔证据是否充分有效；索赔程序的审核，核查索赔是否按照合同约定的程序提出，是否在规定的时限内提出；索赔金额的审核，核查索赔金额的计算是否有依据，计算方法是否正确，对于费用索赔，应当核实费用的真实性、合理性和关联性，对于工期索赔，应当核实延误的时间和相关证据；索赔与反索赔的审核，在审核承包商提出的索赔同时，也应当关注建设单位提出的反索赔，核实反索赔的依据是否充分。工程索赔审核中，对于事实清楚、证据充分、金额确定的索赔，应当据实认定；对于事实不清、证据不足、金额有争议的索赔，应当多方核实、审慎判断。</w:t>
      </w:r>
    </w:p>
    <w:p w14:paraId="527C75C9">
      <w:pPr>
        <w:spacing w:before="0" w:after="120" w:line="360" w:lineRule="auto"/>
        <w:ind w:firstLine="168"/>
        <w:jc w:val="both"/>
      </w:pPr>
      <w:r>
        <w:rPr>
          <w:rFonts w:ascii="宋体" w:hAnsi="宋体" w:eastAsia="宋体"/>
          <w:b w:val="0"/>
          <w:color w:val="000000"/>
          <w:sz w:val="24"/>
        </w:rPr>
        <w:t>竣工验收审核是竣工财务决算的前置程序。竣工验收审核的主要内容包括：竣工验收程序的合规性审核，核查项目是否按规定程序进行竣工验收，是否取得竣工验收备案证或竣工验收报告；竣工验收内容的完整性审核，核查竣工验收是否涵盖了设计文件规定的所有建设内容，是否存在未完成的建设内容；竣工验收标准的符合性审核，核查竣工验收是否达到设计要求和国家标准，是否存在质量缺陷；竣工验收时间的及时性审核，核查项目是否在规定时间内完成竣工验收，是否存在久拖不验的问题；竣工验收与竣工财务决算的衔接审核，核查竣工验收时间与竣工财务决算编制时间是否衔接，有无先编制决算后验收的问题。竣工验收是项目建设的重要节点，是竣工财务决算的前提条件，必须予以充分重视。</w:t>
      </w:r>
    </w:p>
    <w:p w14:paraId="2DBE117F">
      <w:pPr>
        <w:spacing w:before="0" w:after="120" w:line="360" w:lineRule="auto"/>
        <w:ind w:firstLine="168"/>
        <w:jc w:val="both"/>
      </w:pPr>
      <w:r>
        <w:rPr>
          <w:rFonts w:ascii="宋体" w:hAnsi="宋体" w:eastAsia="宋体"/>
          <w:b w:val="0"/>
          <w:color w:val="000000"/>
          <w:sz w:val="24"/>
        </w:rPr>
        <w:t>基本建设财务管理制度的建立健全是竣工财务决算审核的重要内容。基建财务管理制度审核的主要内容包括：制度建设情况，核查建设单位是否建立健全了基本建设财务管理制度，包括建设资金管理制度、工程价款结算制度、竣工财务决算制度等；制度执行情况，核查建设单位是否严格按照制度规定执行，是否存在制度形同虚设的问题；财务管理架构，核查建设单位是否设置了专门的财务管理部门或岗位，财务人员是否具备相应的专业能力；会计核算情况，核查建设单位是否按照《政府会计准则》和基本建设财务制度的规定进行会计核算，账务处理是否规范；档案管理情况，核查建设单位是否建立健全了基建档案管理制度，基建档案是否完整归档、妥善保管。</w:t>
      </w:r>
    </w:p>
    <w:p w14:paraId="4FD122E8">
      <w:pPr>
        <w:spacing w:before="0" w:after="120" w:line="360" w:lineRule="auto"/>
        <w:ind w:firstLine="168"/>
        <w:jc w:val="both"/>
      </w:pPr>
      <w:r>
        <w:rPr>
          <w:rFonts w:ascii="宋体" w:hAnsi="宋体" w:eastAsia="宋体"/>
          <w:b w:val="0"/>
          <w:color w:val="000000"/>
          <w:sz w:val="24"/>
        </w:rPr>
        <w:t>竣工财务决算与项目审计的关系是一个需要明确的重要问题。竣工财务决算是建设单位按照财务制度规定，对项目建设全程的财务收支情况进行清算核算，形成反映项目建设投资规模、建设费用和资产状况的总结性文件。竣工财务决算审核是工程造价审核机构受建设单位委托，对竣工财务决算报告的真实性、准确性、完整性进行审核确认，出具审核报告的行为。项目审计则是审计机关依法对项目建设全过程进行的监督检查，包括投资审计、绩效审计、经济责任审计等多种类型。竣工财务决算审核与项目审计既有联系又有区别：两者的审核对象都是项目建设，审核内容都涉及建设资金的使用和管理；但两者的性质不同，竣工财务决算审核是中介机构受托开展的专业服务，项目审计是审计机关依法行使的监督职能；两者的目的也不同，竣工财务决算审核主要是确认决算报告的准确性，项目审计主要是评价项目建设的合法合规性和效益性。在实际工作中，竣工财务决算审核报告往往作为项目审计的重要参考依据，两者相互配合、相互印证。</w:t>
      </w:r>
    </w:p>
    <w:p w14:paraId="628861B4">
      <w:pPr>
        <w:spacing w:before="0" w:after="120" w:line="360" w:lineRule="auto"/>
        <w:ind w:firstLine="168"/>
        <w:jc w:val="both"/>
      </w:pPr>
      <w:r>
        <w:rPr>
          <w:rFonts w:ascii="宋体" w:hAnsi="宋体" w:eastAsia="宋体"/>
          <w:b w:val="0"/>
          <w:color w:val="000000"/>
          <w:sz w:val="24"/>
        </w:rPr>
        <w:t>工程投资的构成分析是竣工财务决算审核的重要方法。通过对项目投资构成的分析，可以识别审核的重点领域和异常情况。工程投资的构成通常包括：建筑工程费，指各类建筑物及其附属设施的建造费用，包括土建工程、装饰工程、安装工程等；安装工程费，指生产、动力、起重、运输、传动和医疗、实验等设备的安装费用，包括设备安装费、设备拆除费、设备调试费等；设备及工器具购置费，指用于购买设备、工器具的费用，包括设备原价、设备运杂费、设备采购保管费等；工程建设其他费用，指在项目建设期间发生的，不属于建筑安装工程费和设备工器具购置费范围的各项费用，包括建设单位管理费、用地费、可行性研究费、环境影响评价费、勘察设计费、招标代理费、监理费等；预备费，指在项目实施过程中可能发生的设计变更及其他不可预见因素所增加的费用，包括基本预备费和价差预备费。审核时，应当重点关注各项费用的占比是否合理，与同类项目相比是否存在异常。</w:t>
      </w:r>
    </w:p>
    <w:p w14:paraId="247B737F">
      <w:pPr>
        <w:spacing w:before="0" w:after="120" w:line="360" w:lineRule="auto"/>
        <w:ind w:firstLine="168"/>
        <w:jc w:val="both"/>
      </w:pPr>
      <w:r>
        <w:rPr>
          <w:rFonts w:ascii="宋体" w:hAnsi="宋体" w:eastAsia="宋体"/>
          <w:b w:val="0"/>
          <w:color w:val="000000"/>
          <w:sz w:val="24"/>
        </w:rPr>
        <w:t>资产的形成与移交是竣工财务决算审核的重要内容。项目建设形成的资产包括固定资产、无形资产和流动资产等。资产形成审核的主要内容包括：资产形成的真实性审核，核查各项资产是否真实形成，是否存在虚构资产的问题；资产形成的完整性审核，核查项目建设形成的全部资产是否都已纳入竣工财务决算，是否存在账外资产；资产计价的准确性审核，核查各项资产的计价是否正确，是否符合财务制度的规定，固定资产的折旧计算是否准确；资产分类的准确性审核，核查各项资产是否按照财务制度的规定进行分类，固定资产与低值易耗品的划分是否正确；资产移交的完整性审核，核查竣工财务决算编制的资产移交清单是否完整，资产账实是否相符。资产移交审核还应当关注资产的权属问题，确保形成的资产权属清晰、不存在争议。</w:t>
      </w:r>
    </w:p>
    <w:p w14:paraId="4618228B">
      <w:pPr>
        <w:spacing w:before="0" w:after="120" w:line="360" w:lineRule="auto"/>
        <w:ind w:firstLine="168"/>
        <w:jc w:val="both"/>
      </w:pPr>
      <w:r>
        <w:rPr>
          <w:rFonts w:ascii="宋体" w:hAnsi="宋体" w:eastAsia="宋体"/>
          <w:b w:val="0"/>
          <w:color w:val="000000"/>
          <w:sz w:val="24"/>
        </w:rPr>
        <w:t>建设资金的来源与使用审核是竣工财务决算审核的核心内容。资金来源审核的主要内容包括：资金来源的合规性审核，核查各项资金来源是否符合规定，包括中央预算内投资是否经批准、省级配套资金是否落实、地方自筹资金是否到位、债券资金是否合规等；资金到位情况的审核，核查各项资金是否按计划到位，是否存在资金缺口影响项目实施的问题；资金来源结构的分析，分析各项资金来源的占比是否合理，与项目投资构成是否匹配。资金使用审核的主要内容包括：资金使用的合规性审核，核查建设资金是否严格按照批准的投资计划使用，有无挪用、串用建设资金的问题；资金使用的效益性审核，分析建设资金的使用是否产生预期的效益，是否存在铺张浪费的问题；资金使用的进度审核，分析建设资金的使用进度是否与工程进度相匹配，是否存在资金沉淀或短缺问题；资金平衡分析，计算项目资金来源与资金使用的平衡情况，分析结余或超支的原因。</w:t>
      </w:r>
    </w:p>
    <w:p w14:paraId="44B130E6">
      <w:pPr>
        <w:spacing w:before="0" w:after="120" w:line="360" w:lineRule="auto"/>
        <w:ind w:firstLine="168"/>
        <w:jc w:val="both"/>
      </w:pPr>
      <w:r>
        <w:rPr>
          <w:rFonts w:ascii="宋体" w:hAnsi="宋体" w:eastAsia="宋体"/>
          <w:b w:val="0"/>
          <w:color w:val="000000"/>
          <w:sz w:val="24"/>
        </w:rPr>
        <w:t>内部控制制度的建立与执行审核是竣工财务决算审核的重要方面。内部控制制度审核的主要内容包括：控制环境审核，核查建设单位是否建立了良好的控制环境，包括管理层的诚信度和道德观、组织架构的合理性、权责分配的明确性等；风险评估审核，核查建设单位是否建立了风险评估机制，是否对项目建设过程中的各类风险进行识别和评估；控制活动审核，核查建设单位是否建立了各项控制活动，包括授权审批控制、不相容职务分离控制、凭证记录控制、资产安全控制等；信息与沟通审核，核查建设单位是否建立了畅通的信息传递渠道，内部信息是否及时准确传递；内部监督审核，核查建设单位是否建立了内部监督机制，是否对内部控制的有效性进行定期评估。内部控制制度的审核应当重点关注关键控制点的设置和执行情况，对于发现的控制缺陷，应当分析其影响并在审核报告中予以反映。</w:t>
      </w:r>
    </w:p>
    <w:p w14:paraId="69AB3CF1">
      <w:pPr>
        <w:spacing w:before="0" w:after="120" w:line="360" w:lineRule="auto"/>
        <w:ind w:firstLine="168"/>
        <w:jc w:val="both"/>
      </w:pPr>
      <w:r>
        <w:rPr>
          <w:rFonts w:ascii="宋体" w:hAnsi="宋体" w:eastAsia="宋体"/>
          <w:b w:val="0"/>
          <w:color w:val="000000"/>
          <w:sz w:val="24"/>
        </w:rPr>
        <w:t>竣工财务决算的编制是项目建设管理的最终环节，也是全面反映项目建设成果的重要文件。根据《基本建设财务规则》和《基本建设项目竣工财务决算管理暂行办法》的规定，建设单位应当在项目竣工后及时编制竣工财务决算。竣工财务决算的编制依据包括：经批准的可行性研究报告、初步设计概算及调整概算文件；经批准的施工图预算及施工合同；项目竣工验收报告和竣工验收鉴定书；招投标文件和施工图设计文件、中标通知书等；历年基本建设计划和投资计划；会计核算资料包括会计凭证、会计账簿、财务报告等；工程结算和竣工图纸等工程资料；其他与项目建设相关的资料。竣工财务决算的主要内容包括：项目竣工财务决算报表，包括项目概况表、财务决算表、交付使用资产总表、交付使用资产明细表等；项目建设账务资料，包括会计账簿、会计凭证等；项目竣工验收报告；其他相关资料。竣工财务决算的编制应当做到数字准确、内容完整、报送及时。</w:t>
      </w:r>
    </w:p>
    <w:p w14:paraId="2A0BB8CC">
      <w:pPr>
        <w:spacing w:before="0" w:after="120" w:line="360" w:lineRule="auto"/>
        <w:ind w:firstLine="168"/>
        <w:jc w:val="both"/>
      </w:pPr>
      <w:r>
        <w:rPr>
          <w:rFonts w:ascii="宋体" w:hAnsi="宋体" w:eastAsia="宋体"/>
          <w:b w:val="0"/>
          <w:color w:val="000000"/>
          <w:sz w:val="24"/>
        </w:rPr>
        <w:t>竣工财务决算审核的方法与程序应当严格按照《中国注册会计师审计准则》和《会计师事务所从事基本建设工程预算、结算、决算审核暂行办法》的规定执行。审核的基本程序包括：业务承接与计划制定阶段，与委托方签订业务约定书，明确审核范围、目的、责任等，了解项目基本情况，制定审核计划和审核方案；风险评估与了解被审核单位阶段，通过询问、观察、检查等方法了解被审核单位的基本情况、项目概况、内控制度等，评估重大错报风险；实质性测试阶段，对项目建设成本、建设内容、票据合规性、债权债务等进行全面审核，获取充分适当的审核证据；审核报告阶段，在完成全部审核程序后，根据审核结果出具审核报告。审核报告应当说明审核依据、审核范围、审核程序、审核发现、审核意见等内容。审核报告分为保留意见、无保留意见、否定意见、无法表示意见等类型，应当根据审核结果合理确定。</w:t>
      </w:r>
    </w:p>
    <w:p w14:paraId="13DC1B47">
      <w:pPr>
        <w:spacing w:before="0" w:after="120" w:line="360" w:lineRule="auto"/>
        <w:ind w:firstLine="168"/>
        <w:jc w:val="both"/>
      </w:pPr>
      <w:r>
        <w:rPr>
          <w:rFonts w:ascii="宋体" w:hAnsi="宋体" w:eastAsia="宋体"/>
          <w:b w:val="0"/>
          <w:color w:val="000000"/>
          <w:sz w:val="24"/>
        </w:rPr>
        <w:t>工程造价的审核是竣工财务决算审核的核心内容。工程造价审核的主要依据包括：经批准的设计文件、概算文件、预算文件；经审核的施工图和竣工图；经批准的招投标文件、中标通知书、施工合同、补充协议；经审核的工程变更、签证及相关资料；国家或行业颁布的工程定额、取费标准；材料价格信息及市场价格资料；工程计量规范和计算规则等。工程造价审核的主要内容包括：工程量核算，核实实际完成的工程量与结算申报的工程量是否一致，对于存在差异的部分，应当查明原因；单价审核，核实结算申报的综合单价与合同约定单价是否一致，定额套用是否正确，换算是否准确；费用审核，核实各项费用的计取是否符合合同约定和规定标准；变更审核，对设计变更、施工变更进行审核，确认变更价款的合理性；索赔审核，对施工单位的索赔进行审核，确认索赔依据的充分性和金额的合理性。工程造价审核应当做到方法科学、依据充分、计算准确、结论可靠。</w:t>
      </w:r>
    </w:p>
    <w:p w14:paraId="035EA677">
      <w:pPr>
        <w:spacing w:before="0" w:after="120" w:line="360" w:lineRule="auto"/>
        <w:ind w:firstLine="168"/>
        <w:jc w:val="both"/>
      </w:pPr>
      <w:r>
        <w:rPr>
          <w:rFonts w:ascii="宋体" w:hAnsi="宋体" w:eastAsia="宋体"/>
          <w:b w:val="0"/>
          <w:color w:val="000000"/>
          <w:sz w:val="24"/>
        </w:rPr>
        <w:t>在阿坝州开展竣工财务决算审核工作，需要充分考虑当地的特殊情况。首先是高原气候对施工成本的影响。高原地区海拔高、气压低、氧气稀薄，对人工和机械效率均有显著影响。根据《四川省建设工程工程量清单计价定额》的规定，在海拔3000米以上地区施工，可计取高原施工增加费。高原施工增加费的计取应当有充分的依据，包括施工人员的高原施工天数统计、相应费率的确定等。审核时应当核查高原施工增加费计算的准确性，防止虚报高原施工天数套取资金。同时，冬季施工费用的计取也是阿坝州项目的审核重点，审核时应当关注冬季施工许可证的取得情况、冬季施工方案的合理性、保温措施费用清单的完整性等。</w:t>
      </w:r>
    </w:p>
    <w:p w14:paraId="1F34D4AF">
      <w:pPr>
        <w:spacing w:before="0" w:after="120" w:line="360" w:lineRule="auto"/>
        <w:ind w:firstLine="168"/>
        <w:jc w:val="both"/>
      </w:pPr>
      <w:r>
        <w:rPr>
          <w:rFonts w:ascii="宋体" w:hAnsi="宋体" w:eastAsia="宋体"/>
          <w:b w:val="0"/>
          <w:color w:val="000000"/>
          <w:sz w:val="24"/>
        </w:rPr>
        <w:t>其次是民族地区政策的特殊性。阿坝州作为藏族羌族自治州，在项目建设管理方面有一定的特殊规定。例如，对于涉及民族传统文化保护的项目，在建设标准方面可能有特殊要求；对于宗教场所相关的建设项目，在审批程序方面可能有特殊规定；对口援建项目在资金管理方面也有特殊规定。审核人员应当充分了解这些特殊政策，在审核中予以充分关注，确保审核结论符合民族地区的实际情况。审核人员还应当尊重当地民族习惯，在与建设单位沟通协调时注意方式方法，确保审核工作顺利开展。</w:t>
      </w:r>
    </w:p>
    <w:p w14:paraId="42859655">
      <w:pPr>
        <w:spacing w:before="0" w:after="120" w:line="360" w:lineRule="auto"/>
        <w:ind w:firstLine="168"/>
        <w:jc w:val="both"/>
      </w:pPr>
      <w:r>
        <w:rPr>
          <w:rFonts w:ascii="宋体" w:hAnsi="宋体" w:eastAsia="宋体"/>
          <w:b w:val="0"/>
          <w:color w:val="000000"/>
          <w:sz w:val="24"/>
        </w:rPr>
        <w:t>第三是自然灾害对工程的影响。阿坝州是地震、泥石流、滑坡等自然灾害频发地区。2008年汶川地震和2017年九寨沟地震对当地造成了重大损失，部分在建项目也受到了影响。在竣工财务决算审核中，对于因自然灾害造成的工程报废损失，应当关注：自然灾害发生的时间是否在项目建设期间；自然灾害对工程造成的具体损失情况；建设单位采取的应急措施和恢复措施；责任方的认定情况；损失金额的确定依据等。对于应由责任方承担的损失，不得计入项目建设成本；对于合理的恢复重建费用，应当核实其真实性、合理性和必要性。自然灾害损失的审核是一项专业性较强的工作，必要时应当聘请相关领域的专家进行专项论证。</w:t>
      </w:r>
    </w:p>
    <w:p w14:paraId="1CDEC461">
      <w:pPr>
        <w:spacing w:before="0" w:after="120" w:line="360" w:lineRule="auto"/>
        <w:ind w:firstLine="168"/>
        <w:jc w:val="both"/>
      </w:pPr>
      <w:r>
        <w:rPr>
          <w:rFonts w:ascii="宋体" w:hAnsi="宋体" w:eastAsia="宋体"/>
          <w:b w:val="0"/>
          <w:color w:val="000000"/>
          <w:sz w:val="24"/>
        </w:rPr>
        <w:t>工程材料价格的审核是竣工财务决算审核的重要内容。材料费用通常占工程造价的50%-70%，材料价格的准确性直接关系到竣工财务决算的可靠性。材料价格审核的主要内容包括：材料价格来源的合规性审核，核查材料价格是否按照合同约定的方式确定，对于采用信息价作为参考价的材料，核查信息价的使用是否正确、是否在规定的时间段内；对于采用市场询价确定的材料，核查询价过程是否合规、询价对象是否符合要求；对于采用甲供材方式的材料，核查材料供应价格是否合理；材料价格调整的合规性审核，核查材料价差调整是否符合合同约定，调整范围、调整幅度、调整方法是否符合规定；材料用量的准确性审核，核查材料用量是否与实际完成的工程量相符，是否存在多报、虚报材料用量的问题；材料损耗的合理性审核，核查材料损耗率是否符合定额规定或合同约定，是否存在虚报损耗率套取资金的问题。</w:t>
      </w:r>
    </w:p>
    <w:p w14:paraId="3E5BCC13">
      <w:pPr>
        <w:spacing w:before="0" w:after="120" w:line="360" w:lineRule="auto"/>
        <w:ind w:firstLine="168"/>
        <w:jc w:val="both"/>
      </w:pPr>
      <w:r>
        <w:rPr>
          <w:rFonts w:ascii="宋体" w:hAnsi="宋体" w:eastAsia="宋体"/>
          <w:b w:val="0"/>
          <w:color w:val="000000"/>
          <w:sz w:val="24"/>
        </w:rPr>
        <w:t>工程隐蔽部位的审核是竣工财务决算审核的难点。隐蔽工程是指被覆盖或包裹的工程部位，如基础工程、钢筋工程、防水工程等，这些部位在竣工后无法直接观测。隐蔽工程审核的主要内容包括：隐蔽工程验收记录的完整性审核，核查隐蔽工程是否按规定程序进行验收，验收记录是否齐全，签字是否完整；隐蔽工程计量的准确性审核，核查隐蔽工程的工程量计算是否准确，是否与竣工图纸和设计变更一致；隐蔽工程质量的可靠性审核，核查隐蔽工程质量是否达到设计要求和国家标准，是否存在质量隐患；对于存在质量问题的隐蔽工程，应当追查原因，分析责任，核实损失金额。隐蔽工程审核时，应当关注监理单位是否履职尽责，验收程序是否规范，验收记录是否真实可靠。对于审核中发现存在质量问题的隐蔽工程，应当建议委托方聘请专业检测机构进行检测鉴定。</w:t>
      </w:r>
    </w:p>
    <w:p w14:paraId="7C3DD730">
      <w:pPr>
        <w:spacing w:before="0" w:after="120" w:line="360" w:lineRule="auto"/>
        <w:ind w:firstLine="168"/>
        <w:jc w:val="both"/>
      </w:pPr>
      <w:r>
        <w:rPr>
          <w:rFonts w:ascii="宋体" w:hAnsi="宋体" w:eastAsia="宋体"/>
          <w:b w:val="0"/>
          <w:color w:val="000000"/>
          <w:sz w:val="24"/>
        </w:rPr>
        <w:t>工程变更与现场签证是竣工财务决算审核中最容易产生争议的内容。变更签证审核的主要内容包括：变更签证的合规性审核，核查变更是否按规定程序审批，重大设计变更是否经原审批部门批准；变更签证的完整性审核，核查变更签证的内容是否完整、签字是否齐全、日期是否准确；变更价款的合理性审核，核查变更价款的确定是否有依据，计价方法是否符合合同约定，对于采用新单价计价的变更，应当核查单价的编制依据是否充分；对于变更与现场签证的交叉审核，应当注意区分哪些是设计变更，哪些是现场签证，两者的计价方式可能不同。审核时，对于存在争议的变更签证，应当通过查阅施工日志、监理日志、会议纪要等资料进行核实，必要时可进行现场复核。</w:t>
      </w:r>
    </w:p>
    <w:p w14:paraId="156CF91C">
      <w:pPr>
        <w:spacing w:before="0" w:after="120" w:line="360" w:lineRule="auto"/>
        <w:ind w:firstLine="168"/>
        <w:jc w:val="both"/>
      </w:pPr>
      <w:r>
        <w:rPr>
          <w:rFonts w:ascii="宋体" w:hAnsi="宋体" w:eastAsia="宋体"/>
          <w:b w:val="0"/>
          <w:color w:val="000000"/>
          <w:sz w:val="24"/>
        </w:rPr>
        <w:t>竣工图纸与实际工程的比对审核是竣工财务决算审核的重要环节。竣工图纸是反映工程实际完成情况的重要资料，是计算工程量的主要依据。比对审核的主要内容包括：竣工图纸的完整性审核，核查竣工图纸是否完整齐全，包括所有单体工程、附属工程的竣工图是否都有，施工图与竣工图是否区分清楚；竣工图纸与设计图纸的差异比对，对于与设计图纸不一致的部分，应当查明是否属于设计变更，变更是否按规定程序审批；竣工图纸与实际工程的符合性审核，对于重大或关键部位，应当进行现场抽查核实，验证竣工图纸与实际是否相符；竣工图纸的规范性审核，核查竣工图纸是否按规定程序编制和审核，签字盖章是否齐全。竣工图纸的审核还应当关注竣工验收意见，对竣工验收中提出的整改意见，应当核实是否整改到位。</w:t>
      </w:r>
    </w:p>
    <w:p w14:paraId="604FEB73">
      <w:pPr>
        <w:spacing w:before="0" w:after="120" w:line="360" w:lineRule="auto"/>
        <w:ind w:firstLine="168"/>
        <w:jc w:val="both"/>
      </w:pPr>
      <w:r>
        <w:rPr>
          <w:rFonts w:ascii="宋体" w:hAnsi="宋体" w:eastAsia="宋体"/>
          <w:b w:val="0"/>
          <w:color w:val="000000"/>
          <w:sz w:val="24"/>
        </w:rPr>
        <w:t>往来款项的清理审核是竣工财务决算审核的重要内容。往来款项包括应收款项和应付款项，往来款项的清理审核的主要内容包括：应收款项的真实性审核，核查各项应收款项是否真实存在，是否存在虚列债权的问题，特别关注预付款项、押金保证金等是否真实；对于长期挂账的应收款项，应当追查原因，分析是否存在损失风险，必要时建议计提坏账准备；应付款项的完整性审核，核查各项应付款项是否完整列入，是否存在隐瞒债务的问题，特别关注应付工程款、应付材料款、应付质保金等是否完整；对于长期挂账的应付款项，应当核实是否已支付或是否应当支付；往来款项的账龄分析，对各项往来款项进行账龄分析，识别账龄结构是否合理，对于账龄超过一年以上的往来款项，应当重点关注；往来款项的对账核实，对于重要往来款项，应当与对方单位进行对账核实，确认余额的准确性。</w:t>
      </w:r>
    </w:p>
    <w:p w14:paraId="12514DB5">
      <w:pPr>
        <w:spacing w:before="0" w:after="120" w:line="360" w:lineRule="auto"/>
        <w:ind w:firstLine="168"/>
        <w:jc w:val="both"/>
      </w:pPr>
      <w:r>
        <w:rPr>
          <w:rFonts w:ascii="宋体" w:hAnsi="宋体" w:eastAsia="宋体"/>
          <w:b w:val="0"/>
          <w:color w:val="000000"/>
          <w:sz w:val="24"/>
        </w:rPr>
        <w:t>尾工工程和预留费用的审核也是竣工财务决算审核的重要内容。尾工工程是指尚未完工但不影响项目投产使用的工程，预留费用是指在项目建设中预留的为完成尾工工程所需的费用。尾工工程审核的主要内容包括：尾工工程的界定审核，核查列入尾工工程的项目是否确实属于不影响项目投产使用的工程，尾工工程的界定是否合理；尾工工程量的核实，核查尾工工程的工程量是否准确，是否与实际情况相符；尾工工程投资的计算，核查尾工工程的投资计算是否准确，是否有充分的依据。预留费用审核的主要内容包括：预留费用的合规性审核，核查预留费用是否符合财务制度的规定，是否在规定比例范围内；预留费用的合理性审核，核查预留费用是否足够完成尾工工程，有无预留不足或虚报预留费用的问题；预留费用的使用审核，核查预留费用的使用是否合规，有无挪作他用的问题。</w:t>
      </w:r>
    </w:p>
    <w:p w14:paraId="62253EB5">
      <w:pPr>
        <w:spacing w:before="0" w:after="120" w:line="360" w:lineRule="auto"/>
        <w:ind w:firstLine="168"/>
        <w:jc w:val="both"/>
      </w:pPr>
      <w:r>
        <w:rPr>
          <w:rFonts w:ascii="宋体" w:hAnsi="宋体" w:eastAsia="宋体"/>
          <w:b w:val="0"/>
          <w:color w:val="000000"/>
          <w:sz w:val="24"/>
        </w:rPr>
        <w:t>建设项目的立项决策审计是对项目建设前期工作的审核，重点关注项目决策的合规性、科学性和效益性。立项决策审计的主要内容包括：项目立项程序的合规性审核，核查项目是否按规定程序进行立项审批，是否存在未经审批擅自开工建设的问题；可行性研究报告的编制质量审核，核查可行性研究报告是否由具有相应资质的单位编制，编制依据是否充分，分析论证是否科学，结论建议是否合理；初步设计概算的编制质量审核，核查初步设计概算是否按照批准的可行性研究报告进行编制，概算内容是否完整，概算标准是否符合规定，概算投资是否控制在可行性研究报告批复的投资范围内；环境影响评价的合规性审核，核查项目是否按规定编制环境影响评价报告并经环保部门审批，环保措施是否与主体工程同时设计、同时施工、同时投产使用；土地征用手续的合规性审核，核查项目用地是否依法办理了用地审批手续，是否存在违法占用土地的问题，是否存在超批准用地的问题。立项决策审计是项目审计的重要组成部分，对于发现项目决策中存在的问题，促进科学决策具有重要意义。</w:t>
      </w:r>
    </w:p>
    <w:p w14:paraId="220B27B0">
      <w:pPr>
        <w:spacing w:before="0" w:after="120" w:line="360" w:lineRule="auto"/>
        <w:ind w:firstLine="168"/>
        <w:jc w:val="both"/>
      </w:pPr>
      <w:r>
        <w:rPr>
          <w:rFonts w:ascii="宋体" w:hAnsi="宋体" w:eastAsia="宋体"/>
          <w:b w:val="0"/>
          <w:color w:val="000000"/>
          <w:sz w:val="24"/>
        </w:rPr>
        <w:t>建设项目的招标投标审计是对项目招标投标全过程的审核，重点关注招标投标的合规性和公正性。招标投标审计的主要内容包括：招标范围的合规性审核，核查达到招标规模标准的项目是否依法进行了招标，招标范围是否符合规定，是否存在化整为零规避招标的问题；招标方式的合规性审核，核查采用的招标方式（公开招标、邀请招标等）是否符合规定，邀请招标是否具备法定理由并经批准；招标程序的合规性审核，核查招标程序是否符合《招标投标法》和《政府采购法》的规定，是否存在明招暗定、先中标后招标等问题；招标文件和招标控制价的审核，核查招标文件的内容是否完整、是否设置不合理限制性条款、是否含有倾向性或歧视性内容，招标控制价的编制是否准确、是否超出批准概算；投标人和评标过程的审核，核查投标人是否具备资质条件、是否存在挂靠投标问题，评标过程是否公正、评标标准是否与招标文件一致、评标结果是否合理；中标结果和合同签订的审核，核查中标通知书与评标结果是否一致，合同内容是否与招标文件和投标文件一致、是否存在实质性变更。招标投标审计对于维护公平竞争的市场秩序、防范招标投标领域的腐败问题具有重要意义。</w:t>
      </w:r>
    </w:p>
    <w:p w14:paraId="1070C60C">
      <w:pPr>
        <w:spacing w:before="0" w:after="120" w:line="360" w:lineRule="auto"/>
        <w:ind w:firstLine="168"/>
        <w:jc w:val="both"/>
      </w:pPr>
      <w:r>
        <w:rPr>
          <w:rFonts w:ascii="宋体" w:hAnsi="宋体" w:eastAsia="宋体"/>
          <w:b w:val="0"/>
          <w:color w:val="000000"/>
          <w:sz w:val="24"/>
        </w:rPr>
        <w:t>建设项目的合同管理审计是对项目合同签订和履行全过程的审核，重点关注合同的合规性和履约情况。合同管理审计的主要内容包括：合同签订程序的合规性审核，核查合同签订是否经过适当授权、是否采用书面形式、是否按照招标文件和投标文件约定签订；合同内容的合规性审核，核查合同内容是否符合法律法规的规定，是否存在违反法律法规的无效条款，合同工期、质量、价款等主要条款是否与招投标文件一致；合同履行的审核，核查合同双方是否按照合同约定全面履行各自义务，是否存在违约行为，违约责任的追究是否到位；合同变更的审核，核查合同变更是否经过双方协商一致，变更程序是否符合合同约定，变更内容是否合法合规；合同争议的审核，核查合同履行过程中发生的争议是否得到妥善处理，是否存在久拖不决的问题；合同档案管理的审核，核查合同档案是否完整归档、管理是否规范。合同管理审计对于规范合同管理、防范合同风险、维护合法权益具有重要意义。</w:t>
      </w:r>
    </w:p>
    <w:p w14:paraId="3F02CC77">
      <w:pPr>
        <w:spacing w:before="0" w:after="120" w:line="360" w:lineRule="auto"/>
        <w:ind w:firstLine="168"/>
        <w:jc w:val="both"/>
      </w:pPr>
      <w:r>
        <w:rPr>
          <w:rFonts w:ascii="宋体" w:hAnsi="宋体" w:eastAsia="宋体"/>
          <w:b w:val="0"/>
          <w:color w:val="000000"/>
          <w:sz w:val="24"/>
        </w:rPr>
        <w:t>竣工财务决算审核报告是审核工作的最终成果，是向委托方提交的反映审核结果的专业文件。审核报告应当按照规定的格式和内容编制，做到内容完整、表述清晰、意见明确、依据充分。审核报告的主要内容包括：标题和收件人，标题一般为"关于XXX项目竣工财务决算的审核报告"，收件人为委托方；引言段，简要说明审核对象、审核依据、审核范围、审核时间等基本情况；审核意见段，是审核报告的核心内容，应当明确说明审核结论，包括项目竣工财务决算报告的真实性、准确性、完整性的评价意见，审核发现的主要问题及金额，影响审核意见的重要事项等；审核说明段，对于影响审核意见的重要事项，应当在审核说明段中进行详细说明；附件，审核报告的主要附件包括审核明细表、审核汇总表、审核工作底稿等。审核报告应当由项目负责人、复核人和审核机构签章后方可对外出具。</w:t>
      </w:r>
    </w:p>
    <w:p w14:paraId="27D1E67A">
      <w:pPr>
        <w:spacing w:before="0" w:after="120" w:line="360" w:lineRule="auto"/>
        <w:ind w:firstLine="168"/>
        <w:jc w:val="both"/>
      </w:pPr>
      <w:r>
        <w:rPr>
          <w:rFonts w:ascii="宋体" w:hAnsi="宋体" w:eastAsia="宋体"/>
          <w:b w:val="0"/>
          <w:color w:val="000000"/>
          <w:sz w:val="24"/>
        </w:rPr>
        <w:t>审核意见的类型及适用情形：1.无保留意见，是指审核人员认为项目竣工财务决算报告不存在重大错报，能够公允反映项目建设情况和财务状况时出具的意见；2.保留意见，是指审核人员认为项目竣工财务决算报告整体上是公允的，但存在某些重大错报或重大不确定事项时出具的意见；3.否定意见，是指审核人员认为项目竣工财务决算报告存在重大错报，无法公允反映项目建设情况和财务状况时出具的意见；4.无法表示意见，是指审核人员无法获取充分适当的审核证据，无法对项目竣工财务决算报告发表意见时出具的意见。审核人员应当根据审核结果，合理确定审核意见的类型，不得滥用保留意见或无法表示意见。</w:t>
      </w:r>
    </w:p>
    <w:p w14:paraId="51D20BFD">
      <w:pPr>
        <w:spacing w:before="0" w:after="120" w:line="360" w:lineRule="auto"/>
        <w:ind w:firstLine="168"/>
        <w:jc w:val="both"/>
      </w:pPr>
      <w:r>
        <w:rPr>
          <w:rFonts w:ascii="宋体" w:hAnsi="宋体" w:eastAsia="宋体"/>
          <w:b w:val="0"/>
          <w:color w:val="000000"/>
          <w:sz w:val="24"/>
        </w:rPr>
        <w:t>审核工作的质量控制贯穿审核工作的全过程。事前控制主要包括：业务承接时的风险评估，对客户的基本情况、诚信状况、业务风险等进行评估，决定是否承接业务；审核方案的制定，根据项目特点制定详细的审核方案，明确审核范围、重点、程序、时间等；审核人员的配备，根据项目规模和专业要求配备合适的审核人员。事中控制主要包括：审核过程的督导，项目负责人对审核人员的工作进行督导，确保审核程序得到有效执行；审核证据的复核，对审核人员获取的证据进行复核，确保证据充分适当；审核记录的检查，对审核人员的工作底稿进行检查，确保记录完整规范。事后控制主要包括：三级复核制度的严格执行，确保审核报告质量；审核报告的审批，按照内部审批程序对审核报告进行审批；客户反馈的收集，对客户反馈的意见进行认真研究和采纳，持续改进服务质量。</w:t>
      </w:r>
    </w:p>
    <w:p w14:paraId="79B03AC0">
      <w:pPr>
        <w:spacing w:before="0" w:after="120" w:line="360" w:lineRule="auto"/>
        <w:ind w:firstLine="168"/>
        <w:jc w:val="both"/>
      </w:pPr>
      <w:r>
        <w:rPr>
          <w:rFonts w:ascii="宋体" w:hAnsi="宋体" w:eastAsia="宋体"/>
          <w:b w:val="0"/>
          <w:color w:val="000000"/>
          <w:sz w:val="24"/>
        </w:rPr>
        <w:t>政府投资项目管理是深化投融资体制改革的重要内容。近年来，国家出台了一系列政策措施，推进政府投资项目管理规范化、科学化。根据《政府投资条例》的规定，政府投资应当科学决策、规范管理、注重绩效、防范风险。政府投资应当与经济社会发展水平和财政收支状况相适应，不得违法违规举借债务筹措政府投资资金。政府投资项目应当按照批准的建设内容、建设规模和建设标准实施，不得擅自变更；确需变更的，应当按照规定的程序报批后方可实施。政府投资项目应当实行全过程投资控制，加强工程造价审核，合理确定和有效控制工程造价。竣工财务决算审核是政府投资项目管理的重要环节，是评价项目建设成效、确定资产价值、防范投资风险的重要手段。本所将严格按照政府投资管理的相关法规政策开展竣工财务决算审核工作，确保审核结论符合法规政策要求。</w:t>
      </w:r>
    </w:p>
    <w:p w14:paraId="55942A11">
      <w:pPr>
        <w:spacing w:before="0" w:after="120" w:line="360" w:lineRule="auto"/>
        <w:ind w:firstLine="168"/>
        <w:jc w:val="both"/>
      </w:pPr>
      <w:r>
        <w:rPr>
          <w:rFonts w:ascii="宋体" w:hAnsi="宋体" w:eastAsia="宋体"/>
          <w:b w:val="0"/>
          <w:color w:val="000000"/>
          <w:sz w:val="24"/>
        </w:rPr>
        <w:t>绩效评价是政府投资项目后评价的重要内容。绩效评价是对项目建成后的经济性、效率性、效果性、公平性等方面进行综合评价的活动。绩效评价的主要内容包括：项目决策情况评价，分析项目立项决策是否科学合理，是否符合规划要求和发展需要；项目管理情况评价，分析项目建设管理是否规范，质量、安全、进度是否可控；项目效益情况评价，分析项目建成后的经济社会效益是否达到预期目标；项目可持续性评价，分析项目建成后的运营维护是否有保障，是否能够持续发挥效益。绩效评价的方法包括比较法、因素分析法、成本效益分析法、公众评判法等。绩效评价结果应当作为今后政府投资决策的重要参考。竣工财务决算审核可以为绩效评价提供基础数据，审核过程中获取的项目投资、成本、产出等数据是绩效评价的重要依据。</w:t>
      </w:r>
    </w:p>
    <w:p w14:paraId="482DBEB2">
      <w:pPr>
        <w:spacing w:before="0" w:after="120" w:line="360" w:lineRule="auto"/>
        <w:ind w:firstLine="168"/>
        <w:jc w:val="both"/>
      </w:pPr>
      <w:r>
        <w:rPr>
          <w:rFonts w:ascii="宋体" w:hAnsi="宋体" w:eastAsia="宋体"/>
          <w:b w:val="0"/>
          <w:color w:val="000000"/>
          <w:sz w:val="24"/>
        </w:rPr>
        <w:t>基本建设项目档案管理是项目建设管理的重要组成部分。竣工财务决算审核工作涉及大量档案资料的查阅和归档，档案资料的完整性、规范性直接影响审核工作的效率和质量。基本建设项目档案的主要内容包括：项目立项决策阶段档案，包括项目建议书、可行性研究报告、初步设计及概算、环境影响评价报告、节能评估报告等；项目招标投标阶段档案，包括招标文件、投标文件、中标通知书、合同协议等；项目施工阶段档案，包括施工图纸、竣工图纸、变更签证、监理日志、施工记录、材料检验报告等；项目财务档案，包括会计凭证、会计账簿、财务报告、资金拨付凭证等；项目竣工验收阶段档案，包括竣工验收报告、竣工验收鉴定书、竣工财务决算报告等。档案管理应当遵循统一管理、分级负责的原则，确保档案完整、准确、系统、安全。</w:t>
      </w:r>
    </w:p>
    <w:p w14:paraId="59373D65">
      <w:pPr>
        <w:spacing w:before="0" w:after="120" w:line="360" w:lineRule="auto"/>
        <w:ind w:firstLine="168"/>
        <w:jc w:val="both"/>
      </w:pPr>
      <w:r>
        <w:rPr>
          <w:rFonts w:ascii="宋体" w:hAnsi="宋体" w:eastAsia="宋体"/>
          <w:b w:val="0"/>
          <w:color w:val="000000"/>
          <w:sz w:val="24"/>
        </w:rPr>
        <w:t>基本建设项目财务管理的基本要求包括以下几个方面：建设资金的筹集应当合法合规，资金来源应当落实到位，不得非法集资，不得挪用其他资金；建设资金的使用应当专款专用，严格按照批准的投资计划和建设内容使用，不得截留、挪用、浪费建设资金；工程价款的结算应当按合同约定和工程进度支付，不得超额支付，不得拖欠；建设成本的归集应当准确完整，按照财务制度的规定将各项费用归集到相应的成本对象；竣工财务决算的编制应当及时规范，应当在项目竣工后规定时间内编制完成竣工财务决算。建设单位应当建立健全基本建设项目财务管理制度，加强财务核算，规范财务行为，防范财务风险。</w:t>
      </w:r>
    </w:p>
    <w:p w14:paraId="5BA20803">
      <w:pPr>
        <w:spacing w:before="0" w:after="120" w:line="360" w:lineRule="auto"/>
        <w:ind w:firstLine="168"/>
        <w:jc w:val="both"/>
      </w:pPr>
      <w:r>
        <w:rPr>
          <w:rFonts w:ascii="宋体" w:hAnsi="宋体" w:eastAsia="宋体"/>
          <w:b w:val="0"/>
          <w:color w:val="000000"/>
          <w:sz w:val="24"/>
        </w:rPr>
        <w:t>建设项目投资控制的基本原则是"估算控制概算、概算控制预算、预算控制结算"。这一原则体现了投资控制的递进关系，上一环节的控制标准对下一环节具有约束作用。估算控制概算是指项目建议书和可行性研究报告中的投资估算，应当具有合理性和准确性，应当控制在规定的误差范围内；概算控制预算是指初步设计概算应当控制在可行性研究报告批复的投资估算允许的幅度范围内，施工图预算应当控制在批准的初步设计概算范围内；预算控制结算是指竣工结算应当控制在施工图预算范围内，竣工财务决算应当控制在批准的概算投资范围内。如果某一环节超出控制标准，应当分析原因、采取措施、报批调整。竣工财务决算审核的重要内容之一，就是核实项目建设是否控制在批准的概算投资范围内，对于超概算的项目，应当查明原因，分析责任。</w:t>
      </w:r>
    </w:p>
    <w:p w14:paraId="35D4D334">
      <w:pPr>
        <w:spacing w:before="0" w:after="120" w:line="360" w:lineRule="auto"/>
        <w:ind w:firstLine="168"/>
        <w:jc w:val="both"/>
      </w:pPr>
      <w:r>
        <w:rPr>
          <w:rFonts w:ascii="宋体" w:hAnsi="宋体" w:eastAsia="宋体"/>
          <w:b w:val="0"/>
          <w:color w:val="000000"/>
          <w:sz w:val="24"/>
        </w:rPr>
        <w:t>建设项目竣工财务决算审核与政府投资项目审计既有联系又有区别。两者的联系在于：审核和审计的对象都是基本建设项目，审核和审计的内容都涉及项目建设资金的使用和管理，审核报告和审计报告往往相互参考使用。两者的区别在于：性质不同，竣工财务决算审核是会计师事务所等中介机构受建设单位委托开展的专业服务行为，政府投资项目审计是审计机关依法独立行使监督职权的行为；主体不同，审核主体是具有相应资质的中介机构，审计主体是国家审计机关；目的不同，审核的主要目的是确认竣工财务决算报告的真实性、准确性，审计的主要目的是评价项目建设的合法合规性和效益性；法律效力不同，审核报告是民间鉴证类报告，审计报告是国家机关依法出具的具有法律效力的文书；处理方式不同，审核中发现的问题通常以建议方式提出，审计中发现的问题可以依法作出处理处罚决定。在实际工作中，建设单位通常先委托中介机构进行竣工财务决算审核，再由审计机关进行项目审计，两者相互配合，共同发挥监督作用。</w:t>
      </w:r>
    </w:p>
    <w:p w14:paraId="4384B9B8">
      <w:pPr>
        <w:spacing w:before="0" w:after="120" w:line="360" w:lineRule="auto"/>
        <w:ind w:firstLine="168"/>
        <w:jc w:val="both"/>
      </w:pPr>
      <w:r>
        <w:rPr>
          <w:rFonts w:ascii="宋体" w:hAnsi="宋体" w:eastAsia="宋体"/>
          <w:b w:val="0"/>
          <w:color w:val="000000"/>
          <w:sz w:val="24"/>
        </w:rPr>
        <w:t>建设项目后评价是对已建成投产运行的项目进行综合评价的活动。后评价的主要内容包括：过程评价，对项目建设全过程进行回顾和分析，评价项目建设程序的合规性、建设管理的有效性；效益评价，对项目建成后的经济效益、社会效益、环境效益进行评价，分析是否达到预期目标；影响评价，分析项目对区域经济社会发展、生态环境、社会公平等方面的影响；持续性评价，分析项目建成后的运营维护状况，评价项目的可持续性。后评价的方法包括对比法（将项目实际与决策时预期进行对比）、逻辑框架法（从投入、产出、目的、宏观目标四个层次进行分析）、成功度评价法（对项目实现预期目标的程度进行综合评价）等。后评价结果应当公开并反馈给决策部门，作为今后改进政府投资决策和管理的重要参考。竣工财务决算审核报告是开展后评价的重要基础资料，审核数据为后评价提供了可靠的投资、成本、产出等信息。</w:t>
      </w:r>
    </w:p>
    <w:p w14:paraId="32A7E58D">
      <w:pPr>
        <w:spacing w:before="0" w:after="120" w:line="360" w:lineRule="auto"/>
        <w:ind w:firstLine="168"/>
        <w:jc w:val="both"/>
      </w:pPr>
      <w:r>
        <w:rPr>
          <w:rFonts w:ascii="宋体" w:hAnsi="宋体" w:eastAsia="宋体"/>
          <w:b w:val="0"/>
          <w:color w:val="000000"/>
          <w:sz w:val="24"/>
        </w:rPr>
        <w:t>阿坝州州本级建设项目的特点鲜明，体现在以下几个方面：第一，项目类型多样，涵盖市政基础设施、公共服务设施、交通水利工程、生态保护工程等多个领域，每个领域的专业性都很强，对审核人员的专业素质要求较高；第二，项目分布广泛，州本级项目分布在马尔康市及周边区域，部分项目地处偏远山区，交通条件较差，给审核工作带来一定难度；第三，资金来源多元，州本级建设项目的资金来源涉及中央预算内投资、省级财政补助、地方专项债券、对口援建资金、银行贷款等多种渠道，资金管理的复杂性较高；第四，建设周期较长，受高原气候影响，阿坝州的项目施工周期普遍较长，建设期间的市场价格波动、政策调整等因素对项目投资的影响较大；第五，涉及民族因素，部分项目涉及藏族、羌族等民族群众的利益，在征地拆迁、移民安置等方面需要充分考虑民族地区的特殊情况。</w:t>
      </w:r>
    </w:p>
    <w:p w14:paraId="61B31246">
      <w:pPr>
        <w:spacing w:before="0" w:after="120" w:line="360" w:lineRule="auto"/>
        <w:ind w:firstLine="168"/>
        <w:jc w:val="both"/>
      </w:pPr>
      <w:r>
        <w:rPr>
          <w:rFonts w:ascii="宋体" w:hAnsi="宋体" w:eastAsia="宋体"/>
          <w:b w:val="0"/>
          <w:color w:val="000000"/>
          <w:sz w:val="24"/>
        </w:rPr>
        <w:t>工程竣工验收是项目建设全过程的最后一个重要环节，是检验工程建设质量、确认建设成果、办理资产移交的必要程序。工程竣工验收审核的主要内容有：竣工验收程序的合规性，核查项目是否按照批准的设计文件、合同约定和施工规范完成全部建设内容，是否按规定程序组织竣工验收，是否取得竣工验收备案证或竣工验收鉴定书；竣工验收内容的完整性，核查竣工验收是否涵盖了设计文件规定的所有建设内容，是否存在未完成的建设内容或甩项工程，甩项工程是否有充分的理由和批准手续；竣工验收标准的符合性，核查竣工验收是否达到设计要求和国家标准，是否存在质量缺陷或安全隐患，对于存在的质量问题应当核实整改情况；竣工验收时间的及时性，核查项目是否在规定时间内完成竣工验收，是否存在久拖不验的问题，对于延期验收的应当查明原因；竣工验收与竣工财务决算的衔接，核查竣工验收时间与竣工财务决算编制时间是否衔接合理，有无先编制决算后验收等程序倒置问题；竣工验收备案情况，核查竣工验收后是否按规定向建设行政主管部门办理竣工验收备案，备案文件是否齐全。</w:t>
      </w:r>
    </w:p>
    <w:p w14:paraId="0237627C">
      <w:pPr>
        <w:spacing w:before="0" w:after="120" w:line="360" w:lineRule="auto"/>
        <w:ind w:firstLine="168"/>
        <w:jc w:val="both"/>
      </w:pPr>
      <w:r>
        <w:rPr>
          <w:rFonts w:ascii="宋体" w:hAnsi="宋体" w:eastAsia="宋体"/>
          <w:b w:val="0"/>
          <w:color w:val="000000"/>
          <w:sz w:val="24"/>
        </w:rPr>
        <w:t>建设工程质量保修是施工单位对竣工交付使用的工程承担的质量保修责任。质量保修审核的主要内容有：质量保修责任的落实情况，核查施工单位是否按照合同约定和法律法规的规定承担质量保修责任，质量保修期限是否符合规定；质量保证金的管理情况，核查质量保证金是否按规定比例预留，留存方式是否符合规定（现金预留或银行保函），保证金退还条件是否明确，退还程序是否合规；质量保修费用的处理情况，核查在保修期内发生的保修费用是否合理，是否属于保修范围，有无将不属于保修范围的费用纳入保修费用，保修费用的分摊是否合理；已完工保修项目的核实，对于已完成保修施工的项目，应当核实保修施工的内容、工程量和费用是否真实合理；质量保修期内发现的质量问题处理，核查在保修期内发现的质量问题是否及时处理，处理结果是否满意，有无久拖不决的问题。质量保修审核关系到项目建成后的正常使用和维护，是竣工财务决算审核需要关注的重要内容。</w:t>
      </w:r>
    </w:p>
    <w:p w14:paraId="3A6D8FB3">
      <w:pPr>
        <w:spacing w:before="0" w:after="120" w:line="360" w:lineRule="auto"/>
        <w:ind w:firstLine="168"/>
        <w:jc w:val="both"/>
      </w:pPr>
      <w:r>
        <w:rPr>
          <w:rFonts w:ascii="宋体" w:hAnsi="宋体" w:eastAsia="宋体"/>
          <w:b w:val="0"/>
          <w:color w:val="000000"/>
          <w:sz w:val="24"/>
        </w:rPr>
        <w:t>建设成本的归集与分配是竣工财务决算审核的核心内容。建设成本是指在项目建设过程中实际发生的、应当计入项目建设成本的各项费用支出。建设成本归集审核的主要内容包括：成本项目的完整性，核查成本项目设置是否规范完整，是否将所有应当计入项目建设成本的费用都纳入了成本核算；成本归集的及时性，核查各项成本是否按照权责发生制原则及时入账，有无将应计入本期的成本延后计入或提前计入的问题；成本内容的真实性，核查各项成本是否真实发生，有无虚列成本问题，对于异常金额或异常内容的成本项目应当重点审核；成本归集与概预算的对比分析，将实际建设成本与批准的项目概算进行对比，分析成本超支或节约的原因，评估项目投资的合理性；成本分配的合理性，核查共同成本在不同单体工程或成本对象之间的分配是否合理，分配方法是否符合财务制度规定。建设成本的归集和分配直接关系到项目投资的真实性和资产计价的准确性，必须予以充分重视。</w:t>
      </w:r>
    </w:p>
    <w:p w14:paraId="01C74DF3">
      <w:pPr>
        <w:spacing w:before="0" w:after="120" w:line="360" w:lineRule="auto"/>
        <w:ind w:firstLine="168"/>
        <w:jc w:val="both"/>
      </w:pPr>
      <w:r>
        <w:rPr>
          <w:rFonts w:ascii="宋体" w:hAnsi="宋体" w:eastAsia="宋体"/>
          <w:b w:val="0"/>
          <w:color w:val="000000"/>
          <w:sz w:val="24"/>
        </w:rPr>
        <w:t>基本建设财务管理与项目法人责任制的落实密切相关。项目法人责任制是规范政府投资项目建设管理的基本制度，要求项目建设单位作为项目法人，对项目建设全过程负责。项目法人应当建立健全内部管理制度，包括财务管理制度、投资管理制度、招标投标管理制度、合同管理制度、工程质量管理制度、安全生产管理制度等。项目法人应当按照规定配备专业人员，设置专门的财务管理机构或岗位，确保财务核算规范有序。项目法人应当依法接受审计机关和有关部门的监督检查，及时整改发现的问题。竣工财务决算审核时，应当重点关注项目法人责任制的落实情况，包括内部管理制度是否健全、制度执行是否到位、财务核算是否规范等。对于项目法人责任制落实不到位的问题，应当在审核报告中予以反映，并提出改进建议。</w:t>
      </w:r>
    </w:p>
    <w:p w14:paraId="2E49CFD6">
      <w:pPr>
        <w:spacing w:before="0" w:after="120" w:line="360" w:lineRule="auto"/>
        <w:ind w:firstLine="168"/>
        <w:jc w:val="both"/>
      </w:pPr>
      <w:r>
        <w:rPr>
          <w:rFonts w:ascii="宋体" w:hAnsi="宋体" w:eastAsia="宋体"/>
          <w:b w:val="0"/>
          <w:color w:val="000000"/>
          <w:sz w:val="24"/>
        </w:rPr>
        <w:t>工程结算与竣工财务决算的衔接是项目建设管理的重要环节。工程结算是施工单位编制的反映工程价款的结算文件，竣工财务决算是建设单位编制的反映项目建设投资情况的综合财务文件。两者的关系是：工程结算是竣工财务决算的重要依据，竣工财务决算中的建筑安装工程投资、设备投资等数据主要来源于工程结算；但两者又不完全相同，工程结算反映的是施工单位的工程价款，竣工财务决算反映的是项目建设单位的投资支出，两者之间可能存在差异。衔接审核的主要内容包括：工程结算与合同价的差异分析，核查工程结算金额与合同金额的差异原因，分析是否合理；工程结算与竣工财务决算的一致性核查，核查竣工财务决算中关于建筑安装工程投资、设备投资等数据是否与工程结算一致；待摊投资的分摊是否合理，核查待摊投资是否按照合理的标准分摊到各单体工程；预备费和建设期利息的处理是否正确，核查预备费和建设期利息是否按照规定计入项目建设成本。衔接审核对于确保竣工财务决算的准确性具有重要意义。</w:t>
      </w:r>
    </w:p>
    <w:p w14:paraId="0D82A37D">
      <w:pPr>
        <w:spacing w:before="0" w:after="120" w:line="360" w:lineRule="auto"/>
        <w:ind w:firstLine="168"/>
        <w:jc w:val="both"/>
      </w:pPr>
      <w:r>
        <w:rPr>
          <w:rFonts w:ascii="宋体" w:hAnsi="宋体" w:eastAsia="宋体"/>
          <w:b w:val="0"/>
          <w:color w:val="000000"/>
          <w:sz w:val="24"/>
        </w:rPr>
        <w:t>建设期利息的核算与资本化处理是竣工财务决算审核的重要内容。根据会计准则的规定，符合资本化条件的借款费用应当计入固定资产成本，不符合资本化条件的借款费用应当计入财务费用。建设期利息的审核主要内容包括：借款合同的合规性审核，核查借款合同的内容是否符合规定，借款利率是否在规定范围内，借款用途是否符合规定；建设期利息计算的准确性审核，核查建设期利息的计算是否正确，包括借款本金、借款利率、借款期限、计息方法等要素是否准确，对于采用实际利率法计算利息的，应当复核实际利率的确定是否正确；建设期利息的资本化处理审核，核查利息资本化的条件是否符合会计准则的规定，资本化期间的确定是否正确，资本化金额的计算是否准确，对于暂停资本化的期间是否正确停止资本化；专项借款利息的处理审核，对于专项借款的利息，应当核查是否按会计准则的规定进行资本化处理，是否存在将不应资本化的利息予以资本化的问题。建设期利息的审核关系到项目建设成本的真实性和资产计价的准确性。</w:t>
      </w:r>
    </w:p>
    <w:p w14:paraId="2141CFC7">
      <w:pPr>
        <w:spacing w:before="0" w:after="120" w:line="360" w:lineRule="auto"/>
        <w:ind w:firstLine="168"/>
        <w:jc w:val="both"/>
      </w:pPr>
      <w:r>
        <w:rPr>
          <w:rFonts w:ascii="宋体" w:hAnsi="宋体" w:eastAsia="宋体"/>
          <w:b w:val="0"/>
          <w:color w:val="000000"/>
          <w:sz w:val="24"/>
        </w:rPr>
        <w:t>固定资产投资项目节能评估与审核是竣工财务决算审核需要关注的重要内容。根据《固定资产投资项目节能评估和审查暂行办法》的规定，年综合能源消费量超过一定标准的新建、改建、扩建项目，应当进行节能评估并报节能审查机关审查。节能评估审核的主要内容包括：节能评估手续的合规性审核，核查项目是否按规定编制了节能评估报告并经节能审查机关审查批准，节能评估文件的编制是否符合规定要求；节能措施落实情况的审核，核查项目是否按照节能评估报告和批准文件的要求落实了各项节能措施，节能设备的选型是否符合节能要求；项目能效水平的审核，核查项目建成后的能效水平是否达到设计要求和国家标准，是否存在能耗超标问题；节能专项资金的使用的审核，核查用于节能改造的专项资金是否按规定使用，有无挪用或套取节能资金的问题。节能评估审核有助于促进项目建设和运营的节能降耗，推动绿色发展。</w:t>
      </w:r>
    </w:p>
    <w:p w14:paraId="154D6D5B">
      <w:pPr>
        <w:spacing w:before="0" w:after="120" w:line="360" w:lineRule="auto"/>
        <w:ind w:firstLine="168"/>
        <w:jc w:val="both"/>
      </w:pPr>
      <w:r>
        <w:rPr>
          <w:rFonts w:ascii="宋体" w:hAnsi="宋体" w:eastAsia="宋体"/>
          <w:b w:val="0"/>
          <w:color w:val="000000"/>
          <w:sz w:val="24"/>
        </w:rPr>
        <w:t>建设项目环境保护管理审核是竣工财务决算审核的重要组成部分。根据《建设项目环境保护管理条例》的规定，建设项目需要配套建设环境保护设施的，应当与主体工程同时设计、同时施工、同时投产使用。环境保护管理审核的主要内容包括：环境影响评价的合规性审核，核查项目是否按规定编制了环境影响评价文件并经环保部门审批，环评文件是否存在重大质量问题；环境保护设施建设的审核，核查环境保护设施是否按照环评批复要求建设，建设规模和处理能力是否达到要求，设备选型是否合理；环境保护设施试运行的审核，核查环境保护设施是否进行了试运行，试运行期间各项指标是否达标；竣工环保验收的合规性审核，核查项目是否按规定程序进行了竣工环境保护验收，验收结论是否合格；环保专项资金的使用的审核，核查环保专项资金是否按规定使用，有无挪用或套取环保资金的问题；环境保护税缴纳情况的审核，核查建设单位是否按规定缴纳了环境保护税。环境保护管理审核对于推动生态文明建设、促进可持续发展具有重要意义。</w:t>
      </w:r>
    </w:p>
    <w:tbl>
      <w:tblPr>
        <w:tblStyle w:val="35"/>
        <w:tblW w:w="0" w:type="auto"/>
        <w:jc w:val="center"/>
        <w:tblLayout w:type="autofit"/>
        <w:tblCellMar>
          <w:top w:w="0" w:type="dxa"/>
          <w:left w:w="108" w:type="dxa"/>
          <w:bottom w:w="0" w:type="dxa"/>
          <w:right w:w="108" w:type="dxa"/>
        </w:tblCellMar>
      </w:tblPr>
      <w:tblGrid>
        <w:gridCol w:w="8646"/>
      </w:tblGrid>
      <w:tr w14:paraId="6A54C230">
        <w:tblPrEx>
          <w:tblCellMar>
            <w:top w:w="0" w:type="dxa"/>
            <w:left w:w="108" w:type="dxa"/>
            <w:bottom w:w="0" w:type="dxa"/>
            <w:right w:w="108" w:type="dxa"/>
          </w:tblCellMar>
        </w:tblPrEx>
        <w:trPr>
          <w:jc w:val="center"/>
        </w:trPr>
        <w:tc>
          <w:tcPr>
            <w:tcW w:w="8646" w:type="dxa"/>
            <w:shd w:val="clear" w:color="auto" w:fill="003366"/>
          </w:tcPr>
          <w:p w14:paraId="2FD9C7B5">
            <w:pPr>
              <w:jc w:val="center"/>
              <w:outlineLvl w:val="0"/>
            </w:pPr>
            <w:bookmarkStart w:id="0" w:name="_Toc543"/>
            <w:r>
              <w:rPr>
                <w:rFonts w:ascii="黑体" w:hAnsi="黑体" w:eastAsia="黑体"/>
                <w:b w:val="0"/>
                <w:color w:val="CCE5FF"/>
                <w:sz w:val="36"/>
              </w:rPr>
              <w:t>第 一 章</w:t>
            </w:r>
            <w:bookmarkEnd w:id="0"/>
          </w:p>
          <w:p w14:paraId="4EB081A9"/>
          <w:p w14:paraId="4F2AC90B"/>
          <w:p w14:paraId="1FE7EA47"/>
          <w:p w14:paraId="53653144"/>
          <w:p w14:paraId="1A97571F"/>
          <w:p w14:paraId="2C4BFA1B"/>
          <w:p w14:paraId="2BD833D5">
            <w:pPr>
              <w:jc w:val="center"/>
            </w:pPr>
            <w:r>
              <w:rPr>
                <w:rFonts w:ascii="黑体" w:hAnsi="黑体" w:eastAsia="黑体"/>
                <w:b/>
                <w:color w:val="FFFFFF"/>
                <w:sz w:val="52"/>
              </w:rPr>
              <w:t>项目理解与总体思路</w:t>
            </w:r>
          </w:p>
          <w:p w14:paraId="15414150"/>
          <w:p w14:paraId="6319A350">
            <w:pPr>
              <w:jc w:val="center"/>
            </w:pPr>
            <w:r>
              <w:rPr>
                <w:rFonts w:ascii="宋体" w:hAnsi="宋体" w:eastAsia="宋体"/>
                <w:b w:val="0"/>
                <w:color w:val="CCE5FF"/>
                <w:sz w:val="26"/>
              </w:rPr>
              <w:t>Project Understanding and General Approach</w:t>
            </w:r>
          </w:p>
          <w:p w14:paraId="37A2471E"/>
          <w:p w14:paraId="46ACF466"/>
          <w:p w14:paraId="0F2CBAA5"/>
          <w:p w14:paraId="259D5FF6"/>
          <w:p w14:paraId="1D97BEDC"/>
          <w:p w14:paraId="4AA0DFF7">
            <w:pPr>
              <w:jc w:val="center"/>
            </w:pPr>
            <w:r>
              <w:rPr>
                <w:rFonts w:ascii="宋体" w:hAnsi="宋体" w:eastAsia="宋体"/>
                <w:b w:val="0"/>
                <w:color w:val="B8860B"/>
                <w:sz w:val="20"/>
              </w:rPr>
              <w:t>━━━━━━━━━━━━━━━━━━━━</w:t>
            </w:r>
          </w:p>
          <w:p w14:paraId="045CF50A"/>
          <w:p w14:paraId="31298FBA">
            <w:pPr>
              <w:jc w:val="center"/>
            </w:pPr>
            <w:r>
              <w:rPr>
                <w:rFonts w:ascii="宋体" w:hAnsi="宋体" w:eastAsia="宋体"/>
                <w:b w:val="0"/>
                <w:color w:val="B4C8E6"/>
                <w:sz w:val="20"/>
              </w:rPr>
              <w:t>评标要点：实施方案完整性 · 工作重点难点分析 · 审计流程设计 · 管理制度健全性 · 质量保障措施</w:t>
            </w:r>
          </w:p>
        </w:tc>
      </w:tr>
    </w:tbl>
    <w:p w14:paraId="1AAC1818">
      <w:r>
        <w:br w:type="page"/>
      </w:r>
    </w:p>
    <w:p w14:paraId="260B3F4B">
      <w:pPr>
        <w:spacing w:before="200" w:after="80" w:line="360" w:lineRule="auto"/>
        <w:jc w:val="both"/>
        <w:outlineLvl w:val="1"/>
      </w:pPr>
      <w:bookmarkStart w:id="1" w:name="_Toc15331"/>
      <w:r>
        <w:rPr>
          <w:rFonts w:ascii="黑体" w:hAnsi="黑体" w:eastAsia="黑体"/>
          <w:b/>
          <w:color w:val="003366"/>
          <w:sz w:val="28"/>
        </w:rPr>
        <w:t>1.1  阿坝州概况与项目背景</w:t>
      </w:r>
      <w:bookmarkEnd w:id="1"/>
    </w:p>
    <w:p w14:paraId="13D04207">
      <w:pPr>
        <w:spacing w:before="0" w:after="120" w:line="360" w:lineRule="auto"/>
        <w:ind w:firstLine="168"/>
        <w:jc w:val="both"/>
      </w:pPr>
      <w:r>
        <w:rPr>
          <w:rFonts w:ascii="宋体" w:hAnsi="宋体" w:eastAsia="宋体"/>
          <w:b w:val="0"/>
          <w:color w:val="000000"/>
          <w:sz w:val="24"/>
        </w:rPr>
        <w:t>阿坝藏族羌族自治州（简称"阿坝州"）位于四川省西北部、青藏高原东南缘，是全国十大藏区的重要组成部分，幅员面积8.42万平方公里，全州辖马尔康市和理县、茂县、松潘县、九寨沟县、若尔盖县、红原县、阿坝县、壤塘县、金川县、小金县、黑水县、汶川县共12个县。阿坝州地势西北高、东南低，平均海拔3,000米以上，属于典型的高原气候区，年均气温7.8℃。全州经济以畜牧业、旅游业、水电矿业为三大支柱产业。九寨沟、黄龙、卧龙·四姑娘山大熊猫栖息地等3处世界自然遗产年接待游客超过3,000万人次。</w:t>
      </w:r>
    </w:p>
    <w:p w14:paraId="1AABB49D">
      <w:pPr>
        <w:spacing w:before="0" w:after="120" w:line="360" w:lineRule="auto"/>
        <w:ind w:firstLine="168"/>
        <w:jc w:val="both"/>
      </w:pPr>
      <w:r>
        <w:rPr>
          <w:rFonts w:ascii="宋体" w:hAnsi="宋体" w:eastAsia="宋体"/>
          <w:b w:val="0"/>
          <w:color w:val="000000"/>
          <w:sz w:val="24"/>
        </w:rPr>
        <w:t>随着国家"一带一路"倡议、长江经济带发展、新一轮西部大开发、对口援藏等重大战略的深入推进，阿坝州基础设施建设进入了新一轮高峰期。州本级建设项目涵盖市政基础设施、公共服务设施、生态保护工程、交通水利工程以及信息化工程等多个领域。项目资金来源多为中央预算内投资、省级财政配套资金、地方自筹资金以及对口援建资金，来源结构多元复杂。</w:t>
      </w:r>
    </w:p>
    <w:p w14:paraId="26B56FDB">
      <w:pPr>
        <w:spacing w:before="0" w:after="120" w:line="360" w:lineRule="auto"/>
        <w:ind w:firstLine="168"/>
        <w:jc w:val="both"/>
      </w:pPr>
      <w:r>
        <w:rPr>
          <w:rFonts w:ascii="宋体" w:hAnsi="宋体" w:eastAsia="宋体"/>
          <w:b w:val="0"/>
          <w:color w:val="000000"/>
          <w:sz w:val="24"/>
        </w:rPr>
        <w:t>建设项目竣工财务决算是基本建设项目全流程管理的最终环节，也是项目建成后办理资产移交、产权登记、投资结（决）算和绩效考核的重要依据。依据《基本建设财务规则》（财政部令第81号）的规定，建设单位应当在项目竣工后及时办理竣工财务决算。财建〔2016〕503号文进一步明确，竣工财务决算的审核批复是基本建设财务管理的重要环节，直接关系到国有资产的管理效率和公共资金的使用效益。</w:t>
      </w:r>
    </w:p>
    <w:p w14:paraId="26A36198">
      <w:pPr>
        <w:spacing w:before="200" w:after="80" w:line="360" w:lineRule="auto"/>
        <w:jc w:val="both"/>
        <w:outlineLvl w:val="1"/>
      </w:pPr>
      <w:bookmarkStart w:id="2" w:name="_Toc9936"/>
      <w:r>
        <w:rPr>
          <w:rFonts w:ascii="黑体" w:hAnsi="黑体" w:eastAsia="黑体"/>
          <w:b/>
          <w:color w:val="003366"/>
          <w:sz w:val="28"/>
        </w:rPr>
        <w:t>1.2  项目需求分析</w:t>
      </w:r>
      <w:bookmarkEnd w:id="2"/>
    </w:p>
    <w:p w14:paraId="20B88B52">
      <w:pPr>
        <w:spacing w:before="160" w:after="80" w:line="360" w:lineRule="auto"/>
        <w:jc w:val="both"/>
        <w:outlineLvl w:val="2"/>
      </w:pPr>
      <w:bookmarkStart w:id="3" w:name="_Toc16076"/>
      <w:r>
        <w:rPr>
          <w:rFonts w:ascii="黑体" w:hAnsi="黑体" w:eastAsia="黑体"/>
          <w:b/>
          <w:color w:val="0066CC"/>
          <w:sz w:val="24"/>
        </w:rPr>
        <w:t>1.2.1  服务对象的特殊性</w:t>
      </w:r>
      <w:bookmarkEnd w:id="3"/>
    </w:p>
    <w:p w14:paraId="1BFD3ED5">
      <w:pPr>
        <w:spacing w:before="0" w:after="120" w:line="360" w:lineRule="auto"/>
        <w:ind w:firstLine="168"/>
        <w:jc w:val="both"/>
      </w:pPr>
      <w:r>
        <w:rPr>
          <w:rFonts w:ascii="宋体" w:hAnsi="宋体" w:eastAsia="宋体"/>
          <w:b w:val="0"/>
          <w:color w:val="000000"/>
          <w:sz w:val="24"/>
        </w:rPr>
        <w:t>阿坝州州本级建设项目的实施主体涵盖州本级各部门，项目类型多样，投资规模不等。从项目特点来看：第一，项目多处于高海拔民族地区，施工条件恶劣，工期受高原气候影响较大，冬季施工成本显著高于平原地区，需要审核人员对高原施工的特殊成本构成有充分认识。第二，部分项目涉及民族地区的特殊政策，如对口援建项目在资金管理、招标采购等方面有特殊规定。第三，州本级建设项目涉及的资金来源渠道多，既有中央财政资金又有地方配套资金，项目之间资金交叉的情况时有发生。第四，阿坝州属于地震、泥石流等自然灾害多发区，部分项目在建设期间可能遭遇自然灾害影响，工程报废损失的责任划分较为复杂。</w:t>
      </w:r>
    </w:p>
    <w:p w14:paraId="191DB019">
      <w:pPr>
        <w:spacing w:before="160" w:after="80" w:line="360" w:lineRule="auto"/>
        <w:jc w:val="both"/>
        <w:outlineLvl w:val="2"/>
      </w:pPr>
      <w:bookmarkStart w:id="4" w:name="_Toc18495"/>
      <w:r>
        <w:rPr>
          <w:rFonts w:ascii="黑体" w:hAnsi="黑体" w:eastAsia="黑体"/>
          <w:b/>
          <w:color w:val="0066CC"/>
          <w:sz w:val="24"/>
        </w:rPr>
        <w:t>1.2.2  法规依据体系</w:t>
      </w:r>
      <w:bookmarkEnd w:id="4"/>
    </w:p>
    <w:tbl>
      <w:tblPr>
        <w:tblStyle w:val="35"/>
        <w:tblW w:w="0" w:type="auto"/>
        <w:jc w:val="center"/>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Layout w:type="autofit"/>
        <w:tblCellMar>
          <w:top w:w="0" w:type="dxa"/>
          <w:left w:w="108" w:type="dxa"/>
          <w:bottom w:w="0" w:type="dxa"/>
          <w:right w:w="108" w:type="dxa"/>
        </w:tblCellMar>
      </w:tblPr>
      <w:tblGrid>
        <w:gridCol w:w="2882"/>
        <w:gridCol w:w="2882"/>
        <w:gridCol w:w="2882"/>
      </w:tblGrid>
      <w:tr w14:paraId="1A177B96">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003366"/>
            <w:vAlign w:val="center"/>
          </w:tcPr>
          <w:p w14:paraId="10FFCA30">
            <w:pPr>
              <w:spacing w:before="40" w:after="40"/>
              <w:jc w:val="center"/>
            </w:pPr>
          </w:p>
        </w:tc>
        <w:tc>
          <w:tcPr>
            <w:tcW w:w="2882" w:type="dxa"/>
            <w:shd w:val="clear" w:color="auto" w:fill="003366"/>
            <w:vAlign w:val="center"/>
          </w:tcPr>
          <w:p w14:paraId="466EC5FD">
            <w:pPr>
              <w:spacing w:before="40" w:after="40"/>
              <w:jc w:val="center"/>
            </w:pPr>
            <w:r>
              <w:rPr>
                <w:rFonts w:ascii="黑体" w:hAnsi="黑体" w:eastAsia="黑体"/>
                <w:b/>
                <w:color w:val="FFFFFF"/>
                <w:sz w:val="21"/>
              </w:rPr>
              <w:t>法规名称</w:t>
            </w:r>
          </w:p>
        </w:tc>
        <w:tc>
          <w:tcPr>
            <w:tcW w:w="2882" w:type="dxa"/>
            <w:shd w:val="clear" w:color="auto" w:fill="003366"/>
            <w:vAlign w:val="center"/>
          </w:tcPr>
          <w:p w14:paraId="3E788376">
            <w:pPr>
              <w:spacing w:before="40" w:after="40"/>
              <w:jc w:val="center"/>
            </w:pPr>
            <w:r>
              <w:rPr>
                <w:rFonts w:ascii="黑体" w:hAnsi="黑体" w:eastAsia="黑体"/>
                <w:b/>
                <w:color w:val="FFFFFF"/>
                <w:sz w:val="21"/>
              </w:rPr>
              <w:t>文号/来源</w:t>
            </w:r>
          </w:p>
        </w:tc>
      </w:tr>
      <w:tr w14:paraId="4792EC1C">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0F4FA"/>
            <w:vAlign w:val="center"/>
          </w:tcPr>
          <w:p w14:paraId="69DA21D0">
            <w:pPr>
              <w:spacing w:before="40" w:after="40"/>
              <w:jc w:val="center"/>
            </w:pPr>
            <w:r>
              <w:rPr>
                <w:rFonts w:ascii="宋体" w:hAnsi="宋体" w:eastAsia="宋体"/>
                <w:b w:val="0"/>
                <w:color w:val="000000"/>
                <w:sz w:val="20"/>
              </w:rPr>
              <w:t>《基本建设财务规则》</w:t>
            </w:r>
          </w:p>
        </w:tc>
        <w:tc>
          <w:tcPr>
            <w:tcW w:w="2882" w:type="dxa"/>
            <w:shd w:val="clear" w:color="auto" w:fill="F0F4FA"/>
            <w:vAlign w:val="center"/>
          </w:tcPr>
          <w:p w14:paraId="12C82A02">
            <w:pPr>
              <w:spacing w:before="40" w:after="40"/>
              <w:jc w:val="center"/>
            </w:pPr>
            <w:r>
              <w:rPr>
                <w:rFonts w:ascii="宋体" w:hAnsi="宋体" w:eastAsia="宋体"/>
                <w:b w:val="0"/>
                <w:color w:val="000000"/>
                <w:sz w:val="20"/>
              </w:rPr>
              <w:t>财政部令第81号</w:t>
            </w:r>
          </w:p>
        </w:tc>
        <w:tc>
          <w:tcPr>
            <w:tcW w:w="2882" w:type="dxa"/>
            <w:shd w:val="clear" w:color="auto" w:fill="F0F4FA"/>
            <w:vAlign w:val="center"/>
          </w:tcPr>
          <w:p w14:paraId="78C5E818">
            <w:pPr>
              <w:spacing w:before="40" w:after="40"/>
              <w:jc w:val="center"/>
            </w:pPr>
            <w:r>
              <w:rPr>
                <w:rFonts w:ascii="宋体" w:hAnsi="宋体" w:eastAsia="宋体"/>
                <w:b w:val="0"/>
                <w:color w:val="000000"/>
                <w:sz w:val="20"/>
              </w:rPr>
              <w:t>基本建设财务管理的纲领性文件，明确适用范围、管理原则、成本管理等基本要求，是竣工财务决算审核的首要依据</w:t>
            </w:r>
          </w:p>
        </w:tc>
      </w:tr>
      <w:tr w14:paraId="394063C5">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FFFFF"/>
            <w:vAlign w:val="center"/>
          </w:tcPr>
          <w:p w14:paraId="3F929805">
            <w:pPr>
              <w:spacing w:before="40" w:after="40"/>
              <w:jc w:val="center"/>
            </w:pPr>
            <w:r>
              <w:rPr>
                <w:rFonts w:ascii="宋体" w:hAnsi="宋体" w:eastAsia="宋体"/>
                <w:b w:val="0"/>
                <w:color w:val="000000"/>
                <w:sz w:val="20"/>
              </w:rPr>
              <w:t>《基本建设项目竣工财务决算管理暂行办法》</w:t>
            </w:r>
          </w:p>
        </w:tc>
        <w:tc>
          <w:tcPr>
            <w:tcW w:w="2882" w:type="dxa"/>
            <w:shd w:val="clear" w:color="auto" w:fill="FFFFFF"/>
            <w:vAlign w:val="center"/>
          </w:tcPr>
          <w:p w14:paraId="058C0627">
            <w:pPr>
              <w:spacing w:before="40" w:after="40"/>
              <w:jc w:val="center"/>
            </w:pPr>
            <w:r>
              <w:rPr>
                <w:rFonts w:ascii="宋体" w:hAnsi="宋体" w:eastAsia="宋体"/>
                <w:b w:val="0"/>
                <w:color w:val="000000"/>
                <w:sz w:val="20"/>
              </w:rPr>
              <w:t>财建〔2016〕503号</w:t>
            </w:r>
          </w:p>
        </w:tc>
        <w:tc>
          <w:tcPr>
            <w:tcW w:w="2882" w:type="dxa"/>
            <w:shd w:val="clear" w:color="auto" w:fill="FFFFFF"/>
            <w:vAlign w:val="center"/>
          </w:tcPr>
          <w:p w14:paraId="30A69B86">
            <w:pPr>
              <w:spacing w:before="40" w:after="40"/>
              <w:jc w:val="center"/>
            </w:pPr>
            <w:r>
              <w:rPr>
                <w:rFonts w:ascii="宋体" w:hAnsi="宋体" w:eastAsia="宋体"/>
                <w:b w:val="0"/>
                <w:color w:val="000000"/>
                <w:sz w:val="20"/>
              </w:rPr>
              <w:t>详细规定竣工财务决算的编制要求、审核程序、批复权限和时限要求，明确建设单位、审核机构的职责分工</w:t>
            </w:r>
          </w:p>
        </w:tc>
      </w:tr>
      <w:tr w14:paraId="01854617">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0F4FA"/>
            <w:vAlign w:val="center"/>
          </w:tcPr>
          <w:p w14:paraId="4D8453BF">
            <w:pPr>
              <w:spacing w:before="40" w:after="40"/>
              <w:jc w:val="center"/>
            </w:pPr>
            <w:r>
              <w:rPr>
                <w:rFonts w:ascii="宋体" w:hAnsi="宋体" w:eastAsia="宋体"/>
                <w:b w:val="0"/>
                <w:color w:val="000000"/>
                <w:sz w:val="20"/>
              </w:rPr>
              <w:t>《基本建设项目建设成本管理规定》</w:t>
            </w:r>
          </w:p>
        </w:tc>
        <w:tc>
          <w:tcPr>
            <w:tcW w:w="2882" w:type="dxa"/>
            <w:shd w:val="clear" w:color="auto" w:fill="F0F4FA"/>
            <w:vAlign w:val="center"/>
          </w:tcPr>
          <w:p w14:paraId="2ABE575F">
            <w:pPr>
              <w:spacing w:before="40" w:after="40"/>
              <w:jc w:val="center"/>
            </w:pPr>
            <w:r>
              <w:rPr>
                <w:rFonts w:ascii="宋体" w:hAnsi="宋体" w:eastAsia="宋体"/>
                <w:b w:val="0"/>
                <w:color w:val="000000"/>
                <w:sz w:val="20"/>
              </w:rPr>
              <w:t>财建〔2016〕504号</w:t>
            </w:r>
          </w:p>
        </w:tc>
        <w:tc>
          <w:tcPr>
            <w:tcW w:w="2882" w:type="dxa"/>
            <w:shd w:val="clear" w:color="auto" w:fill="F0F4FA"/>
            <w:vAlign w:val="center"/>
          </w:tcPr>
          <w:p w14:paraId="0671B783">
            <w:pPr>
              <w:spacing w:before="40" w:after="40"/>
              <w:jc w:val="center"/>
            </w:pPr>
            <w:r>
              <w:rPr>
                <w:rFonts w:ascii="宋体" w:hAnsi="宋体" w:eastAsia="宋体"/>
                <w:b w:val="0"/>
                <w:color w:val="000000"/>
                <w:sz w:val="20"/>
              </w:rPr>
              <w:t>规范建设成本的归集范围、固定资产与长期待摊费用的界定、管理费计提标准等</w:t>
            </w:r>
          </w:p>
        </w:tc>
      </w:tr>
      <w:tr w14:paraId="3819BDBC">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FFFFF"/>
            <w:vAlign w:val="center"/>
          </w:tcPr>
          <w:p w14:paraId="4B940ECF">
            <w:pPr>
              <w:spacing w:before="40" w:after="40"/>
              <w:jc w:val="center"/>
            </w:pPr>
            <w:r>
              <w:rPr>
                <w:rFonts w:ascii="宋体" w:hAnsi="宋体" w:eastAsia="宋体"/>
                <w:b w:val="0"/>
                <w:color w:val="000000"/>
                <w:sz w:val="20"/>
              </w:rPr>
              <w:t>《政府会计准则——基本准则》</w:t>
            </w:r>
          </w:p>
        </w:tc>
        <w:tc>
          <w:tcPr>
            <w:tcW w:w="2882" w:type="dxa"/>
            <w:shd w:val="clear" w:color="auto" w:fill="FFFFFF"/>
            <w:vAlign w:val="center"/>
          </w:tcPr>
          <w:p w14:paraId="541A8C81">
            <w:pPr>
              <w:spacing w:before="40" w:after="40"/>
              <w:jc w:val="center"/>
            </w:pPr>
            <w:r>
              <w:rPr>
                <w:rFonts w:ascii="宋体" w:hAnsi="宋体" w:eastAsia="宋体"/>
                <w:b w:val="0"/>
                <w:color w:val="000000"/>
                <w:sz w:val="20"/>
              </w:rPr>
              <w:t>财政部令第78号</w:t>
            </w:r>
          </w:p>
        </w:tc>
        <w:tc>
          <w:tcPr>
            <w:tcW w:w="2882" w:type="dxa"/>
            <w:shd w:val="clear" w:color="auto" w:fill="FFFFFF"/>
            <w:vAlign w:val="center"/>
          </w:tcPr>
          <w:p w14:paraId="0C26DF4D">
            <w:pPr>
              <w:spacing w:before="40" w:after="40"/>
              <w:jc w:val="center"/>
            </w:pPr>
            <w:r>
              <w:rPr>
                <w:rFonts w:ascii="宋体" w:hAnsi="宋体" w:eastAsia="宋体"/>
                <w:b w:val="0"/>
                <w:color w:val="000000"/>
                <w:sz w:val="20"/>
              </w:rPr>
              <w:t>规范政府会计主体的会计核算，固定资产、无形资产的确认和计量方法</w:t>
            </w:r>
          </w:p>
        </w:tc>
      </w:tr>
      <w:tr w14:paraId="725684B9">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0F4FA"/>
            <w:vAlign w:val="center"/>
          </w:tcPr>
          <w:p w14:paraId="38FEE670">
            <w:pPr>
              <w:spacing w:before="40" w:after="40"/>
              <w:jc w:val="center"/>
            </w:pPr>
            <w:r>
              <w:rPr>
                <w:rFonts w:ascii="宋体" w:hAnsi="宋体" w:eastAsia="宋体"/>
                <w:b w:val="0"/>
                <w:color w:val="000000"/>
                <w:sz w:val="20"/>
              </w:rPr>
              <w:t>《中国注册会计师审计准则》</w:t>
            </w:r>
          </w:p>
        </w:tc>
        <w:tc>
          <w:tcPr>
            <w:tcW w:w="2882" w:type="dxa"/>
            <w:shd w:val="clear" w:color="auto" w:fill="F0F4FA"/>
            <w:vAlign w:val="center"/>
          </w:tcPr>
          <w:p w14:paraId="254B2E2E">
            <w:pPr>
              <w:spacing w:before="40" w:after="40"/>
              <w:jc w:val="center"/>
            </w:pPr>
            <w:r>
              <w:rPr>
                <w:rFonts w:ascii="宋体" w:hAnsi="宋体" w:eastAsia="宋体"/>
                <w:b w:val="0"/>
                <w:color w:val="000000"/>
                <w:sz w:val="20"/>
              </w:rPr>
              <w:t>财政部/中注协</w:t>
            </w:r>
          </w:p>
        </w:tc>
        <w:tc>
          <w:tcPr>
            <w:tcW w:w="2882" w:type="dxa"/>
            <w:shd w:val="clear" w:color="auto" w:fill="F0F4FA"/>
            <w:vAlign w:val="center"/>
          </w:tcPr>
          <w:p w14:paraId="01DC4FC5">
            <w:pPr>
              <w:spacing w:before="40" w:after="40"/>
              <w:jc w:val="center"/>
            </w:pPr>
            <w:r>
              <w:rPr>
                <w:rFonts w:ascii="宋体" w:hAnsi="宋体" w:eastAsia="宋体"/>
                <w:b w:val="0"/>
                <w:color w:val="000000"/>
                <w:sz w:val="20"/>
              </w:rPr>
              <w:t>包括鉴证业务准则、相关服务准则、质量控制准则等，为竣工财务决算审核提供方法论指导</w:t>
            </w:r>
          </w:p>
        </w:tc>
      </w:tr>
      <w:tr w14:paraId="720EEEB4">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FFFFF"/>
            <w:vAlign w:val="center"/>
          </w:tcPr>
          <w:p w14:paraId="2DD4A760">
            <w:pPr>
              <w:spacing w:before="40" w:after="40"/>
              <w:jc w:val="center"/>
            </w:pPr>
            <w:r>
              <w:rPr>
                <w:rFonts w:ascii="宋体" w:hAnsi="宋体" w:eastAsia="宋体"/>
                <w:b w:val="0"/>
                <w:color w:val="000000"/>
                <w:sz w:val="20"/>
              </w:rPr>
              <w:t>《会计师事务所从事基本建设工程决算审核暂行办法》</w:t>
            </w:r>
          </w:p>
        </w:tc>
        <w:tc>
          <w:tcPr>
            <w:tcW w:w="2882" w:type="dxa"/>
            <w:shd w:val="clear" w:color="auto" w:fill="FFFFFF"/>
            <w:vAlign w:val="center"/>
          </w:tcPr>
          <w:p w14:paraId="75540385">
            <w:pPr>
              <w:spacing w:before="40" w:after="40"/>
              <w:jc w:val="center"/>
            </w:pPr>
            <w:r>
              <w:rPr>
                <w:rFonts w:ascii="宋体" w:hAnsi="宋体" w:eastAsia="宋体"/>
                <w:b w:val="0"/>
                <w:color w:val="000000"/>
                <w:sz w:val="20"/>
              </w:rPr>
              <w:t>财协〔2003〕21号</w:t>
            </w:r>
          </w:p>
        </w:tc>
        <w:tc>
          <w:tcPr>
            <w:tcW w:w="2882" w:type="dxa"/>
            <w:shd w:val="clear" w:color="auto" w:fill="FFFFFF"/>
            <w:vAlign w:val="center"/>
          </w:tcPr>
          <w:p w14:paraId="7D726925">
            <w:pPr>
              <w:spacing w:before="40" w:after="40"/>
              <w:jc w:val="center"/>
            </w:pPr>
            <w:r>
              <w:rPr>
                <w:rFonts w:ascii="宋体" w:hAnsi="宋体" w:eastAsia="宋体"/>
                <w:b w:val="0"/>
                <w:color w:val="000000"/>
                <w:sz w:val="20"/>
              </w:rPr>
              <w:t>规范会计师事务所从事基本建设工程决算审核的执业行为和质量要求</w:t>
            </w:r>
          </w:p>
        </w:tc>
      </w:tr>
      <w:tr w14:paraId="4FCDF966">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0F4FA"/>
            <w:vAlign w:val="center"/>
          </w:tcPr>
          <w:p w14:paraId="11ED2A48">
            <w:pPr>
              <w:spacing w:before="40" w:after="40"/>
              <w:jc w:val="center"/>
            </w:pPr>
            <w:r>
              <w:rPr>
                <w:rFonts w:ascii="宋体" w:hAnsi="宋体" w:eastAsia="宋体"/>
                <w:b w:val="0"/>
                <w:color w:val="000000"/>
                <w:sz w:val="20"/>
              </w:rPr>
              <w:t>《四川省会计师事务所服务收费管理办法》</w:t>
            </w:r>
          </w:p>
        </w:tc>
        <w:tc>
          <w:tcPr>
            <w:tcW w:w="2882" w:type="dxa"/>
            <w:shd w:val="clear" w:color="auto" w:fill="F0F4FA"/>
            <w:vAlign w:val="center"/>
          </w:tcPr>
          <w:p w14:paraId="742A2D85">
            <w:pPr>
              <w:spacing w:before="40" w:after="40"/>
              <w:jc w:val="center"/>
            </w:pPr>
            <w:r>
              <w:rPr>
                <w:rFonts w:ascii="宋体" w:hAnsi="宋体" w:eastAsia="宋体"/>
                <w:b w:val="0"/>
                <w:color w:val="000000"/>
                <w:sz w:val="20"/>
              </w:rPr>
              <w:t>川发改价格〔2013〕901号</w:t>
            </w:r>
          </w:p>
        </w:tc>
        <w:tc>
          <w:tcPr>
            <w:tcW w:w="2882" w:type="dxa"/>
            <w:shd w:val="clear" w:color="auto" w:fill="F0F4FA"/>
            <w:vAlign w:val="center"/>
          </w:tcPr>
          <w:p w14:paraId="1FBA3BD7">
            <w:pPr>
              <w:spacing w:before="40" w:after="40"/>
              <w:jc w:val="center"/>
            </w:pPr>
            <w:r>
              <w:rPr>
                <w:rFonts w:ascii="宋体" w:hAnsi="宋体" w:eastAsia="宋体"/>
                <w:b w:val="0"/>
                <w:color w:val="000000"/>
                <w:sz w:val="20"/>
              </w:rPr>
              <w:t>规定四川省会计师事务所服务收费的计算方法和标准，是本项目收费的依据</w:t>
            </w:r>
          </w:p>
        </w:tc>
      </w:tr>
    </w:tbl>
    <w:p w14:paraId="1826F2F9">
      <w:pPr>
        <w:spacing w:before="160" w:after="80" w:line="360" w:lineRule="auto"/>
        <w:jc w:val="both"/>
        <w:outlineLvl w:val="2"/>
      </w:pPr>
      <w:bookmarkStart w:id="5" w:name="_Toc25762"/>
      <w:r>
        <w:rPr>
          <w:rFonts w:ascii="黑体" w:hAnsi="黑体" w:eastAsia="黑体"/>
          <w:b/>
          <w:color w:val="0066CC"/>
          <w:sz w:val="24"/>
        </w:rPr>
        <w:t>1.2.3  审核内容要点</w:t>
      </w:r>
      <w:bookmarkEnd w:id="5"/>
    </w:p>
    <w:p w14:paraId="7857C863">
      <w:pPr>
        <w:spacing w:before="0" w:after="120" w:line="360" w:lineRule="auto"/>
        <w:ind w:firstLine="168"/>
        <w:jc w:val="both"/>
      </w:pPr>
      <w:r>
        <w:rPr>
          <w:rFonts w:ascii="宋体" w:hAnsi="宋体" w:eastAsia="宋体"/>
          <w:b w:val="0"/>
          <w:color w:val="000000"/>
          <w:sz w:val="24"/>
        </w:rPr>
        <w:t>根据比选文件第三章"★服务内容"的要求，本项目审核重点聚焦于项目核算管理情况审核（执行《基本建设财务规则》及相关会计制度情况），具体包括以下核心内容：</w:t>
      </w:r>
    </w:p>
    <w:tbl>
      <w:tblPr>
        <w:tblStyle w:val="35"/>
        <w:tblW w:w="0" w:type="auto"/>
        <w:jc w:val="center"/>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Layout w:type="autofit"/>
        <w:tblCellMar>
          <w:top w:w="0" w:type="dxa"/>
          <w:left w:w="108" w:type="dxa"/>
          <w:bottom w:w="0" w:type="dxa"/>
          <w:right w:w="108" w:type="dxa"/>
        </w:tblCellMar>
      </w:tblPr>
      <w:tblGrid>
        <w:gridCol w:w="2882"/>
        <w:gridCol w:w="2882"/>
        <w:gridCol w:w="2882"/>
      </w:tblGrid>
      <w:tr w14:paraId="1D2DE6B1">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003366"/>
            <w:vAlign w:val="center"/>
          </w:tcPr>
          <w:p w14:paraId="2FF052AD">
            <w:pPr>
              <w:spacing w:before="40" w:after="40"/>
              <w:jc w:val="center"/>
            </w:pPr>
          </w:p>
        </w:tc>
        <w:tc>
          <w:tcPr>
            <w:tcW w:w="2882" w:type="dxa"/>
            <w:shd w:val="clear" w:color="auto" w:fill="003366"/>
            <w:vAlign w:val="center"/>
          </w:tcPr>
          <w:p w14:paraId="442845CF">
            <w:pPr>
              <w:spacing w:before="40" w:after="40"/>
              <w:jc w:val="center"/>
            </w:pPr>
            <w:r>
              <w:rPr>
                <w:rFonts w:ascii="黑体" w:hAnsi="黑体" w:eastAsia="黑体"/>
                <w:b/>
                <w:color w:val="FFFFFF"/>
                <w:sz w:val="21"/>
              </w:rPr>
              <w:t>审核维度</w:t>
            </w:r>
          </w:p>
        </w:tc>
        <w:tc>
          <w:tcPr>
            <w:tcW w:w="2882" w:type="dxa"/>
            <w:shd w:val="clear" w:color="auto" w:fill="003366"/>
            <w:vAlign w:val="center"/>
          </w:tcPr>
          <w:p w14:paraId="5B0DBADE">
            <w:pPr>
              <w:spacing w:before="40" w:after="40"/>
              <w:jc w:val="center"/>
            </w:pPr>
            <w:r>
              <w:rPr>
                <w:rFonts w:ascii="黑体" w:hAnsi="黑体" w:eastAsia="黑体"/>
                <w:b/>
                <w:color w:val="FFFFFF"/>
                <w:sz w:val="21"/>
              </w:rPr>
              <w:t>核心内容</w:t>
            </w:r>
          </w:p>
        </w:tc>
      </w:tr>
      <w:tr w14:paraId="09210069">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0F4FA"/>
            <w:vAlign w:val="center"/>
          </w:tcPr>
          <w:p w14:paraId="588A30CE">
            <w:pPr>
              <w:spacing w:before="40" w:after="40"/>
              <w:jc w:val="center"/>
            </w:pPr>
            <w:r>
              <w:rPr>
                <w:rFonts w:ascii="宋体" w:hAnsi="宋体" w:eastAsia="宋体"/>
                <w:b w:val="0"/>
                <w:color w:val="000000"/>
                <w:sz w:val="20"/>
              </w:rPr>
              <w:t>建设成本核算</w:t>
            </w:r>
          </w:p>
        </w:tc>
        <w:tc>
          <w:tcPr>
            <w:tcW w:w="2882" w:type="dxa"/>
            <w:shd w:val="clear" w:color="auto" w:fill="F0F4FA"/>
            <w:vAlign w:val="center"/>
          </w:tcPr>
          <w:p w14:paraId="336663C9">
            <w:pPr>
              <w:spacing w:before="40" w:after="40"/>
              <w:jc w:val="center"/>
            </w:pPr>
            <w:r>
              <w:rPr>
                <w:rFonts w:ascii="宋体" w:hAnsi="宋体" w:eastAsia="宋体"/>
                <w:b w:val="0"/>
                <w:color w:val="000000"/>
                <w:sz w:val="20"/>
              </w:rPr>
              <w:t>核实成本归集是否准确，是否超过批准建设内容发生支出</w:t>
            </w:r>
          </w:p>
        </w:tc>
        <w:tc>
          <w:tcPr>
            <w:tcW w:w="2882" w:type="dxa"/>
            <w:shd w:val="clear" w:color="auto" w:fill="F0F4FA"/>
            <w:vAlign w:val="center"/>
          </w:tcPr>
          <w:p w14:paraId="4117DD45">
            <w:pPr>
              <w:spacing w:before="40" w:after="40"/>
              <w:jc w:val="center"/>
            </w:pPr>
            <w:r>
              <w:rPr>
                <w:rFonts w:ascii="宋体" w:hAnsi="宋体" w:eastAsia="宋体"/>
                <w:b w:val="0"/>
                <w:color w:val="000000"/>
                <w:sz w:val="20"/>
              </w:rPr>
              <w:t>全面核查法、数据分析法、穿行测试法</w:t>
            </w:r>
          </w:p>
        </w:tc>
      </w:tr>
      <w:tr w14:paraId="075BF2C5">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FFFFF"/>
            <w:vAlign w:val="center"/>
          </w:tcPr>
          <w:p w14:paraId="11CFC555">
            <w:pPr>
              <w:spacing w:before="40" w:after="40"/>
              <w:jc w:val="center"/>
            </w:pPr>
            <w:r>
              <w:rPr>
                <w:rFonts w:ascii="宋体" w:hAnsi="宋体" w:eastAsia="宋体"/>
                <w:b w:val="0"/>
                <w:color w:val="000000"/>
                <w:sz w:val="20"/>
              </w:rPr>
              <w:t>支出合规性</w:t>
            </w:r>
          </w:p>
        </w:tc>
        <w:tc>
          <w:tcPr>
            <w:tcW w:w="2882" w:type="dxa"/>
            <w:shd w:val="clear" w:color="auto" w:fill="FFFFFF"/>
            <w:vAlign w:val="center"/>
          </w:tcPr>
          <w:p w14:paraId="15FB5DDC">
            <w:pPr>
              <w:spacing w:before="40" w:after="40"/>
              <w:jc w:val="center"/>
            </w:pPr>
            <w:r>
              <w:rPr>
                <w:rFonts w:ascii="宋体" w:hAnsi="宋体" w:eastAsia="宋体"/>
                <w:b w:val="0"/>
                <w:color w:val="000000"/>
                <w:sz w:val="20"/>
              </w:rPr>
              <w:t>是否存在不符合合同协议的支出、非法收费和摊派</w:t>
            </w:r>
          </w:p>
        </w:tc>
        <w:tc>
          <w:tcPr>
            <w:tcW w:w="2882" w:type="dxa"/>
            <w:shd w:val="clear" w:color="auto" w:fill="FFFFFF"/>
            <w:vAlign w:val="center"/>
          </w:tcPr>
          <w:p w14:paraId="693D9EB3">
            <w:pPr>
              <w:spacing w:before="40" w:after="40"/>
              <w:jc w:val="center"/>
            </w:pPr>
            <w:r>
              <w:rPr>
                <w:rFonts w:ascii="宋体" w:hAnsi="宋体" w:eastAsia="宋体"/>
                <w:b w:val="0"/>
                <w:color w:val="000000"/>
                <w:sz w:val="20"/>
              </w:rPr>
              <w:t>合同比对法、穿行测试法、专家咨询法</w:t>
            </w:r>
          </w:p>
        </w:tc>
      </w:tr>
      <w:tr w14:paraId="7975C04E">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0F4FA"/>
            <w:vAlign w:val="center"/>
          </w:tcPr>
          <w:p w14:paraId="20B2BEED">
            <w:pPr>
              <w:spacing w:before="40" w:after="40"/>
              <w:jc w:val="center"/>
            </w:pPr>
            <w:r>
              <w:rPr>
                <w:rFonts w:ascii="宋体" w:hAnsi="宋体" w:eastAsia="宋体"/>
                <w:b w:val="0"/>
                <w:color w:val="000000"/>
                <w:sz w:val="20"/>
              </w:rPr>
              <w:t>票据合规性</w:t>
            </w:r>
          </w:p>
        </w:tc>
        <w:tc>
          <w:tcPr>
            <w:tcW w:w="2882" w:type="dxa"/>
            <w:shd w:val="clear" w:color="auto" w:fill="F0F4FA"/>
            <w:vAlign w:val="center"/>
          </w:tcPr>
          <w:p w14:paraId="77D49BFE">
            <w:pPr>
              <w:spacing w:before="40" w:after="40"/>
              <w:jc w:val="center"/>
            </w:pPr>
            <w:r>
              <w:rPr>
                <w:rFonts w:ascii="宋体" w:hAnsi="宋体" w:eastAsia="宋体"/>
                <w:b w:val="0"/>
                <w:color w:val="000000"/>
                <w:sz w:val="20"/>
              </w:rPr>
              <w:t>无发票或发票项目不全、无审批手续、无责任人员签字的支出</w:t>
            </w:r>
          </w:p>
        </w:tc>
        <w:tc>
          <w:tcPr>
            <w:tcW w:w="2882" w:type="dxa"/>
            <w:shd w:val="clear" w:color="auto" w:fill="F0F4FA"/>
            <w:vAlign w:val="center"/>
          </w:tcPr>
          <w:p w14:paraId="060BB730">
            <w:pPr>
              <w:spacing w:before="40" w:after="40"/>
              <w:jc w:val="center"/>
            </w:pPr>
            <w:r>
              <w:rPr>
                <w:rFonts w:ascii="宋体" w:hAnsi="宋体" w:eastAsia="宋体"/>
                <w:b w:val="0"/>
                <w:color w:val="000000"/>
                <w:sz w:val="20"/>
              </w:rPr>
              <w:t>票据逐笔核对法、网上核验法</w:t>
            </w:r>
          </w:p>
        </w:tc>
      </w:tr>
      <w:tr w14:paraId="4153A577">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FFFFF"/>
            <w:vAlign w:val="center"/>
          </w:tcPr>
          <w:p w14:paraId="2CDD94C9">
            <w:pPr>
              <w:spacing w:before="40" w:after="40"/>
              <w:jc w:val="center"/>
            </w:pPr>
            <w:r>
              <w:rPr>
                <w:rFonts w:ascii="宋体" w:hAnsi="宋体" w:eastAsia="宋体"/>
                <w:b w:val="0"/>
                <w:color w:val="000000"/>
                <w:sz w:val="20"/>
              </w:rPr>
              <w:t>损失浪费</w:t>
            </w:r>
          </w:p>
        </w:tc>
        <w:tc>
          <w:tcPr>
            <w:tcW w:w="2882" w:type="dxa"/>
            <w:shd w:val="clear" w:color="auto" w:fill="FFFFFF"/>
            <w:vAlign w:val="center"/>
          </w:tcPr>
          <w:p w14:paraId="79998571">
            <w:pPr>
              <w:spacing w:before="40" w:after="40"/>
              <w:jc w:val="center"/>
            </w:pPr>
            <w:r>
              <w:rPr>
                <w:rFonts w:ascii="宋体" w:hAnsi="宋体" w:eastAsia="宋体"/>
                <w:b w:val="0"/>
                <w:color w:val="000000"/>
                <w:sz w:val="20"/>
              </w:rPr>
              <w:t>因设计/施工/供货单位原因造成的工程报废损失及责任划分</w:t>
            </w:r>
          </w:p>
        </w:tc>
        <w:tc>
          <w:tcPr>
            <w:tcW w:w="2882" w:type="dxa"/>
            <w:shd w:val="clear" w:color="auto" w:fill="FFFFFF"/>
            <w:vAlign w:val="center"/>
          </w:tcPr>
          <w:p w14:paraId="48D53B45">
            <w:pPr>
              <w:spacing w:before="40" w:after="40"/>
              <w:jc w:val="center"/>
            </w:pPr>
            <w:r>
              <w:rPr>
                <w:rFonts w:ascii="宋体" w:hAnsi="宋体" w:eastAsia="宋体"/>
                <w:b w:val="0"/>
                <w:color w:val="000000"/>
                <w:sz w:val="20"/>
              </w:rPr>
              <w:t>专家咨询法、现场核实法、责任追溯法</w:t>
            </w:r>
          </w:p>
        </w:tc>
      </w:tr>
      <w:tr w14:paraId="242CD4DD">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2882" w:type="dxa"/>
            <w:shd w:val="clear" w:color="auto" w:fill="F0F4FA"/>
            <w:vAlign w:val="center"/>
          </w:tcPr>
          <w:p w14:paraId="2DB68744">
            <w:pPr>
              <w:spacing w:before="40" w:after="40"/>
              <w:jc w:val="center"/>
            </w:pPr>
            <w:r>
              <w:rPr>
                <w:rFonts w:ascii="宋体" w:hAnsi="宋体" w:eastAsia="宋体"/>
                <w:b w:val="0"/>
                <w:color w:val="000000"/>
                <w:sz w:val="20"/>
              </w:rPr>
              <w:t>制度执行</w:t>
            </w:r>
          </w:p>
        </w:tc>
        <w:tc>
          <w:tcPr>
            <w:tcW w:w="2882" w:type="dxa"/>
            <w:shd w:val="clear" w:color="auto" w:fill="F0F4FA"/>
            <w:vAlign w:val="center"/>
          </w:tcPr>
          <w:p w14:paraId="302EDABF">
            <w:pPr>
              <w:spacing w:before="40" w:after="40"/>
              <w:jc w:val="center"/>
            </w:pPr>
            <w:r>
              <w:rPr>
                <w:rFonts w:ascii="宋体" w:hAnsi="宋体" w:eastAsia="宋体"/>
                <w:b w:val="0"/>
                <w:color w:val="000000"/>
                <w:sz w:val="20"/>
              </w:rPr>
              <w:t>执行《基本建设财务规则》及相关会计制度的有效性</w:t>
            </w:r>
          </w:p>
        </w:tc>
        <w:tc>
          <w:tcPr>
            <w:tcW w:w="2882" w:type="dxa"/>
            <w:shd w:val="clear" w:color="auto" w:fill="F0F4FA"/>
            <w:vAlign w:val="center"/>
          </w:tcPr>
          <w:p w14:paraId="0BCBB781">
            <w:pPr>
              <w:spacing w:before="40" w:after="40"/>
              <w:jc w:val="center"/>
            </w:pPr>
            <w:r>
              <w:rPr>
                <w:rFonts w:ascii="宋体" w:hAnsi="宋体" w:eastAsia="宋体"/>
                <w:b w:val="0"/>
                <w:color w:val="000000"/>
                <w:sz w:val="20"/>
              </w:rPr>
              <w:t>符合性测试、穿行测试、比较分析法</w:t>
            </w:r>
          </w:p>
        </w:tc>
      </w:tr>
    </w:tbl>
    <w:p w14:paraId="3C399637">
      <w:pPr>
        <w:spacing w:before="200" w:after="80" w:line="360" w:lineRule="auto"/>
        <w:jc w:val="both"/>
        <w:outlineLvl w:val="1"/>
      </w:pPr>
      <w:bookmarkStart w:id="6" w:name="_Toc7795"/>
      <w:r>
        <w:rPr>
          <w:rFonts w:ascii="黑体" w:hAnsi="黑体" w:eastAsia="黑体"/>
          <w:b/>
          <w:color w:val="003366"/>
          <w:sz w:val="28"/>
        </w:rPr>
        <w:t>1.3  总体思路</w:t>
      </w:r>
      <w:bookmarkEnd w:id="6"/>
    </w:p>
    <w:p w14:paraId="023A3C48">
      <w:pPr>
        <w:spacing w:before="160" w:after="80" w:line="360" w:lineRule="auto"/>
        <w:jc w:val="both"/>
        <w:outlineLvl w:val="2"/>
      </w:pPr>
      <w:bookmarkStart w:id="7" w:name="_Toc22659"/>
      <w:r>
        <w:rPr>
          <w:rFonts w:ascii="黑体" w:hAnsi="黑体" w:eastAsia="黑体"/>
          <w:b/>
          <w:color w:val="0066CC"/>
          <w:sz w:val="24"/>
        </w:rPr>
        <w:t>1.3.1  审核目标</w:t>
      </w:r>
      <w:bookmarkEnd w:id="7"/>
    </w:p>
    <w:p w14:paraId="49C8763A">
      <w:pPr>
        <w:spacing w:before="0" w:after="120" w:line="360" w:lineRule="auto"/>
        <w:ind w:firstLine="168"/>
        <w:jc w:val="both"/>
      </w:pPr>
      <w:r>
        <w:rPr>
          <w:rFonts w:ascii="宋体" w:hAnsi="宋体" w:eastAsia="宋体"/>
          <w:b w:val="0"/>
          <w:color w:val="000000"/>
          <w:sz w:val="24"/>
        </w:rPr>
        <w:t>本项目竣工财务决算审核的总体目标是：依据适用的法律法规、会计准则和审计准则，对阿坝州财政局州本级建设项目的竣工财务决算进行全面、客观、审慎的审核，确认项目建设的真实性、合法性和效益性，揭示项目在建设成本核算、资金管理、资产移交等方面存在的问题和风险，出具真实、合法的审核报告，为阿坝州财政局的项目管理决策和国有资产移交登记提供可靠依据。本项目审核工作追求实现以下四个层面的目标：第一层面是合规性目标，确认项目建设是否符合基本建设程序规定，资金使用是否符合预算安排，会计核算是否符合财务制度要求。第二层面是真实性目标，确认项目实际完成情况与财务决算反映的情况是否一致，建设成本是否真实发生。第三层面是效益性目标，通过对项目投资效益的分析，评价项目建设的经济性、效率性和效果性。第四层面是管理提升目标，在审核过程中发现建设单位在项目管理中存在的问题和薄弱环节，提出切实可行的管理建议。</w:t>
      </w:r>
    </w:p>
    <w:p w14:paraId="737AF60E">
      <w:pPr>
        <w:spacing w:before="160" w:after="80" w:line="360" w:lineRule="auto"/>
        <w:jc w:val="both"/>
        <w:outlineLvl w:val="2"/>
      </w:pPr>
      <w:bookmarkStart w:id="8" w:name="_Toc30335"/>
      <w:r>
        <w:rPr>
          <w:rFonts w:ascii="黑体" w:hAnsi="黑体" w:eastAsia="黑体"/>
          <w:b/>
          <w:color w:val="0066CC"/>
          <w:sz w:val="24"/>
        </w:rPr>
        <w:t>1.3.2  审核原则（五大原则）</w:t>
      </w:r>
      <w:bookmarkEnd w:id="8"/>
    </w:p>
    <w:tbl>
      <w:tblPr>
        <w:tblStyle w:val="35"/>
        <w:tblW w:w="0" w:type="auto"/>
        <w:jc w:val="center"/>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Layout w:type="autofit"/>
        <w:tblCellMar>
          <w:top w:w="0" w:type="dxa"/>
          <w:left w:w="108" w:type="dxa"/>
          <w:bottom w:w="0" w:type="dxa"/>
          <w:right w:w="108" w:type="dxa"/>
        </w:tblCellMar>
      </w:tblPr>
      <w:tblGrid>
        <w:gridCol w:w="4323"/>
        <w:gridCol w:w="4323"/>
      </w:tblGrid>
      <w:tr w14:paraId="0E787891">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003366"/>
            <w:vAlign w:val="center"/>
          </w:tcPr>
          <w:p w14:paraId="036BB24E">
            <w:pPr>
              <w:spacing w:before="40" w:after="40"/>
              <w:jc w:val="center"/>
            </w:pPr>
          </w:p>
        </w:tc>
        <w:tc>
          <w:tcPr>
            <w:tcW w:w="4323" w:type="dxa"/>
            <w:shd w:val="clear" w:color="auto" w:fill="003366"/>
            <w:vAlign w:val="center"/>
          </w:tcPr>
          <w:p w14:paraId="0D72B59E">
            <w:pPr>
              <w:spacing w:before="40" w:after="40"/>
              <w:jc w:val="center"/>
            </w:pPr>
            <w:r>
              <w:rPr>
                <w:rFonts w:ascii="黑体" w:hAnsi="黑体" w:eastAsia="黑体"/>
                <w:b/>
                <w:color w:val="FFFFFF"/>
                <w:sz w:val="21"/>
              </w:rPr>
              <w:t>审核原则</w:t>
            </w:r>
          </w:p>
        </w:tc>
      </w:tr>
      <w:tr w14:paraId="2B5BD313">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0F4FA"/>
            <w:vAlign w:val="center"/>
          </w:tcPr>
          <w:p w14:paraId="29CD2BED">
            <w:pPr>
              <w:spacing w:before="40" w:after="40"/>
              <w:jc w:val="center"/>
            </w:pPr>
            <w:r>
              <w:rPr>
                <w:rFonts w:ascii="宋体" w:hAnsi="宋体" w:eastAsia="宋体"/>
                <w:b w:val="0"/>
                <w:color w:val="000000"/>
                <w:sz w:val="20"/>
              </w:rPr>
              <w:t>依法合规原则</w:t>
            </w:r>
          </w:p>
        </w:tc>
        <w:tc>
          <w:tcPr>
            <w:tcW w:w="4323" w:type="dxa"/>
            <w:shd w:val="clear" w:color="auto" w:fill="F0F4FA"/>
            <w:vAlign w:val="center"/>
          </w:tcPr>
          <w:p w14:paraId="74FDF039">
            <w:pPr>
              <w:spacing w:before="40" w:after="40"/>
              <w:jc w:val="center"/>
            </w:pPr>
            <w:r>
              <w:rPr>
                <w:rFonts w:ascii="宋体" w:hAnsi="宋体" w:eastAsia="宋体"/>
                <w:b w:val="0"/>
                <w:color w:val="000000"/>
                <w:sz w:val="20"/>
              </w:rPr>
              <w:t>依法合规是审计工作的基石。本项目审核严格遵循《基本建设财务规则》《基本建设项目竣工财务决算管理暂行办法》等法规要求，确保审核程序合法合规，审核结论有据可依。在审核过程中，坚持以法律法规为准绳，以事实为依据，不受任何单位和个人的干预。审核人员应当熟悉基本建设领域的各项法规制度，及时关注政策变化，确保审核意见符合最新的法规要求。</w:t>
            </w:r>
          </w:p>
        </w:tc>
      </w:tr>
      <w:tr w14:paraId="7F4FE954">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FFFFF"/>
            <w:vAlign w:val="center"/>
          </w:tcPr>
          <w:p w14:paraId="063100DD">
            <w:pPr>
              <w:spacing w:before="40" w:after="40"/>
              <w:jc w:val="center"/>
            </w:pPr>
            <w:r>
              <w:rPr>
                <w:rFonts w:ascii="宋体" w:hAnsi="宋体" w:eastAsia="宋体"/>
                <w:b w:val="0"/>
                <w:color w:val="000000"/>
                <w:sz w:val="20"/>
              </w:rPr>
              <w:t>独立客观原则</w:t>
            </w:r>
          </w:p>
        </w:tc>
        <w:tc>
          <w:tcPr>
            <w:tcW w:w="4323" w:type="dxa"/>
            <w:shd w:val="clear" w:color="auto" w:fill="FFFFFF"/>
            <w:vAlign w:val="center"/>
          </w:tcPr>
          <w:p w14:paraId="4C63BC9D">
            <w:pPr>
              <w:spacing w:before="40" w:after="40"/>
              <w:jc w:val="center"/>
            </w:pPr>
            <w:r>
              <w:rPr>
                <w:rFonts w:ascii="宋体" w:hAnsi="宋体" w:eastAsia="宋体"/>
                <w:b w:val="0"/>
                <w:color w:val="000000"/>
                <w:sz w:val="20"/>
              </w:rPr>
              <w:t>独立性是审计的本质特征。本项目审核坚持独立客观原则，审核人员与被审核单位之间不存在利害关系，不受任何单位和个人的干预，保持精神上的独立性和实质上的独立性。在审核过程中，以事实为依据，以证据为基础，不先入为主，不偏听偏信，确保审核结论的客观性、公正性和可信性。对于审核中发现的问题，实事求是地予以反映，不隐瞒、不夸大、不缩小。</w:t>
            </w:r>
          </w:p>
        </w:tc>
      </w:tr>
      <w:tr w14:paraId="357B34DC">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0F4FA"/>
            <w:vAlign w:val="center"/>
          </w:tcPr>
          <w:p w14:paraId="16CDC0B1">
            <w:pPr>
              <w:spacing w:before="40" w:after="40"/>
              <w:jc w:val="center"/>
            </w:pPr>
            <w:r>
              <w:rPr>
                <w:rFonts w:ascii="宋体" w:hAnsi="宋体" w:eastAsia="宋体"/>
                <w:b w:val="0"/>
                <w:color w:val="000000"/>
                <w:sz w:val="20"/>
              </w:rPr>
              <w:t>科学审慎原则</w:t>
            </w:r>
          </w:p>
        </w:tc>
        <w:tc>
          <w:tcPr>
            <w:tcW w:w="4323" w:type="dxa"/>
            <w:shd w:val="clear" w:color="auto" w:fill="F0F4FA"/>
            <w:vAlign w:val="center"/>
          </w:tcPr>
          <w:p w14:paraId="20F076AC">
            <w:pPr>
              <w:spacing w:before="40" w:after="40"/>
              <w:jc w:val="center"/>
            </w:pPr>
            <w:r>
              <w:rPr>
                <w:rFonts w:ascii="宋体" w:hAnsi="宋体" w:eastAsia="宋体"/>
                <w:b w:val="0"/>
                <w:color w:val="000000"/>
                <w:sz w:val="20"/>
              </w:rPr>
              <w:t>基本建设项目涉及工程技术、财务会计、法律法规等多个学科领域，审核工作具有较强的专业性和复杂性。本项目审核坚持科学审慎原则，运用专业判断，对重大会计事项进行重点核查，对异常情况保持高度警觉。在证据评价、金额估算、判断认定等环节，遵循谨慎性原则，不高估收益、不低估风险。对于存在不确定性的事项，采取必要的审计程序获取补充证据，或在报告中予以说明。</w:t>
            </w:r>
          </w:p>
        </w:tc>
      </w:tr>
      <w:tr w14:paraId="3234B5E9">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FFFFF"/>
            <w:vAlign w:val="center"/>
          </w:tcPr>
          <w:p w14:paraId="78B9E642">
            <w:pPr>
              <w:spacing w:before="40" w:after="40"/>
              <w:jc w:val="center"/>
            </w:pPr>
            <w:r>
              <w:rPr>
                <w:rFonts w:ascii="宋体" w:hAnsi="宋体" w:eastAsia="宋体"/>
                <w:b w:val="0"/>
                <w:color w:val="000000"/>
                <w:sz w:val="20"/>
              </w:rPr>
              <w:t>服务增值原则</w:t>
            </w:r>
          </w:p>
        </w:tc>
        <w:tc>
          <w:tcPr>
            <w:tcW w:w="4323" w:type="dxa"/>
            <w:shd w:val="clear" w:color="auto" w:fill="FFFFFF"/>
            <w:vAlign w:val="center"/>
          </w:tcPr>
          <w:p w14:paraId="3F34C36B">
            <w:pPr>
              <w:spacing w:before="40" w:after="40"/>
              <w:jc w:val="center"/>
            </w:pPr>
            <w:r>
              <w:rPr>
                <w:rFonts w:ascii="宋体" w:hAnsi="宋体" w:eastAsia="宋体"/>
                <w:b w:val="0"/>
                <w:color w:val="000000"/>
                <w:sz w:val="20"/>
              </w:rPr>
              <w:t>审计不仅是对过去的检查，更是对未来的改进。本项目审核坚持服务增值原则，在完成合规性审核的基础上，深挖建设单位在项目管理中存在的薄弱环节和风险隐患，分析问题产生的原因，提出切实可行的管理建议。通过审核服务，帮助建设单位完善内部控制制度，规范财务核算程序，提高资金使用效益，实现审核服务的价值增值。</w:t>
            </w:r>
          </w:p>
        </w:tc>
      </w:tr>
      <w:tr w14:paraId="37333BA4">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0F4FA"/>
            <w:vAlign w:val="center"/>
          </w:tcPr>
          <w:p w14:paraId="06C47496">
            <w:pPr>
              <w:spacing w:before="40" w:after="40"/>
              <w:jc w:val="center"/>
            </w:pPr>
            <w:r>
              <w:rPr>
                <w:rFonts w:ascii="宋体" w:hAnsi="宋体" w:eastAsia="宋体"/>
                <w:b w:val="0"/>
                <w:color w:val="000000"/>
                <w:sz w:val="20"/>
              </w:rPr>
              <w:t>保密廉洁原则</w:t>
            </w:r>
          </w:p>
        </w:tc>
        <w:tc>
          <w:tcPr>
            <w:tcW w:w="4323" w:type="dxa"/>
            <w:shd w:val="clear" w:color="auto" w:fill="F0F4FA"/>
            <w:vAlign w:val="center"/>
          </w:tcPr>
          <w:p w14:paraId="18CAA213">
            <w:pPr>
              <w:spacing w:before="40" w:after="40"/>
              <w:jc w:val="center"/>
            </w:pPr>
            <w:r>
              <w:rPr>
                <w:rFonts w:ascii="宋体" w:hAnsi="宋体" w:eastAsia="宋体"/>
                <w:b w:val="0"/>
                <w:color w:val="000000"/>
                <w:sz w:val="20"/>
              </w:rPr>
              <w:t>审计人员对在执业过程中知悉的商业秘密和国家秘密负有保密义务。本项目审核坚持保密廉洁原则，审核人员严格遵守职业道德，不利用执业之便谋取不正当利益，不接受被审核单位或相关方的礼金礼品，不参与可能影响职业判断的活动。对在审核过程中知悉的建设单位商业信息，严格保密，不向任何第三方泄露。</w:t>
            </w:r>
          </w:p>
        </w:tc>
      </w:tr>
    </w:tbl>
    <w:p w14:paraId="7747555B">
      <w:pPr>
        <w:spacing w:before="160" w:after="80" w:line="360" w:lineRule="auto"/>
        <w:jc w:val="both"/>
        <w:outlineLvl w:val="2"/>
      </w:pPr>
      <w:bookmarkStart w:id="9" w:name="_Toc28659"/>
      <w:r>
        <w:rPr>
          <w:rFonts w:ascii="黑体" w:hAnsi="黑体" w:eastAsia="黑体"/>
          <w:b/>
          <w:color w:val="0066CC"/>
          <w:sz w:val="24"/>
        </w:rPr>
        <w:t>1.3.3  审核方法体系（八种方法）</w:t>
      </w:r>
      <w:bookmarkEnd w:id="9"/>
    </w:p>
    <w:tbl>
      <w:tblPr>
        <w:tblStyle w:val="35"/>
        <w:tblW w:w="0" w:type="auto"/>
        <w:jc w:val="center"/>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Layout w:type="autofit"/>
        <w:tblCellMar>
          <w:top w:w="0" w:type="dxa"/>
          <w:left w:w="108" w:type="dxa"/>
          <w:bottom w:w="0" w:type="dxa"/>
          <w:right w:w="108" w:type="dxa"/>
        </w:tblCellMar>
      </w:tblPr>
      <w:tblGrid>
        <w:gridCol w:w="4323"/>
        <w:gridCol w:w="4323"/>
      </w:tblGrid>
      <w:tr w14:paraId="2591CCAD">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003366"/>
            <w:vAlign w:val="center"/>
          </w:tcPr>
          <w:p w14:paraId="3324D761">
            <w:pPr>
              <w:spacing w:before="40" w:after="40"/>
              <w:jc w:val="center"/>
            </w:pPr>
          </w:p>
        </w:tc>
        <w:tc>
          <w:tcPr>
            <w:tcW w:w="4323" w:type="dxa"/>
            <w:shd w:val="clear" w:color="auto" w:fill="003366"/>
            <w:vAlign w:val="center"/>
          </w:tcPr>
          <w:p w14:paraId="09BC661E">
            <w:pPr>
              <w:spacing w:before="40" w:after="40"/>
              <w:jc w:val="center"/>
            </w:pPr>
            <w:r>
              <w:rPr>
                <w:rFonts w:ascii="黑体" w:hAnsi="黑体" w:eastAsia="黑体"/>
                <w:b/>
                <w:color w:val="FFFFFF"/>
                <w:sz w:val="21"/>
              </w:rPr>
              <w:t>审核方法</w:t>
            </w:r>
          </w:p>
        </w:tc>
      </w:tr>
      <w:tr w14:paraId="17EBB4EE">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0F4FA"/>
            <w:vAlign w:val="center"/>
          </w:tcPr>
          <w:p w14:paraId="6667A996">
            <w:pPr>
              <w:spacing w:before="40" w:after="40"/>
              <w:jc w:val="center"/>
            </w:pPr>
            <w:r>
              <w:rPr>
                <w:rFonts w:ascii="宋体" w:hAnsi="宋体" w:eastAsia="宋体"/>
                <w:b w:val="0"/>
                <w:color w:val="000000"/>
                <w:sz w:val="20"/>
              </w:rPr>
              <w:t>全面核查法</w:t>
            </w:r>
          </w:p>
        </w:tc>
        <w:tc>
          <w:tcPr>
            <w:tcW w:w="4323" w:type="dxa"/>
            <w:shd w:val="clear" w:color="auto" w:fill="F0F4FA"/>
            <w:vAlign w:val="center"/>
          </w:tcPr>
          <w:p w14:paraId="02549A62">
            <w:pPr>
              <w:spacing w:before="40" w:after="40"/>
              <w:jc w:val="center"/>
            </w:pPr>
            <w:r>
              <w:rPr>
                <w:rFonts w:ascii="宋体" w:hAnsi="宋体" w:eastAsia="宋体"/>
                <w:b w:val="0"/>
                <w:color w:val="000000"/>
                <w:sz w:val="20"/>
              </w:rPr>
              <w:t>全面核查法是对竣工财务决算报告及所附全部会计账簿、凭证、合同协议、竣工图纸、会议纪要、监理报告等资料进行全面、系统、细致的查阅审核方法。全面核查的目的在于把握项目全貌，发现常规抽样审核可能遗漏的问题线索。全面核查要求审核人员不放过任何一笔异常支出，不遗漏任何一份重要资料，对全部资料进行逻辑性和真实性验证。</w:t>
            </w:r>
          </w:p>
        </w:tc>
      </w:tr>
      <w:tr w14:paraId="1ECC8B20">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FFFFF"/>
            <w:vAlign w:val="center"/>
          </w:tcPr>
          <w:p w14:paraId="7F93DBA3">
            <w:pPr>
              <w:spacing w:before="40" w:after="40"/>
              <w:jc w:val="center"/>
            </w:pPr>
            <w:r>
              <w:rPr>
                <w:rFonts w:ascii="宋体" w:hAnsi="宋体" w:eastAsia="宋体"/>
                <w:b w:val="0"/>
                <w:color w:val="000000"/>
                <w:sz w:val="20"/>
              </w:rPr>
              <w:t>数据分析法</w:t>
            </w:r>
          </w:p>
        </w:tc>
        <w:tc>
          <w:tcPr>
            <w:tcW w:w="4323" w:type="dxa"/>
            <w:shd w:val="clear" w:color="auto" w:fill="FFFFFF"/>
            <w:vAlign w:val="center"/>
          </w:tcPr>
          <w:p w14:paraId="1E50FBAF">
            <w:pPr>
              <w:spacing w:before="40" w:after="40"/>
              <w:jc w:val="center"/>
            </w:pPr>
            <w:r>
              <w:rPr>
                <w:rFonts w:ascii="宋体" w:hAnsi="宋体" w:eastAsia="宋体"/>
                <w:b w:val="0"/>
                <w:color w:val="000000"/>
                <w:sz w:val="20"/>
              </w:rPr>
              <w:t>数据分析法是运用会计核算数据、工程量清单数据、预算数据等进行定量分析，发现异常变动和异常数值的方法。具体包括：比较分析法（将实际成本与预算金额、合同金额、历史同类项目数据进行纵向和横向比较）、比率分析法（计算各项成本占比，分析成本构成的合理性）、趋势分析法（分析各项成本的时间变化趋势，识别异常波动）、因素分析法（分解成本变动的原因，确定各因素影响程度）。</w:t>
            </w:r>
          </w:p>
        </w:tc>
      </w:tr>
      <w:tr w14:paraId="37463D1F">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0F4FA"/>
            <w:vAlign w:val="center"/>
          </w:tcPr>
          <w:p w14:paraId="49FA8B12">
            <w:pPr>
              <w:spacing w:before="40" w:after="40"/>
              <w:jc w:val="center"/>
            </w:pPr>
            <w:r>
              <w:rPr>
                <w:rFonts w:ascii="宋体" w:hAnsi="宋体" w:eastAsia="宋体"/>
                <w:b w:val="0"/>
                <w:color w:val="000000"/>
                <w:sz w:val="20"/>
              </w:rPr>
              <w:t>现场核实法</w:t>
            </w:r>
          </w:p>
        </w:tc>
        <w:tc>
          <w:tcPr>
            <w:tcW w:w="4323" w:type="dxa"/>
            <w:shd w:val="clear" w:color="auto" w:fill="F0F4FA"/>
            <w:vAlign w:val="center"/>
          </w:tcPr>
          <w:p w14:paraId="32590B3B">
            <w:pPr>
              <w:spacing w:before="40" w:after="40"/>
              <w:jc w:val="center"/>
            </w:pPr>
            <w:r>
              <w:rPr>
                <w:rFonts w:ascii="宋体" w:hAnsi="宋体" w:eastAsia="宋体"/>
                <w:b w:val="0"/>
                <w:color w:val="000000"/>
                <w:sz w:val="20"/>
              </w:rPr>
              <w:t>现场核实法是审核人员到项目现场进行实地查看、测量、盘点，对会计账簿记录与实物资产、工程实体进行核对的方法。现场核实能够有效防止虚报工程量、虚列资产等虚假记载行为。在实际操作中，应当重点关注：实际建成规模与竣工图纸的一致性、实物资产与账簿记录的一致性、资产使用状况与设计要求的符合性、现场管理与内控制度的符合性等。</w:t>
            </w:r>
          </w:p>
        </w:tc>
      </w:tr>
      <w:tr w14:paraId="78367AB3">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FFFFF"/>
            <w:vAlign w:val="center"/>
          </w:tcPr>
          <w:p w14:paraId="1EE30424">
            <w:pPr>
              <w:spacing w:before="40" w:after="40"/>
              <w:jc w:val="center"/>
            </w:pPr>
            <w:r>
              <w:rPr>
                <w:rFonts w:ascii="宋体" w:hAnsi="宋体" w:eastAsia="宋体"/>
                <w:b w:val="0"/>
                <w:color w:val="000000"/>
                <w:sz w:val="20"/>
              </w:rPr>
              <w:t>函证询证法</w:t>
            </w:r>
          </w:p>
        </w:tc>
        <w:tc>
          <w:tcPr>
            <w:tcW w:w="4323" w:type="dxa"/>
            <w:shd w:val="clear" w:color="auto" w:fill="FFFFFF"/>
            <w:vAlign w:val="center"/>
          </w:tcPr>
          <w:p w14:paraId="10A94338">
            <w:pPr>
              <w:spacing w:before="40" w:after="40"/>
              <w:jc w:val="center"/>
            </w:pPr>
            <w:r>
              <w:rPr>
                <w:rFonts w:ascii="宋体" w:hAnsi="宋体" w:eastAsia="宋体"/>
                <w:b w:val="0"/>
                <w:color w:val="000000"/>
                <w:sz w:val="20"/>
              </w:rPr>
              <w:t>函证询证法是审核人员向被审核单位以外的相关方发函，核实债权债务、银行存款余额、往来款项等事项真实性的一种方法。函证分为积极函证和消极函证两种方式，对于重大余额或重要项目通常采用积极函证方式。函证过程中，应当严格控制函证过程，防止被审核单位拦截、篡改函证内容。对于未回函或回函金额不符的事项，应当采取替代审计程序予以核实。</w:t>
            </w:r>
          </w:p>
        </w:tc>
      </w:tr>
      <w:tr w14:paraId="5C039F3C">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0F4FA"/>
            <w:vAlign w:val="center"/>
          </w:tcPr>
          <w:p w14:paraId="55F3A05E">
            <w:pPr>
              <w:spacing w:before="40" w:after="40"/>
              <w:jc w:val="center"/>
            </w:pPr>
            <w:r>
              <w:rPr>
                <w:rFonts w:ascii="宋体" w:hAnsi="宋体" w:eastAsia="宋体"/>
                <w:b w:val="0"/>
                <w:color w:val="000000"/>
                <w:sz w:val="20"/>
              </w:rPr>
              <w:t>专家咨询法</w:t>
            </w:r>
          </w:p>
        </w:tc>
        <w:tc>
          <w:tcPr>
            <w:tcW w:w="4323" w:type="dxa"/>
            <w:shd w:val="clear" w:color="auto" w:fill="F0F4FA"/>
            <w:vAlign w:val="center"/>
          </w:tcPr>
          <w:p w14:paraId="325398E5">
            <w:pPr>
              <w:spacing w:before="40" w:after="40"/>
              <w:jc w:val="center"/>
            </w:pPr>
            <w:r>
              <w:rPr>
                <w:rFonts w:ascii="宋体" w:hAnsi="宋体" w:eastAsia="宋体"/>
                <w:b w:val="0"/>
                <w:color w:val="000000"/>
                <w:sz w:val="20"/>
              </w:rPr>
              <w:t>专家咨询法是针对审核过程中遇到的专业性、技术性较强的问题，征询相关领域专家意见的方法。在竣工财务决算审核中，经常涉及的专家咨询领域包括：工程技术问题（如工程报废损失认定、变更签证合理性判断）、设备性能问题（如设备型号是否符合设计要求）、法律问题（如合同条款的解释、法律责任的划分）等。专家咨询意见可作为审核判断的重要参考，但最终判断仍应由审核人员依据专业标准作出。</w:t>
            </w:r>
          </w:p>
        </w:tc>
      </w:tr>
      <w:tr w14:paraId="2DEA5F30">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FFFFF"/>
            <w:vAlign w:val="center"/>
          </w:tcPr>
          <w:p w14:paraId="3CFC88FD">
            <w:pPr>
              <w:spacing w:before="40" w:after="40"/>
              <w:jc w:val="center"/>
            </w:pPr>
            <w:r>
              <w:rPr>
                <w:rFonts w:ascii="宋体" w:hAnsi="宋体" w:eastAsia="宋体"/>
                <w:b w:val="0"/>
                <w:color w:val="000000"/>
                <w:sz w:val="20"/>
              </w:rPr>
              <w:t>穿行测试法</w:t>
            </w:r>
          </w:p>
        </w:tc>
        <w:tc>
          <w:tcPr>
            <w:tcW w:w="4323" w:type="dxa"/>
            <w:shd w:val="clear" w:color="auto" w:fill="FFFFFF"/>
            <w:vAlign w:val="center"/>
          </w:tcPr>
          <w:p w14:paraId="6821CCC8">
            <w:pPr>
              <w:spacing w:before="40" w:after="40"/>
              <w:jc w:val="center"/>
            </w:pPr>
            <w:r>
              <w:rPr>
                <w:rFonts w:ascii="宋体" w:hAnsi="宋体" w:eastAsia="宋体"/>
                <w:b w:val="0"/>
                <w:color w:val="000000"/>
                <w:sz w:val="20"/>
              </w:rPr>
              <w:t>穿行测试法是选取若干笔重大经济业务，从业务发生起点（原始凭证）开始，顺着业务处理流程逐一追踪至财务报表反映终点的方法。通过穿行测试，可以验证业务流程的合规性，确认各项控制措施是否有效执行，发现业务流程中可能存在的漏洞和舞弊风险。对于发现控制缺陷的环节，应当扩大测试范围，评估缺陷的普遍性和影响程度。</w:t>
            </w:r>
          </w:p>
        </w:tc>
      </w:tr>
      <w:tr w14:paraId="52CC8C83">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0F4FA"/>
            <w:vAlign w:val="center"/>
          </w:tcPr>
          <w:p w14:paraId="19D635D3">
            <w:pPr>
              <w:spacing w:before="40" w:after="40"/>
              <w:jc w:val="center"/>
            </w:pPr>
            <w:r>
              <w:rPr>
                <w:rFonts w:ascii="宋体" w:hAnsi="宋体" w:eastAsia="宋体"/>
                <w:b w:val="0"/>
                <w:color w:val="000000"/>
                <w:sz w:val="20"/>
              </w:rPr>
              <w:t>符合性测试法</w:t>
            </w:r>
          </w:p>
        </w:tc>
        <w:tc>
          <w:tcPr>
            <w:tcW w:w="4323" w:type="dxa"/>
            <w:shd w:val="clear" w:color="auto" w:fill="F0F4FA"/>
            <w:vAlign w:val="center"/>
          </w:tcPr>
          <w:p w14:paraId="06E818DE">
            <w:pPr>
              <w:spacing w:before="40" w:after="40"/>
              <w:jc w:val="center"/>
            </w:pPr>
            <w:r>
              <w:rPr>
                <w:rFonts w:ascii="宋体" w:hAnsi="宋体" w:eastAsia="宋体"/>
                <w:b w:val="0"/>
                <w:color w:val="000000"/>
                <w:sz w:val="20"/>
              </w:rPr>
              <w:t>符合性测试是评价被审核单位内部控制制度是否得到有效执行的一种审计方法。通过对关键控制点的符合性测试，可以评价建设单位内部控制的健全性和有效性，确定实质性测试的范围和重点。符合性测试的内容通常包括：授权审批控制是否有效执行、不相容职务分离控制是否落实到位、凭证记录控制是否规范完整、财产安全控制措施是否到位等。</w:t>
            </w:r>
          </w:p>
        </w:tc>
      </w:tr>
      <w:tr w14:paraId="594A8F79">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4323" w:type="dxa"/>
            <w:shd w:val="clear" w:color="auto" w:fill="FFFFFF"/>
            <w:vAlign w:val="center"/>
          </w:tcPr>
          <w:p w14:paraId="532A8BEA">
            <w:pPr>
              <w:spacing w:before="40" w:after="40"/>
              <w:jc w:val="center"/>
            </w:pPr>
            <w:r>
              <w:rPr>
                <w:rFonts w:ascii="宋体" w:hAnsi="宋体" w:eastAsia="宋体"/>
                <w:b w:val="0"/>
                <w:color w:val="000000"/>
                <w:sz w:val="20"/>
              </w:rPr>
              <w:t>实质性测试法</w:t>
            </w:r>
          </w:p>
        </w:tc>
        <w:tc>
          <w:tcPr>
            <w:tcW w:w="4323" w:type="dxa"/>
            <w:shd w:val="clear" w:color="auto" w:fill="FFFFFF"/>
            <w:vAlign w:val="center"/>
          </w:tcPr>
          <w:p w14:paraId="4498612C">
            <w:pPr>
              <w:spacing w:before="40" w:after="40"/>
              <w:jc w:val="center"/>
            </w:pPr>
            <w:r>
              <w:rPr>
                <w:rFonts w:ascii="宋体" w:hAnsi="宋体" w:eastAsia="宋体"/>
                <w:b w:val="0"/>
                <w:color w:val="000000"/>
                <w:sz w:val="20"/>
              </w:rPr>
              <w:t>实质性测试是获取充分、适当审计证据，直接验证财务报表各项目金额真实性、准确性的测试方法。实质性测试包括细节测试和分析性程序两种类型。细节测试主要针对重要科目的重要余额和交易进行逐项核实，如存货监盘、银行存款余额核对、往来款项账龄分析等。分析性程序主要通过对财务数据和非财务数据之间的关系进行分析，识别可能存在的重大错报风险。实质性测试是审核工作中获取审计证据的核心方法，其结果直接决定审核结论的可靠性。</w:t>
            </w:r>
          </w:p>
        </w:tc>
      </w:tr>
    </w:tbl>
    <w:p w14:paraId="3962CADA">
      <w:pPr>
        <w:spacing w:before="160" w:after="80" w:line="360" w:lineRule="auto"/>
        <w:jc w:val="both"/>
        <w:outlineLvl w:val="2"/>
      </w:pPr>
      <w:bookmarkStart w:id="10" w:name="_Toc8591"/>
      <w:r>
        <w:rPr>
          <w:rFonts w:ascii="黑体" w:hAnsi="黑体" w:eastAsia="黑体"/>
          <w:b/>
          <w:color w:val="0066CC"/>
          <w:sz w:val="24"/>
        </w:rPr>
        <w:t>1.3.4  工作组织思路</w:t>
      </w:r>
      <w:bookmarkEnd w:id="10"/>
    </w:p>
    <w:p w14:paraId="508B3FCF">
      <w:pPr>
        <w:spacing w:before="0" w:after="120" w:line="360" w:lineRule="auto"/>
        <w:ind w:firstLine="168"/>
        <w:jc w:val="both"/>
      </w:pPr>
      <w:r>
        <w:rPr>
          <w:rFonts w:ascii="宋体" w:hAnsi="宋体" w:eastAsia="宋体"/>
          <w:b w:val="0"/>
          <w:color w:val="000000"/>
          <w:sz w:val="24"/>
        </w:rPr>
        <w:t>本项目实行"项目负责制"，建立以项目负责人为核心的三层级组织架构，设置决策管理层、项目执行层、审核作业层三个层级。项目负责人由具有注册会计师资格和高级职称的人员担任，全面负责审核工作的组织实施、质量控制和对外协调，是本项目的第一责任人。项目执行层由3名核心审核人员组成，分别负责建设成本审核、合同合规审核和档案管理三大专业模块。审核作业层由5名辅助审核人员组成，负责具体的执行性工作。团队实行"分阶段推进、分层级复核"的工作模式，即项目分为准备阶段、实施阶段、报告阶段三个主要节点，每一阶段的工作成果均须经过项目负责人复核和质量总监复核两道关口，确保审核质量。</w:t>
      </w:r>
    </w:p>
    <w:p w14:paraId="113BE93B">
      <w:pPr>
        <w:spacing w:before="0" w:after="0" w:line="240" w:lineRule="auto"/>
      </w:pPr>
    </w:p>
    <w:p w14:paraId="686081E6">
      <w:pPr>
        <w:spacing w:before="120" w:after="80"/>
        <w:jc w:val="center"/>
        <w:outlineLvl w:val="0"/>
      </w:pPr>
      <w:bookmarkStart w:id="11" w:name="_Toc10820"/>
      <w:r>
        <w:rPr>
          <w:rFonts w:ascii="黑体" w:hAnsi="黑体" w:eastAsia="黑体"/>
          <w:b/>
          <w:color w:val="003366"/>
          <w:sz w:val="26"/>
        </w:rPr>
        <w:t>◆ 本章评标点总结 ◆</w:t>
      </w:r>
      <w:bookmarkEnd w:id="11"/>
    </w:p>
    <w:p w14:paraId="55FADCE0">
      <w:pPr>
        <w:jc w:val="center"/>
      </w:pPr>
      <w:r>
        <w:rPr>
          <w:rFonts w:ascii="宋体" w:hAnsi="宋体" w:eastAsia="宋体"/>
          <w:b w:val="0"/>
          <w:color w:val="404040"/>
          <w:sz w:val="21"/>
        </w:rPr>
        <w:t>本章对应比选文件第四章"评比办法及评比标准"评分因素（满分40分），须完整包含以下维度：</w:t>
      </w:r>
    </w:p>
    <w:p w14:paraId="48EC55A4">
      <w:pPr>
        <w:spacing w:before="0" w:after="0" w:line="240" w:lineRule="auto"/>
      </w:pPr>
    </w:p>
    <w:tbl>
      <w:tblPr>
        <w:tblStyle w:val="35"/>
        <w:tblW w:w="0" w:type="auto"/>
        <w:jc w:val="center"/>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Layout w:type="autofit"/>
        <w:tblCellMar>
          <w:top w:w="0" w:type="dxa"/>
          <w:left w:w="108" w:type="dxa"/>
          <w:bottom w:w="0" w:type="dxa"/>
          <w:right w:w="108" w:type="dxa"/>
        </w:tblCellMar>
      </w:tblPr>
      <w:tblGrid>
        <w:gridCol w:w="801"/>
        <w:gridCol w:w="2332"/>
        <w:gridCol w:w="1818"/>
        <w:gridCol w:w="3087"/>
        <w:gridCol w:w="824"/>
      </w:tblGrid>
      <w:tr w14:paraId="536C3CB4">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003366"/>
            <w:vAlign w:val="center"/>
          </w:tcPr>
          <w:p w14:paraId="470DAA09">
            <w:pPr>
              <w:spacing w:before="40" w:after="40"/>
              <w:jc w:val="center"/>
            </w:pPr>
            <w:r>
              <w:rPr>
                <w:rFonts w:ascii="黑体" w:hAnsi="黑体" w:eastAsia="黑体"/>
                <w:b/>
                <w:color w:val="FFFFFF"/>
                <w:sz w:val="21"/>
              </w:rPr>
              <w:t>序号</w:t>
            </w:r>
          </w:p>
        </w:tc>
        <w:tc>
          <w:tcPr>
            <w:tcW w:w="2551" w:type="dxa"/>
            <w:shd w:val="clear" w:color="auto" w:fill="003366"/>
            <w:vAlign w:val="center"/>
          </w:tcPr>
          <w:p w14:paraId="2E31653D">
            <w:pPr>
              <w:spacing w:before="40" w:after="40"/>
              <w:jc w:val="center"/>
            </w:pPr>
            <w:r>
              <w:rPr>
                <w:rFonts w:ascii="黑体" w:hAnsi="黑体" w:eastAsia="黑体"/>
                <w:b/>
                <w:color w:val="FFFFFF"/>
                <w:sz w:val="21"/>
              </w:rPr>
              <w:t>评标维度</w:t>
            </w:r>
          </w:p>
        </w:tc>
        <w:tc>
          <w:tcPr>
            <w:tcW w:w="1984" w:type="dxa"/>
            <w:shd w:val="clear" w:color="auto" w:fill="003366"/>
            <w:vAlign w:val="center"/>
          </w:tcPr>
          <w:p w14:paraId="68E4FD7F">
            <w:pPr>
              <w:spacing w:before="40" w:after="40"/>
              <w:jc w:val="center"/>
            </w:pPr>
            <w:r>
              <w:rPr>
                <w:rFonts w:ascii="黑体" w:hAnsi="黑体" w:eastAsia="黑体"/>
                <w:b/>
                <w:color w:val="FFFFFF"/>
                <w:sz w:val="21"/>
              </w:rPr>
              <w:t>对应章节</w:t>
            </w:r>
          </w:p>
        </w:tc>
        <w:tc>
          <w:tcPr>
            <w:tcW w:w="3402" w:type="dxa"/>
            <w:shd w:val="clear" w:color="auto" w:fill="003366"/>
            <w:vAlign w:val="center"/>
          </w:tcPr>
          <w:p w14:paraId="7526FFC2">
            <w:pPr>
              <w:spacing w:before="40" w:after="40"/>
              <w:jc w:val="center"/>
            </w:pPr>
            <w:r>
              <w:rPr>
                <w:rFonts w:ascii="黑体" w:hAnsi="黑体" w:eastAsia="黑体"/>
                <w:b/>
                <w:color w:val="FFFFFF"/>
                <w:sz w:val="21"/>
              </w:rPr>
              <w:t>评标要点</w:t>
            </w:r>
          </w:p>
        </w:tc>
        <w:tc>
          <w:tcPr>
            <w:tcW w:w="850" w:type="dxa"/>
            <w:shd w:val="clear" w:color="auto" w:fill="003366"/>
            <w:vAlign w:val="center"/>
          </w:tcPr>
          <w:p w14:paraId="7C41FDF2">
            <w:pPr>
              <w:spacing w:before="40" w:after="40"/>
              <w:jc w:val="center"/>
            </w:pPr>
            <w:r>
              <w:rPr>
                <w:rFonts w:ascii="黑体" w:hAnsi="黑体" w:eastAsia="黑体"/>
                <w:b/>
                <w:color w:val="FFFFFF"/>
                <w:sz w:val="21"/>
              </w:rPr>
              <w:t>分值权重</w:t>
            </w:r>
          </w:p>
        </w:tc>
      </w:tr>
      <w:tr w14:paraId="3866CD86">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4EB8D88E">
            <w:pPr>
              <w:spacing w:before="40" w:after="40"/>
              <w:jc w:val="center"/>
            </w:pPr>
            <w:r>
              <w:rPr>
                <w:rFonts w:ascii="宋体" w:hAnsi="宋体" w:eastAsia="宋体"/>
                <w:b/>
                <w:color w:val="003366"/>
                <w:sz w:val="20"/>
              </w:rPr>
              <w:t>①</w:t>
            </w:r>
          </w:p>
        </w:tc>
        <w:tc>
          <w:tcPr>
            <w:tcW w:w="2551" w:type="dxa"/>
            <w:shd w:val="clear" w:color="auto" w:fill="FFFFFF"/>
            <w:vAlign w:val="center"/>
          </w:tcPr>
          <w:p w14:paraId="7B49D3EF">
            <w:pPr>
              <w:spacing w:before="40" w:after="40"/>
              <w:jc w:val="left"/>
            </w:pPr>
            <w:r>
              <w:rPr>
                <w:rFonts w:ascii="宋体" w:hAnsi="宋体" w:eastAsia="宋体"/>
                <w:b w:val="0"/>
                <w:color w:val="000000"/>
                <w:sz w:val="20"/>
              </w:rPr>
              <w:t>工作重点、难点分析</w:t>
            </w:r>
          </w:p>
        </w:tc>
        <w:tc>
          <w:tcPr>
            <w:tcW w:w="1984" w:type="dxa"/>
            <w:shd w:val="clear" w:color="auto" w:fill="FFFFFF"/>
            <w:vAlign w:val="center"/>
          </w:tcPr>
          <w:p w14:paraId="526F967F">
            <w:pPr>
              <w:spacing w:before="40" w:after="40"/>
              <w:jc w:val="left"/>
            </w:pPr>
            <w:r>
              <w:rPr>
                <w:rFonts w:ascii="宋体" w:hAnsi="宋体" w:eastAsia="宋体"/>
                <w:b w:val="0"/>
                <w:color w:val="000000"/>
                <w:sz w:val="20"/>
              </w:rPr>
              <w:t>本章第1.2节</w:t>
            </w:r>
          </w:p>
        </w:tc>
        <w:tc>
          <w:tcPr>
            <w:tcW w:w="3402" w:type="dxa"/>
            <w:shd w:val="clear" w:color="auto" w:fill="FFFFFF"/>
            <w:vAlign w:val="center"/>
          </w:tcPr>
          <w:p w14:paraId="43EEA105">
            <w:pPr>
              <w:spacing w:before="40" w:after="40"/>
              <w:jc w:val="left"/>
            </w:pPr>
            <w:r>
              <w:rPr>
                <w:rFonts w:ascii="宋体" w:hAnsi="宋体" w:eastAsia="宋体"/>
                <w:b w:val="0"/>
                <w:color w:val="000000"/>
                <w:sz w:val="20"/>
              </w:rPr>
              <w:t>明确项目背景、需求分析、法规依据，体现对项目特殊性的深入理解</w:t>
            </w:r>
          </w:p>
        </w:tc>
        <w:tc>
          <w:tcPr>
            <w:tcW w:w="850" w:type="dxa"/>
            <w:shd w:val="clear" w:color="auto" w:fill="FFFFFF"/>
            <w:vAlign w:val="center"/>
          </w:tcPr>
          <w:p w14:paraId="30AA1B58">
            <w:pPr>
              <w:spacing w:before="40" w:after="40"/>
              <w:jc w:val="center"/>
            </w:pPr>
            <w:r>
              <w:rPr>
                <w:rFonts w:ascii="宋体" w:hAnsi="宋体" w:eastAsia="宋体"/>
                <w:b/>
                <w:color w:val="C00000"/>
                <w:sz w:val="20"/>
              </w:rPr>
              <w:t>满分40分（第一部分）</w:t>
            </w:r>
          </w:p>
        </w:tc>
      </w:tr>
      <w:tr w14:paraId="44B0A395">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E8F0FA"/>
            <w:vAlign w:val="center"/>
          </w:tcPr>
          <w:p w14:paraId="21576A42">
            <w:pPr>
              <w:spacing w:before="40" w:after="40"/>
              <w:jc w:val="center"/>
            </w:pPr>
            <w:r>
              <w:rPr>
                <w:rFonts w:ascii="宋体" w:hAnsi="宋体" w:eastAsia="宋体"/>
                <w:b/>
                <w:color w:val="003366"/>
                <w:sz w:val="20"/>
              </w:rPr>
              <w:t>②</w:t>
            </w:r>
          </w:p>
        </w:tc>
        <w:tc>
          <w:tcPr>
            <w:tcW w:w="2551" w:type="dxa"/>
            <w:shd w:val="clear" w:color="auto" w:fill="E8F0FA"/>
            <w:vAlign w:val="center"/>
          </w:tcPr>
          <w:p w14:paraId="24B05DBE">
            <w:pPr>
              <w:spacing w:before="40" w:after="40"/>
              <w:jc w:val="left"/>
            </w:pPr>
            <w:r>
              <w:rPr>
                <w:rFonts w:ascii="宋体" w:hAnsi="宋体" w:eastAsia="宋体"/>
                <w:b w:val="0"/>
                <w:color w:val="000000"/>
                <w:sz w:val="20"/>
              </w:rPr>
              <w:t>审计流程及进度安排</w:t>
            </w:r>
          </w:p>
        </w:tc>
        <w:tc>
          <w:tcPr>
            <w:tcW w:w="1984" w:type="dxa"/>
            <w:shd w:val="clear" w:color="auto" w:fill="E8F0FA"/>
            <w:vAlign w:val="center"/>
          </w:tcPr>
          <w:p w14:paraId="6C3D3AB6">
            <w:pPr>
              <w:spacing w:before="40" w:after="40"/>
              <w:jc w:val="left"/>
            </w:pPr>
            <w:r>
              <w:rPr>
                <w:rFonts w:ascii="宋体" w:hAnsi="宋体" w:eastAsia="宋体"/>
                <w:b w:val="0"/>
                <w:color w:val="000000"/>
                <w:sz w:val="20"/>
              </w:rPr>
              <w:t>第三章</w:t>
            </w:r>
          </w:p>
        </w:tc>
        <w:tc>
          <w:tcPr>
            <w:tcW w:w="3402" w:type="dxa"/>
            <w:shd w:val="clear" w:color="auto" w:fill="E8F0FA"/>
            <w:vAlign w:val="center"/>
          </w:tcPr>
          <w:p w14:paraId="5680849B">
            <w:pPr>
              <w:spacing w:before="40" w:after="40"/>
              <w:jc w:val="left"/>
            </w:pPr>
            <w:r>
              <w:rPr>
                <w:rFonts w:ascii="宋体" w:hAnsi="宋体" w:eastAsia="宋体"/>
                <w:b w:val="0"/>
                <w:color w:val="000000"/>
                <w:sz w:val="20"/>
              </w:rPr>
              <w:t>制定清晰的审计流程各阶段工作内容和时间节点安排</w:t>
            </w:r>
          </w:p>
        </w:tc>
        <w:tc>
          <w:tcPr>
            <w:tcW w:w="850" w:type="dxa"/>
            <w:shd w:val="clear" w:color="auto" w:fill="E8F0FA"/>
            <w:vAlign w:val="center"/>
          </w:tcPr>
          <w:p w14:paraId="7C6DFB36">
            <w:pPr>
              <w:spacing w:before="40" w:after="40"/>
              <w:jc w:val="center"/>
            </w:pPr>
            <w:r>
              <w:rPr>
                <w:rFonts w:ascii="宋体" w:hAnsi="宋体" w:eastAsia="宋体"/>
                <w:b/>
                <w:color w:val="C00000"/>
                <w:sz w:val="20"/>
              </w:rPr>
              <w:t>满分40分（第二部分）</w:t>
            </w:r>
          </w:p>
        </w:tc>
      </w:tr>
      <w:tr w14:paraId="43C350F1">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62F57BBC">
            <w:pPr>
              <w:spacing w:before="40" w:after="40"/>
              <w:jc w:val="center"/>
            </w:pPr>
            <w:r>
              <w:rPr>
                <w:rFonts w:ascii="宋体" w:hAnsi="宋体" w:eastAsia="宋体"/>
                <w:b/>
                <w:color w:val="003366"/>
                <w:sz w:val="20"/>
              </w:rPr>
              <w:t>③</w:t>
            </w:r>
          </w:p>
        </w:tc>
        <w:tc>
          <w:tcPr>
            <w:tcW w:w="2551" w:type="dxa"/>
            <w:shd w:val="clear" w:color="auto" w:fill="FFFFFF"/>
            <w:vAlign w:val="center"/>
          </w:tcPr>
          <w:p w14:paraId="1A388009">
            <w:pPr>
              <w:spacing w:before="40" w:after="40"/>
              <w:jc w:val="left"/>
            </w:pPr>
            <w:r>
              <w:rPr>
                <w:rFonts w:ascii="宋体" w:hAnsi="宋体" w:eastAsia="宋体"/>
                <w:b w:val="0"/>
                <w:color w:val="000000"/>
                <w:sz w:val="20"/>
              </w:rPr>
              <w:t>审计管理制度</w:t>
            </w:r>
          </w:p>
        </w:tc>
        <w:tc>
          <w:tcPr>
            <w:tcW w:w="1984" w:type="dxa"/>
            <w:shd w:val="clear" w:color="auto" w:fill="FFFFFF"/>
            <w:vAlign w:val="center"/>
          </w:tcPr>
          <w:p w14:paraId="77A1D353">
            <w:pPr>
              <w:spacing w:before="40" w:after="40"/>
              <w:jc w:val="left"/>
            </w:pPr>
            <w:r>
              <w:rPr>
                <w:rFonts w:ascii="宋体" w:hAnsi="宋体" w:eastAsia="宋体"/>
                <w:b w:val="0"/>
                <w:color w:val="000000"/>
                <w:sz w:val="20"/>
              </w:rPr>
              <w:t>第四章</w:t>
            </w:r>
          </w:p>
        </w:tc>
        <w:tc>
          <w:tcPr>
            <w:tcW w:w="3402" w:type="dxa"/>
            <w:shd w:val="clear" w:color="auto" w:fill="FFFFFF"/>
            <w:vAlign w:val="center"/>
          </w:tcPr>
          <w:p w14:paraId="3A76E115">
            <w:pPr>
              <w:spacing w:before="40" w:after="40"/>
              <w:jc w:val="left"/>
            </w:pPr>
            <w:r>
              <w:rPr>
                <w:rFonts w:ascii="宋体" w:hAnsi="宋体" w:eastAsia="宋体"/>
                <w:b w:val="0"/>
                <w:color w:val="000000"/>
                <w:sz w:val="20"/>
              </w:rPr>
              <w:t>建立健全审计质量控制、进度管理、保密安全等制度</w:t>
            </w:r>
          </w:p>
        </w:tc>
        <w:tc>
          <w:tcPr>
            <w:tcW w:w="850" w:type="dxa"/>
            <w:shd w:val="clear" w:color="auto" w:fill="FFFFFF"/>
            <w:vAlign w:val="center"/>
          </w:tcPr>
          <w:p w14:paraId="387481B4">
            <w:pPr>
              <w:spacing w:before="40" w:after="40"/>
              <w:jc w:val="center"/>
            </w:pPr>
            <w:r>
              <w:rPr>
                <w:rFonts w:ascii="宋体" w:hAnsi="宋体" w:eastAsia="宋体"/>
                <w:b/>
                <w:color w:val="C00000"/>
                <w:sz w:val="20"/>
              </w:rPr>
              <w:t>满分40分（第三部分）</w:t>
            </w:r>
          </w:p>
        </w:tc>
      </w:tr>
      <w:tr w14:paraId="10B7A688">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E8F0FA"/>
            <w:vAlign w:val="center"/>
          </w:tcPr>
          <w:p w14:paraId="24555C7F">
            <w:pPr>
              <w:spacing w:before="40" w:after="40"/>
              <w:jc w:val="center"/>
            </w:pPr>
            <w:r>
              <w:rPr>
                <w:rFonts w:ascii="宋体" w:hAnsi="宋体" w:eastAsia="宋体"/>
                <w:b/>
                <w:color w:val="003366"/>
                <w:sz w:val="20"/>
              </w:rPr>
              <w:t>④</w:t>
            </w:r>
          </w:p>
        </w:tc>
        <w:tc>
          <w:tcPr>
            <w:tcW w:w="2551" w:type="dxa"/>
            <w:shd w:val="clear" w:color="auto" w:fill="E8F0FA"/>
            <w:vAlign w:val="center"/>
          </w:tcPr>
          <w:p w14:paraId="63FE268F">
            <w:pPr>
              <w:spacing w:before="40" w:after="40"/>
              <w:jc w:val="left"/>
            </w:pPr>
            <w:r>
              <w:rPr>
                <w:rFonts w:ascii="宋体" w:hAnsi="宋体" w:eastAsia="宋体"/>
                <w:b w:val="0"/>
                <w:color w:val="000000"/>
                <w:sz w:val="20"/>
              </w:rPr>
              <w:t>审计机构设置和岗位职责</w:t>
            </w:r>
          </w:p>
        </w:tc>
        <w:tc>
          <w:tcPr>
            <w:tcW w:w="1984" w:type="dxa"/>
            <w:shd w:val="clear" w:color="auto" w:fill="E8F0FA"/>
            <w:vAlign w:val="center"/>
          </w:tcPr>
          <w:p w14:paraId="674DE910">
            <w:pPr>
              <w:spacing w:before="40" w:after="40"/>
              <w:jc w:val="left"/>
            </w:pPr>
            <w:r>
              <w:rPr>
                <w:rFonts w:ascii="宋体" w:hAnsi="宋体" w:eastAsia="宋体"/>
                <w:b w:val="0"/>
                <w:color w:val="000000"/>
                <w:sz w:val="20"/>
              </w:rPr>
              <w:t>第五章</w:t>
            </w:r>
          </w:p>
        </w:tc>
        <w:tc>
          <w:tcPr>
            <w:tcW w:w="3402" w:type="dxa"/>
            <w:shd w:val="clear" w:color="auto" w:fill="E8F0FA"/>
            <w:vAlign w:val="center"/>
          </w:tcPr>
          <w:p w14:paraId="3CD42CE3">
            <w:pPr>
              <w:spacing w:before="40" w:after="40"/>
              <w:jc w:val="left"/>
            </w:pPr>
            <w:r>
              <w:rPr>
                <w:rFonts w:ascii="宋体" w:hAnsi="宋体" w:eastAsia="宋体"/>
                <w:b w:val="0"/>
                <w:color w:val="000000"/>
                <w:sz w:val="20"/>
              </w:rPr>
              <w:t>明确组织架构、人员资质和职责分工</w:t>
            </w:r>
          </w:p>
        </w:tc>
        <w:tc>
          <w:tcPr>
            <w:tcW w:w="850" w:type="dxa"/>
            <w:shd w:val="clear" w:color="auto" w:fill="E8F0FA"/>
            <w:vAlign w:val="center"/>
          </w:tcPr>
          <w:p w14:paraId="0E209103">
            <w:pPr>
              <w:spacing w:before="40" w:after="40"/>
              <w:jc w:val="center"/>
            </w:pPr>
            <w:r>
              <w:rPr>
                <w:rFonts w:ascii="宋体" w:hAnsi="宋体" w:eastAsia="宋体"/>
                <w:b/>
                <w:color w:val="C00000"/>
                <w:sz w:val="20"/>
              </w:rPr>
              <w:t>满分40分（第四部分）</w:t>
            </w:r>
          </w:p>
        </w:tc>
      </w:tr>
      <w:tr w14:paraId="359A0821">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75452148">
            <w:pPr>
              <w:spacing w:before="40" w:after="40"/>
              <w:jc w:val="center"/>
            </w:pPr>
            <w:r>
              <w:rPr>
                <w:rFonts w:ascii="宋体" w:hAnsi="宋体" w:eastAsia="宋体"/>
                <w:b/>
                <w:color w:val="003366"/>
                <w:sz w:val="20"/>
              </w:rPr>
              <w:t>⑤</w:t>
            </w:r>
          </w:p>
        </w:tc>
        <w:tc>
          <w:tcPr>
            <w:tcW w:w="2551" w:type="dxa"/>
            <w:shd w:val="clear" w:color="auto" w:fill="FFFFFF"/>
            <w:vAlign w:val="center"/>
          </w:tcPr>
          <w:p w14:paraId="33643F1A">
            <w:pPr>
              <w:spacing w:before="40" w:after="40"/>
              <w:jc w:val="left"/>
            </w:pPr>
            <w:r>
              <w:rPr>
                <w:rFonts w:ascii="宋体" w:hAnsi="宋体" w:eastAsia="宋体"/>
                <w:b w:val="0"/>
                <w:color w:val="000000"/>
                <w:sz w:val="20"/>
              </w:rPr>
              <w:t>审计服务质量保证措施</w:t>
            </w:r>
          </w:p>
        </w:tc>
        <w:tc>
          <w:tcPr>
            <w:tcW w:w="1984" w:type="dxa"/>
            <w:shd w:val="clear" w:color="auto" w:fill="FFFFFF"/>
            <w:vAlign w:val="center"/>
          </w:tcPr>
          <w:p w14:paraId="249B4878">
            <w:pPr>
              <w:spacing w:before="40" w:after="40"/>
              <w:jc w:val="left"/>
            </w:pPr>
            <w:r>
              <w:rPr>
                <w:rFonts w:ascii="宋体" w:hAnsi="宋体" w:eastAsia="宋体"/>
                <w:b w:val="0"/>
                <w:color w:val="000000"/>
                <w:sz w:val="20"/>
              </w:rPr>
              <w:t>第六章</w:t>
            </w:r>
          </w:p>
        </w:tc>
        <w:tc>
          <w:tcPr>
            <w:tcW w:w="3402" w:type="dxa"/>
            <w:shd w:val="clear" w:color="auto" w:fill="FFFFFF"/>
            <w:vAlign w:val="center"/>
          </w:tcPr>
          <w:p w14:paraId="07447CAB">
            <w:pPr>
              <w:spacing w:before="40" w:after="40"/>
              <w:jc w:val="left"/>
            </w:pPr>
            <w:r>
              <w:rPr>
                <w:rFonts w:ascii="宋体" w:hAnsi="宋体" w:eastAsia="宋体"/>
                <w:b w:val="0"/>
                <w:color w:val="000000"/>
                <w:sz w:val="20"/>
              </w:rPr>
              <w:t>制定切实可行的质量保障、进度保障、风险防控措施</w:t>
            </w:r>
          </w:p>
        </w:tc>
        <w:tc>
          <w:tcPr>
            <w:tcW w:w="850" w:type="dxa"/>
            <w:shd w:val="clear" w:color="auto" w:fill="FFFFFF"/>
            <w:vAlign w:val="center"/>
          </w:tcPr>
          <w:p w14:paraId="7AF21CAC">
            <w:pPr>
              <w:spacing w:before="40" w:after="40"/>
              <w:jc w:val="center"/>
            </w:pPr>
            <w:r>
              <w:rPr>
                <w:rFonts w:ascii="宋体" w:hAnsi="宋体" w:eastAsia="宋体"/>
                <w:b/>
                <w:color w:val="C00000"/>
                <w:sz w:val="20"/>
              </w:rPr>
              <w:t>满分40分（第五部分）</w:t>
            </w:r>
          </w:p>
        </w:tc>
      </w:tr>
    </w:tbl>
    <w:p w14:paraId="4248F0B3">
      <w:pPr>
        <w:spacing w:before="0" w:after="0" w:line="240" w:lineRule="auto"/>
      </w:pPr>
    </w:p>
    <w:p w14:paraId="2FC1718A">
      <w:r>
        <w:rPr>
          <w:rFonts w:ascii="宋体" w:hAnsi="宋体" w:eastAsia="宋体"/>
          <w:b/>
          <w:color w:val="C00000"/>
          <w:sz w:val="20"/>
        </w:rPr>
        <w:t>★ 温馨提示：本项目实施方案评分（40分）须五项内容完整，缺项扣8分/项，有缺陷扣4分/处。</w:t>
      </w:r>
    </w:p>
    <w:p w14:paraId="6BABBCDF">
      <w:r>
        <w:br w:type="page"/>
      </w:r>
    </w:p>
    <w:p w14:paraId="0B9A0FCF">
      <w:pPr>
        <w:rPr>
          <w:rFonts w:ascii="黑体" w:hAnsi="黑体" w:eastAsia="黑体"/>
          <w:b/>
          <w:color w:val="003366"/>
          <w:sz w:val="28"/>
        </w:rPr>
      </w:pPr>
      <w:r>
        <w:br w:type="page"/>
      </w:r>
      <w:bookmarkStart w:id="12" w:name="_Toc3104"/>
      <w:r>
        <w:drawing>
          <wp:inline distT="0" distB="0" distL="114300" distR="114300">
            <wp:extent cx="5429885" cy="2541905"/>
            <wp:effectExtent l="0" t="0" r="571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429885" cy="2542468"/>
                    </a:xfrm>
                    <a:prstGeom prst="rect">
                      <a:avLst/>
                    </a:prstGeom>
                  </pic:spPr>
                </pic:pic>
              </a:graphicData>
            </a:graphic>
          </wp:inline>
        </w:drawing>
      </w:r>
    </w:p>
    <w:p w14:paraId="4A6DAA4F">
      <w:pPr>
        <w:spacing w:before="200" w:after="80" w:line="360" w:lineRule="auto"/>
        <w:jc w:val="both"/>
        <w:outlineLvl w:val="1"/>
      </w:pPr>
      <w:r>
        <w:rPr>
          <w:rFonts w:ascii="黑体" w:hAnsi="黑体" w:eastAsia="黑体"/>
          <w:b/>
          <w:color w:val="003366"/>
          <w:sz w:val="28"/>
        </w:rPr>
        <w:t>2.1  项目核算管理审核重点</w:t>
      </w:r>
      <w:bookmarkEnd w:id="12"/>
    </w:p>
    <w:p w14:paraId="7AC19F86">
      <w:pPr>
        <w:spacing w:before="160" w:after="80" w:line="360" w:lineRule="auto"/>
        <w:jc w:val="both"/>
        <w:outlineLvl w:val="2"/>
      </w:pPr>
      <w:bookmarkStart w:id="13" w:name="_Toc13138"/>
      <w:r>
        <w:rPr>
          <w:rFonts w:ascii="黑体" w:hAnsi="黑体" w:eastAsia="黑体"/>
          <w:b/>
          <w:color w:val="0066CC"/>
          <w:sz w:val="24"/>
        </w:rPr>
        <w:t>2.1.1  建设成本审核（四个方面）</w:t>
      </w:r>
      <w:bookmarkEnd w:id="13"/>
    </w:p>
    <w:p w14:paraId="7074D670">
      <w:pPr>
        <w:spacing w:before="0" w:after="120" w:line="360" w:lineRule="auto"/>
        <w:ind w:firstLine="168"/>
        <w:jc w:val="both"/>
      </w:pPr>
      <w:r>
        <w:rPr>
          <w:rFonts w:ascii="宋体" w:hAnsi="宋体" w:eastAsia="宋体"/>
          <w:b w:val="0"/>
          <w:color w:val="000000"/>
          <w:sz w:val="24"/>
        </w:rPr>
        <w:t>建设成本是竣工财务决算的核心内容，准确核实建设成本对于评价项目投资效益、确定资产价值具有重要意义。建设成本的审核应当重点关注以下四个方面，每一个方面都涉及复杂的专业判断和技术分析。审核工作的质量直接关系到竣工财务决算的准确性和可靠性，也关系到国有资产的价值确定和后续管理。</w:t>
      </w:r>
    </w:p>
    <w:p w14:paraId="22EBBBD3">
      <w:pPr>
        <w:spacing w:before="0" w:after="120" w:line="360" w:lineRule="auto"/>
        <w:ind w:firstLine="168"/>
        <w:jc w:val="both"/>
      </w:pPr>
      <w:r>
        <w:rPr>
          <w:rFonts w:ascii="宋体" w:hAnsi="宋体" w:eastAsia="宋体"/>
          <w:b w:val="0"/>
          <w:color w:val="000000"/>
          <w:sz w:val="24"/>
        </w:rPr>
        <w:t>第一个方面是建筑安装工程投资审核。建筑安装工程投资是建设项目最主要的成本构成，一般占项目总投资的60%至80%，其审核质量直接决定竣工财务决算的可靠性。审核时应当重点核查以下几个方面：施工合同签订的合规性，合同内容是否与招标文件、投标文件一致，是否存在低价中标后签订补充协议调整价款的问题；竣工结算报告的准确性，工程量计算是否与实际完成情况一致，定额套用是否符合规定，取费基数和费率标准是否正确；工程变更签证的有效性，设计变更、施工变更是否按规定程序审批，变更价款的确定是否有依据；工程价款支付的合规性，是否按合同约定和工程进度支付，是否存在提前支付或拖欠工程款的问题。对于政府投资项目，还应当重点审核是否存在违法分包、转包问题，是否存在借用资质施工问题。</w:t>
      </w:r>
    </w:p>
    <w:p w14:paraId="330B3D7A">
      <w:pPr>
        <w:spacing w:before="0" w:after="120" w:line="360" w:lineRule="auto"/>
        <w:ind w:firstLine="168"/>
        <w:jc w:val="both"/>
      </w:pPr>
      <w:r>
        <w:rPr>
          <w:rFonts w:ascii="宋体" w:hAnsi="宋体" w:eastAsia="宋体"/>
          <w:b w:val="0"/>
          <w:color w:val="000000"/>
          <w:sz w:val="24"/>
        </w:rPr>
        <w:t>对于EPC（设计、采购、施工）总承包项目，应当审核合同计价方式是否符合规定，设计变更与合同价款的衔接是否合理。对于清单计价项目，应当重点核实清单工程量与实际完成工程量是否一致，综合单价调整是否符合合同约定。对于费率招标项目，应当重点核实招标费率与实际计取费率是否一致，取费基数是否正确。对于采用模拟清单或成本加酬金方式计价的项目，应当重点审核成本构成的真实性、合理性以及酬金计算的准确性。对于包含暂估价、暂列金额的项目，应当审核其使用是否符合合同约定，是否存在超范围使用的问题。</w:t>
      </w:r>
    </w:p>
    <w:p w14:paraId="54FAEA67">
      <w:pPr>
        <w:spacing w:before="0" w:after="120" w:line="360" w:lineRule="auto"/>
        <w:ind w:firstLine="168"/>
        <w:jc w:val="both"/>
      </w:pPr>
      <w:r>
        <w:rPr>
          <w:rFonts w:ascii="宋体" w:hAnsi="宋体" w:eastAsia="宋体"/>
          <w:b w:val="0"/>
          <w:color w:val="000000"/>
          <w:sz w:val="24"/>
        </w:rPr>
        <w:t>第二个方面是设备投资审核。设备投资是建设项目的重要组成部分，特别是对于生产工艺设备、机电设备、信息化设备占比较大的项目，设备投资审核尤为关键。审核时应当重点核查以下几个方面：设备采购程序的合规性，是否按规定进行招标采购，采购方式选择（公开招标、邀请招标、竞争性磋商、单一来源等）是否符合规定；设备采购价格的公允性，与市场价格或同类项目价格相比是否存在明显偏高问题，进口设备的关税、增值税等进口税费计缴是否正确；设备合同执行的严肃性，合同内容是否得到全面履行，是否存在擅自变更设备规格型号问题；设备验收入库的完整性，设备到货验收记录是否齐全，是否存在提前办理入库但设备未到货问题；设备安装调试费的合理性，安装调试费用的计取是否符合规定。</w:t>
      </w:r>
    </w:p>
    <w:p w14:paraId="6ADBF072">
      <w:pPr>
        <w:spacing w:before="0" w:after="120" w:line="360" w:lineRule="auto"/>
        <w:ind w:firstLine="168"/>
        <w:jc w:val="both"/>
      </w:pPr>
      <w:r>
        <w:rPr>
          <w:rFonts w:ascii="宋体" w:hAnsi="宋体" w:eastAsia="宋体"/>
          <w:b w:val="0"/>
          <w:color w:val="000000"/>
          <w:sz w:val="24"/>
        </w:rPr>
        <w:t>对于进口设备，还应当审核采购外汇结算是否符合外汇管理规定。对于大型专用设备，还应当审核是否按规定进行政府采购审批。对于需要安装调试的设备，应当审核安装调试方案的合理性和安装调试费用的计取是否正确。对于设备因质量问题发生的退换货和索赔，应当审核处理是否及时、索赔金额是否合理。</w:t>
      </w:r>
    </w:p>
    <w:p w14:paraId="5EA00DFF">
      <w:pPr>
        <w:spacing w:before="0" w:after="120" w:line="360" w:lineRule="auto"/>
        <w:ind w:firstLine="168"/>
        <w:jc w:val="both"/>
      </w:pPr>
      <w:r>
        <w:rPr>
          <w:rFonts w:ascii="宋体" w:hAnsi="宋体" w:eastAsia="宋体"/>
          <w:b w:val="0"/>
          <w:color w:val="000000"/>
          <w:sz w:val="24"/>
        </w:rPr>
        <w:t>第三个方面是待摊投资审核。待摊投资是指在项目建设过程中发生的，按规定应当分摊计入项目建设成本的各项费用支出，包括建设单位管理费、土地征用及迁移补偿费、土地出让金、土地开发费、勘察设计费、可行性研究费、环境影响评价费、临时设施费、借款利息等。待摊投资审核时应当重点关注以下几个方面：待摊投资的内容是否属于规定的列支范围，有无将不属于待摊投资范围的费用计入待摊投资；待摊投资的分摊方法是否合理，是否按照合理的分摊标准计入各单体工程或单项资产。</w:t>
      </w:r>
    </w:p>
    <w:p w14:paraId="09FC086B">
      <w:pPr>
        <w:spacing w:before="0" w:after="120" w:line="360" w:lineRule="auto"/>
        <w:ind w:firstLine="168"/>
        <w:jc w:val="both"/>
      </w:pPr>
      <w:r>
        <w:rPr>
          <w:rFonts w:ascii="宋体" w:hAnsi="宋体" w:eastAsia="宋体"/>
          <w:b w:val="0"/>
          <w:color w:val="000000"/>
          <w:sz w:val="24"/>
        </w:rPr>
        <w:t>对于土地补偿费、安置补助费等费用，是否按规定标准计算，是否存在虚列人数、冒领补偿款问题。对于建设单位管理费，是否超出财政部门规定的计提标准，是否存在巧立名目乱发奖金补贴问题，计提基数的计算是否正确。对于借款利息支出，是否按照财务制度规定进行资本化或费用化处理，利息计算是否正确，资本化金额的确定是否合理。对于其他待摊投资费用，如勘察设计费、招标代理费、监理费等，应当审核费用发生的真实性和计费的准确性。待摊投资的分摊直接影响各单体工程的成本准确性和资产计价的合理性，必须予以充分重视。</w:t>
      </w:r>
    </w:p>
    <w:p w14:paraId="48CCB524">
      <w:pPr>
        <w:spacing w:before="0" w:after="120" w:line="360" w:lineRule="auto"/>
        <w:ind w:firstLine="168"/>
        <w:jc w:val="both"/>
      </w:pPr>
      <w:r>
        <w:rPr>
          <w:rFonts w:ascii="宋体" w:hAnsi="宋体" w:eastAsia="宋体"/>
          <w:b w:val="0"/>
          <w:color w:val="000000"/>
          <w:sz w:val="24"/>
        </w:rPr>
        <w:t>第四个方面是其他投资审核。其他投资是指在项目建设过程中发生的，不属于建筑安装工程投资、设备投资、待摊投资范围的其他投资支出，包括可行性研究费、科研试验费、技术图书资料费、软件开发费等无形资产投资，以及开办费、生产职工培训费等递延资产投资。其他投资审核时应当重点关注以下几个方面：可行性研究费、科研试验费等前期费用的真实性，是否真正用于项目前期工作，有无虚列费用或将项目建成后的运营费用提前计入项目建设成本问题。软件购置费、数据库费等无形资产投资的合规性，是否按规定程序进行采购，权属是否清晰。对于递延资产，如生产职工培训费、开办费等，应当审核其是否属于项目建设内容，是否在项目完工前发生，摊销期限和摊销方法是否符合规定。对于其他支出，应当核实每一笔支出的业务内容、金额和依据，确保支出真实、合理。</w:t>
      </w:r>
    </w:p>
    <w:p w14:paraId="673438B7">
      <w:pPr>
        <w:spacing w:before="160" w:after="80" w:line="360" w:lineRule="auto"/>
        <w:jc w:val="both"/>
        <w:outlineLvl w:val="2"/>
      </w:pPr>
      <w:bookmarkStart w:id="14" w:name="_Toc16478"/>
      <w:r>
        <w:rPr>
          <w:rFonts w:ascii="黑体" w:hAnsi="黑体" w:eastAsia="黑体"/>
          <w:b/>
          <w:color w:val="0066CC"/>
          <w:sz w:val="24"/>
        </w:rPr>
        <w:t>2.1.2  建设内容合规性审核</w:t>
      </w:r>
      <w:bookmarkEnd w:id="14"/>
    </w:p>
    <w:p w14:paraId="1542D75E">
      <w:pPr>
        <w:spacing w:before="0" w:after="120" w:line="360" w:lineRule="auto"/>
        <w:ind w:firstLine="168"/>
        <w:jc w:val="both"/>
      </w:pPr>
      <w:r>
        <w:rPr>
          <w:rFonts w:ascii="宋体" w:hAnsi="宋体" w:eastAsia="宋体"/>
          <w:b w:val="0"/>
          <w:color w:val="000000"/>
          <w:sz w:val="24"/>
        </w:rPr>
        <w:t>核查实际建设内容与批准建设内容的一致性，是竣工财务决算审核的重要环节。这一审核工作的核心在于确认建设单位是否严格按照批准的建设规模和建设标准组织实施，有无擅自变更的问题。具体审核内容包括三个方面：第一，建设规模与标准的合规性。核查实际建成规模（建筑面积、道路长度、管网长度、绿化面积等）是否超出批准文件核定的规模，是否存在擅自提高建设标准的情况。对于超规模超标准建设部分，应查明资金来源，分析其合规性。同时，还应当核查是否存在未经批准擅自缩减建设规模、降低建设标准的问题，以及缩减部分的资金去向。第二，资金使用的合规性。核查建设资金是否严格按照批准的资金来源和投资计划使用，有无挪用、串用建设资金的情况。重点关注是否存在以"项目配套"名义进行计划外支出的情况，是否存在将非本项目支出纳入本项目核算的情况。对于专项债券资金，要审核资金使用是否符合专项债券管理的相关规定。第三，招标采购的合规性。核查达到招标规模标准的工程和货物是否依法进行了招标采购，招标程序是否符合《招标投标法》及相关规定，中标价格与合同价格是否一致。对于单一来源采购、竞争性磋商等非招标方式，核查是否具备法定理由，审批程序是否合规。</w:t>
      </w:r>
    </w:p>
    <w:p w14:paraId="723B2AB7">
      <w:pPr>
        <w:spacing w:before="160" w:after="80" w:line="360" w:lineRule="auto"/>
        <w:jc w:val="both"/>
        <w:outlineLvl w:val="2"/>
      </w:pPr>
      <w:bookmarkStart w:id="15" w:name="_Toc29192"/>
      <w:r>
        <w:rPr>
          <w:rFonts w:ascii="黑体" w:hAnsi="黑体" w:eastAsia="黑体"/>
          <w:b/>
          <w:color w:val="0066CC"/>
          <w:sz w:val="24"/>
        </w:rPr>
        <w:t>2.1.3  支出票据合规性审核</w:t>
      </w:r>
      <w:bookmarkEnd w:id="15"/>
    </w:p>
    <w:p w14:paraId="56FF39B8">
      <w:pPr>
        <w:spacing w:before="0" w:after="120" w:line="360" w:lineRule="auto"/>
        <w:ind w:firstLine="168"/>
        <w:jc w:val="both"/>
      </w:pPr>
      <w:r>
        <w:rPr>
          <w:rFonts w:ascii="宋体" w:hAnsi="宋体" w:eastAsia="宋体"/>
          <w:b w:val="0"/>
          <w:color w:val="000000"/>
          <w:sz w:val="24"/>
        </w:rPr>
        <w:t>票据是证明经济业务真实发生的核心证据，票据合规性审核是竣工财务决算审核的关键环节。审核重点包括以下四个方面：第一个方面是发票真实性审核。核查发票是否为国家税务机关认可的真实发票，是否存在虚假发票、克隆发票的情况。可以通过税务机关发票查询平台进行网上核验，核实发票代码、号码是否真实存在，开票日期、金额、项目内容等是否与账面记录一致。对于金额较大或存在疑点的发票，应当通过税务机关进一步核实。</w:t>
      </w:r>
    </w:p>
    <w:p w14:paraId="460A2906">
      <w:pPr>
        <w:spacing w:before="0" w:after="120" w:line="360" w:lineRule="auto"/>
        <w:ind w:firstLine="168"/>
        <w:jc w:val="both"/>
      </w:pPr>
      <w:r>
        <w:rPr>
          <w:rFonts w:ascii="宋体" w:hAnsi="宋体" w:eastAsia="宋体"/>
          <w:b w:val="0"/>
          <w:color w:val="000000"/>
          <w:sz w:val="24"/>
        </w:rPr>
        <w:t>第二个方面是票据完整性审核。核查票据要素是否齐全，开票日期、金额、项目内容、开票单位等是否完整准确。特别关注票据日期是否在项目建设期内、票据金额是否与付款金额一致、票据项目内容是否与实际业务相符。对于票据要素不全的，应当追查原因，确认其是否影响票据的效力。</w:t>
      </w:r>
    </w:p>
    <w:p w14:paraId="70652E4E">
      <w:pPr>
        <w:spacing w:before="0" w:after="120" w:line="360" w:lineRule="auto"/>
        <w:ind w:firstLine="168"/>
        <w:jc w:val="both"/>
      </w:pPr>
      <w:r>
        <w:rPr>
          <w:rFonts w:ascii="宋体" w:hAnsi="宋体" w:eastAsia="宋体"/>
          <w:b w:val="0"/>
          <w:color w:val="000000"/>
          <w:sz w:val="24"/>
        </w:rPr>
        <w:t>第三个方面是票据合法性审核。核查票据是否符合国家发票管理规定，是否存在过期票据、白条入账等问题。特别关注是否存在以收据或其他非正规凭证代替发票入账的情况，是否存在票据来源不合规的问题。对于发现的非法票据，应当追查相关支出是否真实，并在审核报告中予以披露。</w:t>
      </w:r>
    </w:p>
    <w:p w14:paraId="4DE0739C">
      <w:pPr>
        <w:spacing w:before="0" w:after="120" w:line="360" w:lineRule="auto"/>
        <w:ind w:firstLine="168"/>
        <w:jc w:val="both"/>
      </w:pPr>
      <w:r>
        <w:rPr>
          <w:rFonts w:ascii="宋体" w:hAnsi="宋体" w:eastAsia="宋体"/>
          <w:b w:val="0"/>
          <w:color w:val="000000"/>
          <w:sz w:val="24"/>
        </w:rPr>
        <w:t>第四个方面是票据与业务的匹配性审核。核查票据记载的业务内容与实际发生的业务是否一致，金额是否匹配。特别关注是否存在票据金额与合同金额差异较大的情况，是否存在票据时间早于合同签订时间或晚于项目竣工时间等异常情况。对于审核中发现的异常票据，应当追溯到原始凭证进行核实，必要时向税务机关进行真伪鉴定。</w:t>
      </w:r>
    </w:p>
    <w:p w14:paraId="118B65F4">
      <w:pPr>
        <w:spacing w:before="160" w:after="80" w:line="360" w:lineRule="auto"/>
        <w:jc w:val="both"/>
        <w:outlineLvl w:val="2"/>
      </w:pPr>
      <w:bookmarkStart w:id="16" w:name="_Toc28812"/>
      <w:r>
        <w:rPr>
          <w:rFonts w:ascii="黑体" w:hAnsi="黑体" w:eastAsia="黑体"/>
          <w:b/>
          <w:color w:val="0066CC"/>
          <w:sz w:val="24"/>
        </w:rPr>
        <w:t>2.1.4  债权债务与投资审核</w:t>
      </w:r>
      <w:bookmarkEnd w:id="16"/>
    </w:p>
    <w:p w14:paraId="67EBDD46">
      <w:pPr>
        <w:spacing w:before="0" w:after="120" w:line="360" w:lineRule="auto"/>
        <w:ind w:firstLine="168"/>
        <w:jc w:val="both"/>
      </w:pPr>
      <w:r>
        <w:rPr>
          <w:rFonts w:ascii="宋体" w:hAnsi="宋体" w:eastAsia="宋体"/>
          <w:b w:val="0"/>
          <w:color w:val="000000"/>
          <w:sz w:val="24"/>
        </w:rPr>
        <w:t>债权债务清理是竣工财务决算的重要环节，直接关系到项目资金的安全完整。债权债务审核应当重点关注以下几个方面：应收款项的真实性，核查各项应收款项是否真实存在，是否存在虚列债权的问题；应付款项的完整性，核查各项应付款项是否完整列入，有无隐瞒债务的情况；债权债务的账龄分析，对各项债权债务进行账龄分析，识别长期挂账的异常款项；投资形成的真实性，核查对被投资单位的投资是否真实投资到位，有无虚假投资的问题；投资收益的完整性，核查投资收益是否按规定入账，有无隐瞒投资收益的问题。对于存在争议的债权债务，应当查明原因，在审核报告中予以说明。</w:t>
      </w:r>
    </w:p>
    <w:p w14:paraId="136CF116">
      <w:pPr>
        <w:spacing w:before="200" w:after="80" w:line="360" w:lineRule="auto"/>
        <w:jc w:val="both"/>
        <w:outlineLvl w:val="1"/>
      </w:pPr>
      <w:bookmarkStart w:id="17" w:name="_Toc8357"/>
      <w:r>
        <w:rPr>
          <w:rFonts w:ascii="黑体" w:hAnsi="黑体" w:eastAsia="黑体"/>
          <w:b/>
          <w:color w:val="003366"/>
          <w:sz w:val="28"/>
        </w:rPr>
        <w:t>2.2  审核难点分析</w:t>
      </w:r>
      <w:bookmarkEnd w:id="17"/>
    </w:p>
    <w:p w14:paraId="2C55B66B">
      <w:pPr>
        <w:spacing w:before="160" w:after="80" w:line="360" w:lineRule="auto"/>
        <w:jc w:val="both"/>
        <w:outlineLvl w:val="2"/>
      </w:pPr>
      <w:bookmarkStart w:id="18" w:name="_Toc6877"/>
      <w:r>
        <w:rPr>
          <w:rFonts w:ascii="黑体" w:hAnsi="黑体" w:eastAsia="黑体"/>
          <w:b/>
          <w:color w:val="0066CC"/>
          <w:sz w:val="24"/>
        </w:rPr>
        <w:t>2.2.1  工程变更审核难点</w:t>
      </w:r>
      <w:bookmarkEnd w:id="18"/>
    </w:p>
    <w:p w14:paraId="7E0CC722">
      <w:pPr>
        <w:spacing w:before="0" w:after="120" w:line="360" w:lineRule="auto"/>
        <w:ind w:firstLine="168"/>
        <w:jc w:val="both"/>
      </w:pPr>
      <w:r>
        <w:rPr>
          <w:rFonts w:ascii="宋体" w:hAnsi="宋体" w:eastAsia="宋体"/>
          <w:b w:val="0"/>
          <w:color w:val="000000"/>
          <w:sz w:val="24"/>
        </w:rPr>
        <w:t>工程变更审核是竣工财务决算审核的难点之一，主要体现在以下几个方面：第一，变更原因的认定难度大。工程变更涉及设计漏项、施工条件变化、功能调整等多种原因，不同原因的变更在费用承担上存在差异，需要审核人员具备丰富的工程经验和专业判断能力。第二，变更价款的确定复杂。对于变更工程量的计算和综合单价的确定，往往存在较大的争议空间。第三，变更签证的规范性不足。部分项目的变更签证存在手续不全、签字不全、签证日期与实际施工日期不符等问题，给审核工作带来困难。第四，变更与索赔的边界模糊。变更与索赔在实践中往往相互交织，区分难度较大，需要审核人员仔细甄别。</w:t>
      </w:r>
    </w:p>
    <w:p w14:paraId="31C1FC90">
      <w:pPr>
        <w:spacing w:before="160" w:after="80" w:line="360" w:lineRule="auto"/>
        <w:jc w:val="both"/>
        <w:outlineLvl w:val="2"/>
      </w:pPr>
      <w:bookmarkStart w:id="19" w:name="_Toc9309"/>
      <w:r>
        <w:rPr>
          <w:rFonts w:ascii="黑体" w:hAnsi="黑体" w:eastAsia="黑体"/>
          <w:b/>
          <w:color w:val="0066CC"/>
          <w:sz w:val="24"/>
        </w:rPr>
        <w:t>2.2.2  待摊投资分摊难点</w:t>
      </w:r>
      <w:bookmarkEnd w:id="19"/>
    </w:p>
    <w:p w14:paraId="63D35AF4">
      <w:pPr>
        <w:spacing w:before="0" w:after="120" w:line="360" w:lineRule="auto"/>
        <w:ind w:firstLine="168"/>
        <w:jc w:val="both"/>
      </w:pPr>
      <w:r>
        <w:rPr>
          <w:rFonts w:ascii="宋体" w:hAnsi="宋体" w:eastAsia="宋体"/>
          <w:b w:val="0"/>
          <w:color w:val="000000"/>
          <w:sz w:val="24"/>
        </w:rPr>
        <w:t>待摊投资分摊是另一个审核难点，主要问题包括：第一，分摊标准的选择缺乏明确依据。对于同时服务于多个单体工程的待摊投资，如何选择合理的分摊标准是一个复杂的问题。第二，分摊方法的一致性存疑。部分项目在不同的待摊投资项目中采用了不同的分摊方法，导致分摊结果缺乏逻辑一致性。第三，待摊投资与直接投资的边界不清。部分费用究竟是计入单体工程成本还是计入待摊投资，在认定上存在困难。第四，分摊结果对单体工程成本的影响较大。不合理的分摊可能导致部分单体工程成本虚高或虚低，影响资产计价的准确性。</w:t>
      </w:r>
    </w:p>
    <w:p w14:paraId="4F7015ED">
      <w:pPr>
        <w:spacing w:before="160" w:after="80" w:line="360" w:lineRule="auto"/>
        <w:jc w:val="both"/>
        <w:outlineLvl w:val="2"/>
      </w:pPr>
      <w:bookmarkStart w:id="20" w:name="_Toc6226"/>
      <w:r>
        <w:rPr>
          <w:rFonts w:ascii="黑体" w:hAnsi="黑体" w:eastAsia="黑体"/>
          <w:b/>
          <w:color w:val="0066CC"/>
          <w:sz w:val="24"/>
        </w:rPr>
        <w:t>2.2.3  高原民族地区特殊情况</w:t>
      </w:r>
      <w:bookmarkEnd w:id="20"/>
    </w:p>
    <w:p w14:paraId="5314E1C8">
      <w:pPr>
        <w:spacing w:before="0" w:after="120" w:line="360" w:lineRule="auto"/>
        <w:ind w:firstLine="168"/>
        <w:jc w:val="both"/>
      </w:pPr>
      <w:r>
        <w:rPr>
          <w:rFonts w:ascii="宋体" w:hAnsi="宋体" w:eastAsia="宋体"/>
          <w:b w:val="0"/>
          <w:color w:val="000000"/>
          <w:sz w:val="24"/>
        </w:rPr>
        <w:t>阿坝州属于高原民族地区，项目审核面临特殊困难：第一，高原气候对施工成本的影响。高原地区冬季施工周期长、施工效率低、机械设备功效下降，这些因素都会导致施工成本高于平原地区，如何合理认定高原施工增加费是一个难点。第二，民族地区政策的特殊性。对口援建项目在资金管理、招标采购等方面有特殊规定，需要审核人员熟悉相关政策。第三，自然灾害的影响。阿坝州地震、泥石流等自然灾害频发，部分项目在建设期间可能遭遇自然灾害，工程报废损失的责任划分和损失认定较为复杂。第四，交通条件对审核工作的制约。高原地区交通条件较差，部分项目地处偏远，审核人员赴现场核实存在实际困难。</w:t>
      </w:r>
    </w:p>
    <w:p w14:paraId="0FA9747F">
      <w:pPr>
        <w:spacing w:before="0" w:after="0" w:line="240" w:lineRule="auto"/>
      </w:pPr>
    </w:p>
    <w:p w14:paraId="1F3039D5">
      <w:pPr>
        <w:spacing w:before="120" w:after="80"/>
        <w:jc w:val="center"/>
        <w:outlineLvl w:val="0"/>
      </w:pPr>
      <w:bookmarkStart w:id="21" w:name="_Toc24649"/>
      <w:r>
        <w:rPr>
          <w:rFonts w:ascii="黑体" w:hAnsi="黑体" w:eastAsia="黑体"/>
          <w:b/>
          <w:color w:val="003366"/>
          <w:sz w:val="26"/>
        </w:rPr>
        <w:t>◆ 本章评标点总结 ◆</w:t>
      </w:r>
      <w:bookmarkEnd w:id="21"/>
    </w:p>
    <w:p w14:paraId="16F5F158">
      <w:pPr>
        <w:jc w:val="center"/>
      </w:pPr>
      <w:r>
        <w:rPr>
          <w:rFonts w:ascii="宋体" w:hAnsi="宋体" w:eastAsia="宋体"/>
          <w:b w:val="0"/>
          <w:color w:val="404040"/>
          <w:sz w:val="21"/>
        </w:rPr>
        <w:t>本章对应比选文件第四章"评比办法及评比标准"评分因素（满分40分），须完整包含以下维度：</w:t>
      </w:r>
    </w:p>
    <w:p w14:paraId="68E7DDC6">
      <w:pPr>
        <w:spacing w:before="0" w:after="0" w:line="240" w:lineRule="auto"/>
      </w:pPr>
    </w:p>
    <w:tbl>
      <w:tblPr>
        <w:tblStyle w:val="35"/>
        <w:tblW w:w="0" w:type="auto"/>
        <w:jc w:val="center"/>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Layout w:type="autofit"/>
        <w:tblCellMar>
          <w:top w:w="0" w:type="dxa"/>
          <w:left w:w="108" w:type="dxa"/>
          <w:bottom w:w="0" w:type="dxa"/>
          <w:right w:w="108" w:type="dxa"/>
        </w:tblCellMar>
      </w:tblPr>
      <w:tblGrid>
        <w:gridCol w:w="801"/>
        <w:gridCol w:w="2329"/>
        <w:gridCol w:w="1827"/>
        <w:gridCol w:w="3082"/>
        <w:gridCol w:w="823"/>
      </w:tblGrid>
      <w:tr w14:paraId="6F5DB5E7">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003366"/>
            <w:vAlign w:val="center"/>
          </w:tcPr>
          <w:p w14:paraId="2586F7C0">
            <w:pPr>
              <w:spacing w:before="40" w:after="40"/>
              <w:jc w:val="center"/>
            </w:pPr>
            <w:r>
              <w:rPr>
                <w:rFonts w:ascii="黑体" w:hAnsi="黑体" w:eastAsia="黑体"/>
                <w:b/>
                <w:color w:val="FFFFFF"/>
                <w:sz w:val="21"/>
              </w:rPr>
              <w:t>序号</w:t>
            </w:r>
          </w:p>
        </w:tc>
        <w:tc>
          <w:tcPr>
            <w:tcW w:w="2551" w:type="dxa"/>
            <w:shd w:val="clear" w:color="auto" w:fill="003366"/>
            <w:vAlign w:val="center"/>
          </w:tcPr>
          <w:p w14:paraId="20C0670A">
            <w:pPr>
              <w:spacing w:before="40" w:after="40"/>
              <w:jc w:val="center"/>
            </w:pPr>
            <w:r>
              <w:rPr>
                <w:rFonts w:ascii="黑体" w:hAnsi="黑体" w:eastAsia="黑体"/>
                <w:b/>
                <w:color w:val="FFFFFF"/>
                <w:sz w:val="21"/>
              </w:rPr>
              <w:t>评标维度</w:t>
            </w:r>
          </w:p>
        </w:tc>
        <w:tc>
          <w:tcPr>
            <w:tcW w:w="1984" w:type="dxa"/>
            <w:shd w:val="clear" w:color="auto" w:fill="003366"/>
            <w:vAlign w:val="center"/>
          </w:tcPr>
          <w:p w14:paraId="6FD4E795">
            <w:pPr>
              <w:spacing w:before="40" w:after="40"/>
              <w:jc w:val="center"/>
            </w:pPr>
            <w:r>
              <w:rPr>
                <w:rFonts w:ascii="黑体" w:hAnsi="黑体" w:eastAsia="黑体"/>
                <w:b/>
                <w:color w:val="FFFFFF"/>
                <w:sz w:val="21"/>
              </w:rPr>
              <w:t>对应章节</w:t>
            </w:r>
          </w:p>
        </w:tc>
        <w:tc>
          <w:tcPr>
            <w:tcW w:w="3402" w:type="dxa"/>
            <w:shd w:val="clear" w:color="auto" w:fill="003366"/>
            <w:vAlign w:val="center"/>
          </w:tcPr>
          <w:p w14:paraId="3975E8C9">
            <w:pPr>
              <w:spacing w:before="40" w:after="40"/>
              <w:jc w:val="center"/>
            </w:pPr>
            <w:r>
              <w:rPr>
                <w:rFonts w:ascii="黑体" w:hAnsi="黑体" w:eastAsia="黑体"/>
                <w:b/>
                <w:color w:val="FFFFFF"/>
                <w:sz w:val="21"/>
              </w:rPr>
              <w:t>评标要点</w:t>
            </w:r>
          </w:p>
        </w:tc>
        <w:tc>
          <w:tcPr>
            <w:tcW w:w="850" w:type="dxa"/>
            <w:shd w:val="clear" w:color="auto" w:fill="003366"/>
            <w:vAlign w:val="center"/>
          </w:tcPr>
          <w:p w14:paraId="6B95C887">
            <w:pPr>
              <w:spacing w:before="40" w:after="40"/>
              <w:jc w:val="center"/>
            </w:pPr>
            <w:r>
              <w:rPr>
                <w:rFonts w:ascii="黑体" w:hAnsi="黑体" w:eastAsia="黑体"/>
                <w:b/>
                <w:color w:val="FFFFFF"/>
                <w:sz w:val="21"/>
              </w:rPr>
              <w:t>分值权重</w:t>
            </w:r>
          </w:p>
        </w:tc>
      </w:tr>
      <w:tr w14:paraId="70D866AC">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499F9C6F">
            <w:pPr>
              <w:spacing w:before="40" w:after="40"/>
              <w:jc w:val="center"/>
            </w:pPr>
            <w:r>
              <w:rPr>
                <w:rFonts w:ascii="宋体" w:hAnsi="宋体" w:eastAsia="宋体"/>
                <w:b/>
                <w:color w:val="003366"/>
                <w:sz w:val="20"/>
              </w:rPr>
              <w:t>①</w:t>
            </w:r>
          </w:p>
        </w:tc>
        <w:tc>
          <w:tcPr>
            <w:tcW w:w="2551" w:type="dxa"/>
            <w:shd w:val="clear" w:color="auto" w:fill="FFFFFF"/>
            <w:vAlign w:val="center"/>
          </w:tcPr>
          <w:p w14:paraId="77E3168E">
            <w:pPr>
              <w:spacing w:before="40" w:after="40"/>
              <w:jc w:val="left"/>
            </w:pPr>
            <w:r>
              <w:rPr>
                <w:rFonts w:ascii="宋体" w:hAnsi="宋体" w:eastAsia="宋体"/>
                <w:b w:val="0"/>
                <w:color w:val="000000"/>
                <w:sz w:val="20"/>
              </w:rPr>
              <w:t>工作重点、难点分析</w:t>
            </w:r>
          </w:p>
        </w:tc>
        <w:tc>
          <w:tcPr>
            <w:tcW w:w="1984" w:type="dxa"/>
            <w:shd w:val="clear" w:color="auto" w:fill="FFFFFF"/>
            <w:vAlign w:val="center"/>
          </w:tcPr>
          <w:p w14:paraId="2E125E56">
            <w:pPr>
              <w:spacing w:before="40" w:after="40"/>
              <w:jc w:val="left"/>
            </w:pPr>
            <w:r>
              <w:rPr>
                <w:rFonts w:ascii="宋体" w:hAnsi="宋体" w:eastAsia="宋体"/>
                <w:b w:val="0"/>
                <w:color w:val="000000"/>
                <w:sz w:val="20"/>
              </w:rPr>
              <w:t>本章2.1-2.2节</w:t>
            </w:r>
          </w:p>
        </w:tc>
        <w:tc>
          <w:tcPr>
            <w:tcW w:w="3402" w:type="dxa"/>
            <w:shd w:val="clear" w:color="auto" w:fill="FFFFFF"/>
            <w:vAlign w:val="center"/>
          </w:tcPr>
          <w:p w14:paraId="104E9322">
            <w:pPr>
              <w:spacing w:before="40" w:after="40"/>
              <w:jc w:val="left"/>
            </w:pPr>
            <w:r>
              <w:rPr>
                <w:rFonts w:ascii="宋体" w:hAnsi="宋体" w:eastAsia="宋体"/>
                <w:b w:val="0"/>
                <w:color w:val="000000"/>
                <w:sz w:val="20"/>
              </w:rPr>
              <w:t>审核重点覆盖建设成本四方面、建设内容三方面、票据合规四方面、债权债务审核，以及工程变更、待摊投资、高原特殊情况等难点</w:t>
            </w:r>
          </w:p>
        </w:tc>
        <w:tc>
          <w:tcPr>
            <w:tcW w:w="850" w:type="dxa"/>
            <w:shd w:val="clear" w:color="auto" w:fill="FFFFFF"/>
            <w:vAlign w:val="center"/>
          </w:tcPr>
          <w:p w14:paraId="66212A8F">
            <w:pPr>
              <w:spacing w:before="40" w:after="40"/>
              <w:jc w:val="center"/>
            </w:pPr>
            <w:r>
              <w:rPr>
                <w:rFonts w:ascii="宋体" w:hAnsi="宋体" w:eastAsia="宋体"/>
                <w:b/>
                <w:color w:val="C00000"/>
                <w:sz w:val="20"/>
              </w:rPr>
              <w:t>满分40分（重点）</w:t>
            </w:r>
          </w:p>
        </w:tc>
      </w:tr>
      <w:tr w14:paraId="63EDF191">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E8F0FA"/>
            <w:vAlign w:val="center"/>
          </w:tcPr>
          <w:p w14:paraId="2ED9CD10">
            <w:pPr>
              <w:spacing w:before="40" w:after="40"/>
              <w:jc w:val="center"/>
            </w:pPr>
            <w:r>
              <w:rPr>
                <w:rFonts w:ascii="宋体" w:hAnsi="宋体" w:eastAsia="宋体"/>
                <w:b/>
                <w:color w:val="003366"/>
                <w:sz w:val="20"/>
              </w:rPr>
              <w:t>②</w:t>
            </w:r>
          </w:p>
        </w:tc>
        <w:tc>
          <w:tcPr>
            <w:tcW w:w="2551" w:type="dxa"/>
            <w:shd w:val="clear" w:color="auto" w:fill="E8F0FA"/>
            <w:vAlign w:val="center"/>
          </w:tcPr>
          <w:p w14:paraId="3600FFB9">
            <w:pPr>
              <w:spacing w:before="40" w:after="40"/>
              <w:jc w:val="left"/>
            </w:pPr>
            <w:r>
              <w:rPr>
                <w:rFonts w:ascii="宋体" w:hAnsi="宋体" w:eastAsia="宋体"/>
                <w:b w:val="0"/>
                <w:color w:val="000000"/>
                <w:sz w:val="20"/>
              </w:rPr>
              <w:t>审计流程及进度安排</w:t>
            </w:r>
          </w:p>
        </w:tc>
        <w:tc>
          <w:tcPr>
            <w:tcW w:w="1984" w:type="dxa"/>
            <w:shd w:val="clear" w:color="auto" w:fill="E8F0FA"/>
            <w:vAlign w:val="center"/>
          </w:tcPr>
          <w:p w14:paraId="266EF1B7">
            <w:pPr>
              <w:spacing w:before="40" w:after="40"/>
              <w:jc w:val="left"/>
            </w:pPr>
            <w:r>
              <w:rPr>
                <w:rFonts w:ascii="宋体" w:hAnsi="宋体" w:eastAsia="宋体"/>
                <w:b w:val="0"/>
                <w:color w:val="000000"/>
                <w:sz w:val="20"/>
              </w:rPr>
              <w:t>第三章</w:t>
            </w:r>
          </w:p>
        </w:tc>
        <w:tc>
          <w:tcPr>
            <w:tcW w:w="3402" w:type="dxa"/>
            <w:shd w:val="clear" w:color="auto" w:fill="E8F0FA"/>
            <w:vAlign w:val="center"/>
          </w:tcPr>
          <w:p w14:paraId="46CEA3C0">
            <w:pPr>
              <w:spacing w:before="40" w:after="40"/>
              <w:jc w:val="left"/>
            </w:pPr>
            <w:r>
              <w:rPr>
                <w:rFonts w:ascii="宋体" w:hAnsi="宋体" w:eastAsia="宋体"/>
                <w:b w:val="0"/>
                <w:color w:val="000000"/>
                <w:sz w:val="20"/>
              </w:rPr>
              <w:t>制定清晰的审计流程各阶段工作内容和时间节点安排</w:t>
            </w:r>
          </w:p>
        </w:tc>
        <w:tc>
          <w:tcPr>
            <w:tcW w:w="850" w:type="dxa"/>
            <w:shd w:val="clear" w:color="auto" w:fill="E8F0FA"/>
            <w:vAlign w:val="center"/>
          </w:tcPr>
          <w:p w14:paraId="6F43F396">
            <w:pPr>
              <w:spacing w:before="40" w:after="40"/>
              <w:jc w:val="center"/>
            </w:pPr>
            <w:r>
              <w:rPr>
                <w:rFonts w:ascii="宋体" w:hAnsi="宋体" w:eastAsia="宋体"/>
                <w:b/>
                <w:color w:val="C00000"/>
                <w:sz w:val="20"/>
              </w:rPr>
              <w:t>满分40分</w:t>
            </w:r>
          </w:p>
        </w:tc>
      </w:tr>
      <w:tr w14:paraId="5AF26550">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79811535">
            <w:pPr>
              <w:spacing w:before="40" w:after="40"/>
              <w:jc w:val="center"/>
            </w:pPr>
            <w:r>
              <w:rPr>
                <w:rFonts w:ascii="宋体" w:hAnsi="宋体" w:eastAsia="宋体"/>
                <w:b/>
                <w:color w:val="003366"/>
                <w:sz w:val="20"/>
              </w:rPr>
              <w:t>③</w:t>
            </w:r>
          </w:p>
        </w:tc>
        <w:tc>
          <w:tcPr>
            <w:tcW w:w="2551" w:type="dxa"/>
            <w:shd w:val="clear" w:color="auto" w:fill="FFFFFF"/>
            <w:vAlign w:val="center"/>
          </w:tcPr>
          <w:p w14:paraId="6121721E">
            <w:pPr>
              <w:spacing w:before="40" w:after="40"/>
              <w:jc w:val="left"/>
            </w:pPr>
            <w:r>
              <w:rPr>
                <w:rFonts w:ascii="宋体" w:hAnsi="宋体" w:eastAsia="宋体"/>
                <w:b w:val="0"/>
                <w:color w:val="000000"/>
                <w:sz w:val="20"/>
              </w:rPr>
              <w:t>审计管理制度</w:t>
            </w:r>
          </w:p>
        </w:tc>
        <w:tc>
          <w:tcPr>
            <w:tcW w:w="1984" w:type="dxa"/>
            <w:shd w:val="clear" w:color="auto" w:fill="FFFFFF"/>
            <w:vAlign w:val="center"/>
          </w:tcPr>
          <w:p w14:paraId="75F1282C">
            <w:pPr>
              <w:spacing w:before="40" w:after="40"/>
              <w:jc w:val="left"/>
            </w:pPr>
            <w:r>
              <w:rPr>
                <w:rFonts w:ascii="宋体" w:hAnsi="宋体" w:eastAsia="宋体"/>
                <w:b w:val="0"/>
                <w:color w:val="000000"/>
                <w:sz w:val="20"/>
              </w:rPr>
              <w:t>第四章</w:t>
            </w:r>
          </w:p>
        </w:tc>
        <w:tc>
          <w:tcPr>
            <w:tcW w:w="3402" w:type="dxa"/>
            <w:shd w:val="clear" w:color="auto" w:fill="FFFFFF"/>
            <w:vAlign w:val="center"/>
          </w:tcPr>
          <w:p w14:paraId="33209244">
            <w:pPr>
              <w:spacing w:before="40" w:after="40"/>
              <w:jc w:val="left"/>
            </w:pPr>
            <w:r>
              <w:rPr>
                <w:rFonts w:ascii="宋体" w:hAnsi="宋体" w:eastAsia="宋体"/>
                <w:b w:val="0"/>
                <w:color w:val="000000"/>
                <w:sz w:val="20"/>
              </w:rPr>
              <w:t>建立健全审计质量控制、进度管理、保密安全等制度</w:t>
            </w:r>
          </w:p>
        </w:tc>
        <w:tc>
          <w:tcPr>
            <w:tcW w:w="850" w:type="dxa"/>
            <w:shd w:val="clear" w:color="auto" w:fill="FFFFFF"/>
            <w:vAlign w:val="center"/>
          </w:tcPr>
          <w:p w14:paraId="1FE61AB9">
            <w:pPr>
              <w:spacing w:before="40" w:after="40"/>
              <w:jc w:val="center"/>
            </w:pPr>
            <w:r>
              <w:rPr>
                <w:rFonts w:ascii="宋体" w:hAnsi="宋体" w:eastAsia="宋体"/>
                <w:b/>
                <w:color w:val="C00000"/>
                <w:sz w:val="20"/>
              </w:rPr>
              <w:t>满分40分</w:t>
            </w:r>
          </w:p>
        </w:tc>
      </w:tr>
      <w:tr w14:paraId="36A94695">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E8F0FA"/>
            <w:vAlign w:val="center"/>
          </w:tcPr>
          <w:p w14:paraId="2581033C">
            <w:pPr>
              <w:spacing w:before="40" w:after="40"/>
              <w:jc w:val="center"/>
            </w:pPr>
            <w:r>
              <w:rPr>
                <w:rFonts w:ascii="宋体" w:hAnsi="宋体" w:eastAsia="宋体"/>
                <w:b/>
                <w:color w:val="003366"/>
                <w:sz w:val="20"/>
              </w:rPr>
              <w:t>④</w:t>
            </w:r>
          </w:p>
        </w:tc>
        <w:tc>
          <w:tcPr>
            <w:tcW w:w="2551" w:type="dxa"/>
            <w:shd w:val="clear" w:color="auto" w:fill="E8F0FA"/>
            <w:vAlign w:val="center"/>
          </w:tcPr>
          <w:p w14:paraId="2AA98D67">
            <w:pPr>
              <w:spacing w:before="40" w:after="40"/>
              <w:jc w:val="left"/>
            </w:pPr>
            <w:r>
              <w:rPr>
                <w:rFonts w:ascii="宋体" w:hAnsi="宋体" w:eastAsia="宋体"/>
                <w:b w:val="0"/>
                <w:color w:val="000000"/>
                <w:sz w:val="20"/>
              </w:rPr>
              <w:t>审计机构设置和岗位职责</w:t>
            </w:r>
          </w:p>
        </w:tc>
        <w:tc>
          <w:tcPr>
            <w:tcW w:w="1984" w:type="dxa"/>
            <w:shd w:val="clear" w:color="auto" w:fill="E8F0FA"/>
            <w:vAlign w:val="center"/>
          </w:tcPr>
          <w:p w14:paraId="12228136">
            <w:pPr>
              <w:spacing w:before="40" w:after="40"/>
              <w:jc w:val="left"/>
            </w:pPr>
            <w:r>
              <w:rPr>
                <w:rFonts w:ascii="宋体" w:hAnsi="宋体" w:eastAsia="宋体"/>
                <w:b w:val="0"/>
                <w:color w:val="000000"/>
                <w:sz w:val="20"/>
              </w:rPr>
              <w:t>第五章</w:t>
            </w:r>
          </w:p>
        </w:tc>
        <w:tc>
          <w:tcPr>
            <w:tcW w:w="3402" w:type="dxa"/>
            <w:shd w:val="clear" w:color="auto" w:fill="E8F0FA"/>
            <w:vAlign w:val="center"/>
          </w:tcPr>
          <w:p w14:paraId="142C385E">
            <w:pPr>
              <w:spacing w:before="40" w:after="40"/>
              <w:jc w:val="left"/>
            </w:pPr>
            <w:r>
              <w:rPr>
                <w:rFonts w:ascii="宋体" w:hAnsi="宋体" w:eastAsia="宋体"/>
                <w:b w:val="0"/>
                <w:color w:val="000000"/>
                <w:sz w:val="20"/>
              </w:rPr>
              <w:t>明确组织架构、人员资质和职责分工</w:t>
            </w:r>
          </w:p>
        </w:tc>
        <w:tc>
          <w:tcPr>
            <w:tcW w:w="850" w:type="dxa"/>
            <w:shd w:val="clear" w:color="auto" w:fill="E8F0FA"/>
            <w:vAlign w:val="center"/>
          </w:tcPr>
          <w:p w14:paraId="2105D42B">
            <w:pPr>
              <w:spacing w:before="40" w:after="40"/>
              <w:jc w:val="center"/>
            </w:pPr>
            <w:r>
              <w:rPr>
                <w:rFonts w:ascii="宋体" w:hAnsi="宋体" w:eastAsia="宋体"/>
                <w:b/>
                <w:color w:val="C00000"/>
                <w:sz w:val="20"/>
              </w:rPr>
              <w:t>满分40分</w:t>
            </w:r>
          </w:p>
        </w:tc>
      </w:tr>
      <w:tr w14:paraId="6822ADA8">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52E4B69F">
            <w:pPr>
              <w:spacing w:before="40" w:after="40"/>
              <w:jc w:val="center"/>
            </w:pPr>
            <w:r>
              <w:rPr>
                <w:rFonts w:ascii="宋体" w:hAnsi="宋体" w:eastAsia="宋体"/>
                <w:b/>
                <w:color w:val="003366"/>
                <w:sz w:val="20"/>
              </w:rPr>
              <w:t>⑤</w:t>
            </w:r>
          </w:p>
        </w:tc>
        <w:tc>
          <w:tcPr>
            <w:tcW w:w="2551" w:type="dxa"/>
            <w:shd w:val="clear" w:color="auto" w:fill="FFFFFF"/>
            <w:vAlign w:val="center"/>
          </w:tcPr>
          <w:p w14:paraId="14A1505A">
            <w:pPr>
              <w:spacing w:before="40" w:after="40"/>
              <w:jc w:val="left"/>
            </w:pPr>
            <w:r>
              <w:rPr>
                <w:rFonts w:ascii="宋体" w:hAnsi="宋体" w:eastAsia="宋体"/>
                <w:b w:val="0"/>
                <w:color w:val="000000"/>
                <w:sz w:val="20"/>
              </w:rPr>
              <w:t>审计服务质量保证措施</w:t>
            </w:r>
          </w:p>
        </w:tc>
        <w:tc>
          <w:tcPr>
            <w:tcW w:w="1984" w:type="dxa"/>
            <w:shd w:val="clear" w:color="auto" w:fill="FFFFFF"/>
            <w:vAlign w:val="center"/>
          </w:tcPr>
          <w:p w14:paraId="68595123">
            <w:pPr>
              <w:spacing w:before="40" w:after="40"/>
              <w:jc w:val="left"/>
            </w:pPr>
            <w:r>
              <w:rPr>
                <w:rFonts w:ascii="宋体" w:hAnsi="宋体" w:eastAsia="宋体"/>
                <w:b w:val="0"/>
                <w:color w:val="000000"/>
                <w:sz w:val="20"/>
              </w:rPr>
              <w:t>第六章</w:t>
            </w:r>
          </w:p>
        </w:tc>
        <w:tc>
          <w:tcPr>
            <w:tcW w:w="3402" w:type="dxa"/>
            <w:shd w:val="clear" w:color="auto" w:fill="FFFFFF"/>
            <w:vAlign w:val="center"/>
          </w:tcPr>
          <w:p w14:paraId="4B202CCC">
            <w:pPr>
              <w:spacing w:before="40" w:after="40"/>
              <w:jc w:val="left"/>
            </w:pPr>
            <w:r>
              <w:rPr>
                <w:rFonts w:ascii="宋体" w:hAnsi="宋体" w:eastAsia="宋体"/>
                <w:b w:val="0"/>
                <w:color w:val="000000"/>
                <w:sz w:val="20"/>
              </w:rPr>
              <w:t>制定切实可行的质量保障、进度保障、风险防控措施</w:t>
            </w:r>
          </w:p>
        </w:tc>
        <w:tc>
          <w:tcPr>
            <w:tcW w:w="850" w:type="dxa"/>
            <w:shd w:val="clear" w:color="auto" w:fill="FFFFFF"/>
            <w:vAlign w:val="center"/>
          </w:tcPr>
          <w:p w14:paraId="3AE0EE04">
            <w:pPr>
              <w:spacing w:before="40" w:after="40"/>
              <w:jc w:val="center"/>
            </w:pPr>
            <w:r>
              <w:rPr>
                <w:rFonts w:ascii="宋体" w:hAnsi="宋体" w:eastAsia="宋体"/>
                <w:b/>
                <w:color w:val="C00000"/>
                <w:sz w:val="20"/>
              </w:rPr>
              <w:t>满分40分</w:t>
            </w:r>
          </w:p>
        </w:tc>
      </w:tr>
    </w:tbl>
    <w:p w14:paraId="1F0B578D">
      <w:pPr>
        <w:spacing w:before="0" w:after="0" w:line="240" w:lineRule="auto"/>
      </w:pPr>
    </w:p>
    <w:p w14:paraId="246AFBEE">
      <w:r>
        <w:rPr>
          <w:rFonts w:ascii="宋体" w:hAnsi="宋体" w:eastAsia="宋体"/>
          <w:b/>
          <w:color w:val="C00000"/>
          <w:sz w:val="20"/>
        </w:rPr>
        <w:t>★ 温馨提示：本项目实施方案评分（40分）须五项内容完整，缺项扣8分/项，有缺陷扣4分/处。</w:t>
      </w:r>
    </w:p>
    <w:p w14:paraId="4931BED5">
      <w:r>
        <w:br w:type="page"/>
      </w:r>
    </w:p>
    <w:tbl>
      <w:tblPr>
        <w:tblStyle w:val="35"/>
        <w:tblW w:w="0" w:type="auto"/>
        <w:jc w:val="center"/>
        <w:tblLayout w:type="autofit"/>
        <w:tblCellMar>
          <w:top w:w="0" w:type="dxa"/>
          <w:left w:w="108" w:type="dxa"/>
          <w:bottom w:w="0" w:type="dxa"/>
          <w:right w:w="108" w:type="dxa"/>
        </w:tblCellMar>
      </w:tblPr>
      <w:tblGrid>
        <w:gridCol w:w="8646"/>
      </w:tblGrid>
      <w:tr w14:paraId="6F74DFAC">
        <w:tblPrEx>
          <w:tblCellMar>
            <w:top w:w="0" w:type="dxa"/>
            <w:left w:w="108" w:type="dxa"/>
            <w:bottom w:w="0" w:type="dxa"/>
            <w:right w:w="108" w:type="dxa"/>
          </w:tblCellMar>
        </w:tblPrEx>
        <w:trPr>
          <w:jc w:val="center"/>
        </w:trPr>
        <w:tc>
          <w:tcPr>
            <w:tcW w:w="8646" w:type="dxa"/>
            <w:shd w:val="clear" w:color="auto" w:fill="003366"/>
          </w:tcPr>
          <w:p w14:paraId="1135663C">
            <w:pPr>
              <w:jc w:val="center"/>
              <w:outlineLvl w:val="0"/>
            </w:pPr>
            <w:bookmarkStart w:id="22" w:name="_Toc23892"/>
            <w:r>
              <w:rPr>
                <w:rFonts w:ascii="黑体" w:hAnsi="黑体" w:eastAsia="黑体"/>
                <w:b w:val="0"/>
                <w:color w:val="CCE5FF"/>
                <w:sz w:val="36"/>
              </w:rPr>
              <w:t>第 三 章</w:t>
            </w:r>
            <w:bookmarkEnd w:id="22"/>
          </w:p>
          <w:p w14:paraId="53C93774"/>
          <w:p w14:paraId="394B21D3"/>
          <w:p w14:paraId="12B361FC"/>
          <w:p w14:paraId="29E6BBBF"/>
          <w:p w14:paraId="17BAA964"/>
          <w:p w14:paraId="3A39E879"/>
          <w:p w14:paraId="12E5ECA4">
            <w:pPr>
              <w:jc w:val="center"/>
            </w:pPr>
            <w:r>
              <w:rPr>
                <w:rFonts w:ascii="黑体" w:hAnsi="黑体" w:eastAsia="黑体"/>
                <w:b/>
                <w:color w:val="FFFFFF"/>
                <w:sz w:val="52"/>
              </w:rPr>
              <w:t>审计流程与进度安排</w:t>
            </w:r>
          </w:p>
          <w:p w14:paraId="18CB92F3"/>
          <w:p w14:paraId="66EB9A22">
            <w:pPr>
              <w:jc w:val="center"/>
            </w:pPr>
            <w:r>
              <w:rPr>
                <w:rFonts w:ascii="宋体" w:hAnsi="宋体" w:eastAsia="宋体"/>
                <w:b w:val="0"/>
                <w:color w:val="CCE5FF"/>
                <w:sz w:val="26"/>
              </w:rPr>
              <w:t>Audit Process and Schedule</w:t>
            </w:r>
          </w:p>
          <w:p w14:paraId="75E80EB5"/>
          <w:p w14:paraId="72F1EA4A"/>
          <w:p w14:paraId="2CBA707B"/>
          <w:p w14:paraId="7CD0A10D"/>
          <w:p w14:paraId="50498B94"/>
          <w:p w14:paraId="1B9BB5B5">
            <w:pPr>
              <w:jc w:val="center"/>
            </w:pPr>
            <w:r>
              <w:rPr>
                <w:rFonts w:ascii="宋体" w:hAnsi="宋体" w:eastAsia="宋体"/>
                <w:b w:val="0"/>
                <w:color w:val="B8860B"/>
                <w:sz w:val="20"/>
              </w:rPr>
              <w:t>━━━━━━━━━━━━━━━━━━━━</w:t>
            </w:r>
          </w:p>
          <w:p w14:paraId="26D82E8C"/>
          <w:p w14:paraId="2431CEE0">
            <w:pPr>
              <w:jc w:val="center"/>
            </w:pPr>
            <w:r>
              <w:rPr>
                <w:rFonts w:ascii="宋体" w:hAnsi="宋体" w:eastAsia="宋体"/>
                <w:b w:val="0"/>
                <w:color w:val="B4C8E6"/>
                <w:sz w:val="20"/>
              </w:rPr>
              <w:t>评标要点：实施方案完整性 · 工作重点难点分析 · 审计流程设计 · 管理制度健全性 · 质量保障措施</w:t>
            </w:r>
          </w:p>
        </w:tc>
      </w:tr>
    </w:tbl>
    <w:p w14:paraId="651BDAF6">
      <w:pPr>
        <w:rPr>
          <w:rFonts w:ascii="黑体" w:hAnsi="黑体" w:eastAsia="黑体"/>
          <w:b/>
          <w:color w:val="003366"/>
          <w:sz w:val="28"/>
        </w:rPr>
      </w:pPr>
      <w:r>
        <w:br w:type="page"/>
      </w:r>
      <w:bookmarkStart w:id="23" w:name="_Toc26129"/>
      <w:r>
        <w:drawing>
          <wp:inline distT="0" distB="0" distL="114300" distR="114300">
            <wp:extent cx="5303520" cy="260032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303520" cy="2600546"/>
                    </a:xfrm>
                    <a:prstGeom prst="rect">
                      <a:avLst/>
                    </a:prstGeom>
                  </pic:spPr>
                </pic:pic>
              </a:graphicData>
            </a:graphic>
          </wp:inline>
        </w:drawing>
      </w:r>
    </w:p>
    <w:p w14:paraId="69B89E2F">
      <w:pPr>
        <w:spacing w:before="200" w:after="80" w:line="360" w:lineRule="auto"/>
        <w:jc w:val="both"/>
        <w:outlineLvl w:val="1"/>
      </w:pPr>
      <w:r>
        <w:rPr>
          <w:rFonts w:ascii="黑体" w:hAnsi="黑体" w:eastAsia="黑体"/>
          <w:b/>
          <w:color w:val="003366"/>
          <w:sz w:val="28"/>
        </w:rPr>
        <w:t>3.1  审计总体流程设计</w:t>
      </w:r>
      <w:bookmarkEnd w:id="23"/>
    </w:p>
    <w:p w14:paraId="72721072">
      <w:pPr>
        <w:spacing w:before="0" w:after="120" w:line="360" w:lineRule="auto"/>
        <w:ind w:firstLine="168"/>
        <w:jc w:val="both"/>
      </w:pPr>
      <w:r>
        <w:rPr>
          <w:rFonts w:ascii="宋体" w:hAnsi="宋体" w:eastAsia="宋体"/>
          <w:b w:val="0"/>
          <w:color w:val="000000"/>
          <w:sz w:val="24"/>
        </w:rPr>
        <w:t>本项目竣工财务决算审核工作遵循"分阶段实施、分层级复核"的原则，将审核全过程划分为准备阶段、实施阶段和报告阶段三个主要阶段。每个阶段的工作内容、工作要求和质量控制措施均有明确的规定，确保审核工作规范有序、优质高效。审计流程的设计充分考虑了阿坝州州本级建设项目的特点，力求做到既符合审计准则的要求，又切合项目实际情况。</w:t>
      </w:r>
    </w:p>
    <w:p w14:paraId="284DBC0F">
      <w:pPr>
        <w:spacing w:before="0" w:after="120" w:line="360" w:lineRule="auto"/>
        <w:ind w:firstLine="168"/>
        <w:jc w:val="both"/>
      </w:pPr>
      <w:r>
        <w:rPr>
          <w:rFonts w:ascii="宋体" w:hAnsi="宋体" w:eastAsia="宋体"/>
          <w:b w:val="0"/>
          <w:color w:val="000000"/>
          <w:sz w:val="24"/>
        </w:rPr>
        <w:t>在总体流程设计上，本项目采用"风险导向"的审核思路，即首先对项目的风险状况进行全面评估，根据风险评估结果确定审核的重点领域和关键事项，然后有针对性地配置审核资源，实施差异化的审核程序。对于高风险领域，加大人力投入和工作深度；对于低风险领域，可适当简化审核程序。这种流程设计既保证了审核质量，又提高了审核效率，实现了质量与效率的平衡。</w:t>
      </w:r>
    </w:p>
    <w:p w14:paraId="2824A96A">
      <w:pPr>
        <w:spacing w:before="0" w:after="120" w:line="360" w:lineRule="auto"/>
        <w:ind w:firstLine="168"/>
        <w:jc w:val="both"/>
      </w:pPr>
      <w:r>
        <w:rPr>
          <w:rFonts w:ascii="宋体" w:hAnsi="宋体" w:eastAsia="宋体"/>
          <w:b w:val="0"/>
          <w:color w:val="000000"/>
          <w:sz w:val="24"/>
        </w:rPr>
        <w:t>审核流程还特别注重与建设单位的沟通协调。在审核的各个关键节点，主动与建设单位相关人员进行沟通，了解项目建设背景和管理情况，核实有关事实，协调审核进度。对于审核中发现的重大问题，及时与建设单位交换意见，听取建设单位的说明和申辩，确保审核意见客观公正。</w:t>
      </w:r>
    </w:p>
    <w:p w14:paraId="7040DA06">
      <w:pPr>
        <w:spacing w:before="160" w:after="80" w:line="360" w:lineRule="auto"/>
        <w:jc w:val="both"/>
        <w:outlineLvl w:val="2"/>
      </w:pPr>
      <w:bookmarkStart w:id="24" w:name="_Toc4137"/>
      <w:r>
        <w:rPr>
          <w:rFonts w:ascii="黑体" w:hAnsi="黑体" w:eastAsia="黑体"/>
          <w:b/>
          <w:color w:val="0066CC"/>
          <w:sz w:val="24"/>
        </w:rPr>
        <w:t>3.1.1  审计流程阶段划分</w:t>
      </w:r>
      <w:bookmarkEnd w:id="24"/>
    </w:p>
    <w:p w14:paraId="4E0D8A7B">
      <w:pPr>
        <w:spacing w:before="0" w:after="120" w:line="360" w:lineRule="auto"/>
        <w:ind w:firstLine="168"/>
        <w:jc w:val="both"/>
      </w:pPr>
      <w:r>
        <w:rPr>
          <w:rFonts w:ascii="宋体" w:hAnsi="宋体" w:eastAsia="宋体"/>
          <w:b w:val="0"/>
          <w:color w:val="000000"/>
          <w:sz w:val="24"/>
        </w:rPr>
        <w:t>第一阶段：准备阶段（从合同签订到审核方案审批，约5个工作日）。主要工作包括：收集项目基本情况、组建审核团队、编制审核方案、进行风险评估、发出审核通知等。准备阶段的质量直接关系到后续审核工作的顺利开展，必须予以充分重视。第二阶段：实施阶段（从审核方案批准到出具审核报告初稿，约30-45个工作日）。主要工作包括：现场审核、资料查阅、数据分析、问题核实、编制审核工作底稿等。实施阶段是审核工作的核心环节，需要投入大量的人力和时间。第三阶段：报告阶段（从审核报告初稿到最终报告出具，约10个工作日）。主要工作包括：报告撰写、内部复核、与建设单位交换意见、报告修改、报告审批和出具等。</w:t>
      </w:r>
    </w:p>
    <w:p w14:paraId="1F90D474">
      <w:pPr>
        <w:spacing w:before="160" w:after="80" w:line="360" w:lineRule="auto"/>
        <w:jc w:val="both"/>
        <w:outlineLvl w:val="2"/>
      </w:pPr>
      <w:bookmarkStart w:id="25" w:name="_Toc14629"/>
      <w:r>
        <w:rPr>
          <w:rFonts w:ascii="黑体" w:hAnsi="黑体" w:eastAsia="黑体"/>
          <w:b/>
          <w:color w:val="0066CC"/>
          <w:sz w:val="24"/>
        </w:rPr>
        <w:t>3.1.2  审计流程关键控制点</w:t>
      </w:r>
      <w:bookmarkEnd w:id="25"/>
    </w:p>
    <w:p w14:paraId="3AD99886">
      <w:pPr>
        <w:spacing w:before="0" w:after="120" w:line="360" w:lineRule="auto"/>
        <w:ind w:firstLine="168"/>
        <w:jc w:val="both"/>
      </w:pPr>
      <w:r>
        <w:rPr>
          <w:rFonts w:ascii="宋体" w:hAnsi="宋体" w:eastAsia="宋体"/>
          <w:b w:val="0"/>
          <w:color w:val="000000"/>
          <w:sz w:val="24"/>
        </w:rPr>
        <w:t>为确保审核质量，在审核流程中设置以下关键控制点：第一，方案审批关。所有审核项目的审核方案必须经过项目负责人审批后方可实施，重大项目的审核方案须报质量总监审批。第二，进度检查关。在审核过程中定期检查工作进度，及时协调解决存在的问题，确保审核工作按计划推进。第三，问题确认关。对于审核中发现的重要问题，必须取得充分适当的证据，并经建设单位书面确认。第四，复核关。所有审核工作底稿和审核报告必须经过项目负责人一级复核和质量总监二级复核，确保审核质量。第五，报告审批关。审核报告出具前必须经过技术委员会审议，确保报告质量。</w:t>
      </w:r>
    </w:p>
    <w:p w14:paraId="1B43F203">
      <w:pPr>
        <w:spacing w:before="200" w:after="80" w:line="360" w:lineRule="auto"/>
        <w:jc w:val="both"/>
        <w:outlineLvl w:val="1"/>
      </w:pPr>
      <w:bookmarkStart w:id="26" w:name="_Toc11226"/>
      <w:r>
        <w:rPr>
          <w:rFonts w:ascii="黑体" w:hAnsi="黑体" w:eastAsia="黑体"/>
          <w:b/>
          <w:color w:val="003366"/>
          <w:sz w:val="28"/>
        </w:rPr>
        <w:t>3.2  各阶段工作内容</w:t>
      </w:r>
      <w:bookmarkEnd w:id="26"/>
    </w:p>
    <w:p w14:paraId="461E41C0">
      <w:pPr>
        <w:spacing w:before="160" w:after="80" w:line="360" w:lineRule="auto"/>
        <w:jc w:val="both"/>
        <w:outlineLvl w:val="2"/>
      </w:pPr>
      <w:bookmarkStart w:id="27" w:name="_Toc8302"/>
      <w:r>
        <w:rPr>
          <w:rFonts w:ascii="黑体" w:hAnsi="黑体" w:eastAsia="黑体"/>
          <w:b/>
          <w:color w:val="0066CC"/>
          <w:sz w:val="24"/>
        </w:rPr>
        <w:t>3.2.1  准备阶段工作内容</w:t>
      </w:r>
      <w:bookmarkEnd w:id="27"/>
    </w:p>
    <w:p w14:paraId="6CF3FE04">
      <w:pPr>
        <w:spacing w:before="0" w:after="120" w:line="360" w:lineRule="auto"/>
        <w:ind w:firstLine="168"/>
        <w:jc w:val="both"/>
      </w:pPr>
      <w:r>
        <w:rPr>
          <w:rFonts w:ascii="宋体" w:hAnsi="宋体" w:eastAsia="宋体"/>
          <w:b w:val="0"/>
          <w:color w:val="000000"/>
          <w:sz w:val="24"/>
        </w:rPr>
        <w:t>准备阶段是审核工作的起点，主要工作内容包括以下几个方面：第一，项目情况收集。通过查阅项目立项批复、可行性研究报告、初步设计概算、招标投标文件、合同协议等资料，全面了解项目的基本情况、建设内容、投资规模、资金来源等情况。同时，了解建设单位的基本情况，包括单位性质、组织架构、财务管理情况等。第二，组建审核团队。根据项目的规模、复杂程度和专业要求，组建合适的审核团队。项目负责人应当由具有注册会计师资格和高级职称的人员担任，核心审核人员应当具备相应的专业背景和工作经验。对于涉及特殊专业领域的项目，还应当配备相应的专家顾问。第三，编制审核方案。审核方案是审核工作的总体规划和行动指南，应当包括以下内容：项目背景和基本情况、审核范围和内容、审核方法和程序、审核时间和进度安排、人员分工和职责、重大风险领域和应对措施、质量控制措施等。</w:t>
      </w:r>
    </w:p>
    <w:p w14:paraId="6277A2B5">
      <w:pPr>
        <w:spacing w:before="0" w:after="120" w:line="360" w:lineRule="auto"/>
        <w:ind w:firstLine="168"/>
        <w:jc w:val="both"/>
      </w:pPr>
      <w:r>
        <w:rPr>
          <w:rFonts w:ascii="宋体" w:hAnsi="宋体" w:eastAsia="宋体"/>
          <w:b w:val="0"/>
          <w:color w:val="000000"/>
          <w:sz w:val="24"/>
        </w:rPr>
        <w:t>第四，进行风险评估。在编制审核方案的同时，对项目的风险状况进行全面评估，识别可能存在重大错报风险的领域，确定审核的重点和关注点。风险评估的结果应当体现在审核方案中。第五，发出审核通知。向建设单位发出书面审核通知，明确审核的目的、范围、时间、要求等，同时请建设单位做好资料准备和人员配合工作。</w:t>
      </w:r>
    </w:p>
    <w:p w14:paraId="1443F2C7">
      <w:pPr>
        <w:spacing w:before="160" w:after="80" w:line="360" w:lineRule="auto"/>
        <w:jc w:val="both"/>
        <w:outlineLvl w:val="2"/>
      </w:pPr>
      <w:bookmarkStart w:id="28" w:name="_Toc23435"/>
      <w:r>
        <w:rPr>
          <w:rFonts w:ascii="黑体" w:hAnsi="黑体" w:eastAsia="黑体"/>
          <w:b/>
          <w:color w:val="0066CC"/>
          <w:sz w:val="24"/>
        </w:rPr>
        <w:t>3.2.2  实施阶段工作内容</w:t>
      </w:r>
      <w:bookmarkEnd w:id="28"/>
    </w:p>
    <w:p w14:paraId="014F57A7">
      <w:pPr>
        <w:spacing w:before="0" w:after="120" w:line="360" w:lineRule="auto"/>
        <w:ind w:firstLine="168"/>
        <w:jc w:val="both"/>
      </w:pPr>
      <w:r>
        <w:rPr>
          <w:rFonts w:ascii="宋体" w:hAnsi="宋体" w:eastAsia="宋体"/>
          <w:b w:val="0"/>
          <w:color w:val="000000"/>
          <w:sz w:val="24"/>
        </w:rPr>
        <w:t>实施阶段是审核工作的核心，主要工作内容包括以下几个方面：第一，建设成本审核。这是实施阶段的重点内容，主要包括：建筑安装工程投资审核，核查竣工结算报告的准确性、工程款支付的合规性、变更签证的有效性等；设备投资审核，核查设备采购程序、价格、入库验收、安装调试等环节；待摊投资审核，核查各项待摊费用发生的真实性和分摊的合理性；其他投资审核，核查前期费用、无形资产投资等支出的真实性。第二，建设内容合规性审核。核查实际建设内容与批准建设内容的一致性，审核建设规模、标准、资金使用是否符合规定。</w:t>
      </w:r>
    </w:p>
    <w:p w14:paraId="53D7F129">
      <w:pPr>
        <w:spacing w:before="0" w:after="120" w:line="360" w:lineRule="auto"/>
        <w:ind w:firstLine="168"/>
        <w:jc w:val="both"/>
      </w:pPr>
      <w:r>
        <w:rPr>
          <w:rFonts w:ascii="宋体" w:hAnsi="宋体" w:eastAsia="宋体"/>
          <w:b w:val="0"/>
          <w:color w:val="000000"/>
          <w:sz w:val="24"/>
        </w:rPr>
        <w:t>第三，票据合规性审核。对全部票据进行逐笔审核，核查票据的真实性、合法性、规范性，对异常票据进行专项追查。第四，债权债务审核。核查各项债权债务的真实性、完整性，识别长期挂账款项，分析账龄结构。第五，现场核实。根据需要到项目现场进行实地查看，核实实际建成规模、资产状况等是否与账簿记录一致。第六，问题核实与沟通。对于审核中发现的问题，及时与建设单位进行沟通核实，听取建设单位的说明和申辩，获取充分的证据支持。第七，编制审核工作底稿。将审核过程和结果详细记录在工作底稿中，为审核报告提供证据支持。</w:t>
      </w:r>
    </w:p>
    <w:p w14:paraId="17BC335C">
      <w:pPr>
        <w:spacing w:before="160" w:after="80" w:line="360" w:lineRule="auto"/>
        <w:jc w:val="both"/>
        <w:outlineLvl w:val="2"/>
      </w:pPr>
      <w:bookmarkStart w:id="29" w:name="_Toc8926"/>
      <w:r>
        <w:rPr>
          <w:rFonts w:ascii="黑体" w:hAnsi="黑体" w:eastAsia="黑体"/>
          <w:b/>
          <w:color w:val="0066CC"/>
          <w:sz w:val="24"/>
        </w:rPr>
        <w:t>3.2.3  报告阶段工作内容</w:t>
      </w:r>
      <w:bookmarkEnd w:id="29"/>
    </w:p>
    <w:p w14:paraId="5A2E30CB">
      <w:pPr>
        <w:spacing w:before="0" w:after="120" w:line="360" w:lineRule="auto"/>
        <w:ind w:firstLine="168"/>
        <w:jc w:val="both"/>
      </w:pPr>
      <w:r>
        <w:rPr>
          <w:rFonts w:ascii="宋体" w:hAnsi="宋体" w:eastAsia="宋体"/>
          <w:b w:val="0"/>
          <w:color w:val="000000"/>
          <w:sz w:val="24"/>
        </w:rPr>
        <w:t>报告阶段是审核工作的收尾，主要工作内容包括以下几个方面：第一，审核报告撰写。在完成全部审核工作并取得充分适当证据的基础上，根据审核结果撰写审核报告。审核报告应当真实、完整、清晰地反映审核情况，提出明确的审核意见。审核报告的撰写应当做到观点明确、证据充分、论述清晰、建议可行。第二，内部复核。审核报告初稿完成后，必须经过项目负责人一级复核和质量总监二级复核，复核发现的问题应当及时修改完善。</w:t>
      </w:r>
    </w:p>
    <w:p w14:paraId="4A1A6590">
      <w:pPr>
        <w:spacing w:before="0" w:after="120" w:line="360" w:lineRule="auto"/>
        <w:ind w:firstLine="168"/>
        <w:jc w:val="both"/>
      </w:pPr>
      <w:r>
        <w:rPr>
          <w:rFonts w:ascii="宋体" w:hAnsi="宋体" w:eastAsia="宋体"/>
          <w:b w:val="0"/>
          <w:color w:val="000000"/>
          <w:sz w:val="24"/>
        </w:rPr>
        <w:t>第三，与建设单位交换意见。在正式出具审核报告前，将审核报告发送建设单位征求意见，充分听取建设单位的反馈意见。对于建设单位提出的合理意见，应当予以采纳并修改报告；对于不能采纳的意见，应当向建设单位作出说明。第四，技术委员会审议。重大项目的审核报告在出具前须经技术委员会审议，确保报告质量。第五，报告审批和出具。审核报告经各级复核和技术委员会审议后，按照内部审批程序报批，出具正式审核报告。第六，归档整理。将审核项目的全部资料，包括工作底稿、证据材料、审核报告等，按照档案管理要求进行整理归档。</w:t>
      </w:r>
    </w:p>
    <w:p w14:paraId="71E7E54F">
      <w:pPr>
        <w:spacing w:before="200" w:after="80" w:line="360" w:lineRule="auto"/>
        <w:jc w:val="both"/>
        <w:outlineLvl w:val="1"/>
      </w:pPr>
      <w:bookmarkStart w:id="30" w:name="_Toc22867"/>
      <w:r>
        <w:rPr>
          <w:rFonts w:ascii="黑体" w:hAnsi="黑体" w:eastAsia="黑体"/>
          <w:b/>
          <w:color w:val="003366"/>
          <w:sz w:val="28"/>
        </w:rPr>
        <w:t>3.3  审计进度计划</w:t>
      </w:r>
      <w:bookmarkEnd w:id="30"/>
    </w:p>
    <w:p w14:paraId="2318DD3A">
      <w:pPr>
        <w:spacing w:before="160" w:after="80" w:line="360" w:lineRule="auto"/>
        <w:jc w:val="both"/>
        <w:outlineLvl w:val="2"/>
      </w:pPr>
      <w:bookmarkStart w:id="31" w:name="_Toc27991"/>
      <w:r>
        <w:rPr>
          <w:rFonts w:ascii="黑体" w:hAnsi="黑体" w:eastAsia="黑体"/>
          <w:b/>
          <w:color w:val="0066CC"/>
          <w:sz w:val="24"/>
        </w:rPr>
        <w:t>3.3.1  审核时限安排</w:t>
      </w:r>
      <w:bookmarkEnd w:id="31"/>
    </w:p>
    <w:p w14:paraId="1E9AB505">
      <w:pPr>
        <w:spacing w:before="0" w:after="120" w:line="360" w:lineRule="auto"/>
        <w:ind w:firstLine="168"/>
        <w:jc w:val="both"/>
      </w:pPr>
      <w:r>
        <w:rPr>
          <w:rFonts w:ascii="宋体" w:hAnsi="宋体" w:eastAsia="宋体"/>
          <w:b w:val="0"/>
          <w:color w:val="000000"/>
          <w:sz w:val="24"/>
        </w:rPr>
        <w:t>根据阿坝州财政局的要求和项目实际情况，本项目审核工作总体时限安排如下：单个项目审核自收到完整资料之日起算，一般项目在30个工作日内完成审核并出具审核报告；复杂项目在45个工作日内完成；特别复杂的项目可适当延长，但最长不超过60个工作日。如因建设单位原因导致审核工作无法按计划进行，经双方协商一致后可适当延长审核时限。</w:t>
      </w:r>
    </w:p>
    <w:p w14:paraId="2119E7F6">
      <w:pPr>
        <w:spacing w:before="0" w:after="120" w:line="360" w:lineRule="auto"/>
        <w:ind w:firstLine="168"/>
        <w:jc w:val="both"/>
      </w:pPr>
      <w:r>
        <w:rPr>
          <w:rFonts w:ascii="宋体" w:hAnsi="宋体" w:eastAsia="宋体"/>
          <w:b w:val="0"/>
          <w:color w:val="000000"/>
          <w:sz w:val="24"/>
        </w:rPr>
        <w:t>具体时间节点安排如下：准备阶段（第1-5个工作日）：签订业务约定书、收集项目资料、组建审核团队、编制审核方案、进行风险评估、发出审核通知。实施阶段（第6-40个工作日）：按审核方案确定的程序和方法实施审核，对建设成本、建设内容、票据合规性、债权债务等进行全面审核，对重点领域进行深入审核，编制审核工作底稿。报告阶段（第41-50个工作日）：撰写审核报告、内部复核、与建设单位交换意见、报告修改、技术委员会审议、报告审批和出具。归档阶段（第51-55个工作日）：资料整理归档、编制项目总结、完成项目移交。</w:t>
      </w:r>
    </w:p>
    <w:p w14:paraId="574C1345">
      <w:pPr>
        <w:spacing w:before="160" w:after="80" w:line="360" w:lineRule="auto"/>
        <w:jc w:val="both"/>
        <w:outlineLvl w:val="2"/>
      </w:pPr>
      <w:bookmarkStart w:id="32" w:name="_Toc13590"/>
      <w:r>
        <w:rPr>
          <w:rFonts w:ascii="黑体" w:hAnsi="黑体" w:eastAsia="黑体"/>
          <w:b/>
          <w:color w:val="0066CC"/>
          <w:sz w:val="24"/>
        </w:rPr>
        <w:t>3.3.2  进度保障措施</w:t>
      </w:r>
      <w:bookmarkEnd w:id="32"/>
    </w:p>
    <w:p w14:paraId="5FA8F8F1">
      <w:pPr>
        <w:spacing w:before="0" w:after="120" w:line="360" w:lineRule="auto"/>
        <w:ind w:firstLine="168"/>
        <w:jc w:val="both"/>
      </w:pPr>
      <w:r>
        <w:rPr>
          <w:rFonts w:ascii="宋体" w:hAnsi="宋体" w:eastAsia="宋体"/>
          <w:b w:val="0"/>
          <w:color w:val="000000"/>
          <w:sz w:val="24"/>
        </w:rPr>
        <w:t>为确保审核工作按进度完成，采取以下保障措施：第一，提前介入，尽早沟通。在项目竣工验收阶段即与建设单位建立联系，提前了解项目情况，做好审核准备，争取审核工作主动权。第二，合理分工，并行推进。对于能够并行开展的工作（如多个单体的成本审核），实行分组并行作业，提高工作效率。第三，节点控制，定期检查。按审核方案确定的节点定期检查工作进度，及时发现和处理进度偏差。第四，提前预警，及时协调。对于可能影响进度的因素，提前发出预警，及时与建设单位沟通协调解决。第五，资源保障，应急调配。如遇工作量超预期等特殊情况，及时增加人员投入，确保按时完成任务。</w:t>
      </w:r>
    </w:p>
    <w:p w14:paraId="42EC6F6E">
      <w:pPr>
        <w:spacing w:before="0" w:after="0" w:line="240" w:lineRule="auto"/>
      </w:pPr>
    </w:p>
    <w:p w14:paraId="7DE7E08F">
      <w:pPr>
        <w:spacing w:before="120" w:after="80"/>
        <w:jc w:val="center"/>
        <w:outlineLvl w:val="0"/>
      </w:pPr>
      <w:bookmarkStart w:id="33" w:name="_Toc5289"/>
      <w:r>
        <w:rPr>
          <w:rFonts w:ascii="黑体" w:hAnsi="黑体" w:eastAsia="黑体"/>
          <w:b/>
          <w:color w:val="003366"/>
          <w:sz w:val="26"/>
        </w:rPr>
        <w:t>◆ 本章评标点总结 ◆</w:t>
      </w:r>
      <w:bookmarkEnd w:id="33"/>
    </w:p>
    <w:p w14:paraId="4266B0AF">
      <w:pPr>
        <w:jc w:val="center"/>
      </w:pPr>
      <w:r>
        <w:rPr>
          <w:rFonts w:ascii="宋体" w:hAnsi="宋体" w:eastAsia="宋体"/>
          <w:b w:val="0"/>
          <w:color w:val="404040"/>
          <w:sz w:val="21"/>
        </w:rPr>
        <w:t>本章对应比选文件第四章"评比办法及评比标准"评分因素（满分40分），须完整包含以下维度：</w:t>
      </w:r>
    </w:p>
    <w:p w14:paraId="4572C865">
      <w:pPr>
        <w:spacing w:before="0" w:after="0" w:line="240" w:lineRule="auto"/>
      </w:pPr>
    </w:p>
    <w:tbl>
      <w:tblPr>
        <w:tblStyle w:val="35"/>
        <w:tblW w:w="0" w:type="auto"/>
        <w:jc w:val="center"/>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Layout w:type="autofit"/>
        <w:tblCellMar>
          <w:top w:w="0" w:type="dxa"/>
          <w:left w:w="108" w:type="dxa"/>
          <w:bottom w:w="0" w:type="dxa"/>
          <w:right w:w="108" w:type="dxa"/>
        </w:tblCellMar>
      </w:tblPr>
      <w:tblGrid>
        <w:gridCol w:w="799"/>
        <w:gridCol w:w="2322"/>
        <w:gridCol w:w="1822"/>
        <w:gridCol w:w="3096"/>
        <w:gridCol w:w="823"/>
      </w:tblGrid>
      <w:tr w14:paraId="344558B8">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003366"/>
            <w:vAlign w:val="center"/>
          </w:tcPr>
          <w:p w14:paraId="23F6DF5D">
            <w:pPr>
              <w:spacing w:before="40" w:after="40"/>
              <w:jc w:val="center"/>
            </w:pPr>
            <w:r>
              <w:rPr>
                <w:rFonts w:ascii="黑体" w:hAnsi="黑体" w:eastAsia="黑体"/>
                <w:b/>
                <w:color w:val="FFFFFF"/>
                <w:sz w:val="21"/>
              </w:rPr>
              <w:t>序号</w:t>
            </w:r>
          </w:p>
        </w:tc>
        <w:tc>
          <w:tcPr>
            <w:tcW w:w="2551" w:type="dxa"/>
            <w:shd w:val="clear" w:color="auto" w:fill="003366"/>
            <w:vAlign w:val="center"/>
          </w:tcPr>
          <w:p w14:paraId="7AC319CC">
            <w:pPr>
              <w:spacing w:before="40" w:after="40"/>
              <w:jc w:val="center"/>
            </w:pPr>
            <w:r>
              <w:rPr>
                <w:rFonts w:ascii="黑体" w:hAnsi="黑体" w:eastAsia="黑体"/>
                <w:b/>
                <w:color w:val="FFFFFF"/>
                <w:sz w:val="21"/>
              </w:rPr>
              <w:t>评标维度</w:t>
            </w:r>
          </w:p>
        </w:tc>
        <w:tc>
          <w:tcPr>
            <w:tcW w:w="1984" w:type="dxa"/>
            <w:shd w:val="clear" w:color="auto" w:fill="003366"/>
            <w:vAlign w:val="center"/>
          </w:tcPr>
          <w:p w14:paraId="0E727FAE">
            <w:pPr>
              <w:spacing w:before="40" w:after="40"/>
              <w:jc w:val="center"/>
            </w:pPr>
            <w:r>
              <w:rPr>
                <w:rFonts w:ascii="黑体" w:hAnsi="黑体" w:eastAsia="黑体"/>
                <w:b/>
                <w:color w:val="FFFFFF"/>
                <w:sz w:val="21"/>
              </w:rPr>
              <w:t>对应章节</w:t>
            </w:r>
          </w:p>
        </w:tc>
        <w:tc>
          <w:tcPr>
            <w:tcW w:w="3402" w:type="dxa"/>
            <w:shd w:val="clear" w:color="auto" w:fill="003366"/>
            <w:vAlign w:val="center"/>
          </w:tcPr>
          <w:p w14:paraId="5C982531">
            <w:pPr>
              <w:spacing w:before="40" w:after="40"/>
              <w:jc w:val="center"/>
            </w:pPr>
            <w:r>
              <w:rPr>
                <w:rFonts w:ascii="黑体" w:hAnsi="黑体" w:eastAsia="黑体"/>
                <w:b/>
                <w:color w:val="FFFFFF"/>
                <w:sz w:val="21"/>
              </w:rPr>
              <w:t>评标要点</w:t>
            </w:r>
          </w:p>
        </w:tc>
        <w:tc>
          <w:tcPr>
            <w:tcW w:w="850" w:type="dxa"/>
            <w:shd w:val="clear" w:color="auto" w:fill="003366"/>
            <w:vAlign w:val="center"/>
          </w:tcPr>
          <w:p w14:paraId="6BAD634B">
            <w:pPr>
              <w:spacing w:before="40" w:after="40"/>
              <w:jc w:val="center"/>
            </w:pPr>
            <w:r>
              <w:rPr>
                <w:rFonts w:ascii="黑体" w:hAnsi="黑体" w:eastAsia="黑体"/>
                <w:b/>
                <w:color w:val="FFFFFF"/>
                <w:sz w:val="21"/>
              </w:rPr>
              <w:t>分值权重</w:t>
            </w:r>
          </w:p>
        </w:tc>
      </w:tr>
      <w:tr w14:paraId="0455C88C">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3A0865FE">
            <w:pPr>
              <w:spacing w:before="40" w:after="40"/>
              <w:jc w:val="center"/>
            </w:pPr>
            <w:r>
              <w:rPr>
                <w:rFonts w:ascii="宋体" w:hAnsi="宋体" w:eastAsia="宋体"/>
                <w:b/>
                <w:color w:val="003366"/>
                <w:sz w:val="20"/>
              </w:rPr>
              <w:t>①</w:t>
            </w:r>
          </w:p>
        </w:tc>
        <w:tc>
          <w:tcPr>
            <w:tcW w:w="2551" w:type="dxa"/>
            <w:shd w:val="clear" w:color="auto" w:fill="FFFFFF"/>
            <w:vAlign w:val="center"/>
          </w:tcPr>
          <w:p w14:paraId="4AE6C6AB">
            <w:pPr>
              <w:spacing w:before="40" w:after="40"/>
              <w:jc w:val="left"/>
            </w:pPr>
            <w:r>
              <w:rPr>
                <w:rFonts w:ascii="宋体" w:hAnsi="宋体" w:eastAsia="宋体"/>
                <w:b w:val="0"/>
                <w:color w:val="000000"/>
                <w:sz w:val="20"/>
              </w:rPr>
              <w:t>工作重点、难点分析</w:t>
            </w:r>
          </w:p>
        </w:tc>
        <w:tc>
          <w:tcPr>
            <w:tcW w:w="1984" w:type="dxa"/>
            <w:shd w:val="clear" w:color="auto" w:fill="FFFFFF"/>
            <w:vAlign w:val="center"/>
          </w:tcPr>
          <w:p w14:paraId="5CD27616">
            <w:pPr>
              <w:spacing w:before="40" w:after="40"/>
              <w:jc w:val="left"/>
            </w:pPr>
            <w:r>
              <w:rPr>
                <w:rFonts w:ascii="宋体" w:hAnsi="宋体" w:eastAsia="宋体"/>
                <w:b w:val="0"/>
                <w:color w:val="000000"/>
                <w:sz w:val="20"/>
              </w:rPr>
              <w:t>第二章</w:t>
            </w:r>
          </w:p>
        </w:tc>
        <w:tc>
          <w:tcPr>
            <w:tcW w:w="3402" w:type="dxa"/>
            <w:shd w:val="clear" w:color="auto" w:fill="FFFFFF"/>
            <w:vAlign w:val="center"/>
          </w:tcPr>
          <w:p w14:paraId="1F2BBA8E">
            <w:pPr>
              <w:spacing w:before="40" w:after="40"/>
              <w:jc w:val="left"/>
            </w:pPr>
            <w:r>
              <w:rPr>
                <w:rFonts w:ascii="宋体" w:hAnsi="宋体" w:eastAsia="宋体"/>
                <w:b w:val="0"/>
                <w:color w:val="000000"/>
                <w:sz w:val="20"/>
              </w:rPr>
              <w:t>审核重点覆盖建设成本四方面、建设内容三方面、票据合规四方面、债权债务审核</w:t>
            </w:r>
          </w:p>
        </w:tc>
        <w:tc>
          <w:tcPr>
            <w:tcW w:w="850" w:type="dxa"/>
            <w:shd w:val="clear" w:color="auto" w:fill="FFFFFF"/>
            <w:vAlign w:val="center"/>
          </w:tcPr>
          <w:p w14:paraId="37EBD644">
            <w:pPr>
              <w:spacing w:before="40" w:after="40"/>
              <w:jc w:val="center"/>
            </w:pPr>
            <w:r>
              <w:rPr>
                <w:rFonts w:ascii="宋体" w:hAnsi="宋体" w:eastAsia="宋体"/>
                <w:b/>
                <w:color w:val="C00000"/>
                <w:sz w:val="20"/>
              </w:rPr>
              <w:t>满分40分</w:t>
            </w:r>
          </w:p>
        </w:tc>
      </w:tr>
      <w:tr w14:paraId="0252FB32">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E8F0FA"/>
            <w:vAlign w:val="center"/>
          </w:tcPr>
          <w:p w14:paraId="71E6EE60">
            <w:pPr>
              <w:spacing w:before="40" w:after="40"/>
              <w:jc w:val="center"/>
            </w:pPr>
            <w:r>
              <w:rPr>
                <w:rFonts w:ascii="宋体" w:hAnsi="宋体" w:eastAsia="宋体"/>
                <w:b/>
                <w:color w:val="003366"/>
                <w:sz w:val="20"/>
              </w:rPr>
              <w:t>②</w:t>
            </w:r>
          </w:p>
        </w:tc>
        <w:tc>
          <w:tcPr>
            <w:tcW w:w="2551" w:type="dxa"/>
            <w:shd w:val="clear" w:color="auto" w:fill="E8F0FA"/>
            <w:vAlign w:val="center"/>
          </w:tcPr>
          <w:p w14:paraId="68A6460D">
            <w:pPr>
              <w:spacing w:before="40" w:after="40"/>
              <w:jc w:val="left"/>
            </w:pPr>
            <w:r>
              <w:rPr>
                <w:rFonts w:ascii="宋体" w:hAnsi="宋体" w:eastAsia="宋体"/>
                <w:b w:val="0"/>
                <w:color w:val="000000"/>
                <w:sz w:val="20"/>
              </w:rPr>
              <w:t>审计流程及进度安排</w:t>
            </w:r>
          </w:p>
        </w:tc>
        <w:tc>
          <w:tcPr>
            <w:tcW w:w="1984" w:type="dxa"/>
            <w:shd w:val="clear" w:color="auto" w:fill="E8F0FA"/>
            <w:vAlign w:val="center"/>
          </w:tcPr>
          <w:p w14:paraId="0FE55347">
            <w:pPr>
              <w:spacing w:before="40" w:after="40"/>
              <w:jc w:val="left"/>
            </w:pPr>
            <w:r>
              <w:rPr>
                <w:rFonts w:ascii="宋体" w:hAnsi="宋体" w:eastAsia="宋体"/>
                <w:b w:val="0"/>
                <w:color w:val="000000"/>
                <w:sz w:val="20"/>
              </w:rPr>
              <w:t>本章3.1-3.3节</w:t>
            </w:r>
          </w:p>
        </w:tc>
        <w:tc>
          <w:tcPr>
            <w:tcW w:w="3402" w:type="dxa"/>
            <w:shd w:val="clear" w:color="auto" w:fill="E8F0FA"/>
            <w:vAlign w:val="center"/>
          </w:tcPr>
          <w:p w14:paraId="1C05337E">
            <w:pPr>
              <w:spacing w:before="40" w:after="40"/>
              <w:jc w:val="left"/>
            </w:pPr>
            <w:r>
              <w:rPr>
                <w:rFonts w:ascii="宋体" w:hAnsi="宋体" w:eastAsia="宋体"/>
                <w:b w:val="0"/>
                <w:color w:val="000000"/>
                <w:sz w:val="20"/>
              </w:rPr>
              <w:t>三阶段流程清晰（准备/实施/报告），各阶段工作内容详细，时间节点明确（30-45工作日），保障措施有力</w:t>
            </w:r>
          </w:p>
        </w:tc>
        <w:tc>
          <w:tcPr>
            <w:tcW w:w="850" w:type="dxa"/>
            <w:shd w:val="clear" w:color="auto" w:fill="E8F0FA"/>
            <w:vAlign w:val="center"/>
          </w:tcPr>
          <w:p w14:paraId="40BE22FF">
            <w:pPr>
              <w:spacing w:before="40" w:after="40"/>
              <w:jc w:val="center"/>
            </w:pPr>
            <w:r>
              <w:rPr>
                <w:rFonts w:ascii="宋体" w:hAnsi="宋体" w:eastAsia="宋体"/>
                <w:b/>
                <w:color w:val="C00000"/>
                <w:sz w:val="20"/>
              </w:rPr>
              <w:t>满分40分（核心）</w:t>
            </w:r>
          </w:p>
        </w:tc>
      </w:tr>
      <w:tr w14:paraId="5C10563A">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7627A953">
            <w:pPr>
              <w:spacing w:before="40" w:after="40"/>
              <w:jc w:val="center"/>
            </w:pPr>
            <w:r>
              <w:rPr>
                <w:rFonts w:ascii="宋体" w:hAnsi="宋体" w:eastAsia="宋体"/>
                <w:b/>
                <w:color w:val="003366"/>
                <w:sz w:val="20"/>
              </w:rPr>
              <w:t>③</w:t>
            </w:r>
          </w:p>
        </w:tc>
        <w:tc>
          <w:tcPr>
            <w:tcW w:w="2551" w:type="dxa"/>
            <w:shd w:val="clear" w:color="auto" w:fill="FFFFFF"/>
            <w:vAlign w:val="center"/>
          </w:tcPr>
          <w:p w14:paraId="39B24C83">
            <w:pPr>
              <w:spacing w:before="40" w:after="40"/>
              <w:jc w:val="left"/>
            </w:pPr>
            <w:r>
              <w:rPr>
                <w:rFonts w:ascii="宋体" w:hAnsi="宋体" w:eastAsia="宋体"/>
                <w:b w:val="0"/>
                <w:color w:val="000000"/>
                <w:sz w:val="20"/>
              </w:rPr>
              <w:t>审计管理制度</w:t>
            </w:r>
          </w:p>
        </w:tc>
        <w:tc>
          <w:tcPr>
            <w:tcW w:w="1984" w:type="dxa"/>
            <w:shd w:val="clear" w:color="auto" w:fill="FFFFFF"/>
            <w:vAlign w:val="center"/>
          </w:tcPr>
          <w:p w14:paraId="3DF5DAED">
            <w:pPr>
              <w:spacing w:before="40" w:after="40"/>
              <w:jc w:val="left"/>
            </w:pPr>
            <w:r>
              <w:rPr>
                <w:rFonts w:ascii="宋体" w:hAnsi="宋体" w:eastAsia="宋体"/>
                <w:b w:val="0"/>
                <w:color w:val="000000"/>
                <w:sz w:val="20"/>
              </w:rPr>
              <w:t>第四章</w:t>
            </w:r>
          </w:p>
        </w:tc>
        <w:tc>
          <w:tcPr>
            <w:tcW w:w="3402" w:type="dxa"/>
            <w:shd w:val="clear" w:color="auto" w:fill="FFFFFF"/>
            <w:vAlign w:val="center"/>
          </w:tcPr>
          <w:p w14:paraId="1152CFB4">
            <w:pPr>
              <w:spacing w:before="40" w:after="40"/>
              <w:jc w:val="left"/>
            </w:pPr>
            <w:r>
              <w:rPr>
                <w:rFonts w:ascii="宋体" w:hAnsi="宋体" w:eastAsia="宋体"/>
                <w:b w:val="0"/>
                <w:color w:val="000000"/>
                <w:sz w:val="20"/>
              </w:rPr>
              <w:t>建立健全审计质量控制、进度管理、保密安全等制度</w:t>
            </w:r>
          </w:p>
        </w:tc>
        <w:tc>
          <w:tcPr>
            <w:tcW w:w="850" w:type="dxa"/>
            <w:shd w:val="clear" w:color="auto" w:fill="FFFFFF"/>
            <w:vAlign w:val="center"/>
          </w:tcPr>
          <w:p w14:paraId="3914444B">
            <w:pPr>
              <w:spacing w:before="40" w:after="40"/>
              <w:jc w:val="center"/>
            </w:pPr>
            <w:r>
              <w:rPr>
                <w:rFonts w:ascii="宋体" w:hAnsi="宋体" w:eastAsia="宋体"/>
                <w:b/>
                <w:color w:val="C00000"/>
                <w:sz w:val="20"/>
              </w:rPr>
              <w:t>满分40分</w:t>
            </w:r>
          </w:p>
        </w:tc>
      </w:tr>
      <w:tr w14:paraId="7EE834CE">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E8F0FA"/>
            <w:vAlign w:val="center"/>
          </w:tcPr>
          <w:p w14:paraId="06A64F81">
            <w:pPr>
              <w:spacing w:before="40" w:after="40"/>
              <w:jc w:val="center"/>
            </w:pPr>
            <w:r>
              <w:rPr>
                <w:rFonts w:ascii="宋体" w:hAnsi="宋体" w:eastAsia="宋体"/>
                <w:b/>
                <w:color w:val="003366"/>
                <w:sz w:val="20"/>
              </w:rPr>
              <w:t>④</w:t>
            </w:r>
          </w:p>
        </w:tc>
        <w:tc>
          <w:tcPr>
            <w:tcW w:w="2551" w:type="dxa"/>
            <w:shd w:val="clear" w:color="auto" w:fill="E8F0FA"/>
            <w:vAlign w:val="center"/>
          </w:tcPr>
          <w:p w14:paraId="3693C91B">
            <w:pPr>
              <w:spacing w:before="40" w:after="40"/>
              <w:jc w:val="left"/>
            </w:pPr>
            <w:r>
              <w:rPr>
                <w:rFonts w:ascii="宋体" w:hAnsi="宋体" w:eastAsia="宋体"/>
                <w:b w:val="0"/>
                <w:color w:val="000000"/>
                <w:sz w:val="20"/>
              </w:rPr>
              <w:t>审计机构设置和岗位职责</w:t>
            </w:r>
          </w:p>
        </w:tc>
        <w:tc>
          <w:tcPr>
            <w:tcW w:w="1984" w:type="dxa"/>
            <w:shd w:val="clear" w:color="auto" w:fill="E8F0FA"/>
            <w:vAlign w:val="center"/>
          </w:tcPr>
          <w:p w14:paraId="6CBEA6F6">
            <w:pPr>
              <w:spacing w:before="40" w:after="40"/>
              <w:jc w:val="left"/>
            </w:pPr>
            <w:r>
              <w:rPr>
                <w:rFonts w:ascii="宋体" w:hAnsi="宋体" w:eastAsia="宋体"/>
                <w:b w:val="0"/>
                <w:color w:val="000000"/>
                <w:sz w:val="20"/>
              </w:rPr>
              <w:t>第五章</w:t>
            </w:r>
          </w:p>
        </w:tc>
        <w:tc>
          <w:tcPr>
            <w:tcW w:w="3402" w:type="dxa"/>
            <w:shd w:val="clear" w:color="auto" w:fill="E8F0FA"/>
            <w:vAlign w:val="center"/>
          </w:tcPr>
          <w:p w14:paraId="1633B7BA">
            <w:pPr>
              <w:spacing w:before="40" w:after="40"/>
              <w:jc w:val="left"/>
            </w:pPr>
            <w:r>
              <w:rPr>
                <w:rFonts w:ascii="宋体" w:hAnsi="宋体" w:eastAsia="宋体"/>
                <w:b w:val="0"/>
                <w:color w:val="000000"/>
                <w:sz w:val="20"/>
              </w:rPr>
              <w:t>明确组织架构、人员资质和职责分工</w:t>
            </w:r>
          </w:p>
        </w:tc>
        <w:tc>
          <w:tcPr>
            <w:tcW w:w="850" w:type="dxa"/>
            <w:shd w:val="clear" w:color="auto" w:fill="E8F0FA"/>
            <w:vAlign w:val="center"/>
          </w:tcPr>
          <w:p w14:paraId="4D6285B2">
            <w:pPr>
              <w:spacing w:before="40" w:after="40"/>
              <w:jc w:val="center"/>
            </w:pPr>
            <w:r>
              <w:rPr>
                <w:rFonts w:ascii="宋体" w:hAnsi="宋体" w:eastAsia="宋体"/>
                <w:b/>
                <w:color w:val="C00000"/>
                <w:sz w:val="20"/>
              </w:rPr>
              <w:t>满分40分</w:t>
            </w:r>
          </w:p>
        </w:tc>
      </w:tr>
      <w:tr w14:paraId="64BC78D2">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1EEB6E74">
            <w:pPr>
              <w:spacing w:before="40" w:after="40"/>
              <w:jc w:val="center"/>
            </w:pPr>
            <w:r>
              <w:rPr>
                <w:rFonts w:ascii="宋体" w:hAnsi="宋体" w:eastAsia="宋体"/>
                <w:b/>
                <w:color w:val="003366"/>
                <w:sz w:val="20"/>
              </w:rPr>
              <w:t>⑤</w:t>
            </w:r>
          </w:p>
        </w:tc>
        <w:tc>
          <w:tcPr>
            <w:tcW w:w="2551" w:type="dxa"/>
            <w:shd w:val="clear" w:color="auto" w:fill="FFFFFF"/>
            <w:vAlign w:val="center"/>
          </w:tcPr>
          <w:p w14:paraId="683746AE">
            <w:pPr>
              <w:spacing w:before="40" w:after="40"/>
              <w:jc w:val="left"/>
            </w:pPr>
            <w:r>
              <w:rPr>
                <w:rFonts w:ascii="宋体" w:hAnsi="宋体" w:eastAsia="宋体"/>
                <w:b w:val="0"/>
                <w:color w:val="000000"/>
                <w:sz w:val="20"/>
              </w:rPr>
              <w:t>审计服务质量保证措施</w:t>
            </w:r>
          </w:p>
        </w:tc>
        <w:tc>
          <w:tcPr>
            <w:tcW w:w="1984" w:type="dxa"/>
            <w:shd w:val="clear" w:color="auto" w:fill="FFFFFF"/>
            <w:vAlign w:val="center"/>
          </w:tcPr>
          <w:p w14:paraId="30585D58">
            <w:pPr>
              <w:spacing w:before="40" w:after="40"/>
              <w:jc w:val="left"/>
            </w:pPr>
            <w:r>
              <w:rPr>
                <w:rFonts w:ascii="宋体" w:hAnsi="宋体" w:eastAsia="宋体"/>
                <w:b w:val="0"/>
                <w:color w:val="000000"/>
                <w:sz w:val="20"/>
              </w:rPr>
              <w:t>第六章</w:t>
            </w:r>
          </w:p>
        </w:tc>
        <w:tc>
          <w:tcPr>
            <w:tcW w:w="3402" w:type="dxa"/>
            <w:shd w:val="clear" w:color="auto" w:fill="FFFFFF"/>
            <w:vAlign w:val="center"/>
          </w:tcPr>
          <w:p w14:paraId="183AECB7">
            <w:pPr>
              <w:spacing w:before="40" w:after="40"/>
              <w:jc w:val="left"/>
            </w:pPr>
            <w:r>
              <w:rPr>
                <w:rFonts w:ascii="宋体" w:hAnsi="宋体" w:eastAsia="宋体"/>
                <w:b w:val="0"/>
                <w:color w:val="000000"/>
                <w:sz w:val="20"/>
              </w:rPr>
              <w:t>制定切实可行的质量保障、进度保障、风险防控措施</w:t>
            </w:r>
          </w:p>
        </w:tc>
        <w:tc>
          <w:tcPr>
            <w:tcW w:w="850" w:type="dxa"/>
            <w:shd w:val="clear" w:color="auto" w:fill="FFFFFF"/>
            <w:vAlign w:val="center"/>
          </w:tcPr>
          <w:p w14:paraId="6D0B4F59">
            <w:pPr>
              <w:spacing w:before="40" w:after="40"/>
              <w:jc w:val="center"/>
            </w:pPr>
            <w:r>
              <w:rPr>
                <w:rFonts w:ascii="宋体" w:hAnsi="宋体" w:eastAsia="宋体"/>
                <w:b/>
                <w:color w:val="C00000"/>
                <w:sz w:val="20"/>
              </w:rPr>
              <w:t>满分40分</w:t>
            </w:r>
          </w:p>
        </w:tc>
      </w:tr>
    </w:tbl>
    <w:p w14:paraId="78FEF29A">
      <w:pPr>
        <w:spacing w:before="0" w:after="0" w:line="240" w:lineRule="auto"/>
      </w:pPr>
    </w:p>
    <w:p w14:paraId="3D0CA2F6">
      <w:r>
        <w:rPr>
          <w:rFonts w:ascii="宋体" w:hAnsi="宋体" w:eastAsia="宋体"/>
          <w:b/>
          <w:color w:val="C00000"/>
          <w:sz w:val="20"/>
        </w:rPr>
        <w:t>★ 温馨提示：本项目实施方案评分（40分）须五项内容完整，缺项扣8分/项，有缺陷扣4分/处。</w:t>
      </w:r>
    </w:p>
    <w:p w14:paraId="600D9B9B">
      <w:r>
        <w:br w:type="page"/>
      </w:r>
    </w:p>
    <w:p w14:paraId="1B725B0E">
      <w:pPr>
        <w:rPr>
          <w:rFonts w:ascii="黑体" w:hAnsi="黑体" w:eastAsia="黑体"/>
          <w:b/>
          <w:color w:val="003366"/>
          <w:sz w:val="28"/>
        </w:rPr>
      </w:pPr>
      <w:r>
        <w:br w:type="page"/>
      </w:r>
      <w:bookmarkStart w:id="34" w:name="_Toc31941"/>
      <w:r>
        <w:drawing>
          <wp:inline distT="0" distB="0" distL="114300" distR="114300">
            <wp:extent cx="5303520" cy="2426970"/>
            <wp:effectExtent l="0" t="0" r="508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303520" cy="2427425"/>
                    </a:xfrm>
                    <a:prstGeom prst="rect">
                      <a:avLst/>
                    </a:prstGeom>
                  </pic:spPr>
                </pic:pic>
              </a:graphicData>
            </a:graphic>
          </wp:inline>
        </w:drawing>
      </w:r>
    </w:p>
    <w:p w14:paraId="7F516A0A">
      <w:pPr>
        <w:spacing w:before="200" w:after="80" w:line="360" w:lineRule="auto"/>
        <w:jc w:val="both"/>
        <w:outlineLvl w:val="1"/>
      </w:pPr>
      <w:r>
        <w:rPr>
          <w:rFonts w:ascii="黑体" w:hAnsi="黑体" w:eastAsia="黑体"/>
          <w:b/>
          <w:color w:val="003366"/>
          <w:sz w:val="28"/>
        </w:rPr>
        <w:t>4.1  审计质量控制制度</w:t>
      </w:r>
      <w:bookmarkEnd w:id="34"/>
    </w:p>
    <w:p w14:paraId="68E21E80">
      <w:pPr>
        <w:spacing w:before="0" w:after="120" w:line="360" w:lineRule="auto"/>
        <w:ind w:firstLine="168"/>
        <w:jc w:val="both"/>
      </w:pPr>
      <w:r>
        <w:rPr>
          <w:rFonts w:ascii="宋体" w:hAnsi="宋体" w:eastAsia="宋体"/>
          <w:b w:val="0"/>
          <w:color w:val="000000"/>
          <w:sz w:val="24"/>
        </w:rPr>
        <w:t>审计质量是审核工作的生命线，建立健全的质量控制制度是确保审核质量的根本保障。本所制定了严格的审计质量控制制度，涵盖质量目标、组织架构、控制流程、考核评价等方面，形成了全过程、全方位的质量控制体系。质量控制制度的核心是"三级复核制度"，即在项目经理一级复核的基础上，增加项目总监二级复核和技术委员会三级把关，确保每一个项目都达到规定的质量标准。三级复核不是简单的重复审查，而是各有侧重：一级复核侧重于业务操作的规范性，二级复核侧重于重大问题的判断准确性，三级复核侧重于报告质量的整体评价。</w:t>
      </w:r>
    </w:p>
    <w:p w14:paraId="21499613">
      <w:pPr>
        <w:spacing w:before="0" w:after="120" w:line="360" w:lineRule="auto"/>
        <w:ind w:firstLine="168"/>
        <w:jc w:val="both"/>
      </w:pPr>
      <w:r>
        <w:rPr>
          <w:rFonts w:ascii="宋体" w:hAnsi="宋体" w:eastAsia="宋体"/>
          <w:b w:val="0"/>
          <w:color w:val="000000"/>
          <w:sz w:val="24"/>
        </w:rPr>
        <w:t>在质量控制的具体措施上，本所实行"质量一票否决制"，即任何项目未经质量复核或复核未通过的，一律不得出具正式报告。同时，建立了质量事故责任追究制度，对于因质量问题给客户造成损失的，严格追究相关人员的责任。在内部培训方面，本所定期组织专业培训和质量分析会，及时总结经验教训，持续改进质量控制措施。此外，还建立了客户反馈机制，定期征询客户对服务质量的评价，作为质量改进的重要参考。</w:t>
      </w:r>
    </w:p>
    <w:p w14:paraId="1FE0347D">
      <w:pPr>
        <w:spacing w:before="200" w:after="80" w:line="360" w:lineRule="auto"/>
        <w:jc w:val="both"/>
        <w:outlineLvl w:val="1"/>
      </w:pPr>
      <w:bookmarkStart w:id="35" w:name="_Toc11826"/>
      <w:r>
        <w:rPr>
          <w:rFonts w:ascii="黑体" w:hAnsi="黑体" w:eastAsia="黑体"/>
          <w:b/>
          <w:color w:val="003366"/>
          <w:sz w:val="28"/>
        </w:rPr>
        <w:t>4.2  审计进度管理制度</w:t>
      </w:r>
      <w:bookmarkEnd w:id="35"/>
    </w:p>
    <w:p w14:paraId="668443F4">
      <w:pPr>
        <w:spacing w:before="0" w:after="120" w:line="360" w:lineRule="auto"/>
        <w:ind w:firstLine="168"/>
        <w:jc w:val="both"/>
      </w:pPr>
      <w:r>
        <w:rPr>
          <w:rFonts w:ascii="宋体" w:hAnsi="宋体" w:eastAsia="宋体"/>
          <w:b w:val="0"/>
          <w:color w:val="000000"/>
          <w:sz w:val="24"/>
        </w:rPr>
        <w:t>进度管理是确保审核工作按时完成的重要手段。本所建立了完善的进度管理制度，明确进度管理的目标、职责、方法和保障措施。在进度计划编制方面，每个项目在启动时都必须编制详细的进度计划，明确各阶段的工作内容、起止时间、里程碑节点和责任人。进度计划经项目经理审批后严格执行。在进度监控方面，实行"周报制度"，每周汇总各项目的进度情况，对于进度滞后的项目，及时分析原因并采取纠正措施。</w:t>
      </w:r>
    </w:p>
    <w:p w14:paraId="6C2BDA41">
      <w:pPr>
        <w:spacing w:before="0" w:after="120" w:line="360" w:lineRule="auto"/>
        <w:ind w:firstLine="168"/>
        <w:jc w:val="both"/>
      </w:pPr>
      <w:r>
        <w:rPr>
          <w:rFonts w:ascii="宋体" w:hAnsi="宋体" w:eastAsia="宋体"/>
          <w:b w:val="0"/>
          <w:color w:val="000000"/>
          <w:sz w:val="24"/>
        </w:rPr>
        <w:t>在进度保障方面，建立了资源调配机制，当项目进度出现偏差时，可及时调配其他项目组的人员进行支援。对于客户的原因导致进度延误的，及时与客户沟通协调，妥善处理。对于因不可抗力等原因导致项目无法按计划进行的，经批准后可适当调整进度计划，但必须确保不影响项目质量和客户的业务需求。</w:t>
      </w:r>
    </w:p>
    <w:p w14:paraId="72A16F5D">
      <w:pPr>
        <w:spacing w:before="200" w:after="80" w:line="360" w:lineRule="auto"/>
        <w:jc w:val="both"/>
        <w:outlineLvl w:val="1"/>
      </w:pPr>
      <w:bookmarkStart w:id="36" w:name="_Toc13917"/>
      <w:r>
        <w:rPr>
          <w:rFonts w:ascii="黑体" w:hAnsi="黑体" w:eastAsia="黑体"/>
          <w:b/>
          <w:color w:val="003366"/>
          <w:sz w:val="28"/>
        </w:rPr>
        <w:t>4.3  审计保密制度</w:t>
      </w:r>
      <w:bookmarkEnd w:id="36"/>
    </w:p>
    <w:p w14:paraId="5027E77B">
      <w:pPr>
        <w:spacing w:before="0" w:after="120" w:line="360" w:lineRule="auto"/>
        <w:ind w:firstLine="168"/>
        <w:jc w:val="both"/>
      </w:pPr>
      <w:r>
        <w:rPr>
          <w:rFonts w:ascii="宋体" w:hAnsi="宋体" w:eastAsia="宋体"/>
          <w:b w:val="0"/>
          <w:color w:val="000000"/>
          <w:sz w:val="24"/>
        </w:rPr>
        <w:t>保密制度是保护客户商业秘密和国家秘密的重要保障。本所制定了严格的保密制度，明确了保密的范围、要求、责任和处罚措施。保密范围包括：在执业过程中知悉的涉及国家秘密的信息，涉及客户商业秘密的信息，以及本所的内部管理信息。保密要求方面，所有人员入职时必须签订保密协议，明确保密义务。保密协议规定的保密义务在离职后仍然有效。</w:t>
      </w:r>
    </w:p>
    <w:p w14:paraId="3339013C">
      <w:pPr>
        <w:spacing w:before="0" w:after="120" w:line="360" w:lineRule="auto"/>
        <w:ind w:firstLine="168"/>
        <w:jc w:val="both"/>
      </w:pPr>
      <w:r>
        <w:rPr>
          <w:rFonts w:ascii="宋体" w:hAnsi="宋体" w:eastAsia="宋体"/>
          <w:b w:val="0"/>
          <w:color w:val="000000"/>
          <w:sz w:val="24"/>
        </w:rPr>
        <w:t>在保密措施方面，项目资料实行专人管理，建立严格的资料借阅和复制审批制度。电子资料实行分级授权管理，严禁非授权人员接触敏感信息。废弃的纸质资料实行粉碎销毁处理，不得随意丢弃。在保密责任方面，对于违反保密制度，造成泄密事件的，根据情节轻重，给予警告、降级、解除劳动合同等处分；涉嫌犯罪的，移送司法机关处理。</w:t>
      </w:r>
    </w:p>
    <w:p w14:paraId="56371F56">
      <w:pPr>
        <w:spacing w:before="200" w:after="80" w:line="360" w:lineRule="auto"/>
        <w:jc w:val="both"/>
        <w:outlineLvl w:val="1"/>
      </w:pPr>
      <w:bookmarkStart w:id="37" w:name="_Toc13562"/>
      <w:r>
        <w:rPr>
          <w:rFonts w:ascii="黑体" w:hAnsi="黑体" w:eastAsia="黑体"/>
          <w:b/>
          <w:color w:val="003366"/>
          <w:sz w:val="28"/>
        </w:rPr>
        <w:t>4.4  审计档案管理制度</w:t>
      </w:r>
      <w:bookmarkEnd w:id="37"/>
    </w:p>
    <w:p w14:paraId="6C5713B5">
      <w:pPr>
        <w:spacing w:before="0" w:after="120" w:line="360" w:lineRule="auto"/>
        <w:ind w:firstLine="168"/>
        <w:jc w:val="both"/>
      </w:pPr>
      <w:r>
        <w:rPr>
          <w:rFonts w:ascii="宋体" w:hAnsi="宋体" w:eastAsia="宋体"/>
          <w:b w:val="0"/>
          <w:color w:val="000000"/>
          <w:sz w:val="24"/>
        </w:rPr>
        <w:t>档案管理是审核工作的重要组成部分，规范的档案管理有利于保护证据材料、支持审核结论、防范执业风险。本所建立了完善的档案管理制度，明确档案管理的范围、整理要求、保管期限和借阅规定。档案范围包括：业务约定书、审核报告、工作底稿、证据材料、沟通函件、客户提供的原始资料等。在档案整理方面，项目完成后必须按规定整理归档，归档资料应当完整、整洁、规范，编制清晰的档案目录。保管期限方面，一般项目档案保管期限不少于10年，重大项目的档案保管期限不少于30年。</w:t>
      </w:r>
    </w:p>
    <w:p w14:paraId="2D5F55A6">
      <w:pPr>
        <w:spacing w:before="200" w:after="80" w:line="360" w:lineRule="auto"/>
        <w:jc w:val="both"/>
        <w:outlineLvl w:val="1"/>
      </w:pPr>
      <w:bookmarkStart w:id="38" w:name="_Toc28280"/>
      <w:r>
        <w:rPr>
          <w:rFonts w:ascii="黑体" w:hAnsi="黑体" w:eastAsia="黑体"/>
          <w:b/>
          <w:color w:val="003366"/>
          <w:sz w:val="28"/>
        </w:rPr>
        <w:t>4.5  审计复核制度</w:t>
      </w:r>
      <w:bookmarkEnd w:id="38"/>
    </w:p>
    <w:p w14:paraId="12D37684">
      <w:pPr>
        <w:spacing w:before="0" w:after="120" w:line="360" w:lineRule="auto"/>
        <w:ind w:firstLine="168"/>
        <w:jc w:val="both"/>
      </w:pPr>
      <w:r>
        <w:rPr>
          <w:rFonts w:ascii="宋体" w:hAnsi="宋体" w:eastAsia="宋体"/>
          <w:b w:val="0"/>
          <w:color w:val="000000"/>
          <w:sz w:val="24"/>
        </w:rPr>
        <w:t>三级复核制度是本所质量控制的核心制度，适用于所有审核项目。一级复核由项目经理负责，在审核人员完成工作底稿后进行，重点复核以下内容：审核程序是否符合审计准则和执业规范的要求；审核证据是否充分、适当；审核发现的问题是否完整、准确地记录在工作底稿中；审核结论是否有充分的证据支持。二级复核由项目总监负责，在一级复核通过后进行，重点复核以下内容：一级复核意见是否得到落实；重大问题的判断是否准确；审核结论是否合理；报告初稿质量是否达到出具标准。</w:t>
      </w:r>
    </w:p>
    <w:p w14:paraId="3973959D">
      <w:pPr>
        <w:spacing w:before="0" w:after="120" w:line="360" w:lineRule="auto"/>
        <w:ind w:firstLine="168"/>
        <w:jc w:val="both"/>
      </w:pPr>
      <w:r>
        <w:rPr>
          <w:rFonts w:ascii="宋体" w:hAnsi="宋体" w:eastAsia="宋体"/>
          <w:b w:val="0"/>
          <w:color w:val="000000"/>
          <w:sz w:val="24"/>
        </w:rPr>
        <w:t>三级复核（技术委员会审议）适用于重大、复杂或高风险项目，在二级复核通过后进行。技术委员会由本所资深专家组成，负责对审核报告进行集体审议，重点关注：审核报告是否真实、完整地反映了审核情况；审核意见是否有充分的证据支持；报告披露的信息是否适当、谨慎；是否存在可能被遗漏的重大问题。技术委员会的审议意见须得到落实后方可出具正式报告。</w:t>
      </w:r>
    </w:p>
    <w:p w14:paraId="2448C252">
      <w:pPr>
        <w:spacing w:before="200" w:after="80" w:line="360" w:lineRule="auto"/>
        <w:jc w:val="both"/>
        <w:outlineLvl w:val="1"/>
      </w:pPr>
      <w:bookmarkStart w:id="39" w:name="_Toc29172"/>
      <w:r>
        <w:rPr>
          <w:rFonts w:ascii="黑体" w:hAnsi="黑体" w:eastAsia="黑体"/>
          <w:b/>
          <w:color w:val="003366"/>
          <w:sz w:val="28"/>
        </w:rPr>
        <w:t>4.6  审计人员考核制度</w:t>
      </w:r>
      <w:bookmarkEnd w:id="39"/>
    </w:p>
    <w:p w14:paraId="59EDD223">
      <w:pPr>
        <w:spacing w:before="0" w:after="120" w:line="360" w:lineRule="auto"/>
        <w:ind w:firstLine="168"/>
        <w:jc w:val="both"/>
      </w:pPr>
      <w:r>
        <w:rPr>
          <w:rFonts w:ascii="宋体" w:hAnsi="宋体" w:eastAsia="宋体"/>
          <w:b w:val="0"/>
          <w:color w:val="000000"/>
          <w:sz w:val="24"/>
        </w:rPr>
        <w:t>本所建立了科学的审计人员考核制度，从工作质量、工作效率、职业道德、客户评价等多个维度对审计人员进行综合考核。考核结果与薪酬待遇、职务晋升、培训机会等挂钩，形成正向激励机制。考核的主要指标包括：项目完成数量和质量、工作底稿的规范程度、审核报告的通过率、客户满意度评价、保密和廉洁从业情况、专业胜任能力提升等。</w:t>
      </w:r>
    </w:p>
    <w:p w14:paraId="5BD1193A">
      <w:pPr>
        <w:spacing w:before="0" w:after="120" w:line="360" w:lineRule="auto"/>
        <w:ind w:firstLine="168"/>
        <w:jc w:val="both"/>
      </w:pPr>
      <w:r>
        <w:rPr>
          <w:rFonts w:ascii="宋体" w:hAnsi="宋体" w:eastAsia="宋体"/>
          <w:b w:val="0"/>
          <w:color w:val="000000"/>
          <w:sz w:val="24"/>
        </w:rPr>
        <w:t>在考核实施上，实行年度综合考核与项目过程考核相结合的方式。年度综合考核在每年年末进行，全面评价员工一年来的工作表现；项目过程考核在每个项目完成后进行，评价员工在项目中的具体表现。对于考核优秀的员工，给予表彰奖励，在晋升、培训等方面优先考虑；对于考核不合格的员工，进行谈话提醒、限期改进，必要时调整工作岗位或解除劳动合同。</w:t>
      </w:r>
    </w:p>
    <w:p w14:paraId="10D450E9">
      <w:pPr>
        <w:spacing w:before="0" w:after="0" w:line="240" w:lineRule="auto"/>
      </w:pPr>
    </w:p>
    <w:p w14:paraId="7C9B9173">
      <w:pPr>
        <w:spacing w:before="120" w:after="80"/>
        <w:jc w:val="center"/>
        <w:outlineLvl w:val="0"/>
      </w:pPr>
      <w:bookmarkStart w:id="40" w:name="_Toc10189"/>
      <w:r>
        <w:rPr>
          <w:rFonts w:ascii="黑体" w:hAnsi="黑体" w:eastAsia="黑体"/>
          <w:b/>
          <w:color w:val="003366"/>
          <w:sz w:val="26"/>
        </w:rPr>
        <w:t>◆ 本章评标点总结 ◆</w:t>
      </w:r>
      <w:bookmarkEnd w:id="40"/>
    </w:p>
    <w:p w14:paraId="384FFD8C">
      <w:pPr>
        <w:jc w:val="center"/>
      </w:pPr>
      <w:r>
        <w:rPr>
          <w:rFonts w:ascii="宋体" w:hAnsi="宋体" w:eastAsia="宋体"/>
          <w:b w:val="0"/>
          <w:color w:val="404040"/>
          <w:sz w:val="21"/>
        </w:rPr>
        <w:t>本章对应比选文件第四章"评比办法及评比标准"评分因素（满分40分），须完整包含以下维度：</w:t>
      </w:r>
    </w:p>
    <w:p w14:paraId="70B8150F">
      <w:pPr>
        <w:spacing w:before="0" w:after="0" w:line="240" w:lineRule="auto"/>
      </w:pPr>
    </w:p>
    <w:tbl>
      <w:tblPr>
        <w:tblStyle w:val="35"/>
        <w:tblW w:w="0" w:type="auto"/>
        <w:jc w:val="center"/>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Layout w:type="autofit"/>
        <w:tblCellMar>
          <w:top w:w="0" w:type="dxa"/>
          <w:left w:w="108" w:type="dxa"/>
          <w:bottom w:w="0" w:type="dxa"/>
          <w:right w:w="108" w:type="dxa"/>
        </w:tblCellMar>
      </w:tblPr>
      <w:tblGrid>
        <w:gridCol w:w="801"/>
        <w:gridCol w:w="2329"/>
        <w:gridCol w:w="1827"/>
        <w:gridCol w:w="3082"/>
        <w:gridCol w:w="823"/>
      </w:tblGrid>
      <w:tr w14:paraId="0E8097F2">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003366"/>
            <w:vAlign w:val="center"/>
          </w:tcPr>
          <w:p w14:paraId="52D69F2E">
            <w:pPr>
              <w:spacing w:before="40" w:after="40"/>
              <w:jc w:val="center"/>
            </w:pPr>
            <w:r>
              <w:rPr>
                <w:rFonts w:ascii="黑体" w:hAnsi="黑体" w:eastAsia="黑体"/>
                <w:b/>
                <w:color w:val="FFFFFF"/>
                <w:sz w:val="21"/>
              </w:rPr>
              <w:t>序号</w:t>
            </w:r>
          </w:p>
        </w:tc>
        <w:tc>
          <w:tcPr>
            <w:tcW w:w="2551" w:type="dxa"/>
            <w:shd w:val="clear" w:color="auto" w:fill="003366"/>
            <w:vAlign w:val="center"/>
          </w:tcPr>
          <w:p w14:paraId="36A27FE0">
            <w:pPr>
              <w:spacing w:before="40" w:after="40"/>
              <w:jc w:val="center"/>
            </w:pPr>
            <w:r>
              <w:rPr>
                <w:rFonts w:ascii="黑体" w:hAnsi="黑体" w:eastAsia="黑体"/>
                <w:b/>
                <w:color w:val="FFFFFF"/>
                <w:sz w:val="21"/>
              </w:rPr>
              <w:t>评标维度</w:t>
            </w:r>
          </w:p>
        </w:tc>
        <w:tc>
          <w:tcPr>
            <w:tcW w:w="1984" w:type="dxa"/>
            <w:shd w:val="clear" w:color="auto" w:fill="003366"/>
            <w:vAlign w:val="center"/>
          </w:tcPr>
          <w:p w14:paraId="531DB1BD">
            <w:pPr>
              <w:spacing w:before="40" w:after="40"/>
              <w:jc w:val="center"/>
            </w:pPr>
            <w:r>
              <w:rPr>
                <w:rFonts w:ascii="黑体" w:hAnsi="黑体" w:eastAsia="黑体"/>
                <w:b/>
                <w:color w:val="FFFFFF"/>
                <w:sz w:val="21"/>
              </w:rPr>
              <w:t>对应章节</w:t>
            </w:r>
          </w:p>
        </w:tc>
        <w:tc>
          <w:tcPr>
            <w:tcW w:w="3402" w:type="dxa"/>
            <w:shd w:val="clear" w:color="auto" w:fill="003366"/>
            <w:vAlign w:val="center"/>
          </w:tcPr>
          <w:p w14:paraId="26CF5315">
            <w:pPr>
              <w:spacing w:before="40" w:after="40"/>
              <w:jc w:val="center"/>
            </w:pPr>
            <w:r>
              <w:rPr>
                <w:rFonts w:ascii="黑体" w:hAnsi="黑体" w:eastAsia="黑体"/>
                <w:b/>
                <w:color w:val="FFFFFF"/>
                <w:sz w:val="21"/>
              </w:rPr>
              <w:t>评标要点</w:t>
            </w:r>
          </w:p>
        </w:tc>
        <w:tc>
          <w:tcPr>
            <w:tcW w:w="850" w:type="dxa"/>
            <w:shd w:val="clear" w:color="auto" w:fill="003366"/>
            <w:vAlign w:val="center"/>
          </w:tcPr>
          <w:p w14:paraId="493CF9A2">
            <w:pPr>
              <w:spacing w:before="40" w:after="40"/>
              <w:jc w:val="center"/>
            </w:pPr>
            <w:r>
              <w:rPr>
                <w:rFonts w:ascii="黑体" w:hAnsi="黑体" w:eastAsia="黑体"/>
                <w:b/>
                <w:color w:val="FFFFFF"/>
                <w:sz w:val="21"/>
              </w:rPr>
              <w:t>分值权重</w:t>
            </w:r>
          </w:p>
        </w:tc>
      </w:tr>
      <w:tr w14:paraId="35BBAFA0">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2CB8B4A6">
            <w:pPr>
              <w:spacing w:before="40" w:after="40"/>
              <w:jc w:val="center"/>
            </w:pPr>
            <w:r>
              <w:rPr>
                <w:rFonts w:ascii="宋体" w:hAnsi="宋体" w:eastAsia="宋体"/>
                <w:b/>
                <w:color w:val="003366"/>
                <w:sz w:val="20"/>
              </w:rPr>
              <w:t>①</w:t>
            </w:r>
          </w:p>
        </w:tc>
        <w:tc>
          <w:tcPr>
            <w:tcW w:w="2551" w:type="dxa"/>
            <w:shd w:val="clear" w:color="auto" w:fill="FFFFFF"/>
            <w:vAlign w:val="center"/>
          </w:tcPr>
          <w:p w14:paraId="0EAAB74C">
            <w:pPr>
              <w:spacing w:before="40" w:after="40"/>
              <w:jc w:val="left"/>
            </w:pPr>
            <w:r>
              <w:rPr>
                <w:rFonts w:ascii="宋体" w:hAnsi="宋体" w:eastAsia="宋体"/>
                <w:b w:val="0"/>
                <w:color w:val="000000"/>
                <w:sz w:val="20"/>
              </w:rPr>
              <w:t>工作重点、难点分析</w:t>
            </w:r>
          </w:p>
        </w:tc>
        <w:tc>
          <w:tcPr>
            <w:tcW w:w="1984" w:type="dxa"/>
            <w:shd w:val="clear" w:color="auto" w:fill="FFFFFF"/>
            <w:vAlign w:val="center"/>
          </w:tcPr>
          <w:p w14:paraId="7D909BAF">
            <w:pPr>
              <w:spacing w:before="40" w:after="40"/>
              <w:jc w:val="left"/>
            </w:pPr>
            <w:r>
              <w:rPr>
                <w:rFonts w:ascii="宋体" w:hAnsi="宋体" w:eastAsia="宋体"/>
                <w:b w:val="0"/>
                <w:color w:val="000000"/>
                <w:sz w:val="20"/>
              </w:rPr>
              <w:t>第二章</w:t>
            </w:r>
          </w:p>
        </w:tc>
        <w:tc>
          <w:tcPr>
            <w:tcW w:w="3402" w:type="dxa"/>
            <w:shd w:val="clear" w:color="auto" w:fill="FFFFFF"/>
            <w:vAlign w:val="center"/>
          </w:tcPr>
          <w:p w14:paraId="04E6BDEE">
            <w:pPr>
              <w:spacing w:before="40" w:after="40"/>
              <w:jc w:val="left"/>
            </w:pPr>
            <w:r>
              <w:rPr>
                <w:rFonts w:ascii="宋体" w:hAnsi="宋体" w:eastAsia="宋体"/>
                <w:b w:val="0"/>
                <w:color w:val="000000"/>
                <w:sz w:val="20"/>
              </w:rPr>
              <w:t>审核重点覆盖建设成本四方面、建设内容三方面、票据合规四方面</w:t>
            </w:r>
          </w:p>
        </w:tc>
        <w:tc>
          <w:tcPr>
            <w:tcW w:w="850" w:type="dxa"/>
            <w:shd w:val="clear" w:color="auto" w:fill="FFFFFF"/>
            <w:vAlign w:val="center"/>
          </w:tcPr>
          <w:p w14:paraId="24E1C92C">
            <w:pPr>
              <w:spacing w:before="40" w:after="40"/>
              <w:jc w:val="center"/>
            </w:pPr>
            <w:r>
              <w:rPr>
                <w:rFonts w:ascii="宋体" w:hAnsi="宋体" w:eastAsia="宋体"/>
                <w:b/>
                <w:color w:val="C00000"/>
                <w:sz w:val="20"/>
              </w:rPr>
              <w:t>满分40分</w:t>
            </w:r>
          </w:p>
        </w:tc>
      </w:tr>
      <w:tr w14:paraId="63F37358">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E8F0FA"/>
            <w:vAlign w:val="center"/>
          </w:tcPr>
          <w:p w14:paraId="17A1F2FD">
            <w:pPr>
              <w:spacing w:before="40" w:after="40"/>
              <w:jc w:val="center"/>
            </w:pPr>
            <w:r>
              <w:rPr>
                <w:rFonts w:ascii="宋体" w:hAnsi="宋体" w:eastAsia="宋体"/>
                <w:b/>
                <w:color w:val="003366"/>
                <w:sz w:val="20"/>
              </w:rPr>
              <w:t>②</w:t>
            </w:r>
          </w:p>
        </w:tc>
        <w:tc>
          <w:tcPr>
            <w:tcW w:w="2551" w:type="dxa"/>
            <w:shd w:val="clear" w:color="auto" w:fill="E8F0FA"/>
            <w:vAlign w:val="center"/>
          </w:tcPr>
          <w:p w14:paraId="093747E9">
            <w:pPr>
              <w:spacing w:before="40" w:after="40"/>
              <w:jc w:val="left"/>
            </w:pPr>
            <w:r>
              <w:rPr>
                <w:rFonts w:ascii="宋体" w:hAnsi="宋体" w:eastAsia="宋体"/>
                <w:b w:val="0"/>
                <w:color w:val="000000"/>
                <w:sz w:val="20"/>
              </w:rPr>
              <w:t>审计流程及进度安排</w:t>
            </w:r>
          </w:p>
        </w:tc>
        <w:tc>
          <w:tcPr>
            <w:tcW w:w="1984" w:type="dxa"/>
            <w:shd w:val="clear" w:color="auto" w:fill="E8F0FA"/>
            <w:vAlign w:val="center"/>
          </w:tcPr>
          <w:p w14:paraId="62DC44C6">
            <w:pPr>
              <w:spacing w:before="40" w:after="40"/>
              <w:jc w:val="left"/>
            </w:pPr>
            <w:r>
              <w:rPr>
                <w:rFonts w:ascii="宋体" w:hAnsi="宋体" w:eastAsia="宋体"/>
                <w:b w:val="0"/>
                <w:color w:val="000000"/>
                <w:sz w:val="20"/>
              </w:rPr>
              <w:t>第三章</w:t>
            </w:r>
          </w:p>
        </w:tc>
        <w:tc>
          <w:tcPr>
            <w:tcW w:w="3402" w:type="dxa"/>
            <w:shd w:val="clear" w:color="auto" w:fill="E8F0FA"/>
            <w:vAlign w:val="center"/>
          </w:tcPr>
          <w:p w14:paraId="2904E3B3">
            <w:pPr>
              <w:spacing w:before="40" w:after="40"/>
              <w:jc w:val="left"/>
            </w:pPr>
            <w:r>
              <w:rPr>
                <w:rFonts w:ascii="宋体" w:hAnsi="宋体" w:eastAsia="宋体"/>
                <w:b w:val="0"/>
                <w:color w:val="000000"/>
                <w:sz w:val="20"/>
              </w:rPr>
              <w:t>三阶段流程清晰，各阶段工作内容详细，时间节点明确</w:t>
            </w:r>
          </w:p>
        </w:tc>
        <w:tc>
          <w:tcPr>
            <w:tcW w:w="850" w:type="dxa"/>
            <w:shd w:val="clear" w:color="auto" w:fill="E8F0FA"/>
            <w:vAlign w:val="center"/>
          </w:tcPr>
          <w:p w14:paraId="31B9CDEA">
            <w:pPr>
              <w:spacing w:before="40" w:after="40"/>
              <w:jc w:val="center"/>
            </w:pPr>
            <w:r>
              <w:rPr>
                <w:rFonts w:ascii="宋体" w:hAnsi="宋体" w:eastAsia="宋体"/>
                <w:b/>
                <w:color w:val="C00000"/>
                <w:sz w:val="20"/>
              </w:rPr>
              <w:t>满分40分</w:t>
            </w:r>
          </w:p>
        </w:tc>
      </w:tr>
      <w:tr w14:paraId="7CF2E7D0">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0E4C15E8">
            <w:pPr>
              <w:spacing w:before="40" w:after="40"/>
              <w:jc w:val="center"/>
            </w:pPr>
            <w:r>
              <w:rPr>
                <w:rFonts w:ascii="宋体" w:hAnsi="宋体" w:eastAsia="宋体"/>
                <w:b/>
                <w:color w:val="003366"/>
                <w:sz w:val="20"/>
              </w:rPr>
              <w:t>③</w:t>
            </w:r>
          </w:p>
        </w:tc>
        <w:tc>
          <w:tcPr>
            <w:tcW w:w="2551" w:type="dxa"/>
            <w:shd w:val="clear" w:color="auto" w:fill="FFFFFF"/>
            <w:vAlign w:val="center"/>
          </w:tcPr>
          <w:p w14:paraId="017F9F1F">
            <w:pPr>
              <w:spacing w:before="40" w:after="40"/>
              <w:jc w:val="left"/>
            </w:pPr>
            <w:r>
              <w:rPr>
                <w:rFonts w:ascii="宋体" w:hAnsi="宋体" w:eastAsia="宋体"/>
                <w:b w:val="0"/>
                <w:color w:val="000000"/>
                <w:sz w:val="20"/>
              </w:rPr>
              <w:t>审计管理制度</w:t>
            </w:r>
          </w:p>
        </w:tc>
        <w:tc>
          <w:tcPr>
            <w:tcW w:w="1984" w:type="dxa"/>
            <w:shd w:val="clear" w:color="auto" w:fill="FFFFFF"/>
            <w:vAlign w:val="center"/>
          </w:tcPr>
          <w:p w14:paraId="4514CB3C">
            <w:pPr>
              <w:spacing w:before="40" w:after="40"/>
              <w:jc w:val="left"/>
            </w:pPr>
            <w:r>
              <w:rPr>
                <w:rFonts w:ascii="宋体" w:hAnsi="宋体" w:eastAsia="宋体"/>
                <w:b w:val="0"/>
                <w:color w:val="000000"/>
                <w:sz w:val="20"/>
              </w:rPr>
              <w:t>本章4.1-4.6节</w:t>
            </w:r>
          </w:p>
        </w:tc>
        <w:tc>
          <w:tcPr>
            <w:tcW w:w="3402" w:type="dxa"/>
            <w:shd w:val="clear" w:color="auto" w:fill="FFFFFF"/>
            <w:vAlign w:val="center"/>
          </w:tcPr>
          <w:p w14:paraId="1D52B198">
            <w:pPr>
              <w:spacing w:before="40" w:after="40"/>
              <w:jc w:val="left"/>
            </w:pPr>
            <w:r>
              <w:rPr>
                <w:rFonts w:ascii="宋体" w:hAnsi="宋体" w:eastAsia="宋体"/>
                <w:b w:val="0"/>
                <w:color w:val="000000"/>
                <w:sz w:val="20"/>
              </w:rPr>
              <w:t>质量控制制度、进度管理制度、保密制度、档案管理制度、三级复核制度、考核制度六项制度健全完整</w:t>
            </w:r>
          </w:p>
        </w:tc>
        <w:tc>
          <w:tcPr>
            <w:tcW w:w="850" w:type="dxa"/>
            <w:shd w:val="clear" w:color="auto" w:fill="FFFFFF"/>
            <w:vAlign w:val="center"/>
          </w:tcPr>
          <w:p w14:paraId="06968B3E">
            <w:pPr>
              <w:spacing w:before="40" w:after="40"/>
              <w:jc w:val="center"/>
            </w:pPr>
            <w:r>
              <w:rPr>
                <w:rFonts w:ascii="宋体" w:hAnsi="宋体" w:eastAsia="宋体"/>
                <w:b/>
                <w:color w:val="C00000"/>
                <w:sz w:val="20"/>
              </w:rPr>
              <w:t>满分40分（核心）</w:t>
            </w:r>
          </w:p>
        </w:tc>
      </w:tr>
      <w:tr w14:paraId="1DB99F3E">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E8F0FA"/>
            <w:vAlign w:val="center"/>
          </w:tcPr>
          <w:p w14:paraId="73F17678">
            <w:pPr>
              <w:spacing w:before="40" w:after="40"/>
              <w:jc w:val="center"/>
            </w:pPr>
            <w:r>
              <w:rPr>
                <w:rFonts w:ascii="宋体" w:hAnsi="宋体" w:eastAsia="宋体"/>
                <w:b/>
                <w:color w:val="003366"/>
                <w:sz w:val="20"/>
              </w:rPr>
              <w:t>④</w:t>
            </w:r>
          </w:p>
        </w:tc>
        <w:tc>
          <w:tcPr>
            <w:tcW w:w="2551" w:type="dxa"/>
            <w:shd w:val="clear" w:color="auto" w:fill="E8F0FA"/>
            <w:vAlign w:val="center"/>
          </w:tcPr>
          <w:p w14:paraId="68CE28E2">
            <w:pPr>
              <w:spacing w:before="40" w:after="40"/>
              <w:jc w:val="left"/>
            </w:pPr>
            <w:r>
              <w:rPr>
                <w:rFonts w:ascii="宋体" w:hAnsi="宋体" w:eastAsia="宋体"/>
                <w:b w:val="0"/>
                <w:color w:val="000000"/>
                <w:sz w:val="20"/>
              </w:rPr>
              <w:t>审计机构设置和岗位职责</w:t>
            </w:r>
          </w:p>
        </w:tc>
        <w:tc>
          <w:tcPr>
            <w:tcW w:w="1984" w:type="dxa"/>
            <w:shd w:val="clear" w:color="auto" w:fill="E8F0FA"/>
            <w:vAlign w:val="center"/>
          </w:tcPr>
          <w:p w14:paraId="1CD8B1EC">
            <w:pPr>
              <w:spacing w:before="40" w:after="40"/>
              <w:jc w:val="left"/>
            </w:pPr>
            <w:r>
              <w:rPr>
                <w:rFonts w:ascii="宋体" w:hAnsi="宋体" w:eastAsia="宋体"/>
                <w:b w:val="0"/>
                <w:color w:val="000000"/>
                <w:sz w:val="20"/>
              </w:rPr>
              <w:t>第五章</w:t>
            </w:r>
          </w:p>
        </w:tc>
        <w:tc>
          <w:tcPr>
            <w:tcW w:w="3402" w:type="dxa"/>
            <w:shd w:val="clear" w:color="auto" w:fill="E8F0FA"/>
            <w:vAlign w:val="center"/>
          </w:tcPr>
          <w:p w14:paraId="75684B36">
            <w:pPr>
              <w:spacing w:before="40" w:after="40"/>
              <w:jc w:val="left"/>
            </w:pPr>
            <w:r>
              <w:rPr>
                <w:rFonts w:ascii="宋体" w:hAnsi="宋体" w:eastAsia="宋体"/>
                <w:b w:val="0"/>
                <w:color w:val="000000"/>
                <w:sz w:val="20"/>
              </w:rPr>
              <w:t>明确组织架构、人员资质和职责分工</w:t>
            </w:r>
          </w:p>
        </w:tc>
        <w:tc>
          <w:tcPr>
            <w:tcW w:w="850" w:type="dxa"/>
            <w:shd w:val="clear" w:color="auto" w:fill="E8F0FA"/>
            <w:vAlign w:val="center"/>
          </w:tcPr>
          <w:p w14:paraId="3D0B4A91">
            <w:pPr>
              <w:spacing w:before="40" w:after="40"/>
              <w:jc w:val="center"/>
            </w:pPr>
            <w:r>
              <w:rPr>
                <w:rFonts w:ascii="宋体" w:hAnsi="宋体" w:eastAsia="宋体"/>
                <w:b/>
                <w:color w:val="C00000"/>
                <w:sz w:val="20"/>
              </w:rPr>
              <w:t>满分40分</w:t>
            </w:r>
          </w:p>
        </w:tc>
      </w:tr>
      <w:tr w14:paraId="61CC4D44">
        <w:tblPrEx>
          <w:tblBorders>
            <w:top w:val="single" w:color="003366" w:sz="4" w:space="0"/>
            <w:left w:val="single" w:color="003366" w:sz="4" w:space="0"/>
            <w:bottom w:val="single" w:color="003366" w:sz="4" w:space="0"/>
            <w:right w:val="single" w:color="003366" w:sz="4" w:space="0"/>
            <w:insideH w:val="single" w:color="003366" w:sz="4" w:space="0"/>
            <w:insideV w:val="single" w:color="003366" w:sz="4" w:space="0"/>
          </w:tblBorders>
          <w:tblCellMar>
            <w:top w:w="0" w:type="dxa"/>
            <w:left w:w="108" w:type="dxa"/>
            <w:bottom w:w="0" w:type="dxa"/>
            <w:right w:w="108" w:type="dxa"/>
          </w:tblCellMar>
        </w:tblPrEx>
        <w:trPr>
          <w:jc w:val="center"/>
        </w:trPr>
        <w:tc>
          <w:tcPr>
            <w:tcW w:w="850" w:type="dxa"/>
            <w:shd w:val="clear" w:color="auto" w:fill="FFFFFF"/>
            <w:vAlign w:val="center"/>
          </w:tcPr>
          <w:p w14:paraId="24B91A11">
            <w:pPr>
              <w:spacing w:before="40" w:after="40"/>
              <w:jc w:val="center"/>
            </w:pPr>
            <w:r>
              <w:rPr>
                <w:rFonts w:ascii="宋体" w:hAnsi="宋体" w:eastAsia="宋体"/>
                <w:b/>
                <w:color w:val="003366"/>
                <w:sz w:val="20"/>
              </w:rPr>
              <w:t>⑤</w:t>
            </w:r>
          </w:p>
        </w:tc>
        <w:tc>
          <w:tcPr>
            <w:tcW w:w="2551" w:type="dxa"/>
            <w:shd w:val="clear" w:color="auto" w:fill="FFFFFF"/>
            <w:vAlign w:val="center"/>
          </w:tcPr>
          <w:p w14:paraId="510A3625">
            <w:pPr>
              <w:spacing w:before="40" w:after="40"/>
              <w:jc w:val="left"/>
            </w:pPr>
            <w:r>
              <w:rPr>
                <w:rFonts w:ascii="宋体" w:hAnsi="宋体" w:eastAsia="宋体"/>
                <w:b w:val="0"/>
                <w:color w:val="000000"/>
                <w:sz w:val="20"/>
              </w:rPr>
              <w:t>审计服务质量保证措施</w:t>
            </w:r>
          </w:p>
        </w:tc>
        <w:tc>
          <w:tcPr>
            <w:tcW w:w="1984" w:type="dxa"/>
            <w:shd w:val="clear" w:color="auto" w:fill="FFFFFF"/>
            <w:vAlign w:val="center"/>
          </w:tcPr>
          <w:p w14:paraId="05FAC4E4">
            <w:pPr>
              <w:spacing w:before="40" w:after="40"/>
              <w:jc w:val="left"/>
            </w:pPr>
            <w:r>
              <w:rPr>
                <w:rFonts w:ascii="宋体" w:hAnsi="宋体" w:eastAsia="宋体"/>
                <w:b w:val="0"/>
                <w:color w:val="000000"/>
                <w:sz w:val="20"/>
              </w:rPr>
              <w:t>第六章</w:t>
            </w:r>
          </w:p>
        </w:tc>
        <w:tc>
          <w:tcPr>
            <w:tcW w:w="3402" w:type="dxa"/>
            <w:shd w:val="clear" w:color="auto" w:fill="FFFFFF"/>
            <w:vAlign w:val="center"/>
          </w:tcPr>
          <w:p w14:paraId="23716349">
            <w:pPr>
              <w:spacing w:before="40" w:after="40"/>
              <w:jc w:val="left"/>
            </w:pPr>
            <w:r>
              <w:rPr>
                <w:rFonts w:ascii="宋体" w:hAnsi="宋体" w:eastAsia="宋体"/>
                <w:b w:val="0"/>
                <w:color w:val="000000"/>
                <w:sz w:val="20"/>
              </w:rPr>
              <w:t>制定切实可行的质量保障、进度保障、风险防控措施</w:t>
            </w:r>
          </w:p>
        </w:tc>
        <w:tc>
          <w:tcPr>
            <w:tcW w:w="850" w:type="dxa"/>
            <w:shd w:val="clear" w:color="auto" w:fill="FFFFFF"/>
            <w:vAlign w:val="center"/>
          </w:tcPr>
          <w:p w14:paraId="3B88D2EC">
            <w:pPr>
              <w:spacing w:before="40" w:after="40"/>
              <w:jc w:val="center"/>
            </w:pPr>
            <w:r>
              <w:rPr>
                <w:rFonts w:ascii="宋体" w:hAnsi="宋体" w:eastAsia="宋体"/>
                <w:b/>
                <w:color w:val="C00000"/>
                <w:sz w:val="20"/>
              </w:rPr>
              <w:t>满分40分</w:t>
            </w:r>
          </w:p>
        </w:tc>
      </w:tr>
    </w:tbl>
    <w:p w14:paraId="17579470">
      <w:pPr>
        <w:spacing w:before="0" w:after="0" w:line="240" w:lineRule="auto"/>
      </w:pPr>
    </w:p>
    <w:p w14:paraId="2EF49EE6">
      <w:r>
        <w:rPr>
          <w:rFonts w:ascii="宋体" w:hAnsi="宋体" w:eastAsia="宋体"/>
          <w:b/>
          <w:color w:val="C00000"/>
          <w:sz w:val="20"/>
        </w:rPr>
        <w:t>★ 温馨提示：本项目实施方案评分（40分）须五项内容完整，缺项扣8分/项，有缺陷扣4分/处。</w:t>
      </w:r>
    </w:p>
    <w:p w14:paraId="6FD1C4CA">
      <w:r>
        <w:br w:type="page"/>
      </w:r>
    </w:p>
    <w:sectPr>
      <w:head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panose1 w:val="02060409020205020404"/>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D1DD8">
    <w:pPr>
      <w:pStyle w:val="26"/>
      <w:jc w:val="center"/>
    </w:pPr>
    <w:r>
      <w:rPr>
        <w:rFonts w:ascii="宋体" w:hAnsi="宋体" w:eastAsia="宋体"/>
        <w:b w:val="0"/>
        <w:color w:val="404040"/>
        <w:sz w:val="18"/>
      </w:rPr>
      <w:t>2026年阿坝州财政局州本级建设项目竣工财务决算审核项目  投标文件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9728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126</Pages>
  <Words>4170</Words>
  <Characters>4286</Characters>
  <Lines>0</Lines>
  <Paragraphs>0</Paragraphs>
  <TotalTime>5</TotalTime>
  <ScaleCrop>false</ScaleCrop>
  <LinksUpToDate>false</LinksUpToDate>
  <CharactersWithSpaces>4364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先生你先</cp:lastModifiedBy>
  <dcterms:modified xsi:type="dcterms:W3CDTF">2026-06-23T13:06:49Z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eyJoZGlkIjoiNmRjNWEzODgxNTJlYTZmMzg1ZjJmZDg3MmRiYTcyODgiLCJ1c2VySWQiOiIyODYzOTIxMzcifQ==</vt:lpwstr>
  </property>
  <property fmtid="{D5CDD505-2E9C-101B-9397-08002B2CF9AE}" pid="3" name="KSOProductBuildVer">
    <vt:lpwstr>2052-12.1.0.26895</vt:lpwstr>
  </property>
  <property fmtid="{D5CDD505-2E9C-101B-9397-08002B2CF9AE}" pid="4" name="ICV">
    <vt:lpwstr>EDA5179A25E34F37A5F3C35BD42151DA_12</vt:lpwstr>
  </property>
</Properties>
</file>