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</w:rPr>
        <w:t>察隅县帮扶产业项目低效闲置资产盘活方案</w:t>
      </w:r>
    </w:p>
    <w:p>
      <w:pPr>
        <w:pStyle w:val="Heading2"/>
      </w:pPr>
      <w:r>
        <w:rPr>
          <w:rFonts w:ascii="黑体" w:hAnsi="黑体" w:eastAsia="黑体"/>
        </w:rPr>
        <w:t>一、背景与依据</w:t>
      </w:r>
    </w:p>
    <w:p>
      <w:r>
        <w:rPr>
          <w:rFonts w:ascii="宋体" w:hAnsi="宋体" w:eastAsia="宋体"/>
        </w:rPr>
        <w:t>为贯彻落实自治区关于帮扶产业项目资产管理的有关要求，切实提高帮扶资金使用效益，推动低效闲置资产盘活利用，结合察隅县实际，制定本方案。</w:t>
      </w:r>
    </w:p>
    <w:p>
      <w:pPr>
        <w:pStyle w:val="Heading3"/>
      </w:pPr>
      <w:r>
        <w:rPr>
          <w:rFonts w:ascii="黑体" w:hAnsi="黑体" w:eastAsia="黑体"/>
        </w:rPr>
        <w:t>1.1 资产现状</w:t>
      </w:r>
    </w:p>
    <w:p>
      <w:r>
        <w:rPr>
          <w:rFonts w:ascii="宋体" w:hAnsi="宋体" w:eastAsia="宋体"/>
        </w:rPr>
        <w:t>根据《察隅县帮扶产业项目低效、闲置项目资产台账》（附件6），截至2026年6月，察隅县共有</w:t>
      </w:r>
      <w:r>
        <w:rPr>
          <w:rFonts w:ascii="宋体" w:hAnsi="宋体" w:eastAsia="宋体"/>
          <w:b/>
        </w:rPr>
        <w:t>低效闲置资产196个</w:t>
      </w:r>
      <w:r>
        <w:rPr>
          <w:rFonts w:ascii="宋体" w:hAnsi="宋体" w:eastAsia="宋体"/>
        </w:rPr>
        <w:t>，其中：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低效资产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105个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53.6%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闲置资产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91个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46.4%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**合计**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**196个**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**100%**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1.2 资产形态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资产形态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固定资产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140个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71.4%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生物资产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56个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28.6%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1.3 资产明细类型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资产类型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典型资产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机器设备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47个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饲料加工设备、养殖设备、农机具等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构筑物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45个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蓄水池、晒场、围墙、道路等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房屋建筑物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44个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温室大棚、养殖圈舍、加工厂房、商铺等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林木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43个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茶叶、核桃、石榴、猕猴桃等经济林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牲畜（禽）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14个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藏鸡、藏猪、牦牛等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办公用具家具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3个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办公设备、家具等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1.4 资产状态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正常（但低效/闲置）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119个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60.7%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损毁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45个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23.0%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损坏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32个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16.3%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1.5 资产权属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权属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集体资产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181个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92.3%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国有资产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15个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7.7%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1.6 盘活现状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已盘活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0个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未盘活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196个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有盘活措施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0个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二、低效闲置原因分析</w:t>
      </w:r>
    </w:p>
    <w:p>
      <w:pPr>
        <w:pStyle w:val="Heading3"/>
      </w:pPr>
      <w:r>
        <w:rPr>
          <w:rFonts w:ascii="黑体" w:hAnsi="黑体" w:eastAsia="黑体"/>
        </w:rPr>
        <w:t>2.1 低效资产（105个）主要原因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原因分类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涉及资产类型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典型问题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① 经营不善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养殖圈舍、加工厂房、设备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经营主体管理能力不足，产品销路不畅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② 产量/收益低于预期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经济林（茶叶、核桃等）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种植技术不到位，挂果量低，品质不达标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③ 运营成本高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机器设备、加工厂房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水电人工成本高，产出不足以覆盖成本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④ 季节性闲置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部分设备、圈舍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非生产季节闲置，运营效率低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⑤ 市场波动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畜产品、农产品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市场价格下跌，养殖/种植收益下降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2.2 闲置资产（91个）主要原因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原因分类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涉及资产类型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数量占比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典型问题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① 经营主体退出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养殖圈舍、加工厂房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约30%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原经营主体倒闭/破产/退出，无人接手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② 损毁未修复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圈舍、设备、构筑物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约25%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自然灾害/年久失修，无资金修复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③ 缺乏运营条件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机器设备、温室大棚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约20%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缺乏技术人员、配套基础设施不完善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④ 整体搬迁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原有村集体资产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约10%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村庄整体搬迁后原资产闲置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⑤ 其他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各类资产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约15%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产权不清、争议未决、待处置等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三、盘活工作原则</w:t>
      </w:r>
    </w:p>
    <w:p>
      <w:pPr>
        <w:pStyle w:val="ListNumber"/>
      </w:pPr>
      <w:r>
        <w:rPr>
          <w:rFonts w:ascii="宋体" w:hAnsi="宋体" w:eastAsia="宋体"/>
        </w:rPr>
        <w:t>**分类施策**：根据资产类型、状态、权属，采取差异化盘活方式</w:t>
      </w:r>
    </w:p>
    <w:p>
      <w:pPr>
        <w:pStyle w:val="ListNumber"/>
      </w:pPr>
      <w:r>
        <w:rPr>
          <w:rFonts w:ascii="宋体" w:hAnsi="宋体" w:eastAsia="宋体"/>
        </w:rPr>
        <w:t>**效益优先**：优先盘活当前可产生收益的资产，兼顾长期培育</w:t>
      </w:r>
    </w:p>
    <w:p>
      <w:pPr>
        <w:pStyle w:val="ListNumber"/>
      </w:pPr>
      <w:r>
        <w:rPr>
          <w:rFonts w:ascii="宋体" w:hAnsi="宋体" w:eastAsia="宋体"/>
        </w:rPr>
        <w:t>**程序合规**：涉及国有资产处置的，严格履行审批程序</w:t>
      </w:r>
    </w:p>
    <w:p>
      <w:pPr>
        <w:pStyle w:val="ListNumber"/>
      </w:pPr>
      <w:r>
        <w:rPr>
          <w:rFonts w:ascii="宋体" w:hAnsi="宋体" w:eastAsia="宋体"/>
        </w:rPr>
        <w:t>**群众受益**：盘活收益优先用于村集体经济发展和群众增收</w:t>
      </w:r>
    </w:p>
    <w:p>
      <w:pPr>
        <w:pStyle w:val="ListNumber"/>
      </w:pPr>
      <w:r>
        <w:rPr>
          <w:rFonts w:ascii="宋体" w:hAnsi="宋体" w:eastAsia="宋体"/>
        </w:rPr>
        <w:t>**权责明确**：落实盘活责任主体，明确考核要求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四、盘活措施分类</w:t>
      </w:r>
    </w:p>
    <w:p>
      <w:pPr>
        <w:pStyle w:val="Heading3"/>
      </w:pPr>
      <w:r>
        <w:rPr>
          <w:rFonts w:ascii="黑体" w:hAnsi="黑体" w:eastAsia="黑体"/>
        </w:rPr>
        <w:t>4.1 资产分类盘活路径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资产类型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推荐盘活路径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房屋建筑物（44个）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出租/合作经营/改造利用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构筑物（45个）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整合利用/维护修复后投入使用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机器设备（47个）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租赁/转让/改造后使用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林木（43个）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加强抚育管理/品种改良/林下经济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牲畜（禽）（14个）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整合养殖/委托代养/出售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办公用具家具（3个）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调配使用/捐赠/处置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4.2 ∏按状态分类盘活措施</w:t>
      </w:r>
    </w:p>
    <w:p>
      <w:pPr>
        <w:pStyle w:val="Heading4"/>
      </w:pPr>
      <w:r>
        <w:rPr>
          <w:rFonts w:ascii="黑体" w:hAnsi="黑体" w:eastAsia="黑体"/>
        </w:rPr>
        <w:t>（一）正常状态但低效/闲置（119个）—— 优先盘活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措施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适用对象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操作要点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预期效果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**优化运营**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经营类项目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更换经营主体/引入专业运营商/完善管理机制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提升运营效率，增加收益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**对外出租**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房屋、厂房、设备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公开招租，签订租赁合同，明确租金和期限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获取稳定租金收入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**合作经营**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温室大棚、圈舍、果园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与龙头企业/合作社合作经营，按比例分红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共享收益，降低风险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**承包到户**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到户类项目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将资产承包给农户，提供技术指导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带动农户增收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**品种改良**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经济林作物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技术改良、品种更新，提高产量和品质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提升产出效益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**林下经济**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林木类资产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在林下种植菌类/药材/养殖家禽等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增加复合收益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（二）损坏状态（32个）—— 修复后盘活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措施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适用对象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操作要点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资金来源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**维修加固**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房屋、圈舍、构筑物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评估维修成本，按程序组织维修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村集体资金/县级统筹资金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**设备维修**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机器设备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检测修复，必要时更换关键部件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村集体资金/维修基金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**改造升级**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老旧设施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根据实际需求改造，提升功能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帮扶资金/县级财政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（三）损毁状态（45个）—— 分类处置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措施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适用对象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操作要点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审批程序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**报废处置**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无法修复/修复成本过高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资产评估→集体决策→报批→处置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按国有资产/集体资产处置程序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**重建利用**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仍有使用价值可重建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重新规划建设，明确使用方向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按新建项目程序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**核销**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完全灭失/无价值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审计核实→报批核销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县财政局审批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五、分阶段推进计划</w:t>
      </w:r>
    </w:p>
    <w:p>
      <w:pPr>
        <w:pStyle w:val="Heading3"/>
      </w:pPr>
      <w:r>
        <w:rPr>
          <w:rFonts w:ascii="黑体" w:hAnsi="黑体" w:eastAsia="黑体"/>
        </w:rPr>
        <w:t>第一阶段：摸底评估（2026年7月10日-7月20日）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责任单位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完成时限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对196个低效闲置资产逐一现场核实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各乡镇政府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7月15日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评估资产状态、修复成本、盘活可行性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县农业农村局+乡镇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7月20日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建立"一资产一档案"台账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7月20日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第二阶段：分类施策（2026年7月21日-8月31日）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责任单位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完成时限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对外招租（房屋、厂房、设备）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出租率≥30%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各乡镇+县国资委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8月15日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更换经营主体/引入合作方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10个以上项目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8月31日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维修可修复的损坏资产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修复率≥50%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各乡镇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8月31日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启动损毁资产报废/处置程序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处置率≥30%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县财政局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8月31日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经济林抚育和技术改良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20个以上项目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8月31日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第三阶段：巩固提升（2026年9月1日-12月31日）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责任单位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盘活效果跟踪评估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盘活率≥60%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县农业农村局+乡镇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建立运营监测长效机制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监测系统上线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经验总结推广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形成典型案例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县政府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六、盘活预期目标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当前值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2026年底目标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低效闲置资产总数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196个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已盘活数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≥120个（60%以上）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尚未盘活但已制定方案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≥50个（25%）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报废/核销处置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0个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≥26个（15%）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七、保障措施</w:t>
      </w:r>
    </w:p>
    <w:p>
      <w:pPr>
        <w:pStyle w:val="Heading3"/>
      </w:pPr>
      <w:r>
        <w:rPr>
          <w:rFonts w:ascii="黑体" w:hAnsi="黑体" w:eastAsia="黑体"/>
        </w:rPr>
        <w:t>7.1 组织保障</w:t>
      </w:r>
    </w:p>
    <w:p>
      <w:pPr>
        <w:pStyle w:val="ListBullet"/>
      </w:pPr>
      <w:r>
        <w:rPr>
          <w:rFonts w:ascii="宋体" w:hAnsi="宋体" w:eastAsia="宋体"/>
        </w:rPr>
        <w:t>成立由县政府分管领导任组长的低效闲置资产盘活工作领导小组</w:t>
      </w:r>
    </w:p>
    <w:p>
      <w:pPr>
        <w:pStyle w:val="ListBullet"/>
      </w:pPr>
      <w:r>
        <w:rPr>
          <w:rFonts w:ascii="宋体" w:hAnsi="宋体" w:eastAsia="宋体"/>
        </w:rPr>
        <w:t>县农业农村局牵头，县财政局、县国资委、各乡镇配合</w:t>
      </w:r>
    </w:p>
    <w:p>
      <w:pPr>
        <w:pStyle w:val="ListBullet"/>
      </w:pPr>
      <w:r>
        <w:rPr>
          <w:rFonts w:ascii="宋体" w:hAnsi="宋体" w:eastAsia="宋体"/>
        </w:rPr>
        <w:t>每个乡镇明确1名分管领导和1名具体经办人</w:t>
      </w:r>
    </w:p>
    <w:p>
      <w:pPr>
        <w:pStyle w:val="Heading3"/>
      </w:pPr>
      <w:r>
        <w:rPr>
          <w:rFonts w:ascii="黑体" w:hAnsi="黑体" w:eastAsia="黑体"/>
        </w:rPr>
        <w:t>7.2 资金保障</w:t>
      </w:r>
    </w:p>
    <w:p>
      <w:pPr>
        <w:pStyle w:val="ListBullet"/>
      </w:pPr>
      <w:r>
        <w:rPr>
          <w:rFonts w:ascii="宋体" w:hAnsi="宋体" w:eastAsia="宋体"/>
        </w:rPr>
        <w:t>县级财政安排盘活专项资金，用于资产维修、改造等</w:t>
      </w:r>
    </w:p>
    <w:p>
      <w:pPr>
        <w:pStyle w:val="ListBullet"/>
      </w:pPr>
      <w:r>
        <w:rPr>
          <w:rFonts w:ascii="宋体" w:hAnsi="宋体" w:eastAsia="宋体"/>
        </w:rPr>
        <w:t>积极争取上级补助资金</w:t>
      </w:r>
    </w:p>
    <w:p>
      <w:pPr>
        <w:pStyle w:val="ListBullet"/>
      </w:pPr>
      <w:r>
        <w:rPr>
          <w:rFonts w:ascii="宋体" w:hAnsi="宋体" w:eastAsia="宋体"/>
        </w:rPr>
        <w:t>鼓励社会资本参与盘活</w:t>
      </w:r>
    </w:p>
    <w:p>
      <w:pPr>
        <w:pStyle w:val="Heading3"/>
      </w:pPr>
      <w:r>
        <w:rPr>
          <w:rFonts w:ascii="黑体" w:hAnsi="黑体" w:eastAsia="黑体"/>
        </w:rPr>
        <w:t>7.3 考核激励</w:t>
      </w:r>
    </w:p>
    <w:p>
      <w:pPr>
        <w:pStyle w:val="ListBullet"/>
      </w:pPr>
      <w:r>
        <w:rPr>
          <w:rFonts w:ascii="宋体" w:hAnsi="宋体" w:eastAsia="宋体"/>
        </w:rPr>
        <w:t>盘活工作纳入年度目标考核</w:t>
      </w:r>
    </w:p>
    <w:p>
      <w:pPr>
        <w:pStyle w:val="ListBullet"/>
      </w:pPr>
      <w:r>
        <w:rPr>
          <w:rFonts w:ascii="宋体" w:hAnsi="宋体" w:eastAsia="宋体"/>
        </w:rPr>
        <w:t>对盘活成效显著的乡镇/单位给予表彰</w:t>
      </w:r>
    </w:p>
    <w:p>
      <w:pPr>
        <w:pStyle w:val="ListBullet"/>
      </w:pPr>
      <w:r>
        <w:rPr>
          <w:rFonts w:ascii="宋体" w:hAnsi="宋体" w:eastAsia="宋体"/>
        </w:rPr>
        <w:t>对工作推进不力的进行约谈通报</w:t>
      </w:r>
    </w:p>
    <w:p>
      <w:pPr>
        <w:pStyle w:val="Heading3"/>
      </w:pPr>
      <w:r>
        <w:rPr>
          <w:rFonts w:ascii="黑体" w:hAnsi="黑体" w:eastAsia="黑体"/>
        </w:rPr>
        <w:t>7.4 风险防控</w:t>
      </w:r>
    </w:p>
    <w:p>
      <w:pPr>
        <w:pStyle w:val="ListBullet"/>
      </w:pPr>
      <w:r>
        <w:rPr>
          <w:rFonts w:ascii="宋体" w:hAnsi="宋体" w:eastAsia="宋体"/>
        </w:rPr>
        <w:t>资产处置严格履行审批程序，防止国有资产流失</w:t>
      </w:r>
    </w:p>
    <w:p>
      <w:pPr>
        <w:pStyle w:val="ListBullet"/>
      </w:pPr>
      <w:r>
        <w:rPr>
          <w:rFonts w:ascii="宋体" w:hAnsi="宋体" w:eastAsia="宋体"/>
        </w:rPr>
        <w:t>合同签订规范，法律顾问审核把关</w:t>
      </w:r>
    </w:p>
    <w:p>
      <w:pPr>
        <w:pStyle w:val="ListBullet"/>
      </w:pPr>
      <w:r>
        <w:rPr>
          <w:rFonts w:ascii="宋体" w:hAnsi="宋体" w:eastAsia="宋体"/>
        </w:rPr>
        <w:t>定期组织盘活工作"回头看"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八、附件</w:t>
      </w:r>
    </w:p>
    <w:p>
      <w:pPr>
        <w:pStyle w:val="ListNumber"/>
      </w:pPr>
      <w:r>
        <w:rPr>
          <w:rFonts w:ascii="宋体" w:hAnsi="宋体" w:eastAsia="宋体"/>
        </w:rPr>
        <w:t>□ 附件6：低效闲置资产台账（196个）—— 逐项标注盘活路径</w:t>
      </w:r>
    </w:p>
    <w:p>
      <w:pPr>
        <w:pStyle w:val="ListNumber"/>
      </w:pPr>
      <w:r>
        <w:rPr>
          <w:rFonts w:ascii="宋体" w:hAnsi="宋体" w:eastAsia="宋体"/>
        </w:rPr>
        <w:t>□ 盘活任务分解表（按乡镇/按资产类型）</w:t>
      </w:r>
    </w:p>
    <w:p>
      <w:pPr>
        <w:pStyle w:val="ListNumber"/>
      </w:pPr>
      <w:r>
        <w:rPr>
          <w:rFonts w:ascii="宋体" w:hAnsi="宋体" w:eastAsia="宋体"/>
        </w:rPr>
        <w:t>□ 盘活工作进度表</w:t>
      </w:r>
    </w:p>
    <w:p>
      <w:pPr>
        <w:pStyle w:val="ListNumber"/>
      </w:pPr>
      <w:r>
        <w:rPr>
          <w:rFonts w:ascii="宋体" w:hAnsi="宋体" w:eastAsia="宋体"/>
        </w:rPr>
        <w:t>□ 资产维修/处置审批流程说明</w:t>
      </w:r>
    </w:p>
    <w:p>
      <w:pPr>
        <w:pStyle w:val="ListNumber"/>
      </w:pPr>
      <w:r>
        <w:rPr>
          <w:rFonts w:ascii="宋体" w:hAnsi="宋体" w:eastAsia="宋体"/>
        </w:rPr>
        <w:t>□ 招租/合作经营合同模板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/>
        </w:rPr>
        <w:t>编制单位：</w:t>
      </w:r>
      <w:r>
        <w:rPr>
          <w:rFonts w:ascii="宋体" w:hAnsi="宋体" w:eastAsia="宋体"/>
        </w:rPr>
        <w:t xml:space="preserve"> 察隅县______</w:t>
      </w:r>
    </w:p>
    <w:p>
      <w:r>
        <w:rPr>
          <w:rFonts w:ascii="宋体" w:hAnsi="宋体" w:eastAsia="宋体"/>
          <w:b/>
        </w:rPr>
        <w:t>编制日期：</w:t>
      </w:r>
      <w:r>
        <w:rPr>
          <w:rFonts w:ascii="宋体" w:hAnsi="宋体" w:eastAsia="宋体"/>
        </w:rPr>
        <w:t xml:space="preserve"> 2026年7月8日</w:t>
      </w:r>
    </w:p>
    <w:p>
      <w:r>
        <w:rPr>
          <w:rFonts w:ascii="宋体" w:hAnsi="宋体" w:eastAsia="宋体"/>
          <w:b/>
        </w:rPr>
        <w:t>联系人：</w:t>
      </w:r>
      <w:r>
        <w:rPr>
          <w:rFonts w:ascii="宋体" w:hAnsi="宋体" w:eastAsia="宋体"/>
        </w:rPr>
        <w:t xml:space="preserve"> ________</w:t>
      </w:r>
    </w:p>
    <w:p>
      <w:r>
        <w:rPr>
          <w:rFonts w:ascii="宋体" w:hAnsi="宋体" w:eastAsia="宋体"/>
          <w:b/>
        </w:rPr>
        <w:t>联系电话：</w:t>
      </w:r>
      <w:r>
        <w:rPr>
          <w:rFonts w:ascii="宋体" w:hAnsi="宋体" w:eastAsia="宋体"/>
        </w:rPr>
        <w:t xml:space="preserve">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