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a7d409162b434c" /><Relationship Type="http://schemas.openxmlformats.org/package/2006/relationships/metadata/core-properties" Target="/docProps/core.xml" Id="R92d05d9571734d98" /><Relationship Type="http://schemas.openxmlformats.org/officeDocument/2006/relationships/extended-properties" Target="/docProps/app.xml" Id="R75b986199cd248f5" /><Relationship Type="http://schemas.openxmlformats.org/officeDocument/2006/relationships/custom-properties" Target="/docProps/custom.xml" Id="R002b42634df9492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shd w:val="clear" w:fill="1F3864"/>
        <w:spacing w:before="0" w:after="0"/>
      </w:pPr>
      <w:r>
        <w:rPr>
          <w:sz w:val="48"/>
        </w:rPr>
        <w:t xml:space="preserve"/>
      </w:r>
    </w:p>
    <w:p w14:paraId="00100002" w14:textId="00100003">
      <w:pPr>
        <w:spacing w:before="36" w:after="0"/>
      </w:pPr>
      <w:r>
        <w:rPr/>
        <w:t xml:space="preserve"/>
      </w:r>
    </w:p>
    <w:p w14:paraId="00100004" w14:textId="00100005">
      <w:pPr>
        <w:spacing w:after="6"/>
        <w:jc w:val="center"/>
      </w:pPr>
      <w:r>
        <w:rPr>
          <w:color w:val="1F4E79"/>
          <w:sz w:val="28"/>
        </w:rPr>
        <w:t xml:space="preserve">融策</w:t>
      </w:r>
    </w:p>
    <w:p w14:paraId="00100006" w14:textId="00100007">
      <w:pPr>
        <w:spacing w:after="12"/>
        <w:jc w:val="center"/>
      </w:pPr>
      <w:r>
        <w:rPr>
          <w:b/>
          <w:color w:val="1F4E79"/>
          <w:sz w:val="56"/>
        </w:rPr>
        <w:t xml:space="preserve">研究方法论文档分级与保密管理方案</w:t>
      </w:r>
    </w:p>
    <w:p w14:paraId="00100008" w14:textId="00100009">
      <w:pPr>
        <w:spacing w:after="36"/>
        <w:jc w:val="center"/>
      </w:pPr>
      <w:r>
        <w:rPr>
          <w:color w:val="4472C4"/>
          <w:sz w:val="32"/>
        </w:rPr>
        <w:t xml:space="preserve">知识产权保护与信息安全管理框架</w:t>
      </w:r>
    </w:p>
    <w:p w14:paraId="0010000A" w14:textId="0010000B">
      <w:pPr>
        <w:shd w:val="clear" w:fill="4472C4"/>
        <w:spacing w:before="0" w:after="24"/>
      </w:pPr>
      <w:r>
        <w:rPr>
          <w:sz w:val="16"/>
        </w:rPr>
        <w:t xml:space="preserve"/>
      </w:r>
    </w:p>
    <w:p w14:paraId="0010000C" w14:textId="0010000D">
      <w:pPr>
        <w:spacing w:after="8"/>
        <w:jc w:val="center"/>
      </w:pPr>
      <w:r>
        <w:rPr>
          <w:b/>
          <w:color w:val="CC0000"/>
          <w:sz w:val="22"/>
        </w:rPr>
        <w:t xml:space="preserve">密级：★★★★ 核心机密</w:t>
      </w:r>
    </w:p>
    <w:p w14:paraId="0010000E" w14:textId="0010000F">
      <w:pPr>
        <w:spacing w:after="8"/>
        <w:jc w:val="center"/>
      </w:pPr>
      <w:r>
        <w:rPr>
          <w:color w:val="444444"/>
          <w:sz w:val="22"/>
        </w:rPr>
        <w:t xml:space="preserve">知悉范围：创始人</w:t>
      </w:r>
    </w:p>
    <w:p w14:paraId="00100010" w14:textId="00100011">
      <w:pPr>
        <w:spacing w:after="36"/>
        <w:jc w:val="center"/>
      </w:pPr>
      <w:r>
        <w:rPr>
          <w:color w:val="444444"/>
          <w:sz w:val="22"/>
        </w:rPr>
        <w:t xml:space="preserve">本文件定义所有研究相关文档的密级标准、知悉范围、存储与流转规则</w:t>
      </w:r>
    </w:p>
    <w:p w14:paraId="00100012" w14:textId="00100013">
      <w:pPr>
        <w:shd w:val="clear" w:fill="1F3864"/>
        <w:spacing w:before="0" w:after="8"/>
      </w:pPr>
      <w:r>
        <w:rPr>
          <w:sz w:val="24"/>
        </w:rPr>
        <w:t xml:space="preserve"/>
      </w:r>
    </w:p>
    <w:p w14:paraId="00100014" w14:textId="00100015">
      <w:pPr>
        <w:spacing w:after="0"/>
        <w:jc w:val="center"/>
      </w:pPr>
      <w:r>
        <w:rPr>
          <w:color w:val="888888"/>
          <w:sz w:val="18"/>
        </w:rPr>
        <w:t xml:space="preserve">2026年5月  |  版本 1.0</w:t>
      </w:r>
    </w:p>
    <w:p w14:paraId="00100016" w14:textId="00100017">
      <w:r>
        <w:br w:type="page"/>
      </w:r>
    </w:p>
    <w:p>
      <w:pPr>
        <w:pStyle w:val="TOCHeading"/>
      </w:pPr>
      <w:r>
        <w:t>目录</w:t>
      </w:r>
    </w:p>
    <w:p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8" w14:textId="00100019">
      <w:r>
        <w:br w:type="page"/>
      </w:r>
    </w:p>
    <w:p w14:paraId="0010001A" w14:textId="0010001B">
      <w:pPr>
        <w:pStyle w:val="Heading1"/>
      </w:pPr>
      <w:r>
        <w:rPr/>
        <w:t xml:space="preserve">一、分级总览</w:t>
      </w:r>
    </w:p>
    <w:p w14:paraId="0010001C" w14:textId="0010001D">
      <w:pPr>
        <w:spacing w:after="120"/>
      </w:pPr>
      <w:r>
        <w:rPr/>
        <w:t xml:space="preserve">根据信息敏感程度和泄露后的危害程度，将所有研究相关文档划分为四个密级：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shd w:val="clear" w:fill="1F4E79"/>
          </w:tcPr>
          <w:p w14:paraId="0010001E" w14:textId="0010001F">
            <w:r>
              <w:rPr>
                <w:b/>
                <w:color w:val="FFFFFF"/>
              </w:rPr>
              <w:t xml:space="preserve">密级</w:t>
            </w:r>
          </w:p>
        </w:tc>
        <w:tc>
          <w:tcPr>
            <w:shd w:val="clear" w:fill="1F4E79"/>
          </w:tcPr>
          <w:p w14:paraId="00100020" w14:textId="00100021">
            <w:r>
              <w:rPr>
                <w:b/>
                <w:color w:val="FFFFFF"/>
              </w:rPr>
              <w:t xml:space="preserve">标识</w:t>
            </w:r>
          </w:p>
        </w:tc>
        <w:tc>
          <w:tcPr>
            <w:shd w:val="clear" w:fill="1F4E79"/>
          </w:tcPr>
          <w:p w14:paraId="00100022" w14:textId="00100023">
            <w:r>
              <w:rPr>
                <w:b/>
                <w:color w:val="FFFFFF"/>
              </w:rPr>
              <w:t xml:space="preserve">知悉范围</w:t>
            </w:r>
          </w:p>
        </w:tc>
        <w:tc>
          <w:tcPr>
            <w:shd w:val="clear" w:fill="1F4E79"/>
          </w:tcPr>
          <w:p w14:paraId="00100024" w14:textId="00100025">
            <w:r>
              <w:rPr>
                <w:b/>
                <w:color w:val="FFFFFF"/>
              </w:rPr>
              <w:t xml:space="preserve">典型内容</w:t>
            </w:r>
          </w:p>
        </w:tc>
      </w:tr>
      <w:tr>
        <w:trPr/>
        <w:tc>
          <w:p w14:paraId="00100026" w14:textId="00100027">
            <w:r>
              <w:t xml:space="preserve">★★★★</w:t>
            </w:r>
          </w:p>
        </w:tc>
        <w:tc>
          <w:p w14:paraId="00100028" w14:textId="00100029">
            <w:r>
              <w:t xml:space="preserve">核心机密</w:t>
            </w:r>
          </w:p>
        </w:tc>
        <w:tc>
          <w:p w14:paraId="0010002A" w14:textId="0010002B">
            <w:r>
              <w:t xml:space="preserve">创始人 + ≤2技术合伙人</w:t>
            </w:r>
          </w:p>
        </w:tc>
        <w:tc>
          <w:p w14:paraId="0010002C" w14:textId="0010002D">
            <w:r>
              <w:t xml:space="preserve">完整方法论、算法选型、核心数据处理流水线</w:t>
            </w:r>
          </w:p>
        </w:tc>
      </w:tr>
      <w:tr>
        <w:trPr/>
        <w:tc>
          <w:p w14:paraId="0010002E" w14:textId="0010002F">
            <w:r>
              <w:t xml:space="preserve">★★★</w:t>
            </w:r>
          </w:p>
        </w:tc>
        <w:tc>
          <w:p w14:paraId="00100030" w14:textId="00100031">
            <w:r>
              <w:t xml:space="preserve">内部机密</w:t>
            </w:r>
          </w:p>
        </w:tc>
        <w:tc>
          <w:p w14:paraId="00100032" w14:textId="00100033">
            <w:r>
              <w:t xml:space="preserve">5-8人骨干（模块化）</w:t>
            </w:r>
          </w:p>
        </w:tc>
        <w:tc>
          <w:p w14:paraId="00100034" w14:textId="00100035">
            <w:r>
              <w:t xml:space="preserve">模块技术设计、接口规范、关键参数</w:t>
            </w:r>
          </w:p>
        </w:tc>
      </w:tr>
      <w:tr>
        <w:trPr/>
        <w:tc>
          <w:p w14:paraId="00100036" w14:textId="00100037">
            <w:r>
              <w:t xml:space="preserve">★★</w:t>
            </w:r>
          </w:p>
        </w:tc>
        <w:tc>
          <w:p w14:paraId="00100038" w14:textId="00100039">
            <w:r>
              <w:t xml:space="preserve">内部资料</w:t>
            </w:r>
          </w:p>
        </w:tc>
        <w:tc>
          <w:p w14:paraId="0010003A" w14:textId="0010003B">
            <w:r>
              <w:t xml:space="preserve">全体正式员工</w:t>
            </w:r>
          </w:p>
        </w:tc>
        <w:tc>
          <w:p w14:paraId="0010003C" w14:textId="0010003D">
            <w:r>
              <w:t xml:space="preserve">通用流程规范、使用手册、培训材料</w:t>
            </w:r>
          </w:p>
        </w:tc>
      </w:tr>
      <w:tr>
        <w:trPr/>
        <w:tc>
          <w:p w14:paraId="0010003E" w14:textId="0010003F">
            <w:r>
              <w:t xml:space="preserve">★</w:t>
            </w:r>
          </w:p>
        </w:tc>
        <w:tc>
          <w:p w14:paraId="00100040" w14:textId="00100041">
            <w:r>
              <w:t xml:space="preserve">可对外</w:t>
            </w:r>
          </w:p>
        </w:tc>
        <w:tc>
          <w:p w14:paraId="00100042" w14:textId="00100043">
            <w:r>
              <w:t xml:space="preserve">客户、合作伙伴</w:t>
            </w:r>
          </w:p>
        </w:tc>
        <w:tc>
          <w:p w14:paraId="00100044" w14:textId="00100045">
            <w:r>
              <w:t xml:space="preserve">产品介绍、案例摘要（脱敏）、白皮书</w:t>
            </w:r>
          </w:p>
        </w:tc>
      </w:tr>
    </w:tbl>
    <w:p w14:paraId="00100046" w14:textId="00100047">
      <w:pPr>
        <w:pStyle w:val="Heading1"/>
      </w:pPr>
      <w:r>
        <w:rPr/>
        <w:t xml:space="preserve">二、各密级内容清单与分发策略</w:t>
      </w:r>
    </w:p>
    <w:p w14:paraId="00100048" w14:textId="00100049">
      <w:pPr>
        <w:pStyle w:val="Heading2"/>
      </w:pPr>
      <w:r>
        <w:rPr/>
        <w:t xml:space="preserve">2.1 核心机密（★★★★）——仅创始人+技术合伙人</w:t>
      </w:r>
    </w:p>
    <w:p w14:paraId="0010004A" w14:textId="0010004B">
      <w:pPr>
        <w:spacing w:after="80"/>
      </w:pPr>
      <w:r>
        <w:rPr/>
        <w:t xml:space="preserve">以下文档仅存储在创始人和技术合伙人本地加密设备，不在公司共享服务器存放完整版。代码仓库中核心配置文件使用加密存储，运行时解密加载。</w:t>
      </w:r>
    </w:p>
    <w:p w14:paraId="0010004C" w14:textId="0010004D">
      <w:pPr>
        <w:numPr>
          <w:ilvl w:val="0"/>
          <w:numId w:val="1"/>
        </w:numPr>
        <w:spacing w:after="50"/>
      </w:pPr>
      <w:r>
        <w:rPr/>
        <w:t xml:space="preserve">《研究方法论（全本）》——完整技术架构、三层引擎设计、调度策略、数据处理流水线</w:t>
      </w:r>
    </w:p>
    <w:p w14:paraId="0010004E" w14:textId="0010004F">
      <w:pPr>
        <w:numPr>
          <w:ilvl w:val="0"/>
          <w:numId w:val="1"/>
        </w:numPr>
        <w:spacing w:after="50"/>
      </w:pPr>
      <w:r>
        <w:rPr/>
        <w:t xml:space="preserve">《数据标准化流水线设计》——多源数据接入适配、清洗算法、语义标准化策略</w:t>
      </w:r>
    </w:p>
    <w:p w14:paraId="00100050" w14:textId="00100051">
      <w:pPr>
        <w:numPr>
          <w:ilvl w:val="0"/>
          <w:numId w:val="1"/>
        </w:numPr>
        <w:spacing w:after="50"/>
      </w:pPr>
      <w:r>
        <w:rPr/>
        <w:t xml:space="preserve">《知识图谱Schema设计》——实体定义、关系类型、属性体系、图谱构建与更新策略</w:t>
      </w:r>
    </w:p>
    <w:p w14:paraId="00100052" w14:textId="00100053">
      <w:pPr>
        <w:numPr>
          <w:ilvl w:val="0"/>
          <w:numId w:val="1"/>
        </w:numPr>
        <w:spacing w:after="50"/>
      </w:pPr>
      <w:r>
        <w:rPr/>
        <w:t xml:space="preserve">《模型选型与评估报告》——ML模型选型依据、特征工程方案、评估指标与方法</w:t>
      </w:r>
    </w:p>
    <w:p w14:paraId="00100054" w14:textId="00100055">
      <w:pPr>
        <w:numPr>
          <w:ilvl w:val="0"/>
          <w:numId w:val="1"/>
        </w:numPr>
        <w:spacing w:after="50"/>
      </w:pPr>
      <w:r>
        <w:rPr/>
        <w:t xml:space="preserve">《LLM领域微调方案》——微调数据构建、提示工程策略、幻觉抑制方案</w:t>
      </w:r>
    </w:p>
    <w:p w14:paraId="00100056" w14:textId="00100057">
      <w:pPr>
        <w:numPr>
          <w:ilvl w:val="0"/>
          <w:numId w:val="1"/>
        </w:numPr>
        <w:spacing w:after="50"/>
      </w:pPr>
      <w:r>
        <w:rPr/>
        <w:t xml:space="preserve">《围标串标检测算法设计》——图谱关联算法、报价模式分析、文本相似度计算方法</w:t>
      </w:r>
    </w:p>
    <w:p w14:paraId="00100058" w14:textId="00100059">
      <w:pPr>
        <w:numPr>
          <w:ilvl w:val="0"/>
          <w:numId w:val="1"/>
        </w:numPr>
        <w:spacing w:after="50"/>
      </w:pPr>
      <w:r>
        <w:rPr/>
        <w:t xml:space="preserve">《核心参数配置表》——各场景阈值、权重、超参数配置</w:t>
      </w:r>
    </w:p>
    <w:p w14:paraId="0010005A" w14:textId="0010005B">
      <w:pPr>
        <w:numPr>
          <w:ilvl w:val="0"/>
          <w:numId w:val="1"/>
        </w:numPr>
        <w:spacing w:after="160"/>
      </w:pPr>
      <w:r>
        <w:rPr/>
        <w:t xml:space="preserve">《系统架构设计文档》——完整技术架构、微服务拆分、部署拓扑</w:t>
      </w:r>
    </w:p>
    <w:p w14:paraId="0010005C" w14:textId="0010005D">
      <w:pPr>
        <w:pStyle w:val="Heading2"/>
      </w:pPr>
      <w:r>
        <w:rPr/>
        <w:t xml:space="preserve">2.2 内部机密（★★★）——模块化授权</w:t>
      </w:r>
    </w:p>
    <w:p w14:paraId="0010005E" w14:textId="0010005F">
      <w:pPr>
        <w:spacing w:after="80"/>
      </w:pPr>
      <w:r>
        <w:rPr/>
        <w:t xml:space="preserve">核心原则：每个骨干只接触其负责模块的文档，不透传跨模块信息。按模块分目录，权限隔离，关键参数脱敏。</w:t>
      </w:r>
    </w:p>
    <w:p w14:paraId="00100060" w14:textId="00100061">
      <w:pPr>
        <w:numPr>
          <w:ilvl w:val="0"/>
          <w:numId w:val="2"/>
        </w:numPr>
        <w:spacing w:after="50"/>
      </w:pPr>
      <w:r>
        <w:rPr/>
        <w:t xml:space="preserve">数据层：《数据接入接口规范》《数据清洗SOP》——数据工程师</w:t>
      </w:r>
    </w:p>
    <w:p w14:paraId="00100062" w14:textId="00100063">
      <w:pPr>
        <w:numPr>
          <w:ilvl w:val="0"/>
          <w:numId w:val="2"/>
        </w:numPr>
        <w:spacing w:after="50"/>
      </w:pPr>
      <w:r>
        <w:rPr/>
        <w:t xml:space="preserve">知识层：《规则编写规范与DSL语法》《知识图谱构建操作手册》——知识工程师</w:t>
      </w:r>
    </w:p>
    <w:p w14:paraId="00100064" w14:textId="00100065">
      <w:pPr>
        <w:numPr>
          <w:ilvl w:val="0"/>
          <w:numId w:val="2"/>
        </w:numPr>
        <w:spacing w:after="50"/>
      </w:pPr>
      <w:r>
        <w:rPr/>
        <w:t xml:space="preserve">智能层：《ML模型接口文档》《LLM调用接口规范》——AI工程师</w:t>
      </w:r>
    </w:p>
    <w:p w14:paraId="00100066" w14:textId="00100067">
      <w:pPr>
        <w:numPr>
          <w:ilvl w:val="0"/>
          <w:numId w:val="2"/>
        </w:numPr>
        <w:spacing w:after="50"/>
      </w:pPr>
      <w:r>
        <w:rPr/>
        <w:t xml:space="preserve">应用层：《疑点管理台API规范》《报告生成接口文档》——后端开发</w:t>
      </w:r>
    </w:p>
    <w:p w14:paraId="00100068" w14:textId="00100069">
      <w:pPr>
        <w:numPr>
          <w:ilvl w:val="0"/>
          <w:numId w:val="2"/>
        </w:numPr>
        <w:spacing w:after="160"/>
      </w:pPr>
      <w:r>
        <w:rPr/>
        <w:t xml:space="preserve">全线：《模块间API契约》——架构师（仅接口格式，不含实现细节）</w:t>
      </w:r>
    </w:p>
    <w:p w14:paraId="0010006A" w14:textId="0010006B">
      <w:pPr>
        <w:pStyle w:val="Heading2"/>
      </w:pPr>
      <w:r>
        <w:rPr/>
        <w:t xml:space="preserve">2.3 内部资料（★★）——全员可读</w:t>
      </w:r>
    </w:p>
    <w:p w14:paraId="0010006C" w14:textId="0010006D">
      <w:pPr>
        <w:numPr>
          <w:ilvl w:val="0"/>
          <w:numId w:val="3"/>
        </w:numPr>
        <w:spacing w:after="50"/>
      </w:pPr>
      <w:r>
        <w:rPr/>
        <w:t xml:space="preserve">《审计AI工具使用手册》——平台操作指南</w:t>
      </w:r>
    </w:p>
    <w:p w14:paraId="0010006E" w14:textId="0010006F">
      <w:pPr>
        <w:numPr>
          <w:ilvl w:val="0"/>
          <w:numId w:val="3"/>
        </w:numPr>
        <w:spacing w:after="50"/>
      </w:pPr>
      <w:r>
        <w:rPr/>
        <w:t xml:space="preserve">《数据采集标准操作流程》——现场数据提取SOP</w:t>
      </w:r>
    </w:p>
    <w:p w14:paraId="00100070" w14:textId="00100071">
      <w:pPr>
        <w:numPr>
          <w:ilvl w:val="0"/>
          <w:numId w:val="3"/>
        </w:numPr>
        <w:spacing w:after="50"/>
      </w:pPr>
      <w:r>
        <w:rPr/>
        <w:t xml:space="preserve">《审计工作底稿AI辅助编制规范》——底稿标准模板与填写要求</w:t>
      </w:r>
    </w:p>
    <w:p w14:paraId="00100072" w14:textId="00100073">
      <w:pPr>
        <w:numPr>
          <w:ilvl w:val="0"/>
          <w:numId w:val="3"/>
        </w:numPr>
        <w:spacing w:after="50"/>
      </w:pPr>
      <w:r>
        <w:rPr/>
        <w:t xml:space="preserve">《疑点排查与人工复核流程》——AI产出物如何使用</w:t>
      </w:r>
    </w:p>
    <w:p w14:paraId="00100074" w14:textId="00100075">
      <w:pPr>
        <w:numPr>
          <w:ilvl w:val="0"/>
          <w:numId w:val="3"/>
        </w:numPr>
        <w:spacing w:after="50"/>
      </w:pPr>
      <w:r>
        <w:rPr/>
        <w:t xml:space="preserve">培训课件——新员工AI工具使用培训</w:t>
      </w:r>
    </w:p>
    <w:p w14:paraId="00100076" w14:textId="00100077">
      <w:pPr>
        <w:numPr>
          <w:ilvl w:val="0"/>
          <w:numId w:val="3"/>
        </w:numPr>
        <w:spacing w:after="160"/>
      </w:pPr>
      <w:r>
        <w:rPr/>
        <w:t xml:space="preserve">以上文档存储于公司内部知识库/SharePoint，需登录查看。</w:t>
      </w:r>
    </w:p>
    <w:p w14:paraId="00100078" w14:textId="00100079">
      <w:pPr>
        <w:pStyle w:val="Heading2"/>
      </w:pPr>
      <w:r>
        <w:rPr/>
        <w:t xml:space="preserve">2.4 可对外（★）——市场与客户</w:t>
      </w:r>
    </w:p>
    <w:p w14:paraId="0010007A" w14:textId="0010007B">
      <w:pPr>
        <w:numPr>
          <w:ilvl w:val="0"/>
          <w:numId w:val="4"/>
        </w:numPr>
        <w:spacing w:after="50"/>
      </w:pPr>
      <w:r>
        <w:rPr/>
        <w:t xml:space="preserve">《政府审计AI赋能方案（对外版）》——思路+价值+效果，不含技术细节</w:t>
      </w:r>
    </w:p>
    <w:p w14:paraId="0010007C" w14:textId="0010007D">
      <w:pPr>
        <w:numPr>
          <w:ilvl w:val="0"/>
          <w:numId w:val="4"/>
        </w:numPr>
        <w:spacing w:after="50"/>
      </w:pPr>
      <w:r>
        <w:rPr/>
        <w:t xml:space="preserve">客户案例集（脱敏版）——场景描述+效率提升数据+客户证言</w:t>
      </w:r>
    </w:p>
    <w:p w14:paraId="0010007E" w14:textId="0010007F">
      <w:pPr>
        <w:numPr>
          <w:ilvl w:val="0"/>
          <w:numId w:val="4"/>
        </w:numPr>
        <w:spacing w:after="50"/>
      </w:pPr>
      <w:r>
        <w:rPr/>
        <w:t xml:space="preserve">产品白皮书——功能列表+技术亮点（不涉及实现细节）</w:t>
      </w:r>
    </w:p>
    <w:p w14:paraId="00100080" w14:textId="00100081">
      <w:pPr>
        <w:numPr>
          <w:ilvl w:val="0"/>
          <w:numId w:val="4"/>
        </w:numPr>
        <w:spacing w:after="200"/>
      </w:pPr>
      <w:r>
        <w:rPr/>
        <w:t xml:space="preserve">宣传资料——PPT/宣传册</w:t>
      </w:r>
    </w:p>
    <w:p w14:paraId="00100082" w14:textId="00100083">
      <w:pPr>
        <w:pStyle w:val="Heading1"/>
      </w:pPr>
      <w:r>
        <w:rPr/>
        <w:t xml:space="preserve">三、文档流转规则</w:t>
      </w:r>
    </w:p>
    <w:p w14:paraId="00100084" w14:textId="00100085">
      <w:pPr>
        <w:pStyle w:val="Heading2"/>
      </w:pPr>
      <w:r>
        <w:rPr/>
        <w:t xml:space="preserve">3.1 创建规则</w:t>
      </w:r>
    </w:p>
    <w:p w14:paraId="00100086" w14:textId="00100087">
      <w:pPr>
        <w:spacing w:after="120"/>
      </w:pPr>
      <w:r>
        <w:rPr/>
        <w:t xml:space="preserve">所有技术文档创建时即标注密级（页眉/页脚/水印）。核心机密文档编号到人（每份副本有唯一编号，对应持有人）。电子文档嵌入不可见数字水印。</w:t>
      </w:r>
    </w:p>
    <w:p w14:paraId="00100088" w14:textId="00100089">
      <w:pPr>
        <w:pStyle w:val="Heading2"/>
      </w:pPr>
      <w:r>
        <w:rPr/>
        <w:t xml:space="preserve">3.2 分发规则</w:t>
      </w:r>
    </w:p>
    <w:p w14:paraId="0010008A" w14:textId="0010008B">
      <w:pPr>
        <w:numPr>
          <w:ilvl w:val="0"/>
          <w:numId w:val="5"/>
        </w:numPr>
        <w:spacing w:after="60"/>
      </w:pPr>
      <w:r>
        <w:rPr/>
        <w:t xml:space="preserve">核心（★★★★）：仅离线传递/USB加密传输/面对面——须创始人审批</w:t>
      </w:r>
    </w:p>
    <w:p w14:paraId="0010008C" w14:textId="0010008D">
      <w:pPr>
        <w:numPr>
          <w:ilvl w:val="0"/>
          <w:numId w:val="5"/>
        </w:numPr>
        <w:spacing w:after="60"/>
      </w:pPr>
      <w:r>
        <w:rPr/>
        <w:t xml:space="preserve">机密（★★★）：公司内部加密网盘，按角色授权——须技术负责人审批</w:t>
      </w:r>
    </w:p>
    <w:p w14:paraId="0010008E" w14:textId="0010008F">
      <w:pPr>
        <w:numPr>
          <w:ilvl w:val="0"/>
          <w:numId w:val="5"/>
        </w:numPr>
        <w:spacing w:after="60"/>
      </w:pPr>
      <w:r>
        <w:rPr/>
        <w:t xml:space="preserve">内部（★★）：公司内部知识库——无需审批</w:t>
      </w:r>
    </w:p>
    <w:p w14:paraId="00100090" w14:textId="00100091">
      <w:pPr>
        <w:numPr>
          <w:ilvl w:val="0"/>
          <w:numId w:val="5"/>
        </w:numPr>
        <w:spacing w:after="120"/>
      </w:pPr>
      <w:r>
        <w:rPr/>
        <w:t xml:space="preserve">对外（★）：邮件/微信/官网均可——须市场负责人审批</w:t>
      </w:r>
    </w:p>
    <w:p w14:paraId="00100092" w14:textId="00100093">
      <w:pPr>
        <w:pStyle w:val="Heading2"/>
      </w:pPr>
      <w:r>
        <w:rPr/>
        <w:t xml:space="preserve">3.3 使用与销毁规则</w:t>
      </w:r>
    </w:p>
    <w:p w14:paraId="00100094" w14:textId="00100095">
      <w:pPr>
        <w:spacing w:after="200"/>
      </w:pPr>
      <w:r>
        <w:rPr/>
        <w:t xml:space="preserve">禁止将高密级内容复制粘贴到低密级文档。核心机密文档禁止打印。内部机密文档打印须登记（打印人、份数、用途、销毁计划）。在线会议讨论技术方案时，确认参会人员密级是否匹配。核心机密纸质件：碎纸机销毁+记录。离职人员所有文档权限即时回收，离职人员本地文件清除确认（签署确认书）。</w:t>
      </w:r>
    </w:p>
    <w:p w14:paraId="00100096" w14:textId="00100097">
      <w:pPr>
        <w:pStyle w:val="Heading1"/>
      </w:pPr>
      <w:r>
        <w:rPr/>
        <w:t xml:space="preserve">四、从"脑子里的方法论"到"分级文档体系"</w:t>
      </w:r>
    </w:p>
    <w:p w14:paraId="00100098" w14:textId="00100099">
      <w:pPr>
        <w:spacing w:after="60"/>
      </w:pPr>
      <w:r>
        <w:rPr>
          <w:b/>
        </w:rPr>
        <w:t xml:space="preserve">建议操作步骤</w:t>
      </w:r>
    </w:p>
    <w:p w14:paraId="0010009A" w14:textId="0010009B">
      <w:pPr>
        <w:numPr>
          <w:ilvl w:val="0"/>
          <w:numId w:val="6"/>
        </w:numPr>
        <w:spacing w:after="60"/>
      </w:pPr>
      <w:r>
        <w:rPr/>
        <w:t xml:space="preserve">第一步（本周）：签订保密协议——先与核心层签约（NDA+IP归属+竞业限制），再全员签署标准NDA。</w:t>
      </w:r>
    </w:p>
    <w:p w14:paraId="0010009C" w14:textId="0010009D">
      <w:pPr>
        <w:numPr>
          <w:ilvl w:val="0"/>
          <w:numId w:val="6"/>
        </w:numPr>
        <w:spacing w:after="60"/>
      </w:pPr>
      <w:r>
        <w:rPr/>
        <w:t xml:space="preserve">第二步（本周-下周）：创建核心机密文档——完成《研究方法论（全本）》初稿，仅创始人本人持有完整版。</w:t>
      </w:r>
    </w:p>
    <w:p w14:paraId="0010009E" w14:textId="0010009F">
      <w:pPr>
        <w:numPr>
          <w:ilvl w:val="0"/>
          <w:numId w:val="6"/>
        </w:numPr>
        <w:spacing w:after="60"/>
      </w:pPr>
      <w:r>
        <w:rPr/>
        <w:t xml:space="preserve">第三步（两周内）：拆解为模块文档——将核心方法论按模块拆成★★★级别文档，每份只包含该模块的技术方案，不包含全局信息。此时可授权给对应模块的技术骨干。</w:t>
      </w:r>
    </w:p>
    <w:p w14:paraId="001000A0" w14:textId="001000A1">
      <w:pPr>
        <w:numPr>
          <w:ilvl w:val="0"/>
          <w:numId w:val="6"/>
        </w:numPr>
        <w:spacing w:after="200"/>
      </w:pPr>
      <w:r>
        <w:rPr/>
        <w:t xml:space="preserve">第四步（随开发进度）：产出实操文档——使用手册、SOP等在功能上线前产出。对外文档在商业化推进时产出。</w:t>
      </w:r>
    </w:p>
    <w:p w14:paraId="001000A2" w14:textId="001000A3">
      <w:pPr>
        <w:pStyle w:val="Heading1"/>
      </w:pPr>
      <w:r>
        <w:rPr/>
        <w:t xml:space="preserve">五、保密协议要点（供律师起草参考）</w:t>
      </w:r>
    </w:p>
    <w:p w14:paraId="001000A4" w14:textId="001000A5">
      <w:pPr>
        <w:spacing w:after="80"/>
      </w:pPr>
      <w:r>
        <w:rPr/>
        <w:t xml:space="preserve">核心成员NDA（技术合伙人级）应包含：保密范围（研究方法论、算法设计、技术架构、数据处理方案、参数配置、代码等）；保密期限（在职+离职后永久或≥5年）；知识产权归属（明确所有成果IP归公司/创始人）；竞业限制（≤2年，需支付法定补偿金）；违约金；举证条款。</w:t>
      </w:r>
    </w:p>
    <w:p w14:paraId="001000A6" w14:textId="001000A7">
      <w:pPr>
        <w:spacing w:after="200"/>
      </w:pPr>
      <w:r>
        <w:rPr/>
        <w:t xml:space="preserve">普通成员NDA（全体员工级）应包含：保密范围（工作中接触的一切技术信息和业务信息）；保密期限（在职+离职后≥3年）；IP归属条款；违约金条款。</w:t>
      </w:r>
    </w:p>
    <w:p w14:paraId="001000A8" w14:textId="001000A9">
      <w:pPr>
        <w:pStyle w:val="Heading1"/>
      </w:pPr>
      <w:r>
        <w:rPr/>
        <w:t xml:space="preserve">六、持续管理</w:t>
      </w:r>
    </w:p>
    <w:p w14:paraId="001000AA" w14:textId="001000AB">
      <w:pPr>
        <w:numPr>
          <w:ilvl w:val="0"/>
          <w:numId w:val="7"/>
        </w:numPr>
        <w:spacing w:after="60"/>
      </w:pPr>
      <w:r>
        <w:rPr/>
        <w:t xml:space="preserve">每季度审计一次文档权限，清理已离职/转岗人员的授权。</w:t>
      </w:r>
    </w:p>
    <w:p w14:paraId="001000AC" w14:textId="001000AD">
      <w:pPr>
        <w:numPr>
          <w:ilvl w:val="0"/>
          <w:numId w:val="7"/>
        </w:numPr>
        <w:spacing w:after="60"/>
      </w:pPr>
      <w:r>
        <w:rPr/>
        <w:t xml:space="preserve">每年更新一次分级清单，反映最新文档产出。</w:t>
      </w:r>
    </w:p>
    <w:p w14:paraId="001000AE" w14:textId="001000AF">
      <w:pPr>
        <w:numPr>
          <w:ilvl w:val="0"/>
          <w:numId w:val="7"/>
        </w:numPr>
        <w:spacing w:after="60"/>
      </w:pPr>
      <w:r>
        <w:rPr/>
        <w:t xml:space="preserve">新员工入职培训含保密专题（但不说核心内容）。</w:t>
      </w:r>
    </w:p>
    <w:p w14:paraId="001000B0" w14:textId="001000B1">
      <w:pPr>
        <w:numPr>
          <w:ilvl w:val="0"/>
          <w:numId w:val="7"/>
        </w:numPr>
        <w:spacing w:after="200"/>
      </w:pPr>
      <w:r>
        <w:rPr/>
        <w:t xml:space="preserve">发现泄密迹象第一时间固定证据、法律介入。</w:t>
      </w:r>
    </w:p>
    <w:p w14:paraId="001000B2" w14:textId="001000B3">
      <w:pPr>
        <w:shd w:val="clear" w:fill="1F3864"/>
        <w:spacing w:before="48" w:after="0"/>
      </w:pPr>
      <w:r>
        <w:rPr>
          <w:sz w:val="16"/>
        </w:rPr>
        <w:t xml:space="preserve"/>
      </w:r>
    </w:p>
    <w:p w14:paraId="001000B4" w14:textId="001000B5">
      <w:pPr>
        <w:spacing w:before="12" w:after="12"/>
        <w:jc w:val="center"/>
      </w:pPr>
      <w:r>
        <w:rPr>
          <w:color w:val="888888"/>
          <w:sz w:val="18"/>
        </w:rPr>
        <w:t xml:space="preserve">本文件为保密管理体系的基础框架。具体执行细则可根据公司治理结构和实际需求调整。建议与法律顾问共同审核并转为正式公司制度文件。</w:t>
      </w:r>
    </w:p>
    <w:p w14:paraId="001000B6" w14:textId="001000B7">
      <w:pPr>
        <w:shd w:val="clear" w:fill="1F3864"/>
        <w:spacing w:before="0" w:after="0"/>
      </w:pPr>
      <w:r>
        <w:rPr>
          <w:sz w:val="16"/>
        </w:rPr>
        <w:t xml:space="preserve"/>
      </w:r>
    </w:p>
    <w:sectPr>
      <w:pgSz w:w="11906" w:h="16838"/>
      <w:pgMar w:top="1440" w:right="1440" w:bottom="1440" w:left="144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502c02460624f63" /><Relationship Type="http://schemas.openxmlformats.org/officeDocument/2006/relationships/styles" Target="/word/styles.xml" Id="Raf8cd720fdc44680" /><Relationship Type="http://schemas.openxmlformats.org/officeDocument/2006/relationships/theme" Target="/word/theme/theme1.xml" Id="Rfcc46c1b582f41da" /><Relationship Type="http://schemas.openxmlformats.org/officeDocument/2006/relationships/numbering" Target="/word/numbering.xml" Id="R5e1e8f772d3f4f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融策</dc:creator>
  <dcterms:created xsi:type="dcterms:W3CDTF">2026-05-24T18:12:13.0000000Z</dcterms:created>
  <lastModifiedBy>OfficeCLI</lastModifiedBy>
  <dcterms:modified xsi:type="dcterms:W3CDTF">2026-05-24T18:12:13.0000000Z</dcterms:modified>
  <dc:title>研究方法论文档分级与保密管理方案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1.0.97</vt:lpwstr>
  </op:property>
  <op:property fmtid="{D5CDD505-2E9C-101B-9397-08002B2CF9AE}" pid="3" name="OfficeCLI.LastModified">
    <vt:lpwstr xmlns:vt="http://schemas.openxmlformats.org/officeDocument/2006/docPropsVTypes">2026-05-24T18:32:59Z</vt:lpwstr>
  </op:property>
</op:Properties>
</file>