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1F3F"/>
          <w:sz w:val="40"/>
        </w:rPr>
        <w:t>若尔盖校园餐审计 — 补充口径与四川数据参照</w:t>
      </w:r>
    </w:p>
    <w:p>
      <w:pPr>
        <w:ind w:left="567"/>
      </w:pPr>
      <w:r>
        <w:rPr>
          <w:i/>
          <w:color w:val="666666"/>
        </w:rPr>
        <w:t>V2手册的配套补充。基于署发简报03/06 + 审计署报告框架（含四川真实数据）。</w:t>
      </w:r>
    </w:p>
    <w:p>
      <w:pPr>
        <w:ind w:left="567"/>
      </w:pPr>
      <w:r>
        <w:rPr>
          <w:i/>
          <w:color w:val="666666"/>
        </w:rPr>
        <w:t>编制: 融策右护卫 | 2026年7月14日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一、四川省已查实数据（参照坐标系）</w:t>
      </w:r>
    </w:p>
    <w:p>
      <w:pPr>
        <w:ind w:left="567"/>
      </w:pPr>
      <w:r>
        <w:rPr>
          <w:i/>
          <w:color w:val="666666"/>
        </w:rPr>
        <w:t>来源：审计署报告框架原文引用的四川真实案例。这些是"已定案"的问题，若尔盖大概率同类。</w:t>
      </w:r>
    </w:p>
    <w:p>
      <w:r>
        <w:rPr>
          <w:rFonts w:ascii="微软雅黑" w:hAnsi="微软雅黑" w:eastAsia="微软雅黑"/>
          <w:b/>
          <w:color w:val="1A5C6E"/>
          <w:sz w:val="26"/>
        </w:rPr>
        <w:t>1.1 省级层面：固定天数虚报（重大）</w:t>
      </w:r>
    </w:p>
    <w:p>
      <w:pPr>
        <w:pStyle w:val="ListBullet"/>
      </w:pPr>
      <w:r>
        <w:rPr>
          <w:b/>
        </w:rPr>
        <w:t>政策漏洞</w:t>
      </w:r>
      <w:r>
        <w:t>：2018年6月，四川省财政厅+教育厅出台川财教〔2018〕98号，将全省学生实际在校平均天数</w:t>
      </w:r>
      <w:r>
        <w:rPr>
          <w:b/>
        </w:rPr>
        <w:t>固定为190天</w:t>
      </w:r>
    </w:p>
    <w:p>
      <w:pPr>
        <w:pStyle w:val="ListBullet"/>
      </w:pPr>
      <w:r>
        <w:rPr>
          <w:b/>
        </w:rPr>
        <w:t>违规事实</w:t>
      </w:r>
      <w:r>
        <w:t>：2021-2022年，四川省未据实上报，均按190天上报财政部、教育部</w:t>
      </w:r>
    </w:p>
    <w:p>
      <w:pPr>
        <w:pStyle w:val="ListBullet"/>
      </w:pPr>
      <w:r>
        <w:t>2021年：比实际虚报</w:t>
      </w:r>
      <w:r>
        <w:rPr>
          <w:b/>
        </w:rPr>
        <w:t>18.28天</w:t>
      </w:r>
      <w:r>
        <w:t>（国家试点县多报15.41天，地方试点县多报21.14天）</w:t>
      </w:r>
    </w:p>
    <w:p>
      <w:pPr>
        <w:pStyle w:val="ListBullet"/>
      </w:pPr>
      <w:r>
        <w:t>2022年：比实际虚报</w:t>
      </w:r>
      <w:r>
        <w:rPr>
          <w:b/>
        </w:rPr>
        <w:t>2.71天</w:t>
      </w:r>
      <w:r>
        <w:t>（国家试点县多报2.93天，地方试点县多报2.49天）</w:t>
      </w:r>
    </w:p>
    <w:p>
      <w:pPr>
        <w:pStyle w:val="ListBullet"/>
      </w:pPr>
      <w:r>
        <w:rPr>
          <w:b/>
        </w:rPr>
        <w:t>套取中央补助资金 31,255.41万元（约3.1亿元）</w:t>
      </w:r>
    </w:p>
    <w:p>
      <w:r>
        <w:rPr>
          <w:b/>
        </w:rPr>
        <w:t>⚠️ 若尔盖启示</w:t>
      </w:r>
      <w:r>
        <w:t>：</w:t>
      </w:r>
    </w:p>
    <w:p>
      <w:pPr>
        <w:pStyle w:val="ListBullet"/>
      </w:pPr>
      <w:r>
        <w:t>若尔盖是</w:t>
      </w:r>
      <w:r>
        <w:rPr>
          <w:b/>
        </w:rPr>
        <w:t>地方试点县</w:t>
      </w:r>
      <w:r>
        <w:t>，2021年被平均多报了</w:t>
      </w:r>
      <w:r>
        <w:rPr>
          <w:b/>
        </w:rPr>
        <w:t>21.14天</w:t>
      </w:r>
    </w:p>
    <w:p>
      <w:pPr>
        <w:pStyle w:val="ListBullet"/>
      </w:pPr>
      <w:r>
        <w:t>进点必查：若尔盖上报天数 vs 实际在校天数，若按190天固定上报，直接套用此定性</w:t>
      </w:r>
    </w:p>
    <w:p>
      <w:pPr>
        <w:pStyle w:val="ListBullet"/>
      </w:pPr>
      <w:r>
        <w:t>定性依据：教督厅函〔2017〕2号"按各地报送的学生实际在校平均天数核定中央补助资金"</w:t>
      </w:r>
    </w:p>
    <w:p>
      <w:r>
        <w:rPr>
          <w:rFonts w:ascii="微软雅黑" w:hAnsi="微软雅黑" w:eastAsia="微软雅黑"/>
          <w:b/>
          <w:color w:val="1A5C6E"/>
          <w:sz w:val="26"/>
        </w:rPr>
        <w:t>1.2 县级/学校层面：餐标不达标（已查实）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地区/学校</w:t>
            </w:r>
          </w:p>
        </w:tc>
        <w:tc>
          <w:tcPr>
            <w:tcW w:type="dxa" w:w="1813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年份</w:t>
            </w:r>
          </w:p>
        </w:tc>
        <w:tc>
          <w:tcPr>
            <w:tcW w:type="dxa" w:w="1813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实际餐标</w:t>
            </w:r>
          </w:p>
        </w:tc>
        <w:tc>
          <w:tcPr>
            <w:tcW w:type="dxa" w:w="1813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国家标准</w:t>
            </w:r>
          </w:p>
        </w:tc>
        <w:tc>
          <w:tcPr>
            <w:tcW w:type="dxa" w:w="1813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差距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康定市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2021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3.84元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4元（当时）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未达标</w:t>
            </w:r>
          </w:p>
        </w:tc>
      </w:tr>
      <w:tr>
        <w:tc>
          <w:tcPr>
            <w:tcW w:type="dxa" w:w="1813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古蔺县第一小学校</w:t>
            </w:r>
          </w:p>
        </w:tc>
        <w:tc>
          <w:tcPr>
            <w:tcW w:type="dxa" w:w="1813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2021</w:t>
            </w:r>
          </w:p>
        </w:tc>
        <w:tc>
          <w:tcPr>
            <w:tcW w:type="dxa" w:w="1813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1.57元</w:t>
            </w:r>
          </w:p>
        </w:tc>
        <w:tc>
          <w:tcPr>
            <w:tcW w:type="dxa" w:w="1813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4元（当时）</w:t>
            </w:r>
          </w:p>
        </w:tc>
        <w:tc>
          <w:tcPr>
            <w:tcW w:type="dxa" w:w="1813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严重未达标</w:t>
            </w:r>
          </w:p>
        </w:tc>
      </w:tr>
    </w:tbl>
    <w:p/>
    <w:p>
      <w:r>
        <w:rPr>
          <w:b/>
        </w:rPr>
        <w:t>四川抽查总体情况</w:t>
      </w:r>
      <w:r>
        <w:t>（报告框架多个版本数据）：</w:t>
      </w:r>
    </w:p>
    <w:p>
      <w:pPr>
        <w:pStyle w:val="ListBullet"/>
      </w:pPr>
      <w:r>
        <w:t>抽查14个地区 → 7个未达标，涉及学生535,759人</w:t>
      </w:r>
    </w:p>
    <w:p>
      <w:pPr>
        <w:pStyle w:val="ListBullet"/>
      </w:pPr>
      <w:r>
        <w:t>抽查404个学校 → 63个未达标，10个连续2年以上未达标</w:t>
      </w:r>
    </w:p>
    <w:p>
      <w:r>
        <w:rPr>
          <w:b/>
        </w:rPr>
        <w:t>⚠️ 若尔盖启示</w:t>
      </w:r>
      <w:r>
        <w:t>：</w:t>
      </w:r>
    </w:p>
    <w:p>
      <w:pPr>
        <w:pStyle w:val="ListBullet"/>
      </w:pPr>
      <w:r>
        <w:t>必须计算若尔盖</w:t>
      </w:r>
      <w:r>
        <w:rPr>
          <w:b/>
        </w:rPr>
        <w:t>县级实际供餐标准</w:t>
      </w:r>
      <w:r>
        <w:t xml:space="preserve"> = 营养改善计划实际支出 ÷ 实际人数 ÷ 实际天数</w:t>
      </w:r>
    </w:p>
    <w:p>
      <w:pPr>
        <w:pStyle w:val="ListBullet"/>
      </w:pPr>
      <w:r>
        <w:t>必须计算</w:t>
      </w:r>
      <w:r>
        <w:rPr>
          <w:b/>
        </w:rPr>
        <w:t>每所抽审学校的实际餐标</w:t>
      </w:r>
    </w:p>
    <w:p>
      <w:pPr>
        <w:pStyle w:val="ListBullet"/>
      </w:pPr>
      <w:r>
        <w:t>低于5元（2021秋季起标准）即为未达标问题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二、"5+X"审计重点（简报06核心）</w:t>
      </w:r>
    </w:p>
    <w:p>
      <w:pPr>
        <w:ind w:left="567"/>
      </w:pPr>
      <w:r>
        <w:rPr>
          <w:i/>
          <w:color w:val="666666"/>
        </w:rPr>
        <w:t>若尔盖若实施"5+X"（在5元基础上向家长收X元），这是必查项。</w:t>
      </w:r>
    </w:p>
    <w:p>
      <w:r>
        <w:rPr>
          <w:rFonts w:ascii="微软雅黑" w:hAnsi="微软雅黑" w:eastAsia="微软雅黑"/>
          <w:b/>
          <w:color w:val="1A5C6E"/>
          <w:sz w:val="26"/>
        </w:rPr>
        <w:t>2.1 两步核查法</w:t>
      </w:r>
    </w:p>
    <w:p>
      <w:r>
        <w:rPr>
          <w:b/>
        </w:rPr>
        <w:t>第一步：收费合规性</w:t>
      </w:r>
    </w:p>
    <w:p>
      <w:pPr>
        <w:pStyle w:val="ListBullet"/>
      </w:pPr>
      <w:r>
        <w:t>收费依据是什么？（有无价格主管部门审批）</w:t>
      </w:r>
    </w:p>
    <w:p>
      <w:pPr>
        <w:pStyle w:val="ListBullet"/>
      </w:pPr>
      <w:r>
        <w:t xml:space="preserve">仅凭教育/财政文件或会议纪要 = </w:t>
      </w:r>
      <w:r>
        <w:rPr>
          <w:b/>
        </w:rPr>
        <w:t>未经审批乱收费</w:t>
      </w:r>
    </w:p>
    <w:p>
      <w:pPr>
        <w:pStyle w:val="ListBullet"/>
      </w:pPr>
      <w:r>
        <w:t>定性依据：发改价格〔2010〕1619号</w:t>
      </w:r>
    </w:p>
    <w:p>
      <w:r>
        <w:rPr>
          <w:b/>
        </w:rPr>
        <w:t>第二步：整体资金使用</w:t>
      </w:r>
    </w:p>
    <w:p>
      <w:pPr>
        <w:pStyle w:val="ListBullet"/>
      </w:pPr>
      <w:r>
        <w:t>把"5+X"作为整体核算</w:t>
      </w:r>
    </w:p>
    <w:p>
      <w:pPr>
        <w:pStyle w:val="ListBullet"/>
      </w:pPr>
      <w:r>
        <w:t>例：收2元 → 实际餐标应达7元</w:t>
      </w:r>
    </w:p>
    <w:p>
      <w:pPr>
        <w:pStyle w:val="ListBullet"/>
      </w:pPr>
      <w:r>
        <w:t>若未达7元 → 核查X元去向：</w:t>
      </w:r>
    </w:p>
    <w:p>
      <w:pPr>
        <w:pStyle w:val="ListBullet"/>
      </w:pPr>
      <w:r>
        <w:t>有多少用于食堂水电煤气日常运行？</w:t>
      </w:r>
    </w:p>
    <w:p>
      <w:pPr>
        <w:pStyle w:val="ListBullet"/>
      </w:pPr>
      <w:r>
        <w:t>有多少用于食堂人员工资？</w:t>
      </w:r>
    </w:p>
    <w:p>
      <w:pPr>
        <w:pStyle w:val="ListBullet"/>
      </w:pPr>
      <w:r>
        <w:t>有多少用于与营养餐无关支出？</w:t>
      </w:r>
    </w:p>
    <w:p>
      <w:pPr>
        <w:pStyle w:val="ListBullet"/>
      </w:pPr>
      <w:r>
        <w:t>本质：</w:t>
      </w:r>
      <w:r>
        <w:rPr>
          <w:b/>
        </w:rPr>
        <w:t>向家长转嫁应由公用经费/地方财政承担的费用</w:t>
      </w:r>
    </w:p>
    <w:p>
      <w:r>
        <w:rPr>
          <w:rFonts w:ascii="微软雅黑" w:hAnsi="微软雅黑" w:eastAsia="微软雅黑"/>
          <w:b/>
          <w:color w:val="1A5C6E"/>
          <w:sz w:val="26"/>
        </w:rPr>
        <w:t>2.2 典型案例（简报中）</w:t>
      </w:r>
    </w:p>
    <w:p>
      <w:pPr>
        <w:pStyle w:val="ListBullet"/>
      </w:pPr>
      <w:r>
        <w:t>某地收费过高 → 学生就餐意愿降低 → 大部分回家吃饭 → 营养餐没吃到孩子嘴里</w:t>
      </w:r>
    </w:p>
    <w:p>
      <w:pPr>
        <w:pStyle w:val="ListBullet"/>
      </w:pPr>
      <w:r>
        <w:t>某县强制学生按8元/天缴费（示例29）→ 增加学生负担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三、县城学校审计要点（简报03/06）</w:t>
      </w:r>
    </w:p>
    <w:p>
      <w:r>
        <w:rPr>
          <w:rFonts w:ascii="微软雅黑" w:hAnsi="微软雅黑" w:eastAsia="微软雅黑"/>
          <w:b/>
          <w:color w:val="1A5C6E"/>
          <w:sz w:val="26"/>
        </w:rPr>
        <w:t>3.1 界定标准</w:t>
      </w:r>
    </w:p>
    <w:p>
      <w:pPr>
        <w:pStyle w:val="ListBullet"/>
      </w:pPr>
      <w:r>
        <w:rPr>
          <w:b/>
        </w:rPr>
        <w:t>县城定义</w:t>
      </w:r>
      <w:r>
        <w:t>：县政府驻地镇或街道及其实际建设连接到的居委会所辖区域</w:t>
      </w:r>
    </w:p>
    <w:p>
      <w:pPr>
        <w:pStyle w:val="ListBullet"/>
      </w:pPr>
      <w:r>
        <w:rPr>
          <w:b/>
        </w:rPr>
        <w:t>国家计划地区</w:t>
      </w:r>
      <w:r>
        <w:t>：原集中连片特困地区县（</w:t>
      </w:r>
      <w:r>
        <w:rPr>
          <w:b/>
        </w:rPr>
        <w:t>不含县城</w:t>
      </w:r>
      <w:r>
        <w:t>）</w:t>
      </w:r>
    </w:p>
    <w:p>
      <w:pPr>
        <w:pStyle w:val="ListBullet"/>
      </w:pPr>
      <w:r>
        <w:rPr>
          <w:b/>
        </w:rPr>
        <w:t>地方计划地区</w:t>
      </w:r>
      <w:r>
        <w:t>：其他扶贫重点县、</w:t>
      </w:r>
      <w:r>
        <w:rPr>
          <w:b/>
        </w:rPr>
        <w:t>民族县</w:t>
      </w:r>
      <w:r>
        <w:t xml:space="preserve">、边境县、革命老区县 → </w:t>
      </w:r>
      <w:r>
        <w:rPr>
          <w:b/>
        </w:rPr>
        <w:t>县城可纳入</w:t>
      </w:r>
    </w:p>
    <w:p>
      <w:r>
        <w:rPr>
          <w:b/>
        </w:rPr>
        <w:t>⚠️ 若尔盖是民族县 = 地方计划地区，县城学校可以纳入营养改善计划</w:t>
      </w:r>
    </w:p>
    <w:p>
      <w:r>
        <w:rPr>
          <w:rFonts w:ascii="微软雅黑" w:hAnsi="微软雅黑" w:eastAsia="微软雅黑"/>
          <w:b/>
          <w:color w:val="1A5C6E"/>
          <w:sz w:val="26"/>
        </w:rPr>
        <w:t>3.2 县城学校必查（即使合规纳入）</w:t>
      </w:r>
    </w:p>
    <w:p>
      <w:pPr>
        <w:pStyle w:val="ListBullet"/>
      </w:pPr>
      <w:r>
        <w:rPr>
          <w:b/>
        </w:rPr>
        <w:t>必要性</w:t>
      </w:r>
      <w:r>
        <w:t>：学生是否均回家吃午餐，学校仍实施营养餐？</w:t>
      </w:r>
    </w:p>
    <w:p>
      <w:pPr>
        <w:pStyle w:val="ListBullet"/>
      </w:pPr>
      <w:r>
        <w:rPr>
          <w:b/>
        </w:rPr>
        <w:t>供餐形式</w:t>
      </w:r>
      <w:r>
        <w:t>：是否通过发放牛奶、火腿肠等加餐方式供餐？</w:t>
      </w:r>
    </w:p>
    <w:p>
      <w:pPr>
        <w:pStyle w:val="ListBullet"/>
      </w:pPr>
      <w:r>
        <w:rPr>
          <w:b/>
        </w:rPr>
        <w:t>食品浪费</w:t>
      </w:r>
      <w:r>
        <w:t>：是否存在浪费？</w:t>
      </w:r>
    </w:p>
    <w:p>
      <w:r>
        <w:rPr>
          <w:b/>
        </w:rPr>
        <w:t>典型案例</w:t>
      </w:r>
      <w:r>
        <w:t>：某县城学校1000多个孩子，仅60人在校吃营养餐，其余回家吃午餐，学校仍发牛奶火腿肠 → 偏离政策初衷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四、其他共性问题口径</w:t>
      </w:r>
    </w:p>
    <w:p>
      <w:r>
        <w:rPr>
          <w:rFonts w:ascii="微软雅黑" w:hAnsi="微软雅黑" w:eastAsia="微软雅黑"/>
          <w:b/>
          <w:color w:val="1A5C6E"/>
          <w:sz w:val="26"/>
        </w:rPr>
        <w:t>4.1 农村学校撤并（简报03）</w:t>
      </w:r>
    </w:p>
    <w:p>
      <w:pPr>
        <w:pStyle w:val="ListBullet"/>
      </w:pPr>
      <w:r>
        <w:t>农村学校撤并至县城后，学籍转入县城学校</w:t>
      </w:r>
    </w:p>
    <w:p>
      <w:pPr>
        <w:pStyle w:val="ListBullet"/>
      </w:pPr>
      <w:r>
        <w:t>应由县政府逐级上报，省级审核报全国学生营养办备案后实施</w:t>
      </w:r>
    </w:p>
    <w:p>
      <w:pPr>
        <w:pStyle w:val="ListBullet"/>
      </w:pPr>
      <w:r>
        <w:rPr>
          <w:b/>
        </w:rPr>
        <w:t>审计关注</w:t>
      </w:r>
      <w:r>
        <w:t>：撤并后是否按程序审核备案</w:t>
      </w:r>
    </w:p>
    <w:p>
      <w:r>
        <w:rPr>
          <w:rFonts w:ascii="微软雅黑" w:hAnsi="微软雅黑" w:eastAsia="微软雅黑"/>
          <w:b/>
          <w:color w:val="1A5C6E"/>
          <w:sz w:val="26"/>
        </w:rPr>
        <w:t>4.2 深加工食品核查（简报03）</w:t>
      </w:r>
    </w:p>
    <w:p>
      <w:pPr>
        <w:pStyle w:val="ListBullet"/>
      </w:pPr>
      <w:r>
        <w:t>发现火腿肠/含乳饮料/保健食品 → 进一步核查：</w:t>
      </w:r>
    </w:p>
    <w:p>
      <w:pPr>
        <w:pStyle w:val="ListBullet"/>
      </w:pPr>
      <w:r>
        <w:t>供应商确定流程</w:t>
      </w:r>
    </w:p>
    <w:p>
      <w:pPr>
        <w:pStyle w:val="ListBullet"/>
      </w:pPr>
      <w:r>
        <w:t>食品进销价情况</w:t>
      </w:r>
    </w:p>
    <w:p>
      <w:pPr>
        <w:pStyle w:val="ListBullet"/>
      </w:pPr>
      <w:r>
        <w:t>供餐频次</w:t>
      </w:r>
    </w:p>
    <w:p>
      <w:pPr>
        <w:pStyle w:val="ListBullet"/>
      </w:pPr>
      <w:r>
        <w:t>长期供应火腿肠等 = 可作为问题反映</w:t>
      </w:r>
    </w:p>
    <w:p>
      <w:r>
        <w:rPr>
          <w:rFonts w:ascii="微软雅黑" w:hAnsi="微软雅黑" w:eastAsia="微软雅黑"/>
          <w:b/>
          <w:color w:val="1A5C6E"/>
          <w:sz w:val="26"/>
        </w:rPr>
        <w:t>4.3 特殊类型学生（简报03）</w:t>
      </w:r>
    </w:p>
    <w:p>
      <w:pPr>
        <w:pStyle w:val="ListBullet"/>
      </w:pPr>
      <w:r>
        <w:t>城市特教学校残疾学生、送教上门学生、少数民族学生等</w:t>
      </w:r>
    </w:p>
    <w:p>
      <w:pPr>
        <w:pStyle w:val="ListBullet"/>
      </w:pPr>
      <w:r>
        <w:t>直接发放现金 = 问题</w:t>
      </w:r>
    </w:p>
    <w:p>
      <w:pPr>
        <w:pStyle w:val="ListBullet"/>
      </w:pPr>
      <w:r>
        <w:t>重点核实：实施真实性 + 资金是否用于特殊类型学生本人</w:t>
      </w:r>
    </w:p>
    <w:p>
      <w:r>
        <w:rPr>
          <w:rFonts w:ascii="微软雅黑" w:hAnsi="微软雅黑" w:eastAsia="微软雅黑"/>
          <w:b/>
          <w:color w:val="1A5C6E"/>
          <w:sz w:val="26"/>
        </w:rPr>
        <w:t>4.4 应享未享的两种情形（报告框架）</w:t>
      </w:r>
    </w:p>
    <w:p>
      <w:pPr>
        <w:pStyle w:val="ListNumber"/>
      </w:pPr>
      <w:r>
        <w:t>少拨付补助资金导致学生应享未享（要反映学生午餐费用如何解决）</w:t>
      </w:r>
    </w:p>
    <w:p>
      <w:pPr>
        <w:pStyle w:val="ListNumber"/>
      </w:pPr>
      <w:r>
        <w:rPr>
          <w:b/>
        </w:rPr>
        <w:t>加收伙食费，未缴纳的学生不能在校就餐</w:t>
      </w:r>
      <w:r>
        <w:t xml:space="preserve"> → 导致应享未享（尤其家庭经济困难学生），学校仍纳入申报套取中央资金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五、报告框架标准写法（署发模板）</w:t>
      </w:r>
    </w:p>
    <w:p>
      <w:r>
        <w:rPr>
          <w:rFonts w:ascii="微软雅黑" w:hAnsi="微软雅黑" w:eastAsia="微软雅黑"/>
          <w:b/>
          <w:color w:val="1A5C6E"/>
          <w:sz w:val="26"/>
        </w:rPr>
        <w:t>5.1 基本情况写法</w:t>
      </w:r>
    </w:p>
    <w:p>
      <w:pPr>
        <w:ind w:left="283"/>
      </w:pPr>
      <w:r>
        <w:rPr>
          <w:rFonts w:ascii="Consolas" w:hAnsi="Consolas"/>
          <w:sz w:val="20"/>
        </w:rPr>
        <w:t>截至2025年8月底，若尔盖县实施营养改善计划，覆盖××所学校，</w:t>
      </w:r>
    </w:p>
    <w:p>
      <w:pPr>
        <w:ind w:left="283"/>
      </w:pPr>
      <w:r>
        <w:rPr>
          <w:rFonts w:ascii="Consolas" w:hAnsi="Consolas"/>
          <w:sz w:val="20"/>
        </w:rPr>
        <w:t>受益学生××万人。2022年至2025年8月，若尔盖县共下达营养膳食</w:t>
      </w:r>
    </w:p>
    <w:p>
      <w:pPr>
        <w:ind w:left="283"/>
      </w:pPr>
      <w:r>
        <w:rPr>
          <w:rFonts w:ascii="Consolas" w:hAnsi="Consolas"/>
          <w:sz w:val="20"/>
        </w:rPr>
        <w:t>补助资金××万元（其中中央资金××万元）。本次审计重点抽查了</w:t>
      </w:r>
    </w:p>
    <w:p>
      <w:pPr>
        <w:ind w:left="283"/>
      </w:pPr>
      <w:r>
        <w:rPr>
          <w:rFonts w:ascii="Consolas" w:hAnsi="Consolas"/>
          <w:sz w:val="20"/>
        </w:rPr>
        <w:t>××等×所学校，抽查营养膳食补助资金××万元，抽审比例为××%。</w:t>
      </w:r>
    </w:p>
    <w:p>
      <w:r>
        <w:rPr>
          <w:rFonts w:ascii="微软雅黑" w:hAnsi="微软雅黑" w:eastAsia="微软雅黑"/>
          <w:b/>
          <w:color w:val="1A5C6E"/>
          <w:sz w:val="26"/>
        </w:rPr>
        <w:t>5.2 虚报天数写法（直接套用四川模板）</w:t>
      </w:r>
    </w:p>
    <w:p>
      <w:pPr>
        <w:ind w:left="283"/>
      </w:pPr>
      <w:r>
        <w:rPr>
          <w:rFonts w:ascii="Consolas" w:hAnsi="Consolas"/>
          <w:sz w:val="20"/>
        </w:rPr>
        <w:t>2022年至2024年，若尔盖县未据实上报上一年度学生实际在校平均</w:t>
      </w:r>
    </w:p>
    <w:p>
      <w:pPr>
        <w:ind w:left="283"/>
      </w:pPr>
      <w:r>
        <w:rPr>
          <w:rFonts w:ascii="Consolas" w:hAnsi="Consolas"/>
          <w:sz w:val="20"/>
        </w:rPr>
        <w:t>天数，均按××天向上级上报，分别比实际平均天数虚报××天、</w:t>
      </w:r>
    </w:p>
    <w:p>
      <w:pPr>
        <w:ind w:left="283"/>
      </w:pPr>
      <w:r>
        <w:rPr>
          <w:rFonts w:ascii="Consolas" w:hAnsi="Consolas"/>
          <w:sz w:val="20"/>
        </w:rPr>
        <w:t>××天、××天，套取中央补助资金××万元。</w:t>
      </w:r>
    </w:p>
    <w:p>
      <w:r>
        <w:rPr>
          <w:rFonts w:ascii="微软雅黑" w:hAnsi="微软雅黑" w:eastAsia="微软雅黑"/>
          <w:b/>
          <w:color w:val="1A5C6E"/>
          <w:sz w:val="26"/>
        </w:rPr>
        <w:t>5.3 餐标未达标写法</w:t>
      </w:r>
    </w:p>
    <w:p>
      <w:pPr>
        <w:ind w:left="283"/>
      </w:pPr>
      <w:r>
        <w:rPr>
          <w:rFonts w:ascii="Consolas" w:hAnsi="Consolas"/>
          <w:sz w:val="20"/>
        </w:rPr>
        <w:t>××年，由于××原因，若尔盖县营养改善计划实际支出××万元、</w:t>
      </w:r>
    </w:p>
    <w:p>
      <w:pPr>
        <w:ind w:left="283"/>
      </w:pPr>
      <w:r>
        <w:rPr>
          <w:rFonts w:ascii="Consolas" w:hAnsi="Consolas"/>
          <w:sz w:val="20"/>
        </w:rPr>
        <w:t>受益学生××人，实际支出标准仅为××元，未达到国家基础标准</w:t>
      </w:r>
    </w:p>
    <w:p>
      <w:pPr>
        <w:ind w:left="283"/>
      </w:pPr>
      <w:r>
        <w:rPr>
          <w:rFonts w:ascii="Consolas" w:hAnsi="Consolas"/>
          <w:sz w:val="20"/>
        </w:rPr>
        <w:t>（5元/生/天），涉及学生××人。</w:t>
      </w:r>
    </w:p>
    <w:p>
      <w:r>
        <w:rPr>
          <w:rFonts w:ascii="微软雅黑" w:hAnsi="微软雅黑" w:eastAsia="微软雅黑"/>
          <w:b/>
          <w:color w:val="1A5C6E"/>
          <w:sz w:val="26"/>
        </w:rPr>
        <w:t>5.4 违规指定供应商写法（含捐款交换）</w:t>
      </w:r>
    </w:p>
    <w:p>
      <w:pPr>
        <w:ind w:left="283"/>
      </w:pPr>
      <w:r>
        <w:rPr>
          <w:rFonts w:ascii="Consolas" w:hAnsi="Consolas"/>
          <w:sz w:val="20"/>
        </w:rPr>
        <w:t>××年××月，经××批准，若尔盖县以捐款（借款、返点、分红）</w:t>
      </w:r>
    </w:p>
    <w:p>
      <w:pPr>
        <w:ind w:left="283"/>
      </w:pPr>
      <w:r>
        <w:rPr>
          <w:rFonts w:ascii="Consolas" w:hAnsi="Consolas"/>
          <w:sz w:val="20"/>
        </w:rPr>
        <w:t>为条件，违规招标或直接指定××企业作为××所学校供餐企业。</w:t>
      </w:r>
    </w:p>
    <w:p>
      <w:pPr>
        <w:ind w:left="283"/>
      </w:pPr>
      <w:r>
        <w:rPr>
          <w:rFonts w:ascii="Consolas" w:hAnsi="Consolas"/>
          <w:sz w:val="20"/>
        </w:rPr>
        <w:t>××年××月至××年××月，××单位向该企业支付餐费××万元，</w:t>
      </w:r>
    </w:p>
    <w:p>
      <w:pPr>
        <w:ind w:left="283"/>
      </w:pPr>
      <w:r>
        <w:rPr>
          <w:rFonts w:ascii="Consolas" w:hAnsi="Consolas"/>
          <w:sz w:val="20"/>
        </w:rPr>
        <w:t>其中营养膳食补助资金××万元。××单位获得该企业捐款××万元，</w:t>
      </w:r>
    </w:p>
    <w:p>
      <w:pPr>
        <w:ind w:left="283"/>
      </w:pPr>
      <w:r>
        <w:rPr>
          <w:rFonts w:ascii="Consolas" w:hAnsi="Consolas"/>
          <w:sz w:val="20"/>
        </w:rPr>
        <w:t>用于××。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六、进点必算的三个核心指标</w:t>
      </w:r>
    </w:p>
    <w:p>
      <w:pPr>
        <w:ind w:left="567"/>
      </w:pPr>
      <w:r>
        <w:rPr>
          <w:i/>
          <w:color w:val="666666"/>
        </w:rPr>
        <w:t>这三个指标是整个审计的"命门"，必须算准。</w:t>
      </w:r>
    </w:p>
    <w:p>
      <w:r>
        <w:rPr>
          <w:rFonts w:ascii="微软雅黑" w:hAnsi="微软雅黑" w:eastAsia="微软雅黑"/>
          <w:b/>
          <w:color w:val="1A5C6E"/>
          <w:sz w:val="26"/>
        </w:rPr>
        <w:t>指标一：县级实际供餐标准</w:t>
      </w:r>
    </w:p>
    <w:p>
      <w:pPr>
        <w:ind w:left="283"/>
      </w:pPr>
      <w:r>
        <w:rPr>
          <w:rFonts w:ascii="Consolas" w:hAnsi="Consolas"/>
          <w:sz w:val="20"/>
        </w:rPr>
        <w:t>县级实际餐标 = 营养改善计划实际支出总额 ÷ 实际受益人数 ÷ 实际供餐天数</w:t>
      </w:r>
    </w:p>
    <w:p>
      <w:pPr>
        <w:pStyle w:val="ListBullet"/>
      </w:pPr>
      <w:r>
        <w:t>&lt; 5元 → 未达标问题</w:t>
      </w:r>
    </w:p>
    <w:p>
      <w:pPr>
        <w:pStyle w:val="ListBullet"/>
      </w:pPr>
      <w:r>
        <w:t>若地方财政未足额配套 + 虚报达标 → 套取中央奖补资金</w:t>
      </w:r>
    </w:p>
    <w:p>
      <w:r>
        <w:rPr>
          <w:rFonts w:ascii="微软雅黑" w:hAnsi="微软雅黑" w:eastAsia="微软雅黑"/>
          <w:b/>
          <w:color w:val="1A5C6E"/>
          <w:sz w:val="26"/>
        </w:rPr>
        <w:t>指标二：虚报天数/人数</w:t>
      </w:r>
    </w:p>
    <w:p>
      <w:pPr>
        <w:ind w:left="283"/>
      </w:pPr>
      <w:r>
        <w:rPr>
          <w:rFonts w:ascii="Consolas" w:hAnsi="Consolas"/>
          <w:sz w:val="20"/>
        </w:rPr>
        <w:t>虚报天数 = 上报天数 − 实际在校平均天数</w:t>
      </w:r>
    </w:p>
    <w:p>
      <w:pPr>
        <w:ind w:left="283"/>
      </w:pPr>
      <w:r>
        <w:rPr>
          <w:rFonts w:ascii="Consolas" w:hAnsi="Consolas"/>
          <w:sz w:val="20"/>
        </w:rPr>
        <w:t>套取资金 = 虚报天数 × 受益人数 × 补助标准</w:t>
      </w:r>
    </w:p>
    <w:p>
      <w:pPr>
        <w:pStyle w:val="ListBullet"/>
      </w:pPr>
      <w:r>
        <w:t>重点查是否沿用190天固定天数上报</w:t>
      </w:r>
    </w:p>
    <w:p>
      <w:r>
        <w:rPr>
          <w:rFonts w:ascii="微软雅黑" w:hAnsi="微软雅黑" w:eastAsia="微软雅黑"/>
          <w:b/>
          <w:color w:val="1A5C6E"/>
          <w:sz w:val="26"/>
        </w:rPr>
        <w:t>指标三：单校实际餐标</w:t>
      </w:r>
    </w:p>
    <w:p>
      <w:pPr>
        <w:ind w:left="283"/>
      </w:pPr>
      <w:r>
        <w:rPr>
          <w:rFonts w:ascii="Consolas" w:hAnsi="Consolas"/>
          <w:sz w:val="20"/>
        </w:rPr>
        <w:t>单校实际餐标 = 该校营养餐实际支出 ÷ 该校受益人数 ÷ 供餐天数</w:t>
      </w:r>
    </w:p>
    <w:p>
      <w:pPr>
        <w:pStyle w:val="ListBullet"/>
      </w:pPr>
      <w:r>
        <w:t>扣除不合理支出（人员工资、水电、配送等）后计算</w:t>
      </w:r>
    </w:p>
    <w:p>
      <w:pPr>
        <w:pStyle w:val="ListBullet"/>
      </w:pPr>
      <w:r>
        <w:t>对比公示食谱成本</w:t>
      </w:r>
    </w:p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0A1F3F"/>
          <w:sz w:val="30"/>
        </w:rPr>
        <w:t>七、进点数据采集清单（数据化审计）</w:t>
      </w:r>
    </w:p>
    <w:p>
      <w:pPr>
        <w:ind w:left="567"/>
      </w:pPr>
      <w:r>
        <w:rPr>
          <w:i/>
          <w:color w:val="666666"/>
        </w:rPr>
        <w:t>阿坝州方案要求"数据先行"，以下数据尽量拿全。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数据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来源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用途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营养改善计划系统数据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教育局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上报人数/天数/标准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学籍系统数据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教育局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实际学生人数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直达资金监控系统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财政局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资金拨付流向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财政预决算指标系统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财政局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资金分配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国库集中支付系统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财政局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支付明细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招投标数据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公共资源交易中心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供应商中标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工商数据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市场监管局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供应商关联关系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学校食堂财务账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各学校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支出明细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供货合同+发票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各学校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采购价格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出入库台账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各学校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验收真实性</w:t>
            </w:r>
          </w:p>
        </w:tc>
      </w:tr>
    </w:tbl>
    <w:p/>
    <w:p>
      <w:pPr>
        <w:jc w:val="center"/>
      </w:pPr>
      <w:r>
        <w:rPr>
          <w:color w:val="C5955C"/>
        </w:rPr>
        <w:t>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*配套V2手册使用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融策右护卫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2026年7月14日*</w:t>
            </w:r>
          </w:p>
        </w:tc>
      </w:tr>
    </w:tbl>
    <w:p/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