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1D56D">
      <w:pPr>
        <w:spacing w:line="480" w:lineRule="auto"/>
        <w:jc w:val="center"/>
        <w:rPr>
          <w:rFonts w:ascii="Arial" w:hAnsi="Arial" w:cs="Arial"/>
          <w:b/>
          <w:bCs/>
          <w:sz w:val="22"/>
          <w:szCs w:val="22"/>
        </w:rPr>
      </w:pPr>
      <w:r>
        <w:rPr>
          <w:rFonts w:ascii="Arial" w:hAnsi="Arial" w:cs="Arial"/>
          <w:b/>
          <w:bCs/>
          <w:sz w:val="22"/>
          <w:szCs w:val="22"/>
        </w:rPr>
        <w:t>REVIEW OF RELATED LITERATURE</w:t>
      </w:r>
      <w:bookmarkStart w:id="0" w:name="_GoBack"/>
      <w:bookmarkEnd w:id="0"/>
    </w:p>
    <w:p w14:paraId="258990C7">
      <w:pPr>
        <w:spacing w:line="480" w:lineRule="auto"/>
        <w:ind w:firstLine="720"/>
        <w:jc w:val="both"/>
        <w:rPr>
          <w:rFonts w:ascii="Arial" w:hAnsi="Arial" w:cs="Arial"/>
          <w:sz w:val="22"/>
          <w:szCs w:val="22"/>
        </w:rPr>
      </w:pPr>
      <w:r>
        <w:rPr>
          <w:rFonts w:ascii="Arial" w:hAnsi="Arial" w:cs="Arial"/>
          <w:sz w:val="22"/>
          <w:szCs w:val="22"/>
        </w:rPr>
        <w:t>This chapter outlines the relevant literature and studies that form the basis for creating the proposed Employability Prediction System for the Department of Computer Studies using Clustering and Association Rule Mining. The review helped the researchers become more familiar with and gain a deeper insight into current models, techniques, and discoveries related to employability prediction, data mining, and clustering methods.</w:t>
      </w:r>
    </w:p>
    <w:p w14:paraId="7170FC95">
      <w:pPr>
        <w:spacing w:line="480" w:lineRule="auto"/>
        <w:rPr>
          <w:rFonts w:ascii="Arial" w:hAnsi="Arial" w:cs="Arial"/>
          <w:b/>
          <w:bCs/>
          <w:sz w:val="22"/>
          <w:szCs w:val="22"/>
        </w:rPr>
      </w:pPr>
      <w:r>
        <w:rPr>
          <w:rFonts w:ascii="Arial" w:hAnsi="Arial" w:cs="Arial"/>
          <w:b/>
          <w:bCs/>
          <w:sz w:val="22"/>
          <w:szCs w:val="22"/>
        </w:rPr>
        <w:t>Related Literature/Studies</w:t>
      </w:r>
    </w:p>
    <w:p w14:paraId="25C7BFC2">
      <w:pPr>
        <w:spacing w:line="480" w:lineRule="auto"/>
        <w:ind w:firstLine="720"/>
        <w:jc w:val="both"/>
        <w:rPr>
          <w:rFonts w:ascii="Arial" w:hAnsi="Arial" w:cs="Arial"/>
          <w:sz w:val="22"/>
          <w:szCs w:val="22"/>
        </w:rPr>
      </w:pPr>
      <w:r>
        <w:rPr>
          <w:rFonts w:ascii="Arial" w:hAnsi="Arial" w:cs="Arial"/>
          <w:sz w:val="22"/>
          <w:szCs w:val="22"/>
        </w:rPr>
        <w:t xml:space="preserve">Bai, Chen, and Liu (2021) created a data-driven method for predicting employability by utilizing various machine learning models. They found that using a mix of algorithms improves both prediction accuracy and interpretability. Similarly, Du et al. (2024) used a combination of clustering and rule-based models to forecast graduate employability, highlighting that merging clustering with rule-mining techniques boosts prediction reliability. These findings are in line with the current research, which combines Gaussian Mixture Models (GMM) and ECLAT algorithms to detect employability patterns and provide career recommendations. </w:t>
      </w:r>
    </w:p>
    <w:p w14:paraId="0BF5616D">
      <w:pPr>
        <w:spacing w:line="480" w:lineRule="auto"/>
        <w:ind w:firstLine="720"/>
        <w:jc w:val="both"/>
        <w:rPr>
          <w:rFonts w:ascii="Arial" w:hAnsi="Arial" w:cs="Arial"/>
          <w:sz w:val="22"/>
          <w:szCs w:val="22"/>
        </w:rPr>
      </w:pPr>
      <w:r>
        <w:rPr>
          <w:rFonts w:ascii="Arial" w:hAnsi="Arial" w:cs="Arial"/>
          <w:sz w:val="22"/>
          <w:szCs w:val="22"/>
        </w:rPr>
        <w:t xml:space="preserve">Moumen et al. (2022) and Muhammad et al. (2023) also investigated machine learning techniques for predicting student employability, showing that educational and behavioral data can effectively represent employability traits. However, their methods primarily relied on classification algorithms like decision trees and support vector machines. In contrast, the current study employs unsupervised learning through clustering to uncover hidden groups of employability without predefined labels. Additionally, Fang (2023) examined data mining in sustainable education for employment, emphasizing that data-driven systems help align educational outcomes with industry needs, which aligns with this study's goal of connecting academic preparation with job market demands. </w:t>
      </w:r>
    </w:p>
    <w:p w14:paraId="31741ED7">
      <w:pPr>
        <w:spacing w:line="480" w:lineRule="auto"/>
        <w:ind w:firstLine="720"/>
        <w:jc w:val="both"/>
        <w:rPr>
          <w:rFonts w:ascii="Arial" w:hAnsi="Arial" w:cs="Arial"/>
          <w:sz w:val="22"/>
          <w:szCs w:val="22"/>
        </w:rPr>
      </w:pPr>
      <w:r>
        <w:rPr>
          <w:rFonts w:ascii="Arial" w:hAnsi="Arial" w:cs="Arial"/>
          <w:sz w:val="22"/>
          <w:szCs w:val="22"/>
        </w:rPr>
        <w:t xml:space="preserve">García-Álvarez et al. (2022) performed a systematic literature review on employability skills and digital competencies, identifying adaptability and technological literacy as crucial indicators of employability in the digital age. This is echoed by Mpia et al. (2023), who found that digital readiness significantly impacts employment opportunities in their review of global employability data mining studies. Mezhoudi et al. (2023) further explored existing employability prediction methods, concluding that data mining and clustering are still underutilized in comprehensive employability analysis. </w:t>
      </w:r>
    </w:p>
    <w:p w14:paraId="791D7F0D">
      <w:pPr>
        <w:spacing w:line="480" w:lineRule="auto"/>
        <w:ind w:firstLine="720"/>
        <w:jc w:val="both"/>
        <w:rPr>
          <w:rFonts w:ascii="Arial" w:hAnsi="Arial" w:cs="Arial"/>
          <w:sz w:val="22"/>
          <w:szCs w:val="22"/>
        </w:rPr>
      </w:pPr>
      <w:r>
        <w:rPr>
          <w:rFonts w:ascii="Arial" w:hAnsi="Arial" w:cs="Arial"/>
          <w:sz w:val="22"/>
          <w:szCs w:val="22"/>
        </w:rPr>
        <w:t xml:space="preserve">Li et al. (2023) introduced an enhanced ECLAT algorithm for more efficient association rule mining, demonstrating its effectiveness with large datasets. The current study applies a similar algorithmic approach to extract patterns from survey responses, showcasing ECLAT's versatility beyond industrial contexts. Malika (2024) also pointed out that data mining techniques can reveal hidden relationships between student skills and employability potential, supporting the use of ARM methods in educational prediction models. </w:t>
      </w:r>
    </w:p>
    <w:p w14:paraId="4911046D">
      <w:pPr>
        <w:spacing w:line="480" w:lineRule="auto"/>
        <w:ind w:firstLine="720"/>
        <w:jc w:val="both"/>
        <w:rPr>
          <w:rFonts w:ascii="Arial" w:hAnsi="Arial" w:cs="Arial"/>
          <w:sz w:val="22"/>
          <w:szCs w:val="22"/>
        </w:rPr>
      </w:pPr>
      <w:r>
        <w:rPr>
          <w:rFonts w:ascii="Arial" w:hAnsi="Arial" w:cs="Arial"/>
          <w:sz w:val="22"/>
          <w:szCs w:val="22"/>
        </w:rPr>
        <w:t xml:space="preserve">Thakar et al. (2021) highlighted the significance of secondary attributes like personality, motivation, and communication skills in improving prediction accuracy. Although their work predates many of the studies reviewed, it remains essential for incorporating non-academic factors into employability analysis. Bhagavan et al. (2021) attempted to predict employability using the HLVQ algorithm, but their approach lacked interpretability, a concern that the proposed system addresses through clear association rules. </w:t>
      </w:r>
    </w:p>
    <w:p w14:paraId="33F651E1">
      <w:pPr>
        <w:spacing w:line="480" w:lineRule="auto"/>
        <w:ind w:firstLine="720"/>
        <w:jc w:val="both"/>
        <w:rPr>
          <w:rFonts w:ascii="Arial" w:hAnsi="Arial" w:cs="Arial"/>
          <w:sz w:val="22"/>
          <w:szCs w:val="22"/>
        </w:rPr>
      </w:pPr>
      <w:r>
        <w:rPr>
          <w:rFonts w:ascii="Arial" w:hAnsi="Arial" w:cs="Arial"/>
          <w:sz w:val="22"/>
          <w:szCs w:val="22"/>
        </w:rPr>
        <w:t xml:space="preserve">In the local context, Albina and Sumagaysay (2020) conducted a tracer study on Information Technology Education graduates, finding a strong link between academic performance, technical skills, and employability outcomes. Cruz and Encarnación (2021) used data mining techniques to analyze and predict employability, showing that integrating educational data enhances institutional decision-making. Similarly, Carada et al. (2022) evaluated perceived employability among senior high school graduates, identifying technical skills and soft skills as critical factors. </w:t>
      </w:r>
    </w:p>
    <w:p w14:paraId="59D6C5FA">
      <w:pPr>
        <w:spacing w:line="480" w:lineRule="auto"/>
        <w:ind w:firstLine="720"/>
        <w:jc w:val="both"/>
        <w:rPr>
          <w:rFonts w:ascii="Arial" w:hAnsi="Arial" w:cs="Arial"/>
          <w:sz w:val="22"/>
          <w:szCs w:val="22"/>
        </w:rPr>
      </w:pPr>
      <w:r>
        <w:rPr>
          <w:rFonts w:ascii="Arial" w:hAnsi="Arial" w:cs="Arial"/>
          <w:sz w:val="22"/>
          <w:szCs w:val="22"/>
        </w:rPr>
        <w:t xml:space="preserve">Bautista Jr. et al. (2023) explored the relevance of graduates' skills to their current jobs, concluding that aligning curricula with market demands improves employability. Meneses III (2023) also stressed the importance of technical and vocational education in preparing computer science graduates for employment. Basabe et al. (2023) conducted a tracer study at the University of Cebu, reporting that information technology skills and internships were vital for securing jobs. </w:t>
      </w:r>
    </w:p>
    <w:p w14:paraId="7E1B53F4">
      <w:pPr>
        <w:spacing w:line="480" w:lineRule="auto"/>
        <w:ind w:firstLine="720"/>
        <w:jc w:val="both"/>
        <w:rPr>
          <w:rFonts w:ascii="Arial" w:hAnsi="Arial" w:cs="Arial"/>
          <w:sz w:val="22"/>
          <w:szCs w:val="22"/>
        </w:rPr>
      </w:pPr>
      <w:r>
        <w:rPr>
          <w:rFonts w:ascii="Arial" w:hAnsi="Arial" w:cs="Arial"/>
          <w:sz w:val="22"/>
          <w:szCs w:val="22"/>
        </w:rPr>
        <w:t xml:space="preserve">Fajardo et al. (2024) applied a hybrid model that combines various data mining techniques to predict employability, similar to Du et al.'s (2024) approach, reinforcing the effectiveness of combining clustering and rule-mining methods. Mendoza (2025) utilized ensemble methods to forecast employability among Computer Studies students, highlighting the value of machine learning in providing data-driven insights into employability. Collectively, these local studies reflect a growing interest in using intelligent systems to evaluate and predict employability trends within the Philippine educational landscape. </w:t>
      </w:r>
    </w:p>
    <w:p w14:paraId="50FD9762">
      <w:pPr>
        <w:spacing w:line="480" w:lineRule="auto"/>
        <w:ind w:firstLine="720"/>
        <w:jc w:val="both"/>
        <w:rPr>
          <w:rFonts w:ascii="Arial" w:hAnsi="Arial" w:cs="Arial"/>
          <w:sz w:val="22"/>
          <w:szCs w:val="22"/>
        </w:rPr>
      </w:pPr>
      <w:r>
        <w:rPr>
          <w:rFonts w:ascii="Arial" w:hAnsi="Arial" w:cs="Arial"/>
          <w:sz w:val="22"/>
          <w:szCs w:val="22"/>
        </w:rPr>
        <w:t>Despite the advancements in these studies, most existing systems depend on supervised learning models that require labeled data, such as grades or employment status. Few have investigated clustering and association rule mining for employability prediction using survey-derived datasets, highlighting a gap that justifies the development of the proposed system.</w:t>
      </w:r>
    </w:p>
    <w:p w14:paraId="7170FC9B">
      <w:pPr>
        <w:spacing w:line="480" w:lineRule="auto"/>
        <w:jc w:val="both"/>
        <w:rPr>
          <w:rFonts w:ascii="Arial" w:hAnsi="Arial" w:cs="Arial"/>
          <w:b/>
          <w:bCs/>
          <w:sz w:val="22"/>
          <w:szCs w:val="22"/>
        </w:rPr>
      </w:pPr>
      <w:r>
        <w:rPr>
          <w:rFonts w:ascii="Arial" w:hAnsi="Arial" w:cs="Arial"/>
          <w:b/>
          <w:bCs/>
          <w:sz w:val="22"/>
          <w:szCs w:val="22"/>
        </w:rPr>
        <w:t>System Technical Background</w:t>
      </w:r>
    </w:p>
    <w:p w14:paraId="1857B71C">
      <w:pPr>
        <w:spacing w:line="480" w:lineRule="auto"/>
        <w:ind w:firstLine="720"/>
        <w:jc w:val="both"/>
        <w:rPr>
          <w:rFonts w:ascii="Arial" w:hAnsi="Arial" w:cs="Arial"/>
          <w:sz w:val="22"/>
          <w:szCs w:val="22"/>
        </w:rPr>
      </w:pPr>
      <w:r>
        <w:rPr>
          <w:rFonts w:ascii="Arial" w:hAnsi="Arial" w:cs="Arial"/>
          <w:sz w:val="22"/>
          <w:szCs w:val="22"/>
        </w:rPr>
        <w:t>The system is based on data mining and machine learning techniques, particularly unsupervised learning methods like clustering and Association Rule Mining (ARM). These methods help uncover patterns and connections in data collected from</w:t>
      </w:r>
      <w:r>
        <w:rPr>
          <w:rFonts w:hint="default" w:ascii="Arial" w:hAnsi="Arial" w:cs="Arial"/>
          <w:sz w:val="22"/>
          <w:szCs w:val="22"/>
          <w:lang w:val="en-US"/>
        </w:rPr>
        <w:t xml:space="preserve"> kaggle</w:t>
      </w:r>
      <w:r>
        <w:rPr>
          <w:rFonts w:ascii="Arial" w:hAnsi="Arial" w:cs="Arial"/>
          <w:sz w:val="22"/>
          <w:szCs w:val="22"/>
        </w:rPr>
        <w:t xml:space="preserve">. The data </w:t>
      </w:r>
      <w:r>
        <w:rPr>
          <w:rFonts w:hint="default" w:ascii="Arial" w:hAnsi="Arial" w:cs="Arial"/>
          <w:sz w:val="22"/>
          <w:szCs w:val="22"/>
          <w:lang w:val="en-US"/>
        </w:rPr>
        <w:t xml:space="preserve">gathered there </w:t>
      </w:r>
      <w:r>
        <w:rPr>
          <w:rFonts w:ascii="Arial" w:hAnsi="Arial" w:cs="Arial"/>
          <w:sz w:val="22"/>
          <w:szCs w:val="22"/>
        </w:rPr>
        <w:t xml:space="preserve">provides detailed information about job candidates and their employability </w:t>
      </w:r>
      <w:r>
        <w:rPr>
          <w:rFonts w:hint="default" w:ascii="Arial" w:hAnsi="Arial" w:cs="Arial"/>
          <w:sz w:val="22"/>
          <w:szCs w:val="22"/>
          <w:lang w:val="en-US"/>
        </w:rPr>
        <w:t>status</w:t>
      </w:r>
      <w:r>
        <w:rPr>
          <w:rFonts w:ascii="Arial" w:hAnsi="Arial" w:cs="Arial"/>
          <w:sz w:val="22"/>
          <w:szCs w:val="22"/>
        </w:rPr>
        <w:t>.</w:t>
      </w:r>
    </w:p>
    <w:p w14:paraId="5DD588B8">
      <w:pPr>
        <w:spacing w:line="480" w:lineRule="auto"/>
        <w:ind w:firstLine="720"/>
        <w:jc w:val="both"/>
        <w:rPr>
          <w:rFonts w:ascii="Arial" w:hAnsi="Arial" w:cs="Arial"/>
          <w:sz w:val="22"/>
          <w:szCs w:val="22"/>
        </w:rPr>
      </w:pPr>
      <w:r>
        <w:rPr>
          <w:rFonts w:ascii="Arial" w:hAnsi="Arial" w:cs="Arial"/>
          <w:sz w:val="22"/>
          <w:szCs w:val="22"/>
        </w:rPr>
        <w:t>For the clustering aspect, the system uses the Gaussian Mixture Model (GMM) algorithm. GMM is a probabilistic model that assumes data points come from a mix of several Gaussian distributions. This enables the system to categorize students into clusters that represent different employability profiles or skill sets. Unlike traditional methods like k-means, GMM allows for soft clustering, meaning a student can belong to multiple employability clusters with different probabilities. This approach offers a more refined view of individual capabilities, recognizing that people often have overlapping skills relevant to various career options.</w:t>
      </w:r>
    </w:p>
    <w:p w14:paraId="47159F65">
      <w:pPr>
        <w:spacing w:line="480" w:lineRule="auto"/>
        <w:ind w:firstLine="720"/>
        <w:jc w:val="both"/>
        <w:rPr>
          <w:rFonts w:ascii="Arial" w:hAnsi="Arial" w:cs="Arial"/>
          <w:sz w:val="22"/>
          <w:szCs w:val="22"/>
        </w:rPr>
      </w:pPr>
      <w:r>
        <w:rPr>
          <w:rFonts w:ascii="Arial" w:hAnsi="Arial" w:cs="Arial"/>
          <w:sz w:val="22"/>
          <w:szCs w:val="22"/>
        </w:rPr>
        <w:t>On the other hand, the Association Rule Mining component employs the ECLAT (Equivalence Class Clustering and bottom-up Lattice Traversal) algorithm. ECLAT is an effective algorithm for identifying relationships or frequent item-sets by intersecting transaction lists. In this study, ECLAT is used to find associations between specific skills, behaviors, and potential job roles. For example, a rule derived from the data might indicate that students with strong analytical and communication skills are often linked to positions like IT Consultant or Project Coordinator. These identified rules form the foundation for the career recommendations provided by the system.</w:t>
      </w:r>
    </w:p>
    <w:p w14:paraId="757B7F36">
      <w:pPr>
        <w:spacing w:line="480" w:lineRule="auto"/>
        <w:ind w:firstLine="720"/>
        <w:jc w:val="both"/>
        <w:rPr>
          <w:rFonts w:ascii="Arial" w:hAnsi="Arial" w:cs="Arial"/>
          <w:sz w:val="22"/>
          <w:szCs w:val="22"/>
        </w:rPr>
      </w:pPr>
      <w:r>
        <w:rPr>
          <w:rFonts w:ascii="Arial" w:hAnsi="Arial" w:cs="Arial"/>
          <w:sz w:val="22"/>
          <w:szCs w:val="22"/>
        </w:rPr>
        <w:t xml:space="preserve">To ensure the analysis is accurate and meaningful, the data goes through several preprocessing steps, including cleaning, normalization, and transformation. After processing, the data enters the mining phase where GMM conducts clustering and ECLAT extracts association rules. The outcomes are then presented through an easy-to-use interface, allowing users to see their employability category and receive relevant career recommendations. </w:t>
      </w:r>
    </w:p>
    <w:p w14:paraId="0EDE17FC">
      <w:pPr>
        <w:spacing w:line="480" w:lineRule="auto"/>
        <w:ind w:firstLine="720"/>
        <w:jc w:val="both"/>
        <w:rPr>
          <w:rFonts w:ascii="Arial" w:hAnsi="Arial" w:cs="Arial"/>
          <w:sz w:val="22"/>
          <w:szCs w:val="22"/>
        </w:rPr>
      </w:pPr>
      <w:r>
        <w:rPr>
          <w:rFonts w:ascii="Arial" w:hAnsi="Arial" w:cs="Arial"/>
          <w:sz w:val="22"/>
          <w:szCs w:val="22"/>
        </w:rPr>
        <w:t xml:space="preserve">The integration of GMM and ECLAT algorithms in the system offers a distinctive and effective way to predict employability and suggest career paths. Unlike many employability prediction models that depend on supervised algorithms such as Decision Trees, Neural Networks, or Random Forests, this research utilizes an unsupervised, pattern-based framework. </w:t>
      </w:r>
    </w:p>
    <w:p w14:paraId="7A7396BE">
      <w:pPr>
        <w:spacing w:line="480" w:lineRule="auto"/>
        <w:ind w:firstLine="720"/>
        <w:jc w:val="both"/>
        <w:rPr>
          <w:rFonts w:ascii="Arial" w:hAnsi="Arial" w:cs="Arial"/>
          <w:sz w:val="22"/>
          <w:szCs w:val="22"/>
        </w:rPr>
      </w:pPr>
      <w:r>
        <w:rPr>
          <w:rFonts w:ascii="Arial" w:hAnsi="Arial" w:cs="Arial"/>
          <w:sz w:val="22"/>
          <w:szCs w:val="22"/>
        </w:rPr>
        <w:t>This means it does not need pre-labeled training data and can derive insights directly from the built-in structure of the collected data. By leveraging these technologies, the system provides a more data-driven and flexible approach to evaluating employability. It helps educators, career advisors, and students understand the factors influencing employability and receive tailored career recommendations. Familiarity with these technical elements enhances readers' understanding of the related literature review and the theoretical basis of this research.</w:t>
      </w:r>
    </w:p>
    <w:p w14:paraId="7170FCAC">
      <w:pPr>
        <w:spacing w:line="480" w:lineRule="auto"/>
        <w:jc w:val="both"/>
        <w:rPr>
          <w:rFonts w:ascii="Arial" w:hAnsi="Arial" w:cs="Arial"/>
          <w:b/>
          <w:bCs/>
          <w:sz w:val="22"/>
          <w:szCs w:val="22"/>
        </w:rPr>
      </w:pPr>
      <w:r>
        <w:rPr>
          <w:rFonts w:ascii="Arial" w:hAnsi="Arial" w:cs="Arial"/>
          <w:b/>
          <w:bCs/>
          <w:sz w:val="22"/>
          <w:szCs w:val="22"/>
        </w:rPr>
        <w:t>Synthesis</w:t>
      </w:r>
    </w:p>
    <w:p w14:paraId="17806C41">
      <w:pPr>
        <w:spacing w:line="480" w:lineRule="auto"/>
        <w:ind w:firstLine="720"/>
        <w:jc w:val="both"/>
        <w:rPr>
          <w:rFonts w:ascii="Arial" w:hAnsi="Arial" w:cs="Arial"/>
          <w:sz w:val="22"/>
          <w:szCs w:val="22"/>
        </w:rPr>
      </w:pPr>
      <w:r>
        <w:rPr>
          <w:rFonts w:ascii="Arial" w:hAnsi="Arial" w:cs="Arial"/>
          <w:sz w:val="22"/>
          <w:szCs w:val="22"/>
        </w:rPr>
        <w:t xml:space="preserve">The literature and studies reviewed, both local and international, indicate that data mining and machine learning are crucial for predicting employability and mapping career paths. Many international studies, including those by Bai et al. (2021), Du et al. (2024), and Moumen et al. (2022), have concentrated on predictive modeling with machine learning, focusing on accuracy and the combination of algorithms. In contrast, local research, such as that by Albina and Sumagaysay (2020), Fajardo et al. (2024), and Mendoza (2025), has utilized similar techniques within Philippine educational institutions, emphasizing the factors that influence the employability of local graduates. </w:t>
      </w:r>
    </w:p>
    <w:p w14:paraId="2F96545F">
      <w:pPr>
        <w:spacing w:line="480" w:lineRule="auto"/>
        <w:ind w:firstLine="720"/>
        <w:jc w:val="both"/>
        <w:rPr>
          <w:rFonts w:ascii="Arial" w:hAnsi="Arial" w:cs="Arial"/>
          <w:sz w:val="22"/>
          <w:szCs w:val="22"/>
        </w:rPr>
      </w:pPr>
      <w:r>
        <w:rPr>
          <w:rFonts w:ascii="Arial" w:hAnsi="Arial" w:cs="Arial"/>
          <w:sz w:val="22"/>
          <w:szCs w:val="22"/>
        </w:rPr>
        <w:t>A key difference lies in the research methods: international studies typically draw on extensive datasets from diverse academic and institutional sources, whereas local research relies heavily on tracer surveys and direct student feedback</w:t>
      </w:r>
      <w:r>
        <w:rPr>
          <w:rFonts w:hint="default" w:ascii="Arial" w:hAnsi="Arial" w:cs="Arial"/>
          <w:sz w:val="22"/>
          <w:szCs w:val="22"/>
        </w:rPr>
        <w:t>. This creates a challenge in understanding employability patterns. International models might not fully capture unique local contexts, while local studies could miss broader trends found in larger datasets.</w:t>
      </w:r>
      <w:r>
        <w:rPr>
          <w:rFonts w:ascii="Arial" w:hAnsi="Arial" w:cs="Arial"/>
          <w:sz w:val="22"/>
          <w:szCs w:val="22"/>
        </w:rPr>
        <w:t xml:space="preserve"> </w:t>
      </w:r>
    </w:p>
    <w:p w14:paraId="743F4557">
      <w:pPr>
        <w:spacing w:line="480" w:lineRule="auto"/>
        <w:ind w:firstLine="720"/>
        <w:jc w:val="both"/>
        <w:rPr>
          <w:rFonts w:ascii="Arial" w:hAnsi="Arial" w:cs="Arial"/>
          <w:sz w:val="22"/>
          <w:szCs w:val="22"/>
        </w:rPr>
      </w:pPr>
      <w:r>
        <w:rPr>
          <w:rFonts w:ascii="Arial" w:hAnsi="Arial" w:cs="Arial"/>
          <w:sz w:val="22"/>
          <w:szCs w:val="22"/>
        </w:rPr>
        <w:t xml:space="preserve">Prior studies have mainly used supervised learning techniques, which can limit the discovery of new or hidden employability patterns. To address this, our study introduces a new approach that combines unsupervised learning techniques: the Gaussian Mixture Model (GMM) for clustering and ECLAT for association rule mining. This allows us to identify natural groupings of students based on employability characteristics and generate meaningful career recommendations without needing labeled data. </w:t>
      </w:r>
    </w:p>
    <w:p w14:paraId="7170FCB2">
      <w:pPr>
        <w:spacing w:line="480" w:lineRule="auto"/>
        <w:ind w:firstLine="720" w:firstLineChars="0"/>
        <w:jc w:val="both"/>
        <w:rPr>
          <w:rFonts w:ascii="Arial" w:hAnsi="Arial" w:cs="Arial"/>
          <w:sz w:val="22"/>
          <w:szCs w:val="22"/>
        </w:rPr>
      </w:pPr>
      <w:r>
        <w:rPr>
          <w:rFonts w:ascii="Arial" w:hAnsi="Arial" w:cs="Arial"/>
          <w:sz w:val="22"/>
          <w:szCs w:val="22"/>
        </w:rPr>
        <w:t xml:space="preserve">The value of this combination is that it brings together the strengths of both research styles. By merging clustering and association rule mining into a single predictive framework, </w:t>
      </w:r>
      <w:r>
        <w:rPr>
          <w:rFonts w:hint="default" w:ascii="Arial" w:hAnsi="Arial" w:cs="Arial"/>
          <w:sz w:val="22"/>
          <w:szCs w:val="22"/>
          <w:lang w:val="en-US"/>
        </w:rPr>
        <w:t>the researchers</w:t>
      </w:r>
      <w:r>
        <w:rPr>
          <w:rFonts w:ascii="Arial" w:hAnsi="Arial" w:cs="Arial"/>
          <w:sz w:val="22"/>
          <w:szCs w:val="22"/>
        </w:rPr>
        <w:t xml:space="preserve"> </w:t>
      </w:r>
      <w:r>
        <w:rPr>
          <w:rFonts w:hint="default" w:ascii="Arial" w:hAnsi="Arial" w:cs="Arial"/>
          <w:sz w:val="22"/>
          <w:szCs w:val="22"/>
          <w:lang w:val="en-US"/>
        </w:rPr>
        <w:t xml:space="preserve">can </w:t>
      </w:r>
      <w:r>
        <w:rPr>
          <w:rFonts w:ascii="Arial" w:hAnsi="Arial" w:cs="Arial"/>
          <w:sz w:val="22"/>
          <w:szCs w:val="22"/>
        </w:rPr>
        <w:t>create a method that is both data-driven and aware of local context for assessing how ready computer studies students are for employment. This approach contributes to both the theory and practice of employability analytics in academic settings, especially by overcoming the limits of current methods while staying sensitive to local educational environments.</w:t>
      </w:r>
    </w:p>
    <w:p w14:paraId="7E2A0A44">
      <w:pPr>
        <w:spacing w:line="480" w:lineRule="auto"/>
        <w:jc w:val="both"/>
        <w:rPr>
          <w:rFonts w:ascii="Arial" w:hAnsi="Arial" w:cs="Arial"/>
          <w:sz w:val="22"/>
          <w:szCs w:val="22"/>
        </w:rPr>
      </w:pPr>
    </w:p>
    <w:p w14:paraId="4B094F16">
      <w:pPr>
        <w:spacing w:line="480" w:lineRule="auto"/>
        <w:jc w:val="center"/>
        <w:rPr>
          <w:rFonts w:ascii="Arial" w:hAnsi="Arial" w:cs="Arial"/>
          <w:b/>
          <w:bCs/>
          <w:sz w:val="22"/>
          <w:szCs w:val="22"/>
        </w:rPr>
      </w:pPr>
    </w:p>
    <w:p w14:paraId="0F809CAF">
      <w:pPr>
        <w:spacing w:line="480" w:lineRule="auto"/>
        <w:jc w:val="center"/>
        <w:rPr>
          <w:rFonts w:ascii="Arial" w:hAnsi="Arial" w:cs="Arial"/>
          <w:b/>
          <w:bCs/>
          <w:sz w:val="22"/>
          <w:szCs w:val="22"/>
        </w:rPr>
      </w:pPr>
    </w:p>
    <w:p w14:paraId="4B00D885">
      <w:pPr>
        <w:spacing w:line="480" w:lineRule="auto"/>
        <w:jc w:val="both"/>
        <w:rPr>
          <w:rFonts w:ascii="Arial" w:hAnsi="Arial" w:cs="Arial"/>
          <w:b/>
          <w:bCs/>
          <w:sz w:val="22"/>
          <w:szCs w:val="22"/>
        </w:rPr>
      </w:pPr>
    </w:p>
    <w:p w14:paraId="4CB09AD3">
      <w:pPr>
        <w:spacing w:line="480" w:lineRule="auto"/>
        <w:jc w:val="center"/>
        <w:rPr>
          <w:rFonts w:ascii="Arial" w:hAnsi="Arial" w:cs="Arial"/>
          <w:b/>
          <w:bCs/>
          <w:sz w:val="22"/>
          <w:szCs w:val="22"/>
        </w:rPr>
      </w:pPr>
    </w:p>
    <w:p w14:paraId="7170FCB4">
      <w:pPr>
        <w:spacing w:line="480" w:lineRule="auto"/>
        <w:jc w:val="center"/>
        <w:rPr>
          <w:rFonts w:ascii="Arial" w:hAnsi="Arial" w:cs="Arial"/>
          <w:b/>
          <w:bCs/>
          <w:sz w:val="22"/>
          <w:szCs w:val="22"/>
        </w:rPr>
      </w:pPr>
      <w:r>
        <w:rPr>
          <w:rFonts w:ascii="Arial" w:hAnsi="Arial" w:cs="Arial"/>
          <w:b/>
          <w:bCs/>
          <w:sz w:val="22"/>
          <w:szCs w:val="22"/>
        </w:rPr>
        <w:t>REFERENCES</w:t>
      </w:r>
    </w:p>
    <w:p w14:paraId="7170FCB5">
      <w:pPr>
        <w:pStyle w:val="15"/>
        <w:spacing w:line="480" w:lineRule="auto"/>
        <w:rPr>
          <w:rFonts w:ascii="Arial" w:hAnsi="Arial" w:cs="Arial"/>
          <w:sz w:val="22"/>
          <w:szCs w:val="22"/>
        </w:rPr>
      </w:pPr>
      <w:r>
        <w:rPr>
          <w:rStyle w:val="16"/>
          <w:rFonts w:ascii="Arial" w:hAnsi="Arial" w:cs="Arial" w:eastAsiaTheme="majorEastAsia"/>
          <w:sz w:val="22"/>
          <w:szCs w:val="22"/>
        </w:rPr>
        <w:t>Foreign Studies</w:t>
      </w:r>
    </w:p>
    <w:p w14:paraId="6F230769">
      <w:pPr>
        <w:pStyle w:val="15"/>
        <w:numPr>
          <w:ilvl w:val="0"/>
          <w:numId w:val="1"/>
        </w:numPr>
        <w:spacing w:line="480" w:lineRule="auto"/>
        <w:rPr>
          <w:rFonts w:ascii="Arial" w:hAnsi="Arial" w:cs="Arial"/>
          <w:sz w:val="22"/>
          <w:szCs w:val="22"/>
        </w:rPr>
      </w:pPr>
      <w:r>
        <w:rPr>
          <w:rFonts w:ascii="Arial" w:hAnsi="Arial" w:cs="Arial"/>
          <w:sz w:val="22"/>
          <w:szCs w:val="22"/>
        </w:rPr>
        <w:t xml:space="preserve">Bai, H., Chen, Z., &amp; Liu, S. (2021). </w:t>
      </w:r>
      <w:r>
        <w:rPr>
          <w:rFonts w:ascii="Arial" w:hAnsi="Arial" w:cs="Arial"/>
          <w:i/>
          <w:iCs/>
          <w:sz w:val="22"/>
          <w:szCs w:val="22"/>
        </w:rPr>
        <w:t>A data-driven approach for employability prediction of university students using machine learning techniques.</w:t>
      </w:r>
      <w:r>
        <w:rPr>
          <w:rFonts w:ascii="Arial" w:hAnsi="Arial" w:cs="Arial"/>
          <w:sz w:val="22"/>
          <w:szCs w:val="22"/>
        </w:rPr>
        <w:t xml:space="preserve"> IEEE Access, 9, 121537–121549. </w:t>
      </w:r>
      <w:r>
        <w:fldChar w:fldCharType="begin"/>
      </w:r>
      <w:r>
        <w:instrText xml:space="preserve"> HYPERLINK "https://doi.org/10.1109/ACCESS.2021.3108120" </w:instrText>
      </w:r>
      <w:r>
        <w:fldChar w:fldCharType="separate"/>
      </w:r>
      <w:r>
        <w:rPr>
          <w:rStyle w:val="14"/>
          <w:rFonts w:ascii="Arial" w:hAnsi="Arial" w:cs="Arial"/>
          <w:sz w:val="22"/>
          <w:szCs w:val="22"/>
        </w:rPr>
        <w:t>https://doi.org/10.1109/ACCESS.2021.3108120</w:t>
      </w:r>
      <w:r>
        <w:rPr>
          <w:rStyle w:val="14"/>
          <w:rFonts w:ascii="Arial" w:hAnsi="Arial" w:cs="Arial"/>
          <w:sz w:val="22"/>
          <w:szCs w:val="22"/>
        </w:rPr>
        <w:fldChar w:fldCharType="end"/>
      </w:r>
    </w:p>
    <w:p w14:paraId="29A09B91">
      <w:pPr>
        <w:pStyle w:val="15"/>
        <w:numPr>
          <w:ilvl w:val="0"/>
          <w:numId w:val="1"/>
        </w:numPr>
        <w:spacing w:line="480" w:lineRule="auto"/>
        <w:rPr>
          <w:rFonts w:ascii="Arial" w:hAnsi="Arial" w:cs="Arial"/>
          <w:sz w:val="22"/>
          <w:szCs w:val="22"/>
        </w:rPr>
      </w:pPr>
      <w:r>
        <w:rPr>
          <w:rFonts w:ascii="Arial" w:hAnsi="Arial" w:cs="Arial"/>
          <w:sz w:val="22"/>
          <w:szCs w:val="22"/>
        </w:rPr>
        <w:t xml:space="preserve">Du, L., Zhang, J., Chen, X., &amp; Li, W. (2024). </w:t>
      </w:r>
      <w:r>
        <w:rPr>
          <w:rFonts w:ascii="Arial" w:hAnsi="Arial" w:cs="Arial"/>
          <w:i/>
          <w:iCs/>
          <w:sz w:val="22"/>
          <w:szCs w:val="22"/>
        </w:rPr>
        <w:t>Predicting graduate employability using hybrid clustering and rule-based models in higher education analytics.</w:t>
      </w:r>
      <w:r>
        <w:rPr>
          <w:rFonts w:ascii="Arial" w:hAnsi="Arial" w:cs="Arial"/>
          <w:sz w:val="22"/>
          <w:szCs w:val="22"/>
        </w:rPr>
        <w:t xml:space="preserve"> </w:t>
      </w:r>
      <w:r>
        <w:rPr>
          <w:rFonts w:ascii="Arial" w:hAnsi="Arial" w:cs="Arial"/>
          <w:i/>
          <w:iCs/>
          <w:sz w:val="22"/>
          <w:szCs w:val="22"/>
        </w:rPr>
        <w:t>Computers and Education: Artificial Intelligence, 6</w:t>
      </w:r>
      <w:r>
        <w:rPr>
          <w:rFonts w:ascii="Arial" w:hAnsi="Arial" w:cs="Arial"/>
          <w:sz w:val="22"/>
          <w:szCs w:val="22"/>
        </w:rPr>
        <w:t xml:space="preserve">(2), 100240. </w:t>
      </w:r>
      <w:r>
        <w:fldChar w:fldCharType="begin"/>
      </w:r>
      <w:r>
        <w:instrText xml:space="preserve"> HYPERLINK "https://doi.org/10.1016/j.caeai.2024.100240" </w:instrText>
      </w:r>
      <w:r>
        <w:fldChar w:fldCharType="separate"/>
      </w:r>
      <w:r>
        <w:rPr>
          <w:rStyle w:val="14"/>
          <w:rFonts w:ascii="Arial" w:hAnsi="Arial" w:cs="Arial"/>
          <w:sz w:val="22"/>
          <w:szCs w:val="22"/>
        </w:rPr>
        <w:t>https://doi.org/10.1016/j.caeai.2024.100240</w:t>
      </w:r>
      <w:r>
        <w:rPr>
          <w:rStyle w:val="14"/>
          <w:rFonts w:ascii="Arial" w:hAnsi="Arial" w:cs="Arial"/>
          <w:sz w:val="22"/>
          <w:szCs w:val="22"/>
        </w:rPr>
        <w:fldChar w:fldCharType="end"/>
      </w:r>
    </w:p>
    <w:p w14:paraId="604ACA22">
      <w:pPr>
        <w:pStyle w:val="15"/>
        <w:numPr>
          <w:ilvl w:val="0"/>
          <w:numId w:val="1"/>
        </w:numPr>
        <w:spacing w:line="480" w:lineRule="auto"/>
        <w:rPr>
          <w:rFonts w:ascii="Arial" w:hAnsi="Arial" w:cs="Arial"/>
          <w:sz w:val="22"/>
          <w:szCs w:val="22"/>
        </w:rPr>
      </w:pPr>
      <w:r>
        <w:rPr>
          <w:rFonts w:ascii="Arial" w:hAnsi="Arial" w:cs="Arial"/>
          <w:sz w:val="22"/>
          <w:szCs w:val="22"/>
        </w:rPr>
        <w:t xml:space="preserve">Muhammad, H. B., Miyim, M. A., &amp; Dauda, A. S. (2023). </w:t>
      </w:r>
      <w:r>
        <w:rPr>
          <w:rFonts w:ascii="Arial" w:hAnsi="Arial" w:cs="Arial"/>
          <w:i/>
          <w:iCs/>
          <w:sz w:val="22"/>
          <w:szCs w:val="22"/>
        </w:rPr>
        <w:t>Machine learning for predicting students’ employability.</w:t>
      </w:r>
      <w:r>
        <w:rPr>
          <w:rFonts w:ascii="Arial" w:hAnsi="Arial" w:cs="Arial"/>
          <w:sz w:val="22"/>
          <w:szCs w:val="22"/>
        </w:rPr>
        <w:t xml:space="preserve"> </w:t>
      </w:r>
      <w:r>
        <w:rPr>
          <w:rFonts w:ascii="Arial" w:hAnsi="Arial" w:cs="Arial"/>
          <w:i/>
          <w:iCs/>
          <w:sz w:val="22"/>
          <w:szCs w:val="22"/>
        </w:rPr>
        <w:t>UMYU Scientifica, 2</w:t>
      </w:r>
      <w:r>
        <w:rPr>
          <w:rFonts w:ascii="Arial" w:hAnsi="Arial" w:cs="Arial"/>
          <w:sz w:val="22"/>
          <w:szCs w:val="22"/>
        </w:rPr>
        <w:t xml:space="preserve">(1), 241–253. </w:t>
      </w:r>
      <w:r>
        <w:fldChar w:fldCharType="begin"/>
      </w:r>
      <w:r>
        <w:instrText xml:space="preserve"> HYPERLINK "https://doi.org/10.56919/usci.2123_001" \t "_new" </w:instrText>
      </w:r>
      <w:r>
        <w:fldChar w:fldCharType="separate"/>
      </w:r>
      <w:r>
        <w:rPr>
          <w:rStyle w:val="14"/>
          <w:rFonts w:ascii="Arial" w:hAnsi="Arial" w:cs="Arial"/>
          <w:sz w:val="22"/>
          <w:szCs w:val="22"/>
        </w:rPr>
        <w:t>https://doi.org/10.56919/usci.2123_001</w:t>
      </w:r>
      <w:r>
        <w:rPr>
          <w:rStyle w:val="14"/>
          <w:rFonts w:ascii="Arial" w:hAnsi="Arial" w:cs="Arial"/>
          <w:sz w:val="22"/>
          <w:szCs w:val="22"/>
        </w:rPr>
        <w:fldChar w:fldCharType="end"/>
      </w:r>
    </w:p>
    <w:p w14:paraId="090D7EA1">
      <w:pPr>
        <w:pStyle w:val="15"/>
        <w:numPr>
          <w:ilvl w:val="0"/>
          <w:numId w:val="1"/>
        </w:numPr>
        <w:spacing w:line="480" w:lineRule="auto"/>
        <w:rPr>
          <w:rFonts w:ascii="Arial" w:hAnsi="Arial" w:cs="Arial"/>
          <w:sz w:val="22"/>
          <w:szCs w:val="22"/>
        </w:rPr>
      </w:pPr>
      <w:r>
        <w:rPr>
          <w:rFonts w:ascii="Arial" w:hAnsi="Arial" w:cs="Arial"/>
          <w:sz w:val="22"/>
          <w:szCs w:val="22"/>
        </w:rPr>
        <w:t xml:space="preserve">Fang, F. (2023). </w:t>
      </w:r>
      <w:r>
        <w:rPr>
          <w:rFonts w:ascii="Arial" w:hAnsi="Arial" w:cs="Arial"/>
          <w:i/>
          <w:iCs/>
          <w:sz w:val="22"/>
          <w:szCs w:val="22"/>
        </w:rPr>
        <w:t>A study on the application of data mining techniques in the management of sustainable education for employment.</w:t>
      </w:r>
      <w:r>
        <w:rPr>
          <w:rFonts w:ascii="Arial" w:hAnsi="Arial" w:cs="Arial"/>
          <w:sz w:val="22"/>
          <w:szCs w:val="22"/>
        </w:rPr>
        <w:t xml:space="preserve"> </w:t>
      </w:r>
      <w:r>
        <w:rPr>
          <w:rFonts w:ascii="Arial" w:hAnsi="Arial" w:cs="Arial"/>
          <w:i/>
          <w:iCs/>
          <w:sz w:val="22"/>
          <w:szCs w:val="22"/>
        </w:rPr>
        <w:t>Data Science Journal, 22</w:t>
      </w:r>
      <w:r>
        <w:rPr>
          <w:rFonts w:ascii="Arial" w:hAnsi="Arial" w:cs="Arial"/>
          <w:sz w:val="22"/>
          <w:szCs w:val="22"/>
        </w:rPr>
        <w:t xml:space="preserve">(23), 1–13. </w:t>
      </w:r>
      <w:r>
        <w:fldChar w:fldCharType="begin"/>
      </w:r>
      <w:r>
        <w:instrText xml:space="preserve"> HYPERLINK "https://doi.org/10.5334/dsj-2023-023" \t "_new" </w:instrText>
      </w:r>
      <w:r>
        <w:fldChar w:fldCharType="separate"/>
      </w:r>
      <w:r>
        <w:rPr>
          <w:rStyle w:val="14"/>
          <w:rFonts w:ascii="Arial" w:hAnsi="Arial" w:cs="Arial"/>
          <w:sz w:val="22"/>
          <w:szCs w:val="22"/>
        </w:rPr>
        <w:t>https://doi.org/10.5334/dsj-2023-023</w:t>
      </w:r>
      <w:r>
        <w:rPr>
          <w:rStyle w:val="14"/>
          <w:rFonts w:ascii="Arial" w:hAnsi="Arial" w:cs="Arial"/>
          <w:sz w:val="22"/>
          <w:szCs w:val="22"/>
        </w:rPr>
        <w:fldChar w:fldCharType="end"/>
      </w:r>
    </w:p>
    <w:p w14:paraId="33D39B40">
      <w:pPr>
        <w:pStyle w:val="15"/>
        <w:numPr>
          <w:ilvl w:val="0"/>
          <w:numId w:val="1"/>
        </w:numPr>
        <w:spacing w:line="480" w:lineRule="auto"/>
        <w:rPr>
          <w:rFonts w:ascii="Arial" w:hAnsi="Arial" w:cs="Arial"/>
          <w:sz w:val="22"/>
          <w:szCs w:val="22"/>
        </w:rPr>
      </w:pPr>
      <w:r>
        <w:rPr>
          <w:rFonts w:ascii="Arial" w:hAnsi="Arial" w:cs="Arial"/>
          <w:sz w:val="22"/>
          <w:szCs w:val="22"/>
        </w:rPr>
        <w:t xml:space="preserve">García-Álvarez, D., Hernández-Linares, R., &amp; Blanco-Mazagatos, V. (2022). Employability skills and digital competencies in higher education: A systematic literature review. Education and Information Technologies, 27, 13451–13474. </w:t>
      </w:r>
      <w:r>
        <w:fldChar w:fldCharType="begin"/>
      </w:r>
      <w:r>
        <w:instrText xml:space="preserve"> HYPERLINK "https://doi.org/10.1007/s10639-022-11012-7" </w:instrText>
      </w:r>
      <w:r>
        <w:fldChar w:fldCharType="separate"/>
      </w:r>
      <w:r>
        <w:rPr>
          <w:rStyle w:val="14"/>
          <w:rFonts w:ascii="Arial" w:hAnsi="Arial" w:cs="Arial"/>
          <w:sz w:val="22"/>
          <w:szCs w:val="22"/>
        </w:rPr>
        <w:t>https://doi.org/10.1007/s10639-022-11012-7</w:t>
      </w:r>
      <w:r>
        <w:rPr>
          <w:rStyle w:val="14"/>
          <w:rFonts w:ascii="Arial" w:hAnsi="Arial" w:cs="Arial"/>
          <w:sz w:val="22"/>
          <w:szCs w:val="22"/>
        </w:rPr>
        <w:fldChar w:fldCharType="end"/>
      </w:r>
    </w:p>
    <w:p w14:paraId="6FC6D70E">
      <w:pPr>
        <w:pStyle w:val="15"/>
        <w:numPr>
          <w:ilvl w:val="0"/>
          <w:numId w:val="1"/>
        </w:numPr>
        <w:spacing w:line="480" w:lineRule="auto"/>
        <w:rPr>
          <w:rFonts w:ascii="Arial" w:hAnsi="Arial" w:cs="Arial"/>
          <w:sz w:val="22"/>
          <w:szCs w:val="22"/>
        </w:rPr>
      </w:pPr>
      <w:r>
        <w:rPr>
          <w:rFonts w:ascii="Arial" w:hAnsi="Arial" w:cs="Arial"/>
          <w:sz w:val="22"/>
          <w:szCs w:val="22"/>
        </w:rPr>
        <w:t xml:space="preserve">Li, Q., Wang, Y., &amp; Zhou, F. (2023). </w:t>
      </w:r>
      <w:r>
        <w:rPr>
          <w:rFonts w:ascii="Arial" w:hAnsi="Arial" w:cs="Arial"/>
          <w:i/>
          <w:iCs/>
          <w:sz w:val="22"/>
          <w:szCs w:val="22"/>
        </w:rPr>
        <w:t>An improved ECLAT algorithm-based association rules mining method for failure status information and remanufacturing machining schemes of retired products.</w:t>
      </w:r>
      <w:r>
        <w:rPr>
          <w:rFonts w:ascii="Arial" w:hAnsi="Arial" w:cs="Arial"/>
          <w:sz w:val="22"/>
          <w:szCs w:val="22"/>
        </w:rPr>
        <w:t xml:space="preserve"> </w:t>
      </w:r>
      <w:r>
        <w:rPr>
          <w:rFonts w:ascii="Arial" w:hAnsi="Arial" w:cs="Arial"/>
          <w:i/>
          <w:iCs/>
          <w:sz w:val="22"/>
          <w:szCs w:val="22"/>
        </w:rPr>
        <w:t>Procedia CIRP, 118</w:t>
      </w:r>
      <w:r>
        <w:rPr>
          <w:rFonts w:ascii="Arial" w:hAnsi="Arial" w:cs="Arial"/>
          <w:sz w:val="22"/>
          <w:szCs w:val="22"/>
        </w:rPr>
        <w:t xml:space="preserve">, 572–577. </w:t>
      </w:r>
      <w:r>
        <w:fldChar w:fldCharType="begin"/>
      </w:r>
      <w:r>
        <w:instrText xml:space="preserve"> HYPERLINK "https://doi.org/10.1016/j.procir.2023.06.098" </w:instrText>
      </w:r>
      <w:r>
        <w:fldChar w:fldCharType="separate"/>
      </w:r>
      <w:r>
        <w:rPr>
          <w:rStyle w:val="14"/>
          <w:rFonts w:ascii="Arial" w:hAnsi="Arial" w:cs="Arial"/>
          <w:sz w:val="22"/>
          <w:szCs w:val="22"/>
        </w:rPr>
        <w:t>https://doi.org/10.1016/j.procir.2023.06.098</w:t>
      </w:r>
      <w:r>
        <w:rPr>
          <w:rStyle w:val="14"/>
          <w:rFonts w:ascii="Arial" w:hAnsi="Arial" w:cs="Arial"/>
          <w:sz w:val="22"/>
          <w:szCs w:val="22"/>
        </w:rPr>
        <w:fldChar w:fldCharType="end"/>
      </w:r>
    </w:p>
    <w:p w14:paraId="45AA3092">
      <w:pPr>
        <w:pStyle w:val="15"/>
        <w:numPr>
          <w:ilvl w:val="0"/>
          <w:numId w:val="1"/>
        </w:numPr>
        <w:spacing w:line="480" w:lineRule="auto"/>
        <w:rPr>
          <w:rFonts w:ascii="Arial" w:hAnsi="Arial" w:cs="Arial"/>
          <w:sz w:val="22"/>
          <w:szCs w:val="22"/>
        </w:rPr>
      </w:pPr>
      <w:r>
        <w:rPr>
          <w:rFonts w:ascii="Arial" w:hAnsi="Arial" w:cs="Arial"/>
          <w:sz w:val="22"/>
          <w:szCs w:val="22"/>
        </w:rPr>
        <w:t>Bhagavan, K. S., Thangakumar, J., &amp; Subramanian, D. V. (2021). RETRACTED ARTICLE: Predictive analysis of student academic performance and employability chances using HLVQ algorithm. </w:t>
      </w:r>
      <w:r>
        <w:rPr>
          <w:rFonts w:ascii="Arial" w:hAnsi="Arial" w:cs="Arial"/>
          <w:i/>
          <w:iCs/>
          <w:sz w:val="22"/>
          <w:szCs w:val="22"/>
        </w:rPr>
        <w:t>Journal of Ambient Intelligence and Humanized Computing</w:t>
      </w:r>
      <w:r>
        <w:rPr>
          <w:rFonts w:ascii="Arial" w:hAnsi="Arial" w:cs="Arial"/>
          <w:sz w:val="22"/>
          <w:szCs w:val="22"/>
        </w:rPr>
        <w:t>, </w:t>
      </w:r>
      <w:r>
        <w:rPr>
          <w:rFonts w:ascii="Arial" w:hAnsi="Arial" w:cs="Arial"/>
          <w:i/>
          <w:iCs/>
          <w:sz w:val="22"/>
          <w:szCs w:val="22"/>
        </w:rPr>
        <w:t>12</w:t>
      </w:r>
      <w:r>
        <w:rPr>
          <w:rFonts w:ascii="Arial" w:hAnsi="Arial" w:cs="Arial"/>
          <w:sz w:val="22"/>
          <w:szCs w:val="22"/>
        </w:rPr>
        <w:t>(3), 3789-3797.</w:t>
      </w:r>
    </w:p>
    <w:p w14:paraId="24047661">
      <w:pPr>
        <w:pStyle w:val="15"/>
        <w:numPr>
          <w:ilvl w:val="0"/>
          <w:numId w:val="1"/>
        </w:numPr>
        <w:spacing w:line="480" w:lineRule="auto"/>
        <w:rPr>
          <w:rFonts w:ascii="Arial" w:hAnsi="Arial" w:cs="Arial"/>
          <w:sz w:val="22"/>
          <w:szCs w:val="22"/>
        </w:rPr>
      </w:pPr>
      <w:r>
        <w:rPr>
          <w:rFonts w:ascii="Arial" w:hAnsi="Arial" w:cs="Arial"/>
          <w:sz w:val="22"/>
          <w:szCs w:val="22"/>
        </w:rPr>
        <w:t>Baffa, M. H., Miyim, M. A., &amp; Dauda, A. S. (2023). Machine learning for predicting students’ employability. </w:t>
      </w:r>
      <w:r>
        <w:rPr>
          <w:rFonts w:ascii="Arial" w:hAnsi="Arial" w:cs="Arial"/>
          <w:i/>
          <w:iCs/>
          <w:sz w:val="22"/>
          <w:szCs w:val="22"/>
        </w:rPr>
        <w:t>UMYU Scientifica</w:t>
      </w:r>
      <w:r>
        <w:rPr>
          <w:rFonts w:ascii="Arial" w:hAnsi="Arial" w:cs="Arial"/>
          <w:sz w:val="22"/>
          <w:szCs w:val="22"/>
        </w:rPr>
        <w:t>, </w:t>
      </w:r>
      <w:r>
        <w:rPr>
          <w:rFonts w:ascii="Arial" w:hAnsi="Arial" w:cs="Arial"/>
          <w:i/>
          <w:iCs/>
          <w:sz w:val="22"/>
          <w:szCs w:val="22"/>
        </w:rPr>
        <w:t>2</w:t>
      </w:r>
      <w:r>
        <w:rPr>
          <w:rFonts w:ascii="Arial" w:hAnsi="Arial" w:cs="Arial"/>
          <w:sz w:val="22"/>
          <w:szCs w:val="22"/>
        </w:rPr>
        <w:t>(1), 001-009.</w:t>
      </w:r>
    </w:p>
    <w:p w14:paraId="303CE501">
      <w:pPr>
        <w:pStyle w:val="15"/>
        <w:numPr>
          <w:ilvl w:val="0"/>
          <w:numId w:val="1"/>
        </w:numPr>
        <w:spacing w:line="480" w:lineRule="auto"/>
        <w:rPr>
          <w:rFonts w:ascii="Arial" w:hAnsi="Arial" w:cs="Arial"/>
          <w:sz w:val="22"/>
          <w:szCs w:val="22"/>
        </w:rPr>
      </w:pPr>
      <w:r>
        <w:rPr>
          <w:rFonts w:ascii="Arial" w:hAnsi="Arial" w:cs="Arial"/>
          <w:sz w:val="22"/>
          <w:szCs w:val="22"/>
        </w:rPr>
        <w:t>Malika, S. M. M. (2024). DATA MINING FOR STUDENTS’EMPLOYABILITY PREDICTION. </w:t>
      </w:r>
      <w:r>
        <w:rPr>
          <w:rFonts w:ascii="Arial" w:hAnsi="Arial" w:cs="Arial"/>
          <w:i/>
          <w:iCs/>
          <w:sz w:val="22"/>
          <w:szCs w:val="22"/>
        </w:rPr>
        <w:t>International Journal of Novel Research and Development (IJNRD). Sri Lanka Institute of Advanced Technological Education (SLIATE), Colombo, Sri Lanka</w:t>
      </w:r>
      <w:r>
        <w:rPr>
          <w:rFonts w:ascii="Arial" w:hAnsi="Arial" w:cs="Arial"/>
          <w:sz w:val="22"/>
          <w:szCs w:val="22"/>
        </w:rPr>
        <w:t>.</w:t>
      </w:r>
    </w:p>
    <w:p w14:paraId="6470FBCA">
      <w:pPr>
        <w:pStyle w:val="15"/>
        <w:numPr>
          <w:ilvl w:val="0"/>
          <w:numId w:val="1"/>
        </w:numPr>
        <w:spacing w:line="480" w:lineRule="auto"/>
        <w:rPr>
          <w:rFonts w:ascii="Arial" w:hAnsi="Arial" w:cs="Arial"/>
          <w:sz w:val="22"/>
          <w:szCs w:val="22"/>
        </w:rPr>
      </w:pPr>
      <w:r>
        <w:rPr>
          <w:rFonts w:ascii="Arial" w:hAnsi="Arial" w:cs="Arial"/>
          <w:sz w:val="22"/>
          <w:szCs w:val="22"/>
        </w:rPr>
        <w:t>Moumen, A., El Bakkouri, I., Hamza Kadimi, A. Z., Sardi, I., Saad, M., Tebaa, Z. B., &amp; Baraka, H. (2022). Machine learning for students employability prediction. In </w:t>
      </w:r>
      <w:r>
        <w:rPr>
          <w:rFonts w:ascii="Arial" w:hAnsi="Arial" w:cs="Arial"/>
          <w:i/>
          <w:iCs/>
          <w:sz w:val="22"/>
          <w:szCs w:val="22"/>
        </w:rPr>
        <w:t>Proceedings of the 2nd International conference on big data, modelling and machine learning (BML 2021)</w:t>
      </w:r>
      <w:r>
        <w:rPr>
          <w:rFonts w:ascii="Arial" w:hAnsi="Arial" w:cs="Arial"/>
          <w:sz w:val="22"/>
          <w:szCs w:val="22"/>
        </w:rPr>
        <w:t> (pp. 274-278).</w:t>
      </w:r>
    </w:p>
    <w:p w14:paraId="5AE3499D">
      <w:pPr>
        <w:pStyle w:val="15"/>
        <w:numPr>
          <w:ilvl w:val="0"/>
          <w:numId w:val="1"/>
        </w:numPr>
        <w:spacing w:line="480" w:lineRule="auto"/>
        <w:rPr>
          <w:rFonts w:ascii="Arial" w:hAnsi="Arial" w:cs="Arial"/>
          <w:sz w:val="22"/>
          <w:szCs w:val="22"/>
        </w:rPr>
      </w:pPr>
      <w:r>
        <w:rPr>
          <w:rFonts w:ascii="Arial" w:hAnsi="Arial" w:cs="Arial"/>
          <w:sz w:val="22"/>
          <w:szCs w:val="22"/>
        </w:rPr>
        <w:t xml:space="preserve">Mpia, H. N., Mburu, L. W., &amp; Mwendia, S. N. (2023). Applying Data Mining in Graduates’ Employability: A Systematic Literature Review. </w:t>
      </w:r>
      <w:r>
        <w:rPr>
          <w:rFonts w:ascii="Arial" w:hAnsi="Arial" w:cs="Arial"/>
          <w:i/>
          <w:iCs/>
          <w:sz w:val="22"/>
          <w:szCs w:val="22"/>
        </w:rPr>
        <w:t>International Journal of Engineering Pedagogy (iJEP), 13</w:t>
      </w:r>
      <w:r>
        <w:rPr>
          <w:rFonts w:ascii="Arial" w:hAnsi="Arial" w:cs="Arial"/>
          <w:sz w:val="22"/>
          <w:szCs w:val="22"/>
        </w:rPr>
        <w:t xml:space="preserve">(2), 86–108. </w:t>
      </w:r>
      <w:r>
        <w:fldChar w:fldCharType="begin"/>
      </w:r>
      <w:r>
        <w:instrText xml:space="preserve"> HYPERLINK "https://doi.org/10.3991/ijep.v13i2.33643" </w:instrText>
      </w:r>
      <w:r>
        <w:fldChar w:fldCharType="separate"/>
      </w:r>
      <w:r>
        <w:rPr>
          <w:rStyle w:val="14"/>
          <w:rFonts w:ascii="Arial" w:hAnsi="Arial" w:cs="Arial"/>
          <w:sz w:val="22"/>
          <w:szCs w:val="22"/>
        </w:rPr>
        <w:t>https://doi.org/10.3991/ijep.v13i2.33643</w:t>
      </w:r>
      <w:r>
        <w:rPr>
          <w:rStyle w:val="14"/>
          <w:rFonts w:ascii="Arial" w:hAnsi="Arial" w:cs="Arial"/>
          <w:sz w:val="22"/>
          <w:szCs w:val="22"/>
        </w:rPr>
        <w:fldChar w:fldCharType="end"/>
      </w:r>
    </w:p>
    <w:p w14:paraId="07054520">
      <w:pPr>
        <w:pStyle w:val="15"/>
        <w:numPr>
          <w:ilvl w:val="0"/>
          <w:numId w:val="1"/>
        </w:numPr>
        <w:spacing w:line="480" w:lineRule="auto"/>
        <w:rPr>
          <w:rFonts w:ascii="Arial" w:hAnsi="Arial" w:cs="Arial"/>
          <w:sz w:val="22"/>
          <w:szCs w:val="22"/>
        </w:rPr>
      </w:pPr>
      <w:r>
        <w:rPr>
          <w:rFonts w:ascii="Arial" w:hAnsi="Arial" w:cs="Arial"/>
          <w:sz w:val="22"/>
          <w:szCs w:val="22"/>
        </w:rPr>
        <w:t>Mezhoudi, N., Alghamdi, R., Aljunaid, R., Krichna, G., &amp; Düştegör, D. (2023). Employability prediction: a survey of current approaches, research challenges and applications. </w:t>
      </w:r>
      <w:r>
        <w:rPr>
          <w:rFonts w:ascii="Arial" w:hAnsi="Arial" w:cs="Arial"/>
          <w:i/>
          <w:iCs/>
          <w:sz w:val="22"/>
          <w:szCs w:val="22"/>
        </w:rPr>
        <w:t>Journal of Ambient Intelligence and Humanized Computing</w:t>
      </w:r>
      <w:r>
        <w:rPr>
          <w:rFonts w:ascii="Arial" w:hAnsi="Arial" w:cs="Arial"/>
          <w:sz w:val="22"/>
          <w:szCs w:val="22"/>
        </w:rPr>
        <w:t>, </w:t>
      </w:r>
      <w:r>
        <w:rPr>
          <w:rFonts w:ascii="Arial" w:hAnsi="Arial" w:cs="Arial"/>
          <w:i/>
          <w:iCs/>
          <w:sz w:val="22"/>
          <w:szCs w:val="22"/>
        </w:rPr>
        <w:t>14</w:t>
      </w:r>
      <w:r>
        <w:rPr>
          <w:rFonts w:ascii="Arial" w:hAnsi="Arial" w:cs="Arial"/>
          <w:sz w:val="22"/>
          <w:szCs w:val="22"/>
        </w:rPr>
        <w:t>(3), 1489-1505.</w:t>
      </w:r>
    </w:p>
    <w:p w14:paraId="07D0CACC">
      <w:pPr>
        <w:pStyle w:val="15"/>
        <w:numPr>
          <w:ilvl w:val="0"/>
          <w:numId w:val="1"/>
        </w:numPr>
        <w:spacing w:line="480" w:lineRule="auto"/>
        <w:rPr>
          <w:rFonts w:ascii="Arial" w:hAnsi="Arial" w:cs="Arial"/>
          <w:sz w:val="22"/>
          <w:szCs w:val="22"/>
        </w:rPr>
      </w:pPr>
      <w:r>
        <w:rPr>
          <w:rFonts w:ascii="Arial" w:hAnsi="Arial" w:cs="Arial"/>
          <w:sz w:val="22"/>
          <w:szCs w:val="22"/>
        </w:rPr>
        <w:t xml:space="preserve">Thakar, P., Mehta, A., &amp; Manisha. (2021). </w:t>
      </w:r>
      <w:r>
        <w:rPr>
          <w:rFonts w:ascii="Arial" w:hAnsi="Arial" w:cs="Arial"/>
          <w:i/>
          <w:iCs/>
          <w:sz w:val="22"/>
          <w:szCs w:val="22"/>
        </w:rPr>
        <w:t>Role of secondary attributes to boost the prediction accuracy of students’ employability via data mining.</w:t>
      </w:r>
      <w:r>
        <w:rPr>
          <w:rFonts w:ascii="Arial" w:hAnsi="Arial" w:cs="Arial"/>
          <w:sz w:val="22"/>
          <w:szCs w:val="22"/>
        </w:rPr>
        <w:t xml:space="preserve"> International Journal of Advanced Computer Science &amp; Applications (IJACSA), 6(11), 84–90. </w:t>
      </w:r>
      <w:r>
        <w:fldChar w:fldCharType="begin"/>
      </w:r>
      <w:r>
        <w:instrText xml:space="preserve"> HYPERLINK "https://doi.org/10.14569/IJACSA.2015.061112" </w:instrText>
      </w:r>
      <w:r>
        <w:fldChar w:fldCharType="separate"/>
      </w:r>
      <w:r>
        <w:rPr>
          <w:rStyle w:val="14"/>
          <w:rFonts w:ascii="Arial" w:hAnsi="Arial" w:cs="Arial"/>
          <w:sz w:val="22"/>
          <w:szCs w:val="22"/>
        </w:rPr>
        <w:t>https://doi.org/10.14569/IJACSA.2015.061112</w:t>
      </w:r>
      <w:r>
        <w:rPr>
          <w:rStyle w:val="14"/>
          <w:rFonts w:ascii="Arial" w:hAnsi="Arial" w:cs="Arial"/>
          <w:sz w:val="22"/>
          <w:szCs w:val="22"/>
        </w:rPr>
        <w:fldChar w:fldCharType="end"/>
      </w:r>
    </w:p>
    <w:p w14:paraId="025CD183">
      <w:pPr>
        <w:pStyle w:val="15"/>
        <w:numPr>
          <w:ilvl w:val="0"/>
          <w:numId w:val="1"/>
        </w:numPr>
        <w:spacing w:line="480" w:lineRule="auto"/>
        <w:rPr>
          <w:rFonts w:ascii="Arial" w:hAnsi="Arial" w:cs="Arial"/>
          <w:sz w:val="22"/>
          <w:szCs w:val="22"/>
        </w:rPr>
      </w:pPr>
      <w:r>
        <w:rPr>
          <w:rFonts w:ascii="Arial" w:hAnsi="Arial" w:cs="Arial"/>
          <w:sz w:val="22"/>
          <w:szCs w:val="22"/>
        </w:rPr>
        <w:t>Elsharkawy, Gehad &amp; Helmy, Yehia &amp; Yehia, Engy. (2022). Employability Prediction of Information Technology Graduates using Machine Learning Algorithms. International Journal of Advanced Computer Science and Applications. 13. 10.14569/IJACSA.2022.0131043.</w:t>
      </w:r>
    </w:p>
    <w:p w14:paraId="7170FCC2">
      <w:pPr>
        <w:pStyle w:val="15"/>
        <w:spacing w:line="480" w:lineRule="auto"/>
        <w:ind w:left="720"/>
        <w:rPr>
          <w:rFonts w:ascii="Arial" w:hAnsi="Arial" w:cs="Arial"/>
          <w:sz w:val="22"/>
          <w:szCs w:val="22"/>
        </w:rPr>
      </w:pPr>
      <w:r>
        <w:rPr>
          <w:rFonts w:ascii="Arial" w:hAnsi="Arial" w:cs="Arial"/>
          <w:b/>
          <w:bCs/>
          <w:sz w:val="22"/>
          <w:szCs w:val="22"/>
        </w:rPr>
        <w:t>Local (Philippine) Studies</w:t>
      </w:r>
    </w:p>
    <w:p w14:paraId="579A92C1">
      <w:pPr>
        <w:pStyle w:val="32"/>
        <w:numPr>
          <w:ilvl w:val="1"/>
          <w:numId w:val="1"/>
        </w:numPr>
        <w:spacing w:line="480" w:lineRule="auto"/>
        <w:rPr>
          <w:rFonts w:ascii="Arial" w:hAnsi="Arial" w:cs="Arial"/>
          <w:sz w:val="22"/>
          <w:szCs w:val="22"/>
        </w:rPr>
      </w:pPr>
      <w:r>
        <w:rPr>
          <w:rFonts w:ascii="Arial" w:hAnsi="Arial" w:cs="Arial"/>
          <w:sz w:val="22"/>
          <w:szCs w:val="22"/>
        </w:rPr>
        <w:t xml:space="preserve">Albina, A. C., &amp; Sumagaysay, L. P. (2020). Employability tracer study of Information Technology Education graduates from a state university in the Philippines. </w:t>
      </w:r>
      <w:r>
        <w:rPr>
          <w:rFonts w:ascii="Arial" w:hAnsi="Arial" w:cs="Arial"/>
          <w:i/>
          <w:iCs/>
          <w:sz w:val="22"/>
          <w:szCs w:val="22"/>
        </w:rPr>
        <w:t>Social Sciences &amp; Humanities Open</w:t>
      </w:r>
      <w:r>
        <w:rPr>
          <w:rFonts w:ascii="Arial" w:hAnsi="Arial" w:cs="Arial"/>
          <w:sz w:val="22"/>
          <w:szCs w:val="22"/>
        </w:rPr>
        <w:t xml:space="preserve">, 2(1), 100055. </w:t>
      </w:r>
      <w:r>
        <w:fldChar w:fldCharType="begin"/>
      </w:r>
      <w:r>
        <w:instrText xml:space="preserve"> HYPERLINK "https://doi.org/10.1016/j.ssaho.2020.100055" </w:instrText>
      </w:r>
      <w:r>
        <w:fldChar w:fldCharType="separate"/>
      </w:r>
      <w:r>
        <w:rPr>
          <w:rStyle w:val="14"/>
          <w:rFonts w:ascii="Arial" w:hAnsi="Arial" w:cs="Arial"/>
          <w:sz w:val="22"/>
          <w:szCs w:val="22"/>
        </w:rPr>
        <w:t>https://doi.org/10.1016/j.ssaho.2020.100055</w:t>
      </w:r>
      <w:r>
        <w:rPr>
          <w:rStyle w:val="14"/>
          <w:rFonts w:ascii="Arial" w:hAnsi="Arial" w:cs="Arial"/>
          <w:sz w:val="22"/>
          <w:szCs w:val="22"/>
        </w:rPr>
        <w:fldChar w:fldCharType="end"/>
      </w:r>
    </w:p>
    <w:p w14:paraId="658AAACB">
      <w:pPr>
        <w:pStyle w:val="32"/>
        <w:numPr>
          <w:ilvl w:val="1"/>
          <w:numId w:val="1"/>
        </w:numPr>
        <w:spacing w:line="480" w:lineRule="auto"/>
        <w:rPr>
          <w:rFonts w:ascii="Arial" w:hAnsi="Arial" w:cs="Arial"/>
          <w:sz w:val="22"/>
          <w:szCs w:val="22"/>
        </w:rPr>
      </w:pPr>
      <w:r>
        <w:rPr>
          <w:rFonts w:ascii="Arial" w:hAnsi="Arial" w:cs="Arial"/>
          <w:sz w:val="22"/>
          <w:szCs w:val="22"/>
        </w:rPr>
        <w:t>Bautista Junior, A., Martinez, B. A., Tano, I., Estacio, R., Arago, R., Bautista, G., &amp; Bien, L. (2023). Acquired Skills of Graduates of a Local Philippine University and its Relevance to Their Present Job: A Tracer Survey. </w:t>
      </w:r>
      <w:r>
        <w:rPr>
          <w:rFonts w:ascii="Arial" w:hAnsi="Arial" w:cs="Arial"/>
          <w:i/>
          <w:iCs/>
          <w:sz w:val="22"/>
          <w:szCs w:val="22"/>
        </w:rPr>
        <w:t>Diversitas Journal</w:t>
      </w:r>
      <w:r>
        <w:rPr>
          <w:rFonts w:ascii="Arial" w:hAnsi="Arial" w:cs="Arial"/>
          <w:sz w:val="22"/>
          <w:szCs w:val="22"/>
        </w:rPr>
        <w:t>, </w:t>
      </w:r>
      <w:r>
        <w:rPr>
          <w:rFonts w:ascii="Arial" w:hAnsi="Arial" w:cs="Arial"/>
          <w:i/>
          <w:iCs/>
          <w:sz w:val="22"/>
          <w:szCs w:val="22"/>
        </w:rPr>
        <w:t>8</w:t>
      </w:r>
      <w:r>
        <w:rPr>
          <w:rFonts w:ascii="Arial" w:hAnsi="Arial" w:cs="Arial"/>
          <w:sz w:val="22"/>
          <w:szCs w:val="22"/>
        </w:rPr>
        <w:t xml:space="preserve">(3), 2656–2669. </w:t>
      </w:r>
      <w:r>
        <w:fldChar w:fldCharType="begin"/>
      </w:r>
      <w:r>
        <w:instrText xml:space="preserve"> HYPERLINK "https://doi.org/10.48017/dj.v8i3.2644" </w:instrText>
      </w:r>
      <w:r>
        <w:fldChar w:fldCharType="separate"/>
      </w:r>
      <w:r>
        <w:rPr>
          <w:rStyle w:val="14"/>
          <w:rFonts w:ascii="Arial" w:hAnsi="Arial" w:cs="Arial"/>
          <w:sz w:val="22"/>
          <w:szCs w:val="22"/>
        </w:rPr>
        <w:t>https://doi.org/10.48017/dj.v8i3.2644</w:t>
      </w:r>
      <w:r>
        <w:rPr>
          <w:rStyle w:val="14"/>
          <w:rFonts w:ascii="Arial" w:hAnsi="Arial" w:cs="Arial"/>
          <w:sz w:val="22"/>
          <w:szCs w:val="22"/>
        </w:rPr>
        <w:fldChar w:fldCharType="end"/>
      </w:r>
    </w:p>
    <w:p w14:paraId="33509087">
      <w:pPr>
        <w:pStyle w:val="32"/>
        <w:numPr>
          <w:ilvl w:val="1"/>
          <w:numId w:val="1"/>
        </w:numPr>
        <w:spacing w:line="480" w:lineRule="auto"/>
        <w:rPr>
          <w:rFonts w:ascii="Arial" w:hAnsi="Arial" w:cs="Arial"/>
          <w:sz w:val="22"/>
          <w:szCs w:val="22"/>
        </w:rPr>
      </w:pPr>
      <w:r>
        <w:rPr>
          <w:rFonts w:ascii="Arial" w:hAnsi="Arial" w:cs="Arial"/>
          <w:sz w:val="22"/>
          <w:szCs w:val="22"/>
        </w:rPr>
        <w:t xml:space="preserve">Meneses III, J. M. (2023). Relevance of technical and vocational education and training in the employability of computer science graduates. </w:t>
      </w:r>
      <w:r>
        <w:rPr>
          <w:rFonts w:ascii="Arial" w:hAnsi="Arial" w:cs="Arial"/>
          <w:i/>
          <w:iCs/>
          <w:sz w:val="22"/>
          <w:szCs w:val="22"/>
        </w:rPr>
        <w:t>Jurnal Pendidikan Progresif, 13</w:t>
      </w:r>
      <w:r>
        <w:rPr>
          <w:rFonts w:ascii="Arial" w:hAnsi="Arial" w:cs="Arial"/>
          <w:sz w:val="22"/>
          <w:szCs w:val="22"/>
        </w:rPr>
        <w:t xml:space="preserve">(2). </w:t>
      </w:r>
      <w:r>
        <w:fldChar w:fldCharType="begin"/>
      </w:r>
      <w:r>
        <w:instrText xml:space="preserve"> HYPERLINK "https://doi.org/10.23960/jpp.v13.i2.202338" </w:instrText>
      </w:r>
      <w:r>
        <w:fldChar w:fldCharType="separate"/>
      </w:r>
      <w:r>
        <w:rPr>
          <w:rStyle w:val="14"/>
          <w:rFonts w:ascii="Arial" w:hAnsi="Arial" w:cs="Arial"/>
          <w:sz w:val="22"/>
          <w:szCs w:val="22"/>
        </w:rPr>
        <w:t>https://doi.org/10.23960/jpp.v13.i2.202338</w:t>
      </w:r>
      <w:r>
        <w:rPr>
          <w:rStyle w:val="14"/>
          <w:rFonts w:ascii="Arial" w:hAnsi="Arial" w:cs="Arial"/>
          <w:sz w:val="22"/>
          <w:szCs w:val="22"/>
        </w:rPr>
        <w:fldChar w:fldCharType="end"/>
      </w:r>
    </w:p>
    <w:p w14:paraId="64BD664B">
      <w:pPr>
        <w:pStyle w:val="32"/>
        <w:numPr>
          <w:ilvl w:val="1"/>
          <w:numId w:val="1"/>
        </w:numPr>
        <w:spacing w:line="480" w:lineRule="auto"/>
        <w:rPr>
          <w:rFonts w:ascii="Arial" w:hAnsi="Arial" w:cs="Arial"/>
          <w:sz w:val="22"/>
          <w:szCs w:val="22"/>
        </w:rPr>
      </w:pPr>
      <w:r>
        <w:rPr>
          <w:rFonts w:ascii="Arial" w:hAnsi="Arial" w:cs="Arial"/>
          <w:sz w:val="22"/>
          <w:szCs w:val="22"/>
        </w:rPr>
        <w:t>Basabe, N., Estella, S., Ferolino, H., &amp; Cataraja, G. C. (2023). A tracer study of Bachelor of Science in Information Technology (BSIT): A case study of graduates of the University of Cebu, Philippines. </w:t>
      </w:r>
      <w:r>
        <w:rPr>
          <w:rFonts w:ascii="Arial" w:hAnsi="Arial" w:cs="Arial"/>
          <w:i/>
          <w:iCs/>
          <w:sz w:val="22"/>
          <w:szCs w:val="22"/>
        </w:rPr>
        <w:t>Journal of Learning and Development Studies</w:t>
      </w:r>
      <w:r>
        <w:rPr>
          <w:rFonts w:ascii="Arial" w:hAnsi="Arial" w:cs="Arial"/>
          <w:sz w:val="22"/>
          <w:szCs w:val="22"/>
        </w:rPr>
        <w:t>, </w:t>
      </w:r>
      <w:r>
        <w:rPr>
          <w:rFonts w:ascii="Arial" w:hAnsi="Arial" w:cs="Arial"/>
          <w:i/>
          <w:iCs/>
          <w:sz w:val="22"/>
          <w:szCs w:val="22"/>
        </w:rPr>
        <w:t>3</w:t>
      </w:r>
      <w:r>
        <w:rPr>
          <w:rFonts w:ascii="Arial" w:hAnsi="Arial" w:cs="Arial"/>
          <w:sz w:val="22"/>
          <w:szCs w:val="22"/>
        </w:rPr>
        <w:t>(2), 43-61.</w:t>
      </w:r>
    </w:p>
    <w:p w14:paraId="6C41DA68">
      <w:pPr>
        <w:pStyle w:val="32"/>
        <w:numPr>
          <w:ilvl w:val="1"/>
          <w:numId w:val="1"/>
        </w:numPr>
        <w:spacing w:line="480" w:lineRule="auto"/>
        <w:rPr>
          <w:rFonts w:ascii="Arial" w:hAnsi="Arial" w:cs="Arial"/>
          <w:sz w:val="22"/>
          <w:szCs w:val="22"/>
        </w:rPr>
      </w:pPr>
      <w:r>
        <w:rPr>
          <w:rFonts w:ascii="Arial" w:hAnsi="Arial" w:cs="Arial"/>
          <w:sz w:val="22"/>
          <w:szCs w:val="22"/>
        </w:rPr>
        <w:t>Mendoza, H. C. (2025). Predicting Employability of CCA ICSLIS Students Using Ensemble Methods. </w:t>
      </w:r>
      <w:r>
        <w:rPr>
          <w:rFonts w:ascii="Arial" w:hAnsi="Arial" w:cs="Arial"/>
          <w:i/>
          <w:iCs/>
          <w:sz w:val="22"/>
          <w:szCs w:val="22"/>
        </w:rPr>
        <w:t>Philippine Journal of Interdisciplinary Research (PJIR)</w:t>
      </w:r>
      <w:r>
        <w:rPr>
          <w:rFonts w:ascii="Arial" w:hAnsi="Arial" w:cs="Arial"/>
          <w:sz w:val="22"/>
          <w:szCs w:val="22"/>
        </w:rPr>
        <w:t>, </w:t>
      </w:r>
      <w:r>
        <w:rPr>
          <w:rFonts w:ascii="Arial" w:hAnsi="Arial" w:cs="Arial"/>
          <w:i/>
          <w:iCs/>
          <w:sz w:val="22"/>
          <w:szCs w:val="22"/>
        </w:rPr>
        <w:t>1</w:t>
      </w:r>
      <w:r>
        <w:rPr>
          <w:rFonts w:ascii="Arial" w:hAnsi="Arial" w:cs="Arial"/>
          <w:sz w:val="22"/>
          <w:szCs w:val="22"/>
        </w:rPr>
        <w:t>(1).</w:t>
      </w:r>
    </w:p>
    <w:p w14:paraId="2228BE27">
      <w:pPr>
        <w:pStyle w:val="32"/>
        <w:numPr>
          <w:ilvl w:val="1"/>
          <w:numId w:val="1"/>
        </w:numPr>
        <w:spacing w:line="480" w:lineRule="auto"/>
        <w:rPr>
          <w:rFonts w:ascii="Arial" w:hAnsi="Arial" w:cs="Arial"/>
          <w:sz w:val="22"/>
          <w:szCs w:val="22"/>
        </w:rPr>
      </w:pPr>
      <w:r>
        <w:rPr>
          <w:rFonts w:ascii="Arial" w:hAnsi="Arial" w:cs="Arial"/>
          <w:sz w:val="22"/>
          <w:szCs w:val="22"/>
        </w:rPr>
        <w:t>Cruz, M. E. L. T., &amp; Encarnacıon, R. E. (2021). Analysis and prediction of students’ academic performance and employability using data mining techniques: A research travelogue. </w:t>
      </w:r>
      <w:r>
        <w:rPr>
          <w:rFonts w:ascii="Arial" w:hAnsi="Arial" w:cs="Arial"/>
          <w:i/>
          <w:iCs/>
          <w:sz w:val="22"/>
          <w:szCs w:val="22"/>
        </w:rPr>
        <w:t>The Eurasia Proceedings of Science Technology Engineering and Mathematics</w:t>
      </w:r>
      <w:r>
        <w:rPr>
          <w:rFonts w:ascii="Arial" w:hAnsi="Arial" w:cs="Arial"/>
          <w:sz w:val="22"/>
          <w:szCs w:val="22"/>
        </w:rPr>
        <w:t>, </w:t>
      </w:r>
      <w:r>
        <w:rPr>
          <w:rFonts w:ascii="Arial" w:hAnsi="Arial" w:cs="Arial"/>
          <w:i/>
          <w:iCs/>
          <w:sz w:val="22"/>
          <w:szCs w:val="22"/>
        </w:rPr>
        <w:t>16</w:t>
      </w:r>
      <w:r>
        <w:rPr>
          <w:rFonts w:ascii="Arial" w:hAnsi="Arial" w:cs="Arial"/>
          <w:sz w:val="22"/>
          <w:szCs w:val="22"/>
        </w:rPr>
        <w:t>, 117-131.</w:t>
      </w:r>
    </w:p>
    <w:p w14:paraId="53A69276">
      <w:pPr>
        <w:pStyle w:val="32"/>
        <w:numPr>
          <w:ilvl w:val="1"/>
          <w:numId w:val="1"/>
        </w:numPr>
        <w:spacing w:line="480" w:lineRule="auto"/>
        <w:rPr>
          <w:rFonts w:ascii="Arial" w:hAnsi="Arial" w:cs="Arial"/>
          <w:sz w:val="22"/>
          <w:szCs w:val="22"/>
        </w:rPr>
      </w:pPr>
      <w:r>
        <w:rPr>
          <w:rFonts w:ascii="Arial" w:hAnsi="Arial" w:cs="Arial"/>
          <w:sz w:val="22"/>
          <w:szCs w:val="22"/>
        </w:rPr>
        <w:t>Fajardo, R., Victoriano, J., Rosario, G., Tano, I., Piad, K., Mababa, J., ... &amp; Pulumbarit, J. (2024). Utilization of Hybrid Model to Forecast and Predict the Employability of the Graduating Students at Pamantasan ng Lungsod ng Pasig-College of Computer Studies (PLP-CCS): Basis for Program Intervention. </w:t>
      </w:r>
      <w:r>
        <w:rPr>
          <w:rFonts w:ascii="Arial" w:hAnsi="Arial" w:cs="Arial"/>
          <w:i/>
          <w:iCs/>
          <w:sz w:val="22"/>
          <w:szCs w:val="22"/>
        </w:rPr>
        <w:t>Journal of Innovative Technology Convergence</w:t>
      </w:r>
      <w:r>
        <w:rPr>
          <w:rFonts w:ascii="Arial" w:hAnsi="Arial" w:cs="Arial"/>
          <w:sz w:val="22"/>
          <w:szCs w:val="22"/>
        </w:rPr>
        <w:t>, </w:t>
      </w:r>
      <w:r>
        <w:rPr>
          <w:rFonts w:ascii="Arial" w:hAnsi="Arial" w:cs="Arial"/>
          <w:i/>
          <w:iCs/>
          <w:sz w:val="22"/>
          <w:szCs w:val="22"/>
        </w:rPr>
        <w:t>6</w:t>
      </w:r>
      <w:r>
        <w:rPr>
          <w:rFonts w:ascii="Arial" w:hAnsi="Arial" w:cs="Arial"/>
          <w:sz w:val="22"/>
          <w:szCs w:val="22"/>
        </w:rPr>
        <w:t>(4).</w:t>
      </w:r>
    </w:p>
    <w:p w14:paraId="2B262853">
      <w:pPr>
        <w:pStyle w:val="32"/>
        <w:numPr>
          <w:ilvl w:val="1"/>
          <w:numId w:val="1"/>
        </w:numPr>
        <w:spacing w:line="480" w:lineRule="auto"/>
        <w:rPr>
          <w:rFonts w:ascii="Arial" w:hAnsi="Arial" w:cs="Arial"/>
          <w:sz w:val="22"/>
          <w:szCs w:val="22"/>
        </w:rPr>
      </w:pPr>
      <w:r>
        <w:rPr>
          <w:rFonts w:ascii="Arial" w:hAnsi="Arial" w:cs="Arial"/>
          <w:sz w:val="22"/>
          <w:szCs w:val="22"/>
        </w:rPr>
        <w:t>Carada, I., Aliazas, J. V., Palacio, L., &amp; Palacio, C. M. A. (2022). Perceived Skills and Employability of Senior High School Graduates: Basis for Youth Employment Policy. </w:t>
      </w:r>
      <w:r>
        <w:rPr>
          <w:rFonts w:ascii="Arial" w:hAnsi="Arial" w:cs="Arial"/>
          <w:i/>
          <w:iCs/>
          <w:sz w:val="22"/>
          <w:szCs w:val="22"/>
        </w:rPr>
        <w:t>International Journal of Social Sciences and Humanities Invention</w:t>
      </w:r>
      <w:r>
        <w:rPr>
          <w:rFonts w:ascii="Arial" w:hAnsi="Arial" w:cs="Arial"/>
          <w:sz w:val="22"/>
          <w:szCs w:val="22"/>
        </w:rPr>
        <w:t>, </w:t>
      </w:r>
      <w:r>
        <w:rPr>
          <w:rFonts w:ascii="Arial" w:hAnsi="Arial" w:cs="Arial"/>
          <w:i/>
          <w:iCs/>
          <w:sz w:val="22"/>
          <w:szCs w:val="22"/>
        </w:rPr>
        <w:t>9</w:t>
      </w:r>
      <w:r>
        <w:rPr>
          <w:rFonts w:ascii="Arial" w:hAnsi="Arial" w:cs="Arial"/>
          <w:sz w:val="22"/>
          <w:szCs w:val="22"/>
        </w:rPr>
        <w:t>(01), 6759-6766.</w:t>
      </w:r>
    </w:p>
    <w:sectPr>
      <w:pgSz w:w="11906" w:h="16838"/>
      <w:pgMar w:top="1440" w:right="180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Mincho">
    <w:panose1 w:val="02020400000000000000"/>
    <w:charset w:val="80"/>
    <w:family w:val="auto"/>
    <w:pitch w:val="default"/>
    <w:sig w:usb0="800002E7" w:usb1="2AC7FCFF" w:usb2="00000012" w:usb3="00000000" w:csb0="2002009F" w:csb1="00000000"/>
  </w:font>
  <w:font w:name="Calibri Light">
    <w:panose1 w:val="020F0302020204030204"/>
    <w:charset w:val="00"/>
    <w:family w:val="swiss"/>
    <w:pitch w:val="default"/>
    <w:sig w:usb0="E4002EFF" w:usb1="C0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F418A"/>
    <w:multiLevelType w:val="multilevel"/>
    <w:tmpl w:val="064F41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F0C"/>
    <w:rsid w:val="000035EA"/>
    <w:rsid w:val="000732E4"/>
    <w:rsid w:val="00087952"/>
    <w:rsid w:val="000A72D8"/>
    <w:rsid w:val="000E6AD7"/>
    <w:rsid w:val="00107B1C"/>
    <w:rsid w:val="00122A6E"/>
    <w:rsid w:val="00151E05"/>
    <w:rsid w:val="001918E3"/>
    <w:rsid w:val="00196921"/>
    <w:rsid w:val="001A70F7"/>
    <w:rsid w:val="00211795"/>
    <w:rsid w:val="00214F0C"/>
    <w:rsid w:val="00214F44"/>
    <w:rsid w:val="00224FD7"/>
    <w:rsid w:val="00226DD8"/>
    <w:rsid w:val="00256C21"/>
    <w:rsid w:val="00280857"/>
    <w:rsid w:val="00287697"/>
    <w:rsid w:val="00297992"/>
    <w:rsid w:val="002E0A5B"/>
    <w:rsid w:val="002F654E"/>
    <w:rsid w:val="00302770"/>
    <w:rsid w:val="003151FE"/>
    <w:rsid w:val="00334838"/>
    <w:rsid w:val="00352C09"/>
    <w:rsid w:val="00367252"/>
    <w:rsid w:val="003A210F"/>
    <w:rsid w:val="003E0000"/>
    <w:rsid w:val="00481F7E"/>
    <w:rsid w:val="004A24C7"/>
    <w:rsid w:val="00517EC6"/>
    <w:rsid w:val="00543CF0"/>
    <w:rsid w:val="00553869"/>
    <w:rsid w:val="00570A9E"/>
    <w:rsid w:val="005A6636"/>
    <w:rsid w:val="00610A1F"/>
    <w:rsid w:val="00614B21"/>
    <w:rsid w:val="006271E3"/>
    <w:rsid w:val="00632B4B"/>
    <w:rsid w:val="0068442B"/>
    <w:rsid w:val="006968B3"/>
    <w:rsid w:val="00717ED9"/>
    <w:rsid w:val="00754056"/>
    <w:rsid w:val="00755DA3"/>
    <w:rsid w:val="00764A63"/>
    <w:rsid w:val="007A0673"/>
    <w:rsid w:val="007B349A"/>
    <w:rsid w:val="007D25AE"/>
    <w:rsid w:val="008020F4"/>
    <w:rsid w:val="00851380"/>
    <w:rsid w:val="008560B3"/>
    <w:rsid w:val="00887D56"/>
    <w:rsid w:val="008A00C6"/>
    <w:rsid w:val="008A4371"/>
    <w:rsid w:val="00937A0B"/>
    <w:rsid w:val="00953CF2"/>
    <w:rsid w:val="009836C8"/>
    <w:rsid w:val="009965B3"/>
    <w:rsid w:val="009B3B7B"/>
    <w:rsid w:val="009C0C93"/>
    <w:rsid w:val="00A161C9"/>
    <w:rsid w:val="00A47FA9"/>
    <w:rsid w:val="00A747CC"/>
    <w:rsid w:val="00A83121"/>
    <w:rsid w:val="00B82401"/>
    <w:rsid w:val="00BD05E9"/>
    <w:rsid w:val="00BF1B76"/>
    <w:rsid w:val="00C023CA"/>
    <w:rsid w:val="00CC0334"/>
    <w:rsid w:val="00CC2832"/>
    <w:rsid w:val="00D1306E"/>
    <w:rsid w:val="00D21549"/>
    <w:rsid w:val="00D64712"/>
    <w:rsid w:val="00D90FFF"/>
    <w:rsid w:val="00DB0244"/>
    <w:rsid w:val="00DB0BE6"/>
    <w:rsid w:val="00DB351E"/>
    <w:rsid w:val="00DD40EE"/>
    <w:rsid w:val="00DE166C"/>
    <w:rsid w:val="00E1380C"/>
    <w:rsid w:val="00E21C75"/>
    <w:rsid w:val="00E3467F"/>
    <w:rsid w:val="00E5370B"/>
    <w:rsid w:val="00E908AE"/>
    <w:rsid w:val="00EB0E9F"/>
    <w:rsid w:val="00ED3FED"/>
    <w:rsid w:val="00EE4627"/>
    <w:rsid w:val="00F0564C"/>
    <w:rsid w:val="00F10550"/>
    <w:rsid w:val="00F36EC0"/>
    <w:rsid w:val="00F76923"/>
    <w:rsid w:val="00F85A58"/>
    <w:rsid w:val="00F90065"/>
    <w:rsid w:val="00FE3C70"/>
    <w:rsid w:val="00FE556A"/>
    <w:rsid w:val="5BD60536"/>
    <w:rsid w:val="60DE30EB"/>
    <w:rsid w:val="6A0064B9"/>
    <w:rsid w:val="74A037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ja-JP"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1"/>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1"/>
    <w:basedOn w:val="11"/>
    <w:qFormat/>
    <w:uiPriority w:val="32"/>
    <w:rPr>
      <w:b/>
      <w:bCs/>
      <w:smallCaps/>
      <w:color w:val="2F5597" w:themeColor="accent1" w:themeShade="BF"/>
      <w:spacing w:val="5"/>
    </w:rPr>
  </w:style>
  <w:style w:type="character" w:customStyle="1" w:styleId="37">
    <w:name w:val="Unresolved Mention1"/>
    <w:basedOn w:val="11"/>
    <w:semiHidden/>
    <w:unhideWhenUsed/>
    <w:qFormat/>
    <w:uiPriority w:val="99"/>
    <w:rPr>
      <w:color w:val="605E5C"/>
      <w:shd w:val="clear" w:color="auto" w:fill="E1DFDD"/>
    </w:rPr>
  </w:style>
  <w:style w:type="character" w:customStyle="1" w:styleId="38">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2476</Words>
  <Characters>14119</Characters>
  <Lines>117</Lines>
  <Paragraphs>33</Paragraphs>
  <TotalTime>336</TotalTime>
  <ScaleCrop>false</ScaleCrop>
  <LinksUpToDate>false</LinksUpToDate>
  <CharactersWithSpaces>16562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2025-10-10T05:18:00Z</dcterms:created>
  <dc:creator>Allysa Vega</dc:creator>
  <cp:lastModifiedBy>mighty coconut husk</cp:lastModifiedBy>
  <cp:lastPrinted>2025-10-29T23:12:00Z</cp:lastPrinted>
  <dcterms:modified xsi:type="dcterms:W3CDTF">2025-11-07T02:20:17Z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420119C28B7E4B11ACD79CA57D116F8D_12</vt:lpwstr>
  </property>
</Properties>
</file>