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78B4"/>
          <w:sz w:val="20"/>
        </w:rPr>
        <w:t>DOCUMENTO DE DECISIÓN GERENCIAL (BRIEFING ESTRATÉGICO)</w:t>
      </w:r>
    </w:p>
    <w:p>
      <w:pPr>
        <w:spacing w:before="0" w:after="120"/>
      </w:pPr>
      <w:r>
        <w:rPr>
          <w:rFonts w:ascii="Calibri" w:hAnsi="Calibri"/>
          <w:b/>
          <w:color w:val="1B365D"/>
          <w:sz w:val="36"/>
        </w:rPr>
        <w:t>Proyecto RPA: Automatización Operacional y Triage de Estudios Radiológicos</w:t>
      </w:r>
    </w:p>
    <w:p>
      <w:pPr>
        <w:spacing w:before="0" w:after="240"/>
      </w:pPr>
      <w:r>
        <w:rPr>
          <w:rFonts w:ascii="Calibri" w:hAnsi="Calibri"/>
          <w:color w:val="465A73"/>
          <w:sz w:val="22"/>
        </w:rPr>
        <w:t>Justificación de Rendimiento 24/7, Mitigación de Riesgo Clínico y Requisitos de Infraestructura Virtual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Desafío Operacional: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8"/>
              </w:rPr>
              <w:t>Volumen creciente de exámenes entre RIS y PACS, alta carga de turnos nocturnos y riesgo de demoras en la detección de patologías clínicas graves.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Solución RPA Implementada: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8"/>
              </w:rPr>
              <w:t>Robot autónomo 24/7 que extrae estudios del RIS, analiza diagnósticos con IA (3 niveles) para alertas críticas y gestiona la apertura en el PACS.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Eje de Rentabilidad: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8"/>
              </w:rPr>
              <w:t>No busca superar al humano en velocidad punta (30-40 casos/h en pico diurno), sino aportar 24 horas continuas (~200 casos/día) sin horas extras ni fatiga.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8"/>
              </w:rPr>
              <w:t>Solicitud a Gerencia:</w:t>
            </w:r>
          </w:p>
        </w:tc>
        <w:tc>
          <w:tcPr>
            <w:tcW w:type="dxa" w:w="67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8"/>
              </w:rPr>
              <w:t>Habilitación formal de una Máquina Virtual Windows con sesión gráfica activa para paso a producción en horario continuo.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1B365D"/>
          <w:sz w:val="27"/>
        </w:rPr>
        <w:t>1. El Factor Eficiencia: Humano en Pico vs. Robot en Cobertura 24/7</w:t>
      </w:r>
    </w:p>
    <w:p>
      <w:pPr>
        <w:spacing w:before="20" w:after="80" w:line="276" w:lineRule="auto"/>
      </w:pPr>
      <w:r>
        <w:rPr>
          <w:rFonts w:ascii="Calibri" w:hAnsi="Calibri"/>
          <w:color w:val="282D37"/>
          <w:sz w:val="19"/>
        </w:rPr>
        <w:t>Un operador entrenado alcanza una cadencia de 30 a 40 casos por hora bajo máxima concentración. No obstante, esa velocidad solo es sostenible durante lapsos acotados y en horario hábil. La siguiente tabla demuestra por qué el bot representa una ventaja neta en el balance global de la operación: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77"/>
            <w:tcMar>
              <w:top w:w="80" w:type="dxa"/>
              <w:bottom w:w="80" w:type="dxa"/>
              <w:left w:w="90" w:type="dxa"/>
              <w:right w:w="90" w:type="dxa"/>
            </w:tcMar>
            <w:shd w:fill="1B365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Métrica Operacional</w:t>
            </w:r>
          </w:p>
        </w:tc>
        <w:tc>
          <w:tcPr>
            <w:tcW w:type="dxa" w:w="2477"/>
            <w:tcMar>
              <w:top w:w="80" w:type="dxa"/>
              <w:bottom w:w="80" w:type="dxa"/>
              <w:left w:w="90" w:type="dxa"/>
              <w:right w:w="90" w:type="dxa"/>
            </w:tcMar>
            <w:shd w:fill="1B365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Operador Humano</w:t>
            </w:r>
          </w:p>
        </w:tc>
        <w:tc>
          <w:tcPr>
            <w:tcW w:type="dxa" w:w="2477"/>
            <w:tcMar>
              <w:top w:w="80" w:type="dxa"/>
              <w:bottom w:w="80" w:type="dxa"/>
              <w:left w:w="90" w:type="dxa"/>
              <w:right w:w="90" w:type="dxa"/>
            </w:tcMar>
            <w:shd w:fill="1B365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Bot RPA (Actual)</w:t>
            </w:r>
          </w:p>
        </w:tc>
        <w:tc>
          <w:tcPr>
            <w:tcW w:type="dxa" w:w="2477"/>
            <w:tcMar>
              <w:top w:w="80" w:type="dxa"/>
              <w:bottom w:w="80" w:type="dxa"/>
              <w:left w:w="90" w:type="dxa"/>
              <w:right w:w="90" w:type="dxa"/>
            </w:tcMar>
            <w:shd w:fill="1B365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Bot RPA (Fase 2)</w:t>
            </w:r>
          </w:p>
        </w:tc>
      </w:tr>
      <w:tr>
        <w:tc>
          <w:tcPr>
            <w:tcW w:type="dxa" w:w="2477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7"/>
              </w:rPr>
              <w:t>Velocidad Puntual</w:t>
            </w:r>
          </w:p>
        </w:tc>
        <w:tc>
          <w:tcPr>
            <w:tcW w:type="dxa" w:w="2477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7"/>
              </w:rPr>
              <w:t>30 - 40 casos/h</w:t>
            </w:r>
          </w:p>
        </w:tc>
        <w:tc>
          <w:tcPr>
            <w:tcW w:type="dxa" w:w="2477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7"/>
              </w:rPr>
              <w:t>8 - 10 casos/h</w:t>
            </w:r>
          </w:p>
        </w:tc>
        <w:tc>
          <w:tcPr>
            <w:tcW w:type="dxa" w:w="2477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7"/>
              </w:rPr>
              <w:t>15 - 20 casos/h</w:t>
            </w:r>
          </w:p>
        </w:tc>
      </w:tr>
      <w:tr>
        <w:tc>
          <w:tcPr>
            <w:tcW w:type="dxa" w:w="2477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7"/>
              </w:rPr>
              <w:t>Horas Activas al Día</w:t>
            </w:r>
          </w:p>
        </w:tc>
        <w:tc>
          <w:tcPr>
            <w:tcW w:type="dxa" w:w="2477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7"/>
              </w:rPr>
              <w:t>8 horas (1 turno)</w:t>
            </w:r>
          </w:p>
        </w:tc>
        <w:tc>
          <w:tcPr>
            <w:tcW w:type="dxa" w:w="2477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7"/>
              </w:rPr>
              <w:t>24 horas continuas</w:t>
            </w:r>
          </w:p>
        </w:tc>
        <w:tc>
          <w:tcPr>
            <w:tcW w:type="dxa" w:w="2477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7"/>
              </w:rPr>
              <w:t>24 horas continuas</w:t>
            </w:r>
          </w:p>
        </w:tc>
      </w:tr>
      <w:tr>
        <w:tc>
          <w:tcPr>
            <w:tcW w:type="dxa" w:w="2477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7"/>
              </w:rPr>
              <w:t>Producción Diaria Total</w:t>
            </w:r>
          </w:p>
        </w:tc>
        <w:tc>
          <w:tcPr>
            <w:tcW w:type="dxa" w:w="2477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7"/>
              </w:rPr>
              <w:t>~200 - 240 casos</w:t>
            </w:r>
          </w:p>
        </w:tc>
        <w:tc>
          <w:tcPr>
            <w:tcW w:type="dxa" w:w="2477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7"/>
              </w:rPr>
              <w:t>~190 - 240 casos</w:t>
            </w:r>
          </w:p>
        </w:tc>
        <w:tc>
          <w:tcPr>
            <w:tcW w:type="dxa" w:w="2477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7"/>
              </w:rPr>
              <w:t>~360 - 450 casos</w:t>
            </w:r>
          </w:p>
        </w:tc>
      </w:tr>
      <w:tr>
        <w:tc>
          <w:tcPr>
            <w:tcW w:type="dxa" w:w="2477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7"/>
              </w:rPr>
              <w:t>Costo Marginal Nocturno</w:t>
            </w:r>
          </w:p>
        </w:tc>
        <w:tc>
          <w:tcPr>
            <w:tcW w:type="dxa" w:w="2477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7"/>
              </w:rPr>
              <w:t>Horas extras / guardias</w:t>
            </w:r>
          </w:p>
        </w:tc>
        <w:tc>
          <w:tcPr>
            <w:tcW w:type="dxa" w:w="2477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7"/>
              </w:rPr>
              <w:t>$0 (costo plano)</w:t>
            </w:r>
          </w:p>
        </w:tc>
        <w:tc>
          <w:tcPr>
            <w:tcW w:type="dxa" w:w="2477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7"/>
              </w:rPr>
              <w:t>$0 (costo plano)</w:t>
            </w:r>
          </w:p>
        </w:tc>
      </w:tr>
      <w:tr>
        <w:tc>
          <w:tcPr>
            <w:tcW w:type="dxa" w:w="2477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7"/>
              </w:rPr>
              <w:t>Alerta Patología Crítica</w:t>
            </w:r>
          </w:p>
        </w:tc>
        <w:tc>
          <w:tcPr>
            <w:tcW w:type="dxa" w:w="2477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7"/>
              </w:rPr>
              <w:t>Manual según orden en cola</w:t>
            </w:r>
          </w:p>
        </w:tc>
        <w:tc>
          <w:tcPr>
            <w:tcW w:type="dxa" w:w="2477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7"/>
              </w:rPr>
              <w:t>Inmediata (&lt;2 min)</w:t>
            </w:r>
          </w:p>
        </w:tc>
        <w:tc>
          <w:tcPr>
            <w:tcW w:type="dxa" w:w="2477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7"/>
              </w:rPr>
              <w:t>Inmediata (&lt;2 min)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8" w:space="0" w:color="1B365D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📌 IMPACTO DIRECTO: </w:t>
            </w:r>
            <w:r>
              <w:rPr>
                <w:rFonts w:ascii="Calibri" w:hAnsi="Calibri"/>
                <w:color w:val="334155"/>
                <w:sz w:val="19"/>
              </w:rPr>
              <w:t>Ventaja Clave: El robot absorbe el flujo continuo nocturno y de fines de semana. Evita que el turno de la mañana inicie con una cola desbordada de estudios y asegura que los pacientes graves sean identificados en minutos, no en horas.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7"/>
        </w:rPr>
        <w:t>2. Infraestructura: Opciones y Condiciones Ideales en Máquina Virtual</w:t>
      </w:r>
    </w:p>
    <w:p>
      <w:pPr>
        <w:spacing w:before="20" w:after="80" w:line="276" w:lineRule="auto"/>
      </w:pPr>
      <w:r>
        <w:rPr>
          <w:rFonts w:ascii="Calibri" w:hAnsi="Calibri"/>
          <w:color w:val="282D37"/>
          <w:sz w:val="19"/>
        </w:rPr>
        <w:t>Para ejecutar la automatización desatendida, se contrastaron las opciones de hardware e infraestructura de forma vendor-agnostic: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80" w:type="dxa"/>
              <w:bottom w:w="80" w:type="dxa"/>
              <w:left w:w="90" w:type="dxa"/>
              <w:right w:w="90" w:type="dxa"/>
            </w:tcMar>
            <w:shd w:fill="1B365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Opción de Infraestructura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90" w:type="dxa"/>
              <w:right w:w="90" w:type="dxa"/>
            </w:tcMar>
            <w:shd w:fill="1B365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Especificación Clave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90" w:type="dxa"/>
              <w:right w:w="90" w:type="dxa"/>
            </w:tcMar>
            <w:shd w:fill="1B365D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Diagnóstico Operacional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7"/>
              </w:rPr>
              <w:t>A. Servidor Físico Dedicado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7"/>
              </w:rPr>
              <w:t>CPU 6-8 cores, 16 GB RAM, SSD, GPU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7"/>
              </w:rPr>
              <w:t>Excelente renderizado gráfico nativo. Requiere equipo físico en rack.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7"/>
              </w:rPr>
              <w:t>B. Servidor de Virtualización (Host)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7"/>
              </w:rPr>
              <w:t>Plataforma de hipervisor en datacenter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7"/>
              </w:rPr>
              <w:t>Óptima gobernanza, backups automáticos y monitoreo centralizado.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7"/>
              </w:rPr>
              <w:t>C. Máquina Virtual en Servidor (VM)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7"/>
              </w:rPr>
              <w:t>4 vCPU, 8-16 GB vRAM, Win 10/11 Pro GUI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90" w:type="dxa"/>
              <w:right w:w="90" w:type="dxa"/>
            </w:tcMar>
            <w:shd w:fill="F8FAFC"/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7"/>
              </w:rPr>
              <w:t>RECOMENDADA: Balance ideal entre aislamiento, costo y facilidad de despliegue.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7"/>
              </w:rPr>
              <w:t>D. Entorno Actual (Desarrollo)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7"/>
              </w:rPr>
              <w:t>Intel i7, 16 GB RAM, Win 11 Pro 64-bit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90" w:type="dxa"/>
              <w:right w:w="90" w:type="dxa"/>
            </w:tcMar>
            <w:shd w:fill="FFFFFF"/>
          </w:tcPr>
          <w:p>
            <w:pPr>
              <w:spacing w:after="0"/>
            </w:pPr>
            <w:r>
              <w:rPr>
                <w:rFonts w:ascii="Calibri" w:hAnsi="Calibri"/>
                <w:color w:val="282D37"/>
                <w:sz w:val="17"/>
              </w:rPr>
              <w:t>Demostró alta fluidez; sirve de estándar para dimensionar la VM final.</w:t>
            </w:r>
          </w:p>
        </w:tc>
      </w:tr>
    </w:tbl>
    <w:p>
      <w:pPr>
        <w:spacing w:before="20" w:after="80" w:line="276" w:lineRule="auto"/>
      </w:pPr>
      <w:r>
        <w:rPr>
          <w:rFonts w:ascii="Calibri" w:hAnsi="Calibri"/>
          <w:color w:val="282D37"/>
          <w:sz w:val="19"/>
        </w:rPr>
        <w:t>Condición Técnica Indispensable: La Máquina Virtual Windows debe mantener una SESIÓN DE CONSOLA ACTIVA (resolución fija de 1920x1080 al 100% de escala) sin bloqueo de pantalla ni suspensión por inactividad, ya que los motores de OCR y el visor PACS dependen de la renderización gráfica activa del sistema operativo.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7"/>
        </w:rPr>
        <w:t>3. Seguridad, Credenciales y Privacidad del Paciente (PHI)</w:t>
      </w:r>
    </w:p>
    <w:p>
      <w:pPr>
        <w:spacing w:before="20" w:after="80" w:line="276" w:lineRule="auto"/>
      </w:pPr>
      <w:r>
        <w:rPr>
          <w:rFonts w:ascii="Calibri" w:hAnsi="Calibri"/>
          <w:b/>
          <w:color w:val="282D37"/>
          <w:sz w:val="19"/>
        </w:rPr>
        <w:t xml:space="preserve">• Desidentificación en IA: </w:t>
      </w:r>
      <w:r>
        <w:rPr>
          <w:rFonts w:ascii="Calibri" w:hAnsi="Calibri"/>
          <w:color w:val="282D37"/>
          <w:sz w:val="19"/>
        </w:rPr>
        <w:t>Cumplimiento médico estricto:</w:t>
      </w:r>
    </w:p>
    <w:p>
      <w:pPr>
        <w:spacing w:before="20" w:after="80" w:line="276" w:lineRule="auto"/>
      </w:pPr>
      <w:r>
        <w:rPr>
          <w:rFonts w:ascii="Calibri" w:hAnsi="Calibri"/>
          <w:color w:val="282D37"/>
          <w:sz w:val="19"/>
        </w:rPr>
        <w:t>Al consultar modelos de lenguaje para clasificar diagnósticos, NUNCA se transmiten datos personales (nombre, RUT, fecha de nacimiento o ficha médica). Solo se remite el texto clínico estricto (ej. 'sospecha de TEP masivo'), garantizando pleno apego a la legislación de protección de datos de salud.</w:t>
      </w:r>
    </w:p>
    <w:p>
      <w:pPr>
        <w:spacing w:before="20" w:after="80" w:line="276" w:lineRule="auto"/>
      </w:pPr>
      <w:r>
        <w:rPr>
          <w:rFonts w:ascii="Calibri" w:hAnsi="Calibri"/>
          <w:b/>
          <w:color w:val="282D37"/>
          <w:sz w:val="19"/>
        </w:rPr>
        <w:t xml:space="preserve">• Gestión Segura de Accesos: </w:t>
      </w:r>
      <w:r>
        <w:rPr>
          <w:rFonts w:ascii="Calibri" w:hAnsi="Calibri"/>
          <w:color w:val="282D37"/>
          <w:sz w:val="19"/>
        </w:rPr>
        <w:t>Credenciales protegidas:</w:t>
      </w:r>
    </w:p>
    <w:p>
      <w:pPr>
        <w:spacing w:before="20" w:after="80" w:line="276" w:lineRule="auto"/>
      </w:pPr>
      <w:r>
        <w:rPr>
          <w:rFonts w:ascii="Calibri" w:hAnsi="Calibri"/>
          <w:color w:val="282D37"/>
          <w:sz w:val="19"/>
        </w:rPr>
        <w:t>Las claves de API y accesos residen en variables de entorno cifradas (.env). Las credenciales de usuarios médicos en PACS/RIS se inyectan en memoria sin quedar expuestas en logs.</w:t>
      </w:r>
    </w:p>
    <w:p>
      <w:pPr>
        <w:spacing w:before="20" w:after="80" w:line="276" w:lineRule="auto"/>
      </w:pPr>
      <w:r>
        <w:rPr>
          <w:rFonts w:ascii="Calibri" w:hAnsi="Calibri"/>
          <w:b/>
          <w:color w:val="282D37"/>
          <w:sz w:val="19"/>
        </w:rPr>
        <w:t xml:space="preserve">• Trazabilidad y Control: </w:t>
      </w:r>
      <w:r>
        <w:rPr>
          <w:rFonts w:ascii="Calibri" w:hAnsi="Calibri"/>
          <w:color w:val="282D37"/>
          <w:sz w:val="19"/>
        </w:rPr>
        <w:t>Auditoría forense en tiempo real:</w:t>
      </w:r>
    </w:p>
    <w:p>
      <w:pPr>
        <w:spacing w:before="20" w:after="80" w:line="276" w:lineRule="auto"/>
      </w:pPr>
      <w:r>
        <w:rPr>
          <w:rFonts w:ascii="Calibri" w:hAnsi="Calibri"/>
          <w:color w:val="282D37"/>
          <w:sz w:val="19"/>
        </w:rPr>
        <w:t>Cada acción queda sellada con marca de tiempo en la base de datos MySQL, permitiendo auditorías de calidad en cualquier momento.</w:t>
      </w: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7"/>
        </w:rPr>
        <w:t>4. Estructura de Costos y Próximos Pasos para Gerencia</w:t>
      </w:r>
    </w:p>
    <w:p>
      <w:pPr>
        <w:spacing w:before="20" w:after="80" w:line="276" w:lineRule="auto"/>
      </w:pPr>
      <w:r>
        <w:rPr>
          <w:rFonts w:ascii="Calibri" w:hAnsi="Calibri"/>
          <w:b/>
          <w:color w:val="282D37"/>
          <w:sz w:val="19"/>
        </w:rPr>
        <w:t xml:space="preserve">• Costo de Licencias: </w:t>
      </w:r>
      <w:r>
        <w:rPr>
          <w:rFonts w:ascii="Calibri" w:hAnsi="Calibri"/>
          <w:color w:val="282D37"/>
          <w:sz w:val="19"/>
        </w:rPr>
        <w:t>Inversión en Software:</w:t>
      </w:r>
    </w:p>
    <w:p>
      <w:pPr>
        <w:spacing w:before="20" w:after="80" w:line="276" w:lineRule="auto"/>
      </w:pPr>
      <w:r>
        <w:rPr>
          <w:rFonts w:ascii="Calibri" w:hAnsi="Calibri"/>
          <w:color w:val="282D37"/>
          <w:sz w:val="19"/>
        </w:rPr>
        <w:t>$0 USD. El framework fue desarrollado sobre componentes de código abierto en Python (PyQt, OpenCV, Tesseract, MySQL).</w:t>
      </w:r>
    </w:p>
    <w:p>
      <w:pPr>
        <w:spacing w:before="20" w:after="80" w:line="276" w:lineRule="auto"/>
      </w:pPr>
      <w:r>
        <w:rPr>
          <w:rFonts w:ascii="Calibri" w:hAnsi="Calibri"/>
          <w:b/>
          <w:color w:val="282D37"/>
          <w:sz w:val="19"/>
        </w:rPr>
        <w:t xml:space="preserve">• Gasto Operacional Mensual: </w:t>
      </w:r>
      <w:r>
        <w:rPr>
          <w:rFonts w:ascii="Calibri" w:hAnsi="Calibri"/>
          <w:color w:val="282D37"/>
          <w:sz w:val="19"/>
        </w:rPr>
        <w:t>Consumo de IA:</w:t>
      </w:r>
    </w:p>
    <w:p>
      <w:pPr>
        <w:spacing w:before="20" w:after="80" w:line="276" w:lineRule="auto"/>
      </w:pPr>
      <w:r>
        <w:rPr>
          <w:rFonts w:ascii="Calibri" w:hAnsi="Calibri"/>
          <w:color w:val="282D37"/>
          <w:sz w:val="19"/>
        </w:rPr>
        <w:t>Menor a $3 USD mensuales para un volumen de 6.000 estudios analizados (fracciones de centavo por consulta).</w:t>
      </w:r>
    </w:p>
    <w:p>
      <w:pPr>
        <w:spacing w:before="20" w:after="80" w:line="276" w:lineRule="auto"/>
      </w:pPr>
      <w:r>
        <w:rPr>
          <w:rFonts w:ascii="Calibri" w:hAnsi="Calibri"/>
          <w:b/>
          <w:color w:val="282D37"/>
          <w:sz w:val="19"/>
        </w:rPr>
        <w:t xml:space="preserve">• Retorno Operativo (ROI): </w:t>
      </w:r>
      <w:r>
        <w:rPr>
          <w:rFonts w:ascii="Calibri" w:hAnsi="Calibri"/>
          <w:color w:val="282D37"/>
          <w:sz w:val="19"/>
        </w:rPr>
        <w:t>Ahorro Inmediato:</w:t>
      </w:r>
    </w:p>
    <w:p>
      <w:pPr>
        <w:spacing w:before="20" w:after="80" w:line="276" w:lineRule="auto"/>
      </w:pPr>
      <w:r>
        <w:rPr>
          <w:rFonts w:ascii="Calibri" w:hAnsi="Calibri"/>
          <w:color w:val="282D37"/>
          <w:sz w:val="19"/>
        </w:rPr>
        <w:t>Absorbe ~6.000 casos mensuales sin incurrir en horas extras nocturnas o de fin de semana, con un SLA de detección de patología crítica inferior a 2 minutos.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8" w:space="0" w:color="1B365D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📌 ACCIONES REQUERIDAS: </w:t>
            </w:r>
            <w:r>
              <w:rPr>
                <w:rFonts w:ascii="Calibri" w:hAnsi="Calibri"/>
                <w:color w:val="334155"/>
                <w:sz w:val="19"/>
              </w:rPr>
              <w:t>Decisión Solicitada a Gerencia:</w:t>
              <w:br/>
              <w:t>1. Aprobar la asignación formal de una Máquina Virtual Windows (4 vCPU, 8-16 GB RAM, resolución 1080p).</w:t>
              <w:br/>
              <w:t>2. Autorizar el inicio de pruebas operacionales en turno nocturno supervisado vía Telegram.</w:t>
              <w:br/>
              <w:t>3. Respaldar la Fase 2 de optimización de velocidad para alcanzar paridad humana de ciclo.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8C96A0"/>
        <w:sz w:val="17"/>
      </w:rPr>
      <w:t>Resumen para Toma de Decisión Gerencial</w:t>
    </w:r>
    <w:r>
      <w:rPr>
        <w:rFonts w:ascii="Calibri" w:hAnsi="Calibri"/>
        <w:color w:val="8C96A0"/>
        <w:sz w:val="17"/>
      </w:rPr>
      <w:tab/>
      <w:tab/>
      <w:t>Uso Exclusivo Dirección &amp; Operaciones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C96A0"/>
        <w:sz w:val="17"/>
      </w:rPr>
      <w:t>DOSSIER EJECUTIVO | PROYECTO RPA: TRIAGE RADIOLÓGICO 24/7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