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8C880">
      <w:r>
        <w:t>Título: El costo oculto de la urgencia</w:t>
      </w:r>
    </w:p>
    <w:p w14:paraId="1080CF10"/>
    <w:p w14:paraId="38945654">
      <w:r>
        <w:t>Fecha: 09/06/2026</w:t>
      </w:r>
    </w:p>
    <w:p w14:paraId="2DC0B33A">
      <w:r>
        <w:t>Tiempo de lectura: 2 minutos</w:t>
      </w:r>
    </w:p>
    <w:p w14:paraId="54A88253">
      <w:r>
        <w:t>Tipo: newsletter</w:t>
      </w:r>
    </w:p>
    <w:p w14:paraId="5F9C8437">
      <w:r>
        <w:t>Pilar: procurement</w:t>
      </w:r>
    </w:p>
    <w:p w14:paraId="1289188F">
      <w:r>
        <w:t>Featured: false</w:t>
      </w:r>
    </w:p>
    <w:p w14:paraId="276ADAE5">
      <w:pPr>
        <w:rPr>
          <w:lang w:val="en-US"/>
        </w:rPr>
      </w:pPr>
      <w:r>
        <w:rPr>
          <w:lang w:val="en-US"/>
        </w:rPr>
        <w:t xml:space="preserve">LinkedIn: 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"https://www.linkedin.com/pulse/el-costo-oculto-de-la-urgencia-ricardo-cabrera-casas-xkphf/" </w:instrText>
      </w:r>
      <w:r>
        <w:rPr>
          <w:lang w:val="en-US"/>
        </w:rPr>
        <w:fldChar w:fldCharType="separate"/>
      </w:r>
      <w:r>
        <w:rPr>
          <w:rStyle w:val="13"/>
          <w:lang w:val="en-US"/>
        </w:rPr>
        <w:t>https://www.linkedin.com/pulse/el-costo-oculto-de-la-urgencia-ricardo-cabrera-casas-xkphf/</w:t>
      </w:r>
      <w:r>
        <w:rPr>
          <w:lang w:val="en-US"/>
        </w:rPr>
        <w:fldChar w:fldCharType="end"/>
      </w:r>
    </w:p>
    <w:p w14:paraId="0F8ED25D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Resumen: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Las organizaciones suelen justificar excepciones, sobrecostos y decisiones apresuradas en nombre de la urgencia. Sin embargo, muchas de esas "emergencias" no son eventos imprevisibles, sino síntomas de problemas de gestión que se han vuelto normales.</w:t>
      </w:r>
    </w:p>
    <w:p w14:paraId="5EFFFC63">
      <w:pPr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Tags: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Destrucción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De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Valor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Fraude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Operativo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Gestión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De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Riesgos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Controles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Internos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Excelencia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Operacional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Minería</w:t>
      </w:r>
    </w:p>
    <w:p w14:paraId="30B0A834">
      <w:pPr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>Destacado: no</w:t>
      </w:r>
      <w:bookmarkStart w:id="0" w:name="_GoBack"/>
      <w:bookmarkEnd w:id="0"/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D4F"/>
    <w:rsid w:val="00326163"/>
    <w:rsid w:val="003731E4"/>
    <w:rsid w:val="00C01D4F"/>
    <w:rsid w:val="00DB1860"/>
    <w:rsid w:val="00F859D9"/>
    <w:rsid w:val="00FB79CC"/>
    <w:rsid w:val="00FD5CCB"/>
    <w:rsid w:val="53BA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PE" w:eastAsia="en-US" w:bidi="ar-SA"/>
      <w14:ligatures w14:val="standardContextual"/>
    </w:rPr>
  </w:style>
  <w:style w:type="paragraph" w:styleId="2">
    <w:name w:val="heading 1"/>
    <w:basedOn w:val="1"/>
    <w:next w:val="1"/>
    <w:link w:val="16"/>
    <w:autoRedefine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0"/>
    </w:rPr>
  </w:style>
  <w:style w:type="character" w:customStyle="1" w:styleId="17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Título 3 C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Título 5 C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 C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Cita destacada C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</Words>
  <Characters>217</Characters>
  <Lines>1</Lines>
  <Paragraphs>1</Paragraphs>
  <TotalTime>4</TotalTime>
  <ScaleCrop>false</ScaleCrop>
  <LinksUpToDate>false</LinksUpToDate>
  <CharactersWithSpaces>232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2026-08-31T18:25:00Z</dcterms:created>
  <dc:creator>Ricardo Cabrera</dc:creator>
  <cp:lastModifiedBy>Carlo Cabrera</cp:lastModifiedBy>
  <dcterms:modified xsi:type="dcterms:W3CDTF">2026-08-31T20:56:21Z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eyJoZGlkIjoiZTM2Zjc3NGU2MmQwMTExYzYxNDJmYzM3MTdiZDIzODQiLCJ1c2VySWQiOiIxNjY2ODgyNzk5MDk0In0=</vt:lpwstr>
  </property>
  <property fmtid="{D5CDD505-2E9C-101B-9397-08002B2CF9AE}" pid="3" name="KSOProductBuildVer">
    <vt:lpwstr>2058-12.1.0.28032</vt:lpwstr>
  </property>
  <property fmtid="{D5CDD505-2E9C-101B-9397-08002B2CF9AE}" pid="4" name="ICV">
    <vt:lpwstr>05213E5FE6604F1EBCE4A27454CB1A0C_12</vt:lpwstr>
  </property>
</Properties>
</file>