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color w:val="1F3864"/>
          <w:sz w:val="32"/>
          <w:szCs w:val="32"/>
          <w:lang w:val="es-CO" w:eastAsia="es-CO" w:bidi="ar-SA"/>
          <w:noProof/>
        </w:rPr>
        <w:t xml:space="preserve">SIGPRA — Informe semanal</w:t>
      </w:r>
    </w:p>
    <w:p>
      <w:pPr>
        <w:pBdr>
          <w:bottom w:val="single" w:color="1F3864" w:sz="8" w:space="6"/>
        </w:pBdr>
        <w:spacing w:after="200"/>
        <w:jc w:val="center"/>
      </w:pPr>
      <w:r>
        <w:rPr>
          <w:color w:val="595959"/>
          <w:sz w:val="20"/>
          <w:szCs w:val="20"/>
          <w:lang w:val="es-CO" w:eastAsia="es-CO" w:bidi="ar-SA"/>
          <w:noProof/>
        </w:rPr>
        <w:t xml:space="preserve">Proyecto Integrador · UDI · II –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80"/>
        <w:gridCol w:w="2000"/>
        <w:gridCol w:w="2680"/>
      </w:tblGrid>
      <w:tr>
        <w:tc>
          <w:tcPr>
            <w:tcW w:type="dxa" w:w="20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  <w:lang w:val="es-CO" w:eastAsia="es-CO" w:bidi="ar-SA"/>
                <w:noProof/>
              </w:rPr>
              <w:t xml:space="preserve">Semana N°</w:t>
            </w:r>
          </w:p>
        </w:tc>
        <w:tc>
          <w:tcPr>
            <w:tcW w:type="dxa" w:w="268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lang w:val="es-CO" w:eastAsia="es-CO" w:bidi="ar-SA"/>
                <w:noProof/>
              </w:rPr>
              <w:t>44 (Sesión 2 - Cierre Documental, IEEE, Póster y Release)</w:t>
            </w:r>
          </w:p>
        </w:tc>
        <w:tc>
          <w:tcPr>
            <w:tcW w:type="dxa" w:w="20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  <w:lang w:val="es-CO" w:eastAsia="es-CO" w:bidi="ar-SA"/>
                <w:noProof/>
              </w:rPr>
              <w:t xml:space="preserve">Fechas</w:t>
            </w:r>
          </w:p>
        </w:tc>
        <w:tc>
          <w:tcPr>
            <w:tcW w:type="dxa" w:w="268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lang w:val="es-CO" w:eastAsia="es-CO" w:bidi="ar-SA"/>
                <w:noProof/>
              </w:rPr>
              <w:t>Martes 27 de octubre de 2026</w:t>
            </w:r>
          </w:p>
        </w:tc>
      </w:tr>
      <w:tr>
        <w:tc>
          <w:tcPr>
            <w:tcW w:type="dxa" w:w="20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  <w:lang w:val="es-CO" w:eastAsia="es-CO" w:bidi="ar-SA"/>
                <w:noProof/>
              </w:rPr>
              <w:t xml:space="preserve">Elaborado por</w:t>
            </w:r>
          </w:p>
        </w:tc>
        <w:tc>
          <w:tcPr>
            <w:tcW w:type="dxa" w:w="7360"/>
            <w:gridSpan w:val="3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</w:tcPr>
          <w:p>
            <w:r>
              <w:rPr>
                <w:lang w:val="es-CO" w:eastAsia="es-CO" w:bidi="ar-SA"/>
                <w:noProof/>
                <w:lang w:val="es-CO" w:eastAsia="es-CO" w:bidi="ar-SA"/>
                <w:noProof/>
                <w:lang w:val="es-CO" w:eastAsia="es-CO" w:bidi="ar-SA"/>
                <w:noProof/>
              </w:rPr>
              <w:t>Alonso Henao, Jesús Rueda, Rafael Carreño</w:t>
            </w:r>
          </w:p>
        </w:tc>
      </w:tr>
    </w:tbl>
    <w:p>
      <w:pPr>
        <w:pStyle w:val="Heading1"/>
        <w:spacing w:after="120" w:before="280"/>
      </w:pPr>
      <w:r>
        <w:rPr>
          <w:lang w:val="es-CO" w:eastAsia="es-CO" w:bidi="ar-SA"/>
          <w:noProof/>
        </w:rPr>
        <w:t xml:space="preserve">Lo que se hizo esta semana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360"/>
        <w:gridCol w:w="2000"/>
        <w:gridCol w:w="1500"/>
      </w:tblGrid>
      <w:tr>
        <w:trPr>
          <w:tblHeader/>
        </w:trPr>
        <w:tc>
          <w:tcPr>
            <w:tcW w:type="dxa" w:w="5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lang w:val="es-CO" w:eastAsia="es-CO" w:bidi="ar-SA"/>
                <w:noProof/>
              </w:rPr>
              <w:t xml:space="preserve">#</w:t>
            </w:r>
          </w:p>
        </w:tc>
        <w:tc>
          <w:tcPr>
            <w:tcW w:type="dxa" w:w="53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lang w:val="es-CO" w:eastAsia="es-CO" w:bidi="ar-SA"/>
                <w:noProof/>
              </w:rPr>
              <w:t xml:space="preserve">Actividad</w:t>
            </w:r>
          </w:p>
        </w:tc>
        <w:tc>
          <w:tcPr>
            <w:tcW w:type="dxa" w:w="20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lang w:val="es-CO" w:eastAsia="es-CO" w:bidi="ar-SA"/>
                <w:noProof/>
              </w:rPr>
              <w:t xml:space="preserve">Responsable</w:t>
            </w:r>
          </w:p>
        </w:tc>
        <w:tc>
          <w:tcPr>
            <w:tcW w:type="dxa" w:w="15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lang w:val="es-CO" w:eastAsia="es-CO" w:bidi="ar-SA"/>
                <w:noProof/>
              </w:rPr>
              <w:t xml:space="preserve">Estado</w:t>
            </w:r>
          </w:p>
        </w:tc>
      </w:tr>
      <w:tr>
        <w:tc>
          <w:tcPr>
            <w:tcW w:type="dxa" w:w="500"/>
          </w:tcPr>
          <w:p>
            <w:pPr>
              <w:spacing w:before="40" w:after="40" w:line="252" w:lineRule="auto"/>
              <w:jc w:val="center"/>
            </w:pPr>
            <w:r>
              <w:rPr>
                <w:rFonts w:ascii="Arial" w:hAnsi="Arial"/>
                <w:sz w:val="19"/>
                <w:lang w:val="es-CO" w:eastAsia="es-CO" w:bidi="ar-SA"/>
                <w:noProof/>
              </w:rPr>
              <w:t>1</w:t>
            </w:r>
          </w:p>
        </w:tc>
        <w:tc>
          <w:tcPr>
            <w:tcW w:type="dxa" w:w="5360"/>
          </w:tcPr>
          <w:p>
            <w:pPr>
              <w:spacing w:before="40" w:after="40" w:line="252" w:lineRule="auto"/>
            </w:pPr>
            <w:r>
              <w:rPr>
                <w:rFonts w:ascii="Arial" w:hAnsi="Arial"/>
                <w:sz w:val="19"/>
                <w:lang w:val="es-CO" w:eastAsia="es-CO" w:bidi="ar-SA"/>
                <w:noProof/>
              </w:rPr>
              <w:t>Actualización integral del Documento Final de Propuesta (17 Puntos): Inclusión formal de RF-08, ficha técnica Astah de CU-08 (11 filas), diagramas de Secuencia, Componentes y Despliegue, nuevo Diagrama de Casos de Uso HD con 8 casos y actualización automática de la tabla de contenido (TOC).</w:t>
            </w:r>
          </w:p>
        </w:tc>
        <w:tc>
          <w:tcPr>
            <w:tcW w:type="dxa" w:w="2000"/>
          </w:tcPr>
          <w:p>
            <w:pPr>
              <w:spacing w:before="40" w:after="40" w:line="252" w:lineRule="auto"/>
            </w:pPr>
            <w:r>
              <w:rPr>
                <w:rFonts w:ascii="Arial" w:hAnsi="Arial"/>
                <w:sz w:val="19"/>
                <w:lang w:val="es-CO" w:eastAsia="es-CO" w:bidi="ar-SA"/>
                <w:noProof/>
              </w:rPr>
              <w:t>Alonso Henao y Rafael Carreño</w:t>
            </w:r>
          </w:p>
        </w:tc>
        <w:tc>
          <w:tcPr>
            <w:tcW w:type="dxa" w:w="1500"/>
          </w:tcPr>
          <w:p>
            <w:pPr>
              <w:spacing w:before="40" w:after="40" w:line="252" w:lineRule="auto"/>
              <w:jc w:val="center"/>
            </w:pPr>
            <w:r>
              <w:rPr>
                <w:rFonts w:ascii="Arial" w:hAnsi="Arial"/>
                <w:sz w:val="19"/>
                <w:lang w:val="es-CO" w:eastAsia="es-CO" w:bidi="ar-SA"/>
                <w:noProof/>
              </w:rPr>
              <w:t>Completado</w:t>
            </w:r>
          </w:p>
        </w:tc>
      </w:tr>
      <w:tr>
        <w:tc>
          <w:tcPr>
            <w:tcW w:type="dxa" w:w="500"/>
          </w:tcPr>
          <w:p>
            <w:pPr>
              <w:spacing w:before="40" w:after="40" w:line="252" w:lineRule="auto"/>
              <w:jc w:val="center"/>
            </w:pPr>
            <w:r>
              <w:rPr>
                <w:rFonts w:ascii="Arial" w:hAnsi="Arial"/>
                <w:sz w:val="19"/>
                <w:lang w:val="es-CO" w:eastAsia="es-CO" w:bidi="ar-SA"/>
                <w:noProof/>
              </w:rPr>
              <w:t>2</w:t>
            </w:r>
          </w:p>
        </w:tc>
        <w:tc>
          <w:tcPr>
            <w:tcW w:type="dxa" w:w="5360"/>
          </w:tcPr>
          <w:p>
            <w:pPr>
              <w:spacing w:before="40" w:after="40" w:line="252" w:lineRule="auto"/>
            </w:pPr>
            <w:r>
              <w:rPr>
                <w:rFonts w:ascii="Arial" w:hAnsi="Arial"/>
                <w:sz w:val="19"/>
                <w:lang w:val="es-CO" w:eastAsia="es-CO" w:bidi="ar-SA"/>
                <w:noProof/>
              </w:rPr>
              <w:t>Generación de Manuales de Usuario y Técnico Web: Redacción y generación en Word (.docx) y Markdown (.md) de los manuales actualizados para los 4 roles operativos de la SPA web y manual de arquitectura técnica (Node.js/TypeScript/PostgreSQL/MongoDB/Docker/Render).</w:t>
            </w:r>
          </w:p>
        </w:tc>
        <w:tc>
          <w:tcPr>
            <w:tcW w:type="dxa" w:w="2000"/>
          </w:tcPr>
          <w:p>
            <w:pPr>
              <w:spacing w:before="40" w:after="40" w:line="252" w:lineRule="auto"/>
            </w:pPr>
            <w:r>
              <w:rPr>
                <w:rFonts w:ascii="Arial" w:hAnsi="Arial"/>
                <w:sz w:val="19"/>
                <w:lang w:val="es-CO" w:eastAsia="es-CO" w:bidi="ar-SA"/>
                <w:noProof/>
              </w:rPr>
              <w:t>Daniel Rueda y Rafael Carreño</w:t>
            </w:r>
          </w:p>
        </w:tc>
        <w:tc>
          <w:tcPr>
            <w:tcW w:type="dxa" w:w="1500"/>
          </w:tcPr>
          <w:p>
            <w:pPr>
              <w:spacing w:before="40" w:after="40" w:line="252" w:lineRule="auto"/>
              <w:jc w:val="center"/>
            </w:pPr>
            <w:r>
              <w:rPr>
                <w:rFonts w:ascii="Arial" w:hAnsi="Arial"/>
                <w:sz w:val="19"/>
                <w:lang w:val="es-CO" w:eastAsia="es-CO" w:bidi="ar-SA"/>
                <w:noProof/>
              </w:rPr>
              <w:t>Completado</w:t>
            </w:r>
          </w:p>
        </w:tc>
      </w:tr>
      <w:tr>
        <w:tc>
          <w:tcPr>
            <w:tcW w:type="dxa" w:w="500"/>
          </w:tcPr>
          <w:p>
            <w:pPr>
              <w:spacing w:before="40" w:after="40" w:line="252" w:lineRule="auto"/>
              <w:jc w:val="center"/>
            </w:pPr>
            <w:r>
              <w:rPr>
                <w:rFonts w:ascii="Arial" w:hAnsi="Arial"/>
                <w:sz w:val="19"/>
                <w:lang w:val="es-CO" w:eastAsia="es-CO" w:bidi="ar-SA"/>
                <w:noProof/>
              </w:rPr>
              <w:t>3</w:t>
            </w:r>
          </w:p>
        </w:tc>
        <w:tc>
          <w:tcPr>
            <w:tcW w:type="dxa" w:w="5360"/>
          </w:tcPr>
          <w:p>
            <w:pPr>
              <w:spacing w:before="40" w:after="40" w:line="252" w:lineRule="auto"/>
            </w:pPr>
            <w:r>
              <w:rPr>
                <w:rFonts w:ascii="Arial" w:hAnsi="Arial"/>
                <w:sz w:val="19"/>
                <w:lang w:val="es-CO" w:eastAsia="es-CO" w:bidi="ar-SA"/>
                <w:noProof/>
              </w:rPr>
              <w:t>Redacción y corrección de formato del Artículo Científico IEEE: Elaboración del artículo formal (6 páginas, 2 columnas) con corrección técnica de tablas a ancho de columna exacto (5004 dxa), figuras a ancho completo de página (6.8 pulgadas), títulos superiores según norma IEEE y desactivación de marcas de corrección ortográfica.</w:t>
            </w:r>
          </w:p>
        </w:tc>
        <w:tc>
          <w:tcPr>
            <w:tcW w:type="dxa" w:w="2000"/>
          </w:tcPr>
          <w:p>
            <w:pPr>
              <w:spacing w:before="40" w:after="40" w:line="252" w:lineRule="auto"/>
            </w:pPr>
            <w:r>
              <w:rPr>
                <w:rFonts w:ascii="Arial" w:hAnsi="Arial"/>
                <w:sz w:val="19"/>
                <w:lang w:val="es-CO" w:eastAsia="es-CO" w:bidi="ar-SA"/>
                <w:noProof/>
              </w:rPr>
              <w:t>Alonso Henao y Rafael Carreño</w:t>
            </w:r>
          </w:p>
        </w:tc>
        <w:tc>
          <w:tcPr>
            <w:tcW w:type="dxa" w:w="1500"/>
          </w:tcPr>
          <w:p>
            <w:pPr>
              <w:spacing w:before="40" w:after="40" w:line="252" w:lineRule="auto"/>
              <w:jc w:val="center"/>
            </w:pPr>
            <w:r>
              <w:rPr>
                <w:rFonts w:ascii="Arial" w:hAnsi="Arial"/>
                <w:sz w:val="19"/>
                <w:lang w:val="es-CO" w:eastAsia="es-CO" w:bidi="ar-SA"/>
                <w:noProof/>
              </w:rPr>
              <w:t>Completado</w:t>
            </w:r>
          </w:p>
        </w:tc>
      </w:tr>
      <w:tr>
        <w:tc>
          <w:tcPr>
            <w:tcW w:type="dxa" w:w="500"/>
          </w:tcPr>
          <w:p>
            <w:pPr>
              <w:spacing w:before="40" w:after="40" w:line="252" w:lineRule="auto"/>
              <w:jc w:val="center"/>
            </w:pPr>
            <w:r>
              <w:rPr>
                <w:rFonts w:ascii="Arial" w:hAnsi="Arial"/>
                <w:sz w:val="19"/>
                <w:lang w:val="es-CO" w:eastAsia="es-CO" w:bidi="ar-SA"/>
                <w:noProof/>
              </w:rPr>
              <w:t>4</w:t>
            </w:r>
          </w:p>
        </w:tc>
        <w:tc>
          <w:tcPr>
            <w:tcW w:type="dxa" w:w="5360"/>
          </w:tcPr>
          <w:p>
            <w:pPr>
              <w:spacing w:before="40" w:after="40" w:line="252" w:lineRule="auto"/>
            </w:pPr>
            <w:r>
              <w:rPr>
                <w:rFonts w:ascii="Arial" w:hAnsi="Arial"/>
                <w:sz w:val="19"/>
                <w:lang w:val="es-CO" w:eastAsia="es-CO" w:bidi="ar-SA"/>
                <w:noProof/>
              </w:rPr>
              <w:t>Elaboración del Guión técnico para el Video Demostrativo (Máximo 5 minutos): Redacción del libreto segundo a segundo (00:00 a 05:00) cubriendo el 100% de los casos de uso, credenciales de acceso, flujos y reportes de autoevaluación institucional.</w:t>
            </w:r>
          </w:p>
        </w:tc>
        <w:tc>
          <w:tcPr>
            <w:tcW w:type="dxa" w:w="2000"/>
          </w:tcPr>
          <w:p>
            <w:pPr>
              <w:spacing w:before="40" w:after="40" w:line="252" w:lineRule="auto"/>
            </w:pPr>
            <w:r>
              <w:rPr>
                <w:rFonts w:ascii="Arial" w:hAnsi="Arial"/>
                <w:sz w:val="19"/>
                <w:lang w:val="es-CO" w:eastAsia="es-CO" w:bidi="ar-SA"/>
                <w:noProof/>
              </w:rPr>
              <w:t>Alonso Henao</w:t>
            </w:r>
          </w:p>
        </w:tc>
        <w:tc>
          <w:tcPr>
            <w:tcW w:type="dxa" w:w="1500"/>
          </w:tcPr>
          <w:p>
            <w:pPr>
              <w:spacing w:before="40" w:after="40" w:line="252" w:lineRule="auto"/>
              <w:jc w:val="center"/>
            </w:pPr>
            <w:r>
              <w:rPr>
                <w:rFonts w:ascii="Arial" w:hAnsi="Arial"/>
                <w:sz w:val="19"/>
                <w:lang w:val="es-CO" w:eastAsia="es-CO" w:bidi="ar-SA"/>
                <w:noProof/>
              </w:rPr>
              <w:t>Completado</w:t>
            </w:r>
          </w:p>
        </w:tc>
      </w:tr>
      <w:tr>
        <w:tc>
          <w:tcPr>
            <w:tcW w:type="dxa" w:w="500"/>
          </w:tcPr>
          <w:p>
            <w:pPr>
              <w:spacing w:before="40" w:after="40" w:line="252" w:lineRule="auto"/>
              <w:jc w:val="center"/>
            </w:pPr>
            <w:r>
              <w:rPr>
                <w:rFonts w:ascii="Arial" w:hAnsi="Arial"/>
                <w:sz w:val="19"/>
                <w:lang w:val="es-CO" w:eastAsia="es-CO" w:bidi="ar-SA"/>
                <w:noProof/>
              </w:rPr>
              <w:t>5</w:t>
            </w:r>
          </w:p>
        </w:tc>
        <w:tc>
          <w:tcPr>
            <w:tcW w:type="dxa" w:w="5360"/>
          </w:tcPr>
          <w:p>
            <w:pPr>
              <w:spacing w:before="40" w:after="40" w:line="252" w:lineRule="auto"/>
            </w:pPr>
            <w:r>
              <w:rPr>
                <w:rFonts w:ascii="Arial" w:hAnsi="Arial"/>
                <w:sz w:val="19"/>
                <w:lang w:val="es-CO" w:eastAsia="es-CO" w:bidi="ar-SA"/>
                <w:noProof/>
              </w:rPr>
              <w:t>Diseño y generación del Póster Académico de Sustentación Final: Creación del póster en PowerPoint editable (.pptx) y PDF vectorial para plotter (.pdf) en formato 90×120 cm con logos UDI/GIDSAW, arquitectura desacoplada, métricas técnicas de rendimiento y código QR escaneable hacia la URL de producción.</w:t>
            </w:r>
          </w:p>
        </w:tc>
        <w:tc>
          <w:tcPr>
            <w:tcW w:type="dxa" w:w="2000"/>
          </w:tcPr>
          <w:p>
            <w:pPr>
              <w:spacing w:before="40" w:after="40" w:line="252" w:lineRule="auto"/>
            </w:pPr>
            <w:r>
              <w:rPr>
                <w:rFonts w:ascii="Arial" w:hAnsi="Arial"/>
                <w:sz w:val="19"/>
                <w:lang w:val="es-CO" w:eastAsia="es-CO" w:bidi="ar-SA"/>
                <w:noProof/>
              </w:rPr>
              <w:t>Daniel Rueda y Rafael Carreño</w:t>
            </w:r>
          </w:p>
        </w:tc>
        <w:tc>
          <w:tcPr>
            <w:tcW w:type="dxa" w:w="1500"/>
          </w:tcPr>
          <w:p>
            <w:pPr>
              <w:spacing w:before="40" w:after="40" w:line="252" w:lineRule="auto"/>
              <w:jc w:val="center"/>
            </w:pPr>
            <w:r>
              <w:rPr>
                <w:rFonts w:ascii="Arial" w:hAnsi="Arial"/>
                <w:sz w:val="19"/>
                <w:lang w:val="es-CO" w:eastAsia="es-CO" w:bidi="ar-SA"/>
                <w:noProof/>
              </w:rPr>
              <w:t>Completado</w:t>
            </w:r>
          </w:p>
        </w:tc>
      </w:tr>
      <w:tr>
        <w:tc>
          <w:tcPr>
            <w:tcW w:type="dxa" w:w="500"/>
          </w:tcPr>
          <w:p>
            <w:pPr>
              <w:spacing w:before="40" w:after="40" w:line="252" w:lineRule="auto"/>
              <w:jc w:val="center"/>
            </w:pPr>
            <w:r>
              <w:rPr>
                <w:rFonts w:ascii="Arial" w:hAnsi="Arial"/>
                <w:sz w:val="19"/>
                <w:lang w:val="es-CO" w:eastAsia="es-CO" w:bidi="ar-SA"/>
                <w:noProof/>
              </w:rPr>
              <w:t>6</w:t>
            </w:r>
          </w:p>
        </w:tc>
        <w:tc>
          <w:tcPr>
            <w:tcW w:type="dxa" w:w="5360"/>
          </w:tcPr>
          <w:p>
            <w:pPr>
              <w:spacing w:before="40" w:after="40" w:line="252" w:lineRule="auto"/>
            </w:pPr>
            <w:r>
              <w:rPr>
                <w:rFonts w:ascii="Arial" w:hAnsi="Arial"/>
                <w:sz w:val="19"/>
                <w:lang w:val="es-CO" w:eastAsia="es-CO" w:bidi="ar-SA"/>
                <w:noProof/>
              </w:rPr>
              <w:t>Publicación de la Versión Release Oficial en GitHub: Creación y publicación de la etiqueta de versión v1.0.0-release y sincronización completa de la rama main en el repositorio remoto con todos los entregables organizados.</w:t>
            </w:r>
          </w:p>
        </w:tc>
        <w:tc>
          <w:tcPr>
            <w:tcW w:type="dxa" w:w="2000"/>
          </w:tcPr>
          <w:p>
            <w:pPr>
              <w:spacing w:before="40" w:after="40" w:line="252" w:lineRule="auto"/>
            </w:pPr>
            <w:r>
              <w:rPr>
                <w:rFonts w:ascii="Arial" w:hAnsi="Arial"/>
                <w:sz w:val="19"/>
                <w:lang w:val="es-CO" w:eastAsia="es-CO" w:bidi="ar-SA"/>
                <w:noProof/>
              </w:rPr>
              <w:t>Rafael Carreño</w:t>
            </w:r>
          </w:p>
        </w:tc>
        <w:tc>
          <w:tcPr>
            <w:tcW w:type="dxa" w:w="1500"/>
          </w:tcPr>
          <w:p>
            <w:pPr>
              <w:spacing w:before="40" w:after="40" w:line="252" w:lineRule="auto"/>
              <w:jc w:val="center"/>
            </w:pPr>
            <w:r>
              <w:rPr>
                <w:rFonts w:ascii="Arial" w:hAnsi="Arial"/>
                <w:sz w:val="19"/>
                <w:lang w:val="es-CO" w:eastAsia="es-CO" w:bidi="ar-SA"/>
                <w:noProof/>
              </w:rPr>
              <w:t>Completado</w:t>
            </w:r>
          </w:p>
        </w:tc>
      </w:tr>
    </w:tbl>
    <w:p>
      <w:pPr>
        <w:pStyle w:val="Heading1"/>
        <w:spacing w:after="120" w:before="280"/>
      </w:pPr>
      <w:r>
        <w:rPr>
          <w:lang w:val="es-CO" w:eastAsia="es-CO" w:bidi="ar-SA"/>
          <w:noProof/>
        </w:rPr>
        <w:t xml:space="preserve">Pendiente para la próxima semana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860"/>
        <w:gridCol w:w="2000"/>
      </w:tblGrid>
      <w:tr>
        <w:trPr>
          <w:tblHeader/>
        </w:trPr>
        <w:tc>
          <w:tcPr>
            <w:tcW w:type="dxa" w:w="5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lang w:val="es-CO" w:eastAsia="es-CO" w:bidi="ar-SA"/>
                <w:noProof/>
              </w:rPr>
              <w:t xml:space="preserve">#</w:t>
            </w:r>
          </w:p>
        </w:tc>
        <w:tc>
          <w:tcPr>
            <w:tcW w:type="dxa" w:w="68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lang w:val="es-CO" w:eastAsia="es-CO" w:bidi="ar-SA"/>
                <w:noProof/>
              </w:rPr>
              <w:t xml:space="preserve">Tarea</w:t>
            </w:r>
          </w:p>
        </w:tc>
        <w:tc>
          <w:tcPr>
            <w:tcW w:type="dxa" w:w="20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lang w:val="es-CO" w:eastAsia="es-CO" w:bidi="ar-SA"/>
                <w:noProof/>
              </w:rPr>
              <w:t xml:space="preserve">Responsable</w:t>
            </w:r>
          </w:p>
        </w:tc>
      </w:tr>
      <w:tr>
        <w:tc>
          <w:tcPr>
            <w:tcW w:type="dxa" w:w="500"/>
          </w:tcPr>
          <w:p>
            <w:pPr>
              <w:spacing w:before="40" w:after="40" w:line="252" w:lineRule="auto"/>
              <w:jc w:val="center"/>
            </w:pPr>
            <w:r>
              <w:rPr>
                <w:rFonts w:ascii="Arial" w:hAnsi="Arial"/>
                <w:sz w:val="19"/>
                <w:lang w:val="es-CO" w:eastAsia="es-CO" w:bidi="ar-SA"/>
                <w:noProof/>
              </w:rPr>
              <w:t>1</w:t>
            </w:r>
          </w:p>
        </w:tc>
        <w:tc>
          <w:tcPr>
            <w:tcW w:type="dxa" w:w="6860"/>
          </w:tcPr>
          <w:p>
            <w:pPr>
              <w:spacing w:before="40" w:after="40" w:line="252" w:lineRule="auto"/>
            </w:pPr>
            <w:r>
              <w:rPr>
                <w:rFonts w:ascii="Arial" w:hAnsi="Arial"/>
                <w:sz w:val="19"/>
                <w:lang w:val="es-CO" w:eastAsia="es-CO" w:bidi="ar-SA"/>
                <w:noProof/>
              </w:rPr>
              <w:t>Grabar el video demostrativo de máximo 5:00 minutos con captura de pantalla y narración de voz siguiendo el guión técnico estructurado.</w:t>
            </w:r>
          </w:p>
        </w:tc>
        <w:tc>
          <w:tcPr>
            <w:tcW w:type="dxa" w:w="2000"/>
          </w:tcPr>
          <w:p>
            <w:pPr>
              <w:spacing w:before="40" w:after="40" w:line="252" w:lineRule="auto"/>
            </w:pPr>
            <w:r>
              <w:rPr>
                <w:rFonts w:ascii="Arial" w:hAnsi="Arial"/>
                <w:sz w:val="19"/>
                <w:lang w:val="es-CO" w:eastAsia="es-CO" w:bidi="ar-SA"/>
                <w:noProof/>
              </w:rPr>
              <w:t>Todo el equipo</w:t>
            </w:r>
          </w:p>
        </w:tc>
      </w:tr>
      <w:tr>
        <w:tc>
          <w:tcPr>
            <w:tcW w:type="dxa" w:w="500"/>
          </w:tcPr>
          <w:p>
            <w:pPr>
              <w:spacing w:before="40" w:after="40" w:line="252" w:lineRule="auto"/>
              <w:jc w:val="center"/>
            </w:pPr>
            <w:r>
              <w:rPr>
                <w:rFonts w:ascii="Arial" w:hAnsi="Arial"/>
                <w:sz w:val="19"/>
                <w:lang w:val="es-CO" w:eastAsia="es-CO" w:bidi="ar-SA"/>
                <w:noProof/>
              </w:rPr>
              <w:t>2</w:t>
            </w:r>
          </w:p>
        </w:tc>
        <w:tc>
          <w:tcPr>
            <w:tcW w:type="dxa" w:w="6860"/>
          </w:tcPr>
          <w:p>
            <w:pPr>
              <w:spacing w:before="40" w:after="40" w:line="252" w:lineRule="auto"/>
            </w:pPr>
            <w:r>
              <w:rPr>
                <w:rFonts w:ascii="Arial" w:hAnsi="Arial"/>
                <w:sz w:val="19"/>
                <w:lang w:val="es-CO" w:eastAsia="es-CO" w:bidi="ar-SA"/>
                <w:noProof/>
              </w:rPr>
              <w:t>Subir los entregables consolidados y enlaces a la plataforma Google Classroom antes de la fecha límite (domingo 15 de noviembre de 2026, 11:30 pm).</w:t>
            </w:r>
          </w:p>
        </w:tc>
        <w:tc>
          <w:tcPr>
            <w:tcW w:type="dxa" w:w="2000"/>
          </w:tcPr>
          <w:p>
            <w:pPr>
              <w:spacing w:before="40" w:after="40" w:line="252" w:lineRule="auto"/>
            </w:pPr>
            <w:r>
              <w:rPr>
                <w:rFonts w:ascii="Arial" w:hAnsi="Arial"/>
                <w:sz w:val="19"/>
                <w:lang w:val="es-CO" w:eastAsia="es-CO" w:bidi="ar-SA"/>
                <w:noProof/>
              </w:rPr>
              <w:t>Todo el equipo</w:t>
            </w:r>
          </w:p>
        </w:tc>
      </w:tr>
      <w:tr>
        <w:tc>
          <w:tcPr>
            <w:tcW w:type="dxa" w:w="500"/>
          </w:tcPr>
          <w:p>
            <w:pPr>
              <w:spacing w:before="40" w:after="40" w:line="252" w:lineRule="auto"/>
              <w:jc w:val="center"/>
            </w:pPr>
            <w:r>
              <w:rPr>
                <w:rFonts w:ascii="Arial" w:hAnsi="Arial"/>
                <w:sz w:val="19"/>
                <w:lang w:val="es-CO" w:eastAsia="es-CO" w:bidi="ar-SA"/>
                <w:noProof/>
              </w:rPr>
              <w:t>3</w:t>
            </w:r>
          </w:p>
        </w:tc>
        <w:tc>
          <w:tcPr>
            <w:tcW w:type="dxa" w:w="6860"/>
          </w:tcPr>
          <w:p>
            <w:pPr>
              <w:spacing w:before="40" w:after="40" w:line="252" w:lineRule="auto"/>
            </w:pPr>
            <w:r>
              <w:rPr>
                <w:rFonts w:ascii="Arial" w:hAnsi="Arial"/>
                <w:sz w:val="19"/>
                <w:lang w:val="es-CO" w:eastAsia="es-CO" w:bidi="ar-SA"/>
                <w:noProof/>
              </w:rPr>
              <w:t>Llevar a imprimir el póster académico a tamaño plotter (90 cm × 120 cm) para la sustentación final ante el comité evaluador en la última semana de noviembre.</w:t>
            </w:r>
          </w:p>
        </w:tc>
        <w:tc>
          <w:tcPr>
            <w:tcW w:type="dxa" w:w="2000"/>
          </w:tcPr>
          <w:p>
            <w:pPr>
              <w:spacing w:before="40" w:after="40" w:line="252" w:lineRule="auto"/>
            </w:pPr>
            <w:r>
              <w:rPr>
                <w:rFonts w:ascii="Arial" w:hAnsi="Arial"/>
                <w:sz w:val="19"/>
                <w:lang w:val="es-CO" w:eastAsia="es-CO" w:bidi="ar-SA"/>
                <w:noProof/>
              </w:rPr>
              <w:t>Todo el equipo</w:t>
            </w:r>
          </w:p>
        </w:tc>
      </w:tr>
    </w:tbl>
    <w:p>
      <w:pPr>
        <w:pStyle w:val="Heading1"/>
        <w:spacing w:after="120" w:before="280"/>
      </w:pPr>
      <w:r>
        <w:rPr>
          <w:lang w:val="es-CO" w:eastAsia="es-CO" w:bidi="ar-SA"/>
          <w:noProof/>
        </w:rPr>
        <w:t xml:space="preserve">Dificultades u observaciones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400" w:hRule="atLeast"/>
        </w:trPr>
        <w:tc>
          <w:tcPr>
            <w:tcW w:type="dxa" w:w="93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80" w:after="80" w:line="252" w:lineRule="auto"/>
            </w:pPr>
            <w:r>
              <w:rPr>
                <w:rFonts w:ascii="Arial" w:hAnsi="Arial"/>
                <w:sz w:val="19"/>
                <w:lang w:val="es-CO" w:eastAsia="es-CO" w:bidi="ar-SA"/>
                <w:noProof/>
              </w:rPr>
              <w:t>Se completó al 100% el desarrollo de software, modelado UML, persistencia políglota, despliegue en la nube y la totalidad de los documentos exigidos en la rúbrica institucional (Documento de 17 puntos, Artículo IEEE corregido, Manual de Usuario, Manual Técnico, Guión de Video, Póster en PPTX/PDF y Release v1.0.0 en GitHub). El proyecto se encuentra en estado óptimo y terminado para la entrega en Classroom y la sustentación final.</w:t>
            </w:r>
          </w:p>
        </w:tc>
      </w:tr>
    </w:tbl>
    <w:p>
      <w:pPr>
        <w:pStyle w:val="Heading1"/>
        <w:spacing w:after="120" w:before="280"/>
      </w:pPr>
      <w:r>
        <w:rPr>
          <w:lang w:val="es-CO" w:eastAsia="es-CO" w:bidi="ar-SA"/>
          <w:noProof/>
        </w:rPr>
        <w:t xml:space="preserve">Integrantes</w:t>
      </w:r>
    </w:p>
    <w:p>
      <w:pPr>
        <w:spacing w:after="60"/>
      </w:pPr>
      <w:r>
        <w:rPr>
          <w:sz w:val="20"/>
          <w:szCs w:val="20"/>
          <w:lang w:val="es-CO" w:eastAsia="es-CO" w:bidi="ar-SA"/>
          <w:noProof/>
        </w:rPr>
        <w:t xml:space="preserve">Jesús Daniel Rueda Castillo</w:t>
      </w:r>
    </w:p>
    <w:p>
      <w:pPr>
        <w:spacing w:after="60"/>
      </w:pPr>
      <w:r>
        <w:rPr>
          <w:sz w:val="20"/>
          <w:szCs w:val="20"/>
          <w:lang w:val="es-CO" w:eastAsia="es-CO" w:bidi="ar-SA"/>
          <w:noProof/>
        </w:rPr>
        <w:t xml:space="preserve">Alonso Andrés Henao Roa</w:t>
      </w:r>
    </w:p>
    <w:p>
      <w:pPr>
        <w:spacing w:after="60"/>
      </w:pPr>
      <w:r>
        <w:rPr>
          <w:sz w:val="20"/>
          <w:szCs w:val="20"/>
          <w:lang w:val="es-CO" w:eastAsia="es-CO" w:bidi="ar-SA"/>
          <w:noProof/>
        </w:rPr>
        <w:t xml:space="preserve">Rafael Fabián Carreño Barrera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cs="Arial" w:eastAsia="Arial" w:hAnsi="Arial"/>
      <w:b/>
      <w:bCs/>
      <w:color w:val="1F3864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2026-09-20T23:41:47.397Z</dcterms:created>
  <dcterms:modified xsi:type="dcterms:W3CDTF">2026-09-20T23:41:47.398Z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