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VALORACIÓN DE LA PRUEBA — RESPUESTAS</w:t>
      </w:r>
    </w:p>
    <w:p>
      <w:r>
        <w:t xml:space="preserve">Nombre: ______________________________</w:t>
      </w:r>
    </w:p>
    <w:p>
      <w:r>
        <w:t xml:space="preserve">Grupo: _______________________________</w:t>
      </w:r>
    </w:p>
    <w:p/>
    <w:p>
      <w:r>
        <w:t xml:space="preserve">1. b. Un monolito también puede replicarse horizontalmente, pero cada réplica incluye todos los módulos, incluso los que no están saturados.</w:t>
      </w:r>
    </w:p>
    <w:p>
      <w:r>
        <w:t xml:space="preserve">2. b. Al tener bases de datos separadas, la operación ya no cabe en una transacción ACID local; requiere coordinación explícita y normalmente consistencia eventual.</w:t>
      </w:r>
    </w:p>
    <w:p>
      <w:r>
        <w:t xml:space="preserve">3. c. Es un monolito distribuido: asume latencia, fallas parciales y costos operativos, sin autonomía real de despliegue ni de datos.</w:t>
      </w:r>
    </w:p>
    <w:p>
      <w:r>
        <w:t xml:space="preserve">4. b. El saldo final puede ser $800.000 o $300.000. Una actualización sobrescribe la otra (lost update), por lo que se compromete el aislamiento.</w:t>
      </w:r>
    </w:p>
    <w:p>
      <w:r>
        <w:t xml:space="preserve">5. b. Las llamadas de red encadenadas y el costo de serializar/deserializar datos elevan la latencia total.</w:t>
      </w:r>
    </w:p>
    <w:p/>
    <w:p>
      <w:r>
        <w:t xml:space="preserve">6. Ensayo argumentado</w:t>
      </w:r>
    </w:p>
    <w:p/>
    <w:p>
      <w:r>
        <w:t xml:space="preserve">Recomiendo adoptar una arquitectura híbrida: conservar el monolito como núcleo transaccional y extraer gradualmente los componentes con una carga, riesgo o tecnología claramente distintos. Una migración completa e inmediata a microservicios no es apropiada para esta organización; sin embargo, mantener todo dentro del monolito tampoco resuelve los problemas operativos actuales.</w:t>
      </w:r>
    </w:p>
    <w:p/>
    <w:p>
      <w:r>
        <w:t xml:space="preserve">El primer criterio es la capacidad del equipo. La plataforma tiene unas 180.000 líneas de código, siete desarrolladores y solo una persona que dedica la mitad de su tiempo a infraestructura. No existe un equipo de plataforma encargado de observabilidad, despliegues, monitoreo, seguridad, redes y recuperación ante fallos. Convertir todo el sistema en microservicios aumentaría la carga: habría más repositorios, pipelines, contratos API, alertas, despliegues y fallos parciales que diagnosticar. Con un pipeline de 40 minutos y despliegues quincenales nocturnos, primero deben fortalecer la automatización y la operación.</w:t>
      </w:r>
    </w:p>
    <w:p/>
    <w:p>
      <w:r>
        <w:t xml:space="preserve">El segundo criterio es el perfil de carga. El seguimiento de domiciliarios recibe coordenadas GPS cada cinco segundos de aproximadamente 120 repartidores y consume cerca del 70 % de la CPU. Este módulo tiene una demanda distinta de ventas, facturación o administración; por ello es el primer componente que extraería. Un servicio de seguimiento independiente permitiría escalar únicamente ese procesamiento, usar colas o eventos y elegir almacenamiento adecuado para posiciones. Se evita así escalar toda la aplicación, algo importante porque el presupuesto de infraestructura solo crecerá un 15 %.</w:t>
      </w:r>
    </w:p>
    <w:p/>
    <w:p>
      <w:r>
        <w:t xml:space="preserve">También conviene independizar el catálogo, en especial su capa de lectura. Durante descuentos, las consultas se multiplican por veinte durante cuatro horas, mientras el resto del mes son bajas. Un servicio de lectura con caché, réplicas y escalamiento temporal evitaría sobredimensionar el monolito de forma permanente. Es un candidato adecuado porque predominan las lecturas y puede tolerar una demora controlada de propagación de datos.</w:t>
      </w:r>
    </w:p>
    <w:p/>
    <w:p>
      <w:r>
        <w:t xml:space="preserve">El motor de recomendaciones debe construirse como servicio separado. El equipo de datos trabaja en Python y el monolito usa otro lenguaje; integrarlo dentro del monolito aumentaría el acoplamiento técnico y pondría en riesgo la meta de cuatro meses. El nuevo servicio puede consumir eventos de compras y catálogo, y entregar recomendaciones sin participar en la transacción crítica del checkout.</w:t>
      </w:r>
    </w:p>
    <w:p/>
    <w:p>
      <w:r>
        <w:t xml:space="preserve">En esta etapa mantendría dentro del monolito la facturación electrónica, cartera, inventario comprometido y el flujo principal de checkout. La facturación exige auditoría, numeración consecutiva y que no existan documentos parcialmente emitidos ni duplicados. Estos requisitos se benefician de una transacción ACID única en el esquema actual. Dividirla prematuramente exigiría Sagas, idempotencia, conciliaciones y manejo de errores distribuidos, con riesgo de incumplimiento tributario.</w:t>
      </w:r>
    </w:p>
    <w:p/>
    <w:p>
      <w:r>
        <w:t xml:space="preserve">El despliegue defectuoso de promociones, que dejó inoperante el checkout, evidencia acoplamiento. Aun así, no obliga a extraerlo de inmediato: primero conviene establecer interfaces internas, pruebas de contrato, interruptores de circuito y despliegues controlados. El criterio de corte es extraer componentes con carga independiente, tecnología especializada o tolerancia a consistencia eventual, y conservar unidos los procesos que requieren consistencia fuerte, auditoría y transacciones ACID. Esta evolución híbrida obtiene beneficios concretos sin imponer al equipo una complejidad operativa que hoy no puede sostener.</w:t>
      </w:r>
    </w:p>
    <w:sectPr>
      <w:pgSz w:w="12240" w:h="15840"/>
      <w:pgMar w:top="1440" w:right="1440" w:bottom="1440" w:left="1440"/>
    </w:sectPr>
  </w:body>
</w:document>
</file>