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486A" w14:textId="33CBC33D" w:rsidR="00430DB7" w:rsidRPr="00A16547" w:rsidRDefault="00430DB7" w:rsidP="00430DB7">
      <w:pPr>
        <w:jc w:val="center"/>
        <w:rPr>
          <w:rFonts w:ascii="Times New Roman" w:hAnsi="Times New Roman" w:cs="Times New Roman"/>
          <w:b/>
          <w:bCs/>
          <w:sz w:val="32"/>
          <w:szCs w:val="32"/>
        </w:rPr>
      </w:pPr>
      <w:r w:rsidRPr="00A16547">
        <w:rPr>
          <w:rFonts w:ascii="Times New Roman" w:hAnsi="Times New Roman" w:cs="Times New Roman"/>
          <w:b/>
          <w:bCs/>
          <w:sz w:val="32"/>
          <w:szCs w:val="32"/>
        </w:rPr>
        <w:t xml:space="preserve">TCR Violations Analysis </w:t>
      </w:r>
      <w:r w:rsidRPr="00A16547">
        <w:rPr>
          <w:rFonts w:ascii="Times New Roman" w:hAnsi="Times New Roman" w:cs="Times New Roman"/>
          <w:b/>
          <w:bCs/>
          <w:sz w:val="32"/>
          <w:szCs w:val="32"/>
        </w:rPr>
        <w:t>Technical Executive Summary</w:t>
      </w:r>
      <w:r w:rsidRPr="00A16547">
        <w:rPr>
          <w:rFonts w:ascii="Times New Roman" w:hAnsi="Times New Roman" w:cs="Times New Roman"/>
          <w:b/>
          <w:bCs/>
          <w:sz w:val="32"/>
          <w:szCs w:val="32"/>
        </w:rPr>
        <w:t xml:space="preserve"> – Project #</w:t>
      </w:r>
      <w:r w:rsidRPr="00A16547">
        <w:rPr>
          <w:rFonts w:ascii="Times New Roman" w:hAnsi="Times New Roman" w:cs="Times New Roman"/>
          <w:b/>
          <w:bCs/>
          <w:sz w:val="32"/>
          <w:szCs w:val="32"/>
        </w:rPr>
        <w:t>5</w:t>
      </w:r>
    </w:p>
    <w:p w14:paraId="4D8BA8D8" w14:textId="00649DA8" w:rsidR="00430DB7" w:rsidRPr="00A16547" w:rsidRDefault="00430DB7"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Project Overview</w:t>
      </w:r>
    </w:p>
    <w:p w14:paraId="6C8E441A" w14:textId="77777777" w:rsidR="003516AB" w:rsidRPr="00A16547" w:rsidRDefault="00430DB7" w:rsidP="00A16547">
      <w:pPr>
        <w:spacing w:line="240" w:lineRule="auto"/>
        <w:rPr>
          <w:rFonts w:ascii="Times New Roman" w:hAnsi="Times New Roman" w:cs="Times New Roman"/>
          <w:sz w:val="22"/>
          <w:szCs w:val="22"/>
          <w:lang w:val="en-US" w:eastAsia="en-US"/>
        </w:rPr>
      </w:pPr>
      <w:r w:rsidRPr="00A16547">
        <w:rPr>
          <w:rFonts w:ascii="Times New Roman" w:hAnsi="Times New Roman" w:cs="Times New Roman"/>
          <w:sz w:val="22"/>
          <w:szCs w:val="22"/>
          <w:lang w:val="en-US" w:eastAsia="en-US"/>
        </w:rPr>
        <w:t>This project analyzes Total Coliform Rule (TCR) violations in public drinking water systems using data from the EPA</w:t>
      </w:r>
      <w:r w:rsidR="003516AB" w:rsidRPr="00A16547">
        <w:rPr>
          <w:rFonts w:ascii="Times New Roman" w:hAnsi="Times New Roman" w:cs="Times New Roman"/>
          <w:sz w:val="22"/>
          <w:szCs w:val="22"/>
          <w:lang w:val="en-US" w:eastAsia="en-US"/>
        </w:rPr>
        <w:t xml:space="preserve"> Safe Drinking Water Information System (SDWIS). The analysis focuses on five states: Georgia (GA), Texas (TX), Ohio (OH), Massachusetts (MA), and Washington (WA). The analysis is designed to evaluate spatial and temporal trends in violations. The primary objectives were to quantify TCR violations by state over time and assess whether system size influences violation frequency. </w:t>
      </w:r>
    </w:p>
    <w:p w14:paraId="44D4800A" w14:textId="77777777" w:rsidR="003516AB" w:rsidRPr="00A16547" w:rsidRDefault="003516AB"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Data and Methods</w:t>
      </w:r>
    </w:p>
    <w:p w14:paraId="4FD75FBD" w14:textId="7A29D172" w:rsidR="00430DB7" w:rsidRPr="00A16547" w:rsidRDefault="00430DB7" w:rsidP="00A16547">
      <w:pPr>
        <w:spacing w:line="240" w:lineRule="auto"/>
        <w:rPr>
          <w:rFonts w:ascii="Times New Roman" w:hAnsi="Times New Roman" w:cs="Times New Roman"/>
          <w:sz w:val="22"/>
          <w:szCs w:val="22"/>
        </w:rPr>
      </w:pPr>
      <w:r w:rsidRPr="00A16547">
        <w:rPr>
          <w:rFonts w:ascii="Times New Roman" w:hAnsi="Times New Roman" w:cs="Times New Roman"/>
          <w:sz w:val="22"/>
          <w:szCs w:val="22"/>
        </w:rPr>
        <w:t xml:space="preserve"> </w:t>
      </w:r>
      <w:r w:rsidR="003516AB" w:rsidRPr="00A16547">
        <w:rPr>
          <w:rFonts w:ascii="Times New Roman" w:hAnsi="Times New Roman" w:cs="Times New Roman"/>
          <w:sz w:val="22"/>
          <w:szCs w:val="22"/>
        </w:rPr>
        <w:t xml:space="preserve">Quarterly violation data from 2021 through 2025 were collected and combined into a single dataset. Data cleaning was performed in Python to standardize variables, remove unnecessary fields, and convert key values such as population served into numeric form. </w:t>
      </w:r>
    </w:p>
    <w:p w14:paraId="2463A3CE" w14:textId="78C65C14" w:rsidR="003516AB" w:rsidRPr="00A16547" w:rsidRDefault="003516AB" w:rsidP="00A16547">
      <w:pPr>
        <w:spacing w:line="240" w:lineRule="auto"/>
        <w:rPr>
          <w:rFonts w:ascii="Times New Roman" w:hAnsi="Times New Roman" w:cs="Times New Roman"/>
          <w:sz w:val="22"/>
          <w:szCs w:val="22"/>
        </w:rPr>
      </w:pPr>
      <w:r w:rsidRPr="00A16547">
        <w:rPr>
          <w:rFonts w:ascii="Times New Roman" w:hAnsi="Times New Roman" w:cs="Times New Roman"/>
          <w:sz w:val="22"/>
          <w:szCs w:val="22"/>
        </w:rPr>
        <w:t xml:space="preserve">Analysis was conducted using Python, primarily with the pandas and matplotlib libraries. Violations were aggregated by state, system size category, and time (year and quarter). Visualization techniques, including bar charts and time-series plots, were used to identify patters. Additional trend analysis was performed to evaluate changes in violation frequency over time. </w:t>
      </w:r>
    </w:p>
    <w:p w14:paraId="3A9D9EE4" w14:textId="40621BC9" w:rsidR="003516AB" w:rsidRPr="00A16547" w:rsidRDefault="003516AB"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Key Results</w:t>
      </w:r>
    </w:p>
    <w:p w14:paraId="793FC3B9" w14:textId="4DFCFC4F" w:rsidR="003516AB" w:rsidRPr="00A16547" w:rsidRDefault="003516AB" w:rsidP="00A16547">
      <w:pPr>
        <w:spacing w:line="240" w:lineRule="auto"/>
        <w:rPr>
          <w:rFonts w:ascii="Times New Roman" w:hAnsi="Times New Roman" w:cs="Times New Roman"/>
          <w:sz w:val="22"/>
          <w:szCs w:val="22"/>
          <w:lang w:val="en-US" w:eastAsia="en-US"/>
        </w:rPr>
      </w:pPr>
      <w:r w:rsidRPr="00A16547">
        <w:rPr>
          <w:rFonts w:ascii="Times New Roman" w:hAnsi="Times New Roman" w:cs="Times New Roman"/>
          <w:sz w:val="22"/>
          <w:szCs w:val="22"/>
          <w:lang w:val="en-US" w:eastAsia="en-US"/>
        </w:rPr>
        <w:t>The analysis identified several consistent trends across the dataset:</w:t>
      </w:r>
    </w:p>
    <w:p w14:paraId="2645A502" w14:textId="1BC81E6B" w:rsidR="003516AB" w:rsidRPr="00A16547" w:rsidRDefault="003516AB" w:rsidP="00A16547">
      <w:pPr>
        <w:pStyle w:val="ListParagraph"/>
        <w:numPr>
          <w:ilvl w:val="0"/>
          <w:numId w:val="3"/>
        </w:numPr>
        <w:spacing w:line="240" w:lineRule="auto"/>
        <w:rPr>
          <w:rFonts w:ascii="Times New Roman" w:hAnsi="Times New Roman" w:cs="Times New Roman"/>
          <w:sz w:val="22"/>
          <w:szCs w:val="22"/>
        </w:rPr>
      </w:pPr>
      <w:r w:rsidRPr="00A16547">
        <w:rPr>
          <w:rFonts w:ascii="Times New Roman" w:hAnsi="Times New Roman" w:cs="Times New Roman"/>
          <w:sz w:val="22"/>
          <w:szCs w:val="22"/>
        </w:rPr>
        <w:t xml:space="preserve">State-Level Variation: Washington and Ohio exhibited the highest number of TCR violations, while Massachusetts had the lowest. </w:t>
      </w:r>
    </w:p>
    <w:p w14:paraId="2AA0AC05" w14:textId="22FAA785" w:rsidR="003516AB" w:rsidRPr="00A16547" w:rsidRDefault="003516AB" w:rsidP="00A16547">
      <w:pPr>
        <w:pStyle w:val="ListParagraph"/>
        <w:numPr>
          <w:ilvl w:val="0"/>
          <w:numId w:val="3"/>
        </w:numPr>
        <w:spacing w:line="240" w:lineRule="auto"/>
        <w:rPr>
          <w:rFonts w:ascii="Times New Roman" w:hAnsi="Times New Roman" w:cs="Times New Roman"/>
          <w:sz w:val="22"/>
          <w:szCs w:val="22"/>
        </w:rPr>
      </w:pPr>
      <w:r w:rsidRPr="00A16547">
        <w:rPr>
          <w:rFonts w:ascii="Times New Roman" w:hAnsi="Times New Roman" w:cs="Times New Roman"/>
          <w:sz w:val="22"/>
          <w:szCs w:val="22"/>
        </w:rPr>
        <w:t xml:space="preserve">System Size Impact: Small water systems (serving 500 people or less) accounted for </w:t>
      </w:r>
      <w:r w:rsidR="00A16547" w:rsidRPr="00A16547">
        <w:rPr>
          <w:rFonts w:ascii="Times New Roman" w:hAnsi="Times New Roman" w:cs="Times New Roman"/>
          <w:sz w:val="22"/>
          <w:szCs w:val="22"/>
        </w:rPr>
        <w:t>most</w:t>
      </w:r>
      <w:r w:rsidRPr="00A16547">
        <w:rPr>
          <w:rFonts w:ascii="Times New Roman" w:hAnsi="Times New Roman" w:cs="Times New Roman"/>
          <w:sz w:val="22"/>
          <w:szCs w:val="22"/>
        </w:rPr>
        <w:t xml:space="preserve"> violations, while large systems contributed relatively few. </w:t>
      </w:r>
    </w:p>
    <w:p w14:paraId="30091EDB" w14:textId="62E3E1E6" w:rsidR="003516AB" w:rsidRPr="00A16547" w:rsidRDefault="003516AB" w:rsidP="00A16547">
      <w:pPr>
        <w:pStyle w:val="ListParagraph"/>
        <w:numPr>
          <w:ilvl w:val="0"/>
          <w:numId w:val="3"/>
        </w:numPr>
        <w:spacing w:line="240" w:lineRule="auto"/>
        <w:rPr>
          <w:rFonts w:ascii="Times New Roman" w:hAnsi="Times New Roman" w:cs="Times New Roman"/>
          <w:sz w:val="22"/>
          <w:szCs w:val="22"/>
        </w:rPr>
      </w:pPr>
      <w:r w:rsidRPr="00A16547">
        <w:rPr>
          <w:rFonts w:ascii="Times New Roman" w:hAnsi="Times New Roman" w:cs="Times New Roman"/>
          <w:sz w:val="22"/>
          <w:szCs w:val="22"/>
        </w:rPr>
        <w:t xml:space="preserve">Temporal Trends: TCR violations generally decreased from 2021 to 2025, indicating gradual improvements in compliance. </w:t>
      </w:r>
    </w:p>
    <w:p w14:paraId="44E4AD23" w14:textId="7418E284" w:rsidR="003516AB" w:rsidRPr="00A16547" w:rsidRDefault="003516AB"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Interpretation</w:t>
      </w:r>
    </w:p>
    <w:p w14:paraId="757CA7F7" w14:textId="638D0C8F" w:rsidR="003516AB" w:rsidRPr="00A16547" w:rsidRDefault="003516AB" w:rsidP="00A16547">
      <w:pPr>
        <w:spacing w:line="240" w:lineRule="auto"/>
        <w:rPr>
          <w:rFonts w:ascii="Times New Roman" w:hAnsi="Times New Roman" w:cs="Times New Roman"/>
          <w:sz w:val="22"/>
          <w:szCs w:val="22"/>
          <w:lang w:val="en-US" w:eastAsia="en-US"/>
        </w:rPr>
      </w:pPr>
      <w:r w:rsidRPr="00A16547">
        <w:rPr>
          <w:rFonts w:ascii="Times New Roman" w:hAnsi="Times New Roman" w:cs="Times New Roman"/>
          <w:sz w:val="22"/>
          <w:szCs w:val="22"/>
          <w:lang w:val="en-US" w:eastAsia="en-US"/>
        </w:rPr>
        <w:t xml:space="preserve">The results suggest that both geographic and structural factors influence TCR violations. Smaller systems likely experience higher violation rates due to limited financial resources, staffing, and technical capacity.  Differences between states may reflect variations in infrastructure, regulatory enforcement, and environmental conditions. </w:t>
      </w:r>
    </w:p>
    <w:p w14:paraId="4EF0F4F7" w14:textId="5F545136" w:rsidR="003516AB" w:rsidRPr="00A16547" w:rsidRDefault="00A16547"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Limitations and Bias</w:t>
      </w:r>
    </w:p>
    <w:p w14:paraId="1788C8C5" w14:textId="0E54FCEA" w:rsidR="00A16547" w:rsidRPr="00A16547" w:rsidRDefault="00A16547" w:rsidP="00A16547">
      <w:pPr>
        <w:spacing w:line="240" w:lineRule="auto"/>
        <w:rPr>
          <w:rFonts w:ascii="Times New Roman" w:hAnsi="Times New Roman" w:cs="Times New Roman"/>
          <w:sz w:val="22"/>
          <w:szCs w:val="22"/>
          <w:lang w:val="en-US" w:eastAsia="en-US"/>
        </w:rPr>
      </w:pPr>
      <w:r w:rsidRPr="00A16547">
        <w:rPr>
          <w:rFonts w:ascii="Times New Roman" w:hAnsi="Times New Roman" w:cs="Times New Roman"/>
          <w:sz w:val="22"/>
          <w:szCs w:val="22"/>
          <w:lang w:val="en-US" w:eastAsia="en-US"/>
        </w:rPr>
        <w:t xml:space="preserve">The analysis is subject to several limitations. Aggregating data by state and time may obscure system-level variability, and using raw violation counts introduces bias toward states with larger populations or more systems. Additionally, data cleaning and selection decisions may influence results. These factors should be considered when interpreting findings. </w:t>
      </w:r>
    </w:p>
    <w:p w14:paraId="1787FD81" w14:textId="66D36C60" w:rsidR="00A16547" w:rsidRPr="00A16547" w:rsidRDefault="00A16547" w:rsidP="00A16547">
      <w:pPr>
        <w:pStyle w:val="Heading3"/>
        <w:numPr>
          <w:ilvl w:val="0"/>
          <w:numId w:val="2"/>
        </w:numPr>
        <w:spacing w:line="240" w:lineRule="auto"/>
        <w:rPr>
          <w:rFonts w:ascii="Times New Roman" w:hAnsi="Times New Roman" w:cs="Times New Roman"/>
          <w:sz w:val="22"/>
          <w:szCs w:val="22"/>
        </w:rPr>
      </w:pPr>
      <w:r w:rsidRPr="00A16547">
        <w:rPr>
          <w:rFonts w:ascii="Times New Roman" w:hAnsi="Times New Roman" w:cs="Times New Roman"/>
          <w:sz w:val="22"/>
          <w:szCs w:val="22"/>
        </w:rPr>
        <w:t>Conclusions</w:t>
      </w:r>
    </w:p>
    <w:p w14:paraId="660FB1E2" w14:textId="2A413AD5" w:rsidR="00A16547" w:rsidRPr="00A16547" w:rsidRDefault="00A16547" w:rsidP="00A16547">
      <w:pPr>
        <w:spacing w:line="240" w:lineRule="auto"/>
        <w:rPr>
          <w:rFonts w:ascii="Times New Roman" w:hAnsi="Times New Roman" w:cs="Times New Roman"/>
          <w:sz w:val="22"/>
          <w:szCs w:val="22"/>
          <w:lang w:val="en-US" w:eastAsia="en-US"/>
        </w:rPr>
      </w:pPr>
      <w:r w:rsidRPr="00A16547">
        <w:rPr>
          <w:rFonts w:ascii="Times New Roman" w:hAnsi="Times New Roman" w:cs="Times New Roman"/>
          <w:sz w:val="22"/>
          <w:szCs w:val="22"/>
          <w:lang w:val="en-US" w:eastAsia="en-US"/>
        </w:rPr>
        <w:t xml:space="preserve">This analysis demonstrates that TCR violations are strongly associated with system size and vary significantly by state. While overall violations have decreased over time, small systems remain disproportionately affected. These findings highlight the importance of targeted support and resource allocation to improve compliance in smaller water systems. </w:t>
      </w:r>
    </w:p>
    <w:sectPr w:rsidR="00A16547" w:rsidRPr="00A1654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196E" w14:textId="77777777" w:rsidR="00D755CD" w:rsidRDefault="00D755CD" w:rsidP="00A16547">
      <w:pPr>
        <w:spacing w:after="0" w:line="240" w:lineRule="auto"/>
      </w:pPr>
      <w:r>
        <w:separator/>
      </w:r>
    </w:p>
  </w:endnote>
  <w:endnote w:type="continuationSeparator" w:id="0">
    <w:p w14:paraId="3B857B26" w14:textId="77777777" w:rsidR="00D755CD" w:rsidRDefault="00D755CD" w:rsidP="00A16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04E7" w14:textId="77777777" w:rsidR="00D755CD" w:rsidRDefault="00D755CD" w:rsidP="00A16547">
      <w:pPr>
        <w:spacing w:after="0" w:line="240" w:lineRule="auto"/>
      </w:pPr>
      <w:r>
        <w:separator/>
      </w:r>
    </w:p>
  </w:footnote>
  <w:footnote w:type="continuationSeparator" w:id="0">
    <w:p w14:paraId="6FDC6135" w14:textId="77777777" w:rsidR="00D755CD" w:rsidRDefault="00D755CD" w:rsidP="00A16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39BC" w14:textId="32B8D33E" w:rsidR="00A16547" w:rsidRDefault="00A16547">
    <w:pPr>
      <w:pStyle w:val="Header"/>
    </w:pPr>
    <w:r>
      <w:t>Team: Rebecca Carroll, Dawa Lamu Tamang, Savanna Flores</w:t>
    </w:r>
  </w:p>
  <w:p w14:paraId="57D8D14E" w14:textId="6F2654CC" w:rsidR="00A16547" w:rsidRDefault="00A16547">
    <w:pPr>
      <w:pStyle w:val="Header"/>
    </w:pPr>
    <w:r>
      <w:t>Client: UMass Amherst Water Research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BB7"/>
    <w:multiLevelType w:val="hybridMultilevel"/>
    <w:tmpl w:val="7E2C0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965EC7"/>
    <w:multiLevelType w:val="hybridMultilevel"/>
    <w:tmpl w:val="C0283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236440"/>
    <w:multiLevelType w:val="hybridMultilevel"/>
    <w:tmpl w:val="8B2E0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06507">
    <w:abstractNumId w:val="2"/>
  </w:num>
  <w:num w:numId="2" w16cid:durableId="266234215">
    <w:abstractNumId w:val="1"/>
  </w:num>
  <w:num w:numId="3" w16cid:durableId="136682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B7"/>
    <w:rsid w:val="003516AB"/>
    <w:rsid w:val="003B2FBF"/>
    <w:rsid w:val="00430DB7"/>
    <w:rsid w:val="0057104E"/>
    <w:rsid w:val="00A16547"/>
    <w:rsid w:val="00BB7C3C"/>
    <w:rsid w:val="00C2036E"/>
    <w:rsid w:val="00D7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882E"/>
  <w15:chartTrackingRefBased/>
  <w15:docId w15:val="{CCC220A1-AE8E-4206-9A39-7A87FA0F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B7"/>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430DB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430DB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430DB7"/>
    <w:pPr>
      <w:keepNext/>
      <w:keepLines/>
      <w:spacing w:before="160" w:after="80" w:line="278" w:lineRule="auto"/>
      <w:outlineLvl w:val="2"/>
    </w:pPr>
    <w:rPr>
      <w:rFonts w:eastAsiaTheme="majorEastAsia"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430DB7"/>
    <w:pPr>
      <w:keepNext/>
      <w:keepLines/>
      <w:spacing w:before="80" w:after="40" w:line="278" w:lineRule="auto"/>
      <w:outlineLvl w:val="3"/>
    </w:pPr>
    <w:rPr>
      <w:rFonts w:eastAsiaTheme="majorEastAsia"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430DB7"/>
    <w:pPr>
      <w:keepNext/>
      <w:keepLines/>
      <w:spacing w:before="80" w:after="40" w:line="278" w:lineRule="auto"/>
      <w:outlineLvl w:val="4"/>
    </w:pPr>
    <w:rPr>
      <w:rFonts w:eastAsiaTheme="majorEastAsia"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430DB7"/>
    <w:pPr>
      <w:keepNext/>
      <w:keepLines/>
      <w:spacing w:before="40" w:after="0" w:line="278" w:lineRule="auto"/>
      <w:outlineLvl w:val="5"/>
    </w:pPr>
    <w:rPr>
      <w:rFonts w:eastAsiaTheme="majorEastAsia"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430DB7"/>
    <w:pPr>
      <w:keepNext/>
      <w:keepLines/>
      <w:spacing w:before="40" w:after="0" w:line="278" w:lineRule="auto"/>
      <w:outlineLvl w:val="6"/>
    </w:pPr>
    <w:rPr>
      <w:rFonts w:eastAsiaTheme="majorEastAsia"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430DB7"/>
    <w:pPr>
      <w:keepNext/>
      <w:keepLines/>
      <w:spacing w:after="0" w:line="278" w:lineRule="auto"/>
      <w:outlineLvl w:val="7"/>
    </w:pPr>
    <w:rPr>
      <w:rFonts w:eastAsiaTheme="majorEastAsia"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430DB7"/>
    <w:pPr>
      <w:keepNext/>
      <w:keepLines/>
      <w:spacing w:after="0" w:line="278" w:lineRule="auto"/>
      <w:outlineLvl w:val="8"/>
    </w:pPr>
    <w:rPr>
      <w:rFonts w:eastAsiaTheme="majorEastAsia"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DB7"/>
    <w:rPr>
      <w:rFonts w:eastAsiaTheme="majorEastAsia" w:cstheme="majorBidi"/>
      <w:color w:val="272727" w:themeColor="text1" w:themeTint="D8"/>
    </w:rPr>
  </w:style>
  <w:style w:type="paragraph" w:styleId="Title">
    <w:name w:val="Title"/>
    <w:basedOn w:val="Normal"/>
    <w:next w:val="Normal"/>
    <w:link w:val="TitleChar"/>
    <w:uiPriority w:val="10"/>
    <w:qFormat/>
    <w:rsid w:val="00430DB7"/>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430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DB7"/>
    <w:pPr>
      <w:numPr>
        <w:ilvl w:val="1"/>
      </w:numPr>
      <w:spacing w:line="278" w:lineRule="auto"/>
    </w:pPr>
    <w:rPr>
      <w:rFonts w:eastAsiaTheme="majorEastAsia"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430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DB7"/>
    <w:pPr>
      <w:spacing w:before="160" w:line="278" w:lineRule="auto"/>
      <w:jc w:val="center"/>
    </w:pPr>
    <w:rPr>
      <w:rFonts w:eastAsiaTheme="minorHAns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430DB7"/>
    <w:rPr>
      <w:i/>
      <w:iCs/>
      <w:color w:val="404040" w:themeColor="text1" w:themeTint="BF"/>
    </w:rPr>
  </w:style>
  <w:style w:type="paragraph" w:styleId="ListParagraph">
    <w:name w:val="List Paragraph"/>
    <w:basedOn w:val="Normal"/>
    <w:uiPriority w:val="34"/>
    <w:qFormat/>
    <w:rsid w:val="00430DB7"/>
    <w:pPr>
      <w:spacing w:line="278" w:lineRule="auto"/>
      <w:ind w:left="720"/>
      <w:contextualSpacing/>
    </w:pPr>
    <w:rPr>
      <w:rFonts w:eastAsiaTheme="minorHAnsi"/>
      <w:kern w:val="2"/>
      <w:lang w:val="en-US" w:eastAsia="en-US"/>
      <w14:ligatures w14:val="standardContextual"/>
    </w:rPr>
  </w:style>
  <w:style w:type="character" w:styleId="IntenseEmphasis">
    <w:name w:val="Intense Emphasis"/>
    <w:basedOn w:val="DefaultParagraphFont"/>
    <w:uiPriority w:val="21"/>
    <w:qFormat/>
    <w:rsid w:val="00430DB7"/>
    <w:rPr>
      <w:i/>
      <w:iCs/>
      <w:color w:val="0F4761" w:themeColor="accent1" w:themeShade="BF"/>
    </w:rPr>
  </w:style>
  <w:style w:type="paragraph" w:styleId="IntenseQuote">
    <w:name w:val="Intense Quote"/>
    <w:basedOn w:val="Normal"/>
    <w:next w:val="Normal"/>
    <w:link w:val="IntenseQuoteChar"/>
    <w:uiPriority w:val="30"/>
    <w:qFormat/>
    <w:rsid w:val="00430D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430DB7"/>
    <w:rPr>
      <w:i/>
      <w:iCs/>
      <w:color w:val="0F4761" w:themeColor="accent1" w:themeShade="BF"/>
    </w:rPr>
  </w:style>
  <w:style w:type="character" w:styleId="IntenseReference">
    <w:name w:val="Intense Reference"/>
    <w:basedOn w:val="DefaultParagraphFont"/>
    <w:uiPriority w:val="32"/>
    <w:qFormat/>
    <w:rsid w:val="00430DB7"/>
    <w:rPr>
      <w:b/>
      <w:bCs/>
      <w:smallCaps/>
      <w:color w:val="0F4761" w:themeColor="accent1" w:themeShade="BF"/>
      <w:spacing w:val="5"/>
    </w:rPr>
  </w:style>
  <w:style w:type="paragraph" w:styleId="Header">
    <w:name w:val="header"/>
    <w:basedOn w:val="Normal"/>
    <w:link w:val="HeaderChar"/>
    <w:uiPriority w:val="99"/>
    <w:unhideWhenUsed/>
    <w:rsid w:val="00A16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547"/>
    <w:rPr>
      <w:rFonts w:eastAsiaTheme="minorEastAsia"/>
      <w:kern w:val="0"/>
      <w:lang w:val="en-GB" w:eastAsia="ja-JP"/>
      <w14:ligatures w14:val="none"/>
    </w:rPr>
  </w:style>
  <w:style w:type="paragraph" w:styleId="Footer">
    <w:name w:val="footer"/>
    <w:basedOn w:val="Normal"/>
    <w:link w:val="FooterChar"/>
    <w:uiPriority w:val="99"/>
    <w:unhideWhenUsed/>
    <w:rsid w:val="00A16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547"/>
    <w:rPr>
      <w:rFonts w:eastAsiaTheme="minorEastAsia"/>
      <w:kern w:val="0"/>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Carroll</dc:creator>
  <cp:keywords/>
  <dc:description/>
  <cp:lastModifiedBy>Rebecca Carroll</cp:lastModifiedBy>
  <cp:revision>1</cp:revision>
  <dcterms:created xsi:type="dcterms:W3CDTF">2026-04-28T23:47:00Z</dcterms:created>
  <dcterms:modified xsi:type="dcterms:W3CDTF">2026-04-29T00:13:00Z</dcterms:modified>
</cp:coreProperties>
</file>