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54A12" w14:textId="2F3713B0" w:rsidR="007B7F02" w:rsidRDefault="1FE426D4" w:rsidP="46FECB3F">
      <w:pPr>
        <w:rPr>
          <w:b/>
          <w:bCs/>
          <w:sz w:val="36"/>
          <w:szCs w:val="36"/>
        </w:rPr>
      </w:pPr>
      <w:r w:rsidRPr="46FECB3F">
        <w:rPr>
          <w:b/>
          <w:bCs/>
          <w:sz w:val="36"/>
          <w:szCs w:val="36"/>
        </w:rPr>
        <w:t>CIVE202 – Project #5: Initial Results</w:t>
      </w:r>
    </w:p>
    <w:p w14:paraId="43EBDC69" w14:textId="0182B93D" w:rsidR="007B7F02" w:rsidRDefault="1FE426D4" w:rsidP="46FECB3F">
      <w:pPr>
        <w:spacing w:before="240" w:after="240"/>
      </w:pPr>
      <w:r w:rsidRPr="46FECB3F">
        <w:rPr>
          <w:b/>
          <w:bCs/>
        </w:rPr>
        <w:t>Course:</w:t>
      </w:r>
      <w:r w:rsidRPr="46FECB3F">
        <w:t xml:space="preserve"> CIVE 202 – Civil Engineering Analysis II</w:t>
      </w:r>
      <w:r w:rsidR="00204F81">
        <w:br/>
      </w:r>
      <w:r w:rsidRPr="46FECB3F">
        <w:rPr>
          <w:b/>
          <w:bCs/>
        </w:rPr>
        <w:t>Project:</w:t>
      </w:r>
      <w:r w:rsidRPr="46FECB3F">
        <w:t xml:space="preserve"> Project #5 – TCR Violations Analysis</w:t>
      </w:r>
      <w:r w:rsidR="00204F81">
        <w:br/>
      </w:r>
      <w:r w:rsidRPr="46FECB3F">
        <w:rPr>
          <w:b/>
          <w:bCs/>
        </w:rPr>
        <w:t>Group:</w:t>
      </w:r>
      <w:r w:rsidRPr="46FECB3F">
        <w:t xml:space="preserve"> ENVRN-02-06</w:t>
      </w:r>
      <w:r w:rsidR="00204F81">
        <w:br/>
      </w:r>
      <w:r w:rsidRPr="46FECB3F">
        <w:rPr>
          <w:b/>
          <w:bCs/>
        </w:rPr>
        <w:t xml:space="preserve">Group Members: </w:t>
      </w:r>
      <w:r w:rsidRPr="46FECB3F">
        <w:t>Dawa Lamu Tamang, Rebecca Carroll, Savanna Flores</w:t>
      </w:r>
      <w:r w:rsidR="00204F81">
        <w:br/>
      </w:r>
      <w:r w:rsidRPr="46FECB3F">
        <w:rPr>
          <w:b/>
          <w:bCs/>
        </w:rPr>
        <w:t>Date:</w:t>
      </w:r>
      <w:r w:rsidRPr="46FECB3F">
        <w:t xml:space="preserve"> </w:t>
      </w:r>
      <w:r w:rsidR="31E2207D" w:rsidRPr="46FECB3F">
        <w:t>3/30/2026</w:t>
      </w:r>
    </w:p>
    <w:p w14:paraId="73174339" w14:textId="7BA7A8E0" w:rsidR="007B7F02" w:rsidRDefault="007B7F02" w:rsidP="46FECB3F">
      <w:pPr>
        <w:spacing w:before="240" w:after="240"/>
      </w:pPr>
    </w:p>
    <w:p w14:paraId="3076733E" w14:textId="3032349F" w:rsidR="007B7F02" w:rsidRDefault="31E2207D" w:rsidP="46FECB3F">
      <w:pPr>
        <w:spacing w:before="240" w:after="240"/>
        <w:rPr>
          <w:b/>
          <w:bCs/>
          <w:sz w:val="32"/>
          <w:szCs w:val="32"/>
        </w:rPr>
      </w:pPr>
      <w:r w:rsidRPr="46FECB3F">
        <w:rPr>
          <w:b/>
          <w:bCs/>
          <w:sz w:val="32"/>
          <w:szCs w:val="32"/>
        </w:rPr>
        <w:t>Initial Results:</w:t>
      </w:r>
    </w:p>
    <w:p w14:paraId="439179BF" w14:textId="3759203B" w:rsidR="007B7F02" w:rsidRDefault="31E2207D" w:rsidP="46FECB3F">
      <w:pPr>
        <w:spacing w:before="240" w:after="240"/>
      </w:pPr>
      <w:r w:rsidRPr="46FECB3F">
        <w:t>Result 1: TCR Violations by State</w:t>
      </w:r>
    </w:p>
    <w:p w14:paraId="51D34036" w14:textId="77777777" w:rsidR="0011246C" w:rsidRDefault="31E2207D" w:rsidP="0011246C">
      <w:pPr>
        <w:keepNext/>
        <w:spacing w:before="240" w:after="240"/>
      </w:pPr>
      <w:r>
        <w:rPr>
          <w:noProof/>
        </w:rPr>
        <w:drawing>
          <wp:inline distT="0" distB="0" distL="0" distR="0" wp14:anchorId="6B045AE7" wp14:editId="55E8A972">
            <wp:extent cx="3810532" cy="1667108"/>
            <wp:effectExtent l="0" t="0" r="0" b="0"/>
            <wp:docPr id="483878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78736" name="Picture 483878736"/>
                    <pic:cNvPicPr/>
                  </pic:nvPicPr>
                  <pic:blipFill>
                    <a:blip r:embed="rId6">
                      <a:extLst>
                        <a:ext uri="{28A0092B-C50C-407E-A947-70E740481C1C}">
                          <a14:useLocalDpi xmlns:a14="http://schemas.microsoft.com/office/drawing/2010/main"/>
                        </a:ext>
                      </a:extLst>
                    </a:blip>
                    <a:stretch>
                      <a:fillRect/>
                    </a:stretch>
                  </pic:blipFill>
                  <pic:spPr>
                    <a:xfrm>
                      <a:off x="0" y="0"/>
                      <a:ext cx="3810532" cy="1667108"/>
                    </a:xfrm>
                    <a:prstGeom prst="rect">
                      <a:avLst/>
                    </a:prstGeom>
                  </pic:spPr>
                </pic:pic>
              </a:graphicData>
            </a:graphic>
          </wp:inline>
        </w:drawing>
      </w:r>
    </w:p>
    <w:p w14:paraId="59604441" w14:textId="0FF75B71" w:rsidR="007B7F02" w:rsidRDefault="0011246C" w:rsidP="0011246C">
      <w:pPr>
        <w:pStyle w:val="Caption"/>
      </w:pPr>
      <w:r>
        <w:t xml:space="preserve">Figure </w:t>
      </w:r>
      <w:fldSimple w:instr=" SEQ Figure \* ARABIC ">
        <w:r w:rsidR="00204F81">
          <w:rPr>
            <w:noProof/>
          </w:rPr>
          <w:t>1</w:t>
        </w:r>
      </w:fldSimple>
      <w:r>
        <w:t xml:space="preserve"> </w:t>
      </w:r>
      <w:r w:rsidRPr="00D35AE3">
        <w:t>Total TCR Violations by State</w:t>
      </w:r>
    </w:p>
    <w:p w14:paraId="5E5787A5" w14:textId="1808109A" w:rsidR="007B7F02" w:rsidRDefault="31E2207D">
      <w:r>
        <w:t>The table above shows the preliminary total number of Total Coliform Rule (TCR) violations by state using the cleaned SDWIS dataset. This provides an initial comparison across the five selected states and highlights variation in violation counts between states.</w:t>
      </w:r>
    </w:p>
    <w:p w14:paraId="4FB73406" w14:textId="39F4E26E" w:rsidR="46FECB3F" w:rsidRDefault="46FECB3F"/>
    <w:p w14:paraId="7859332F" w14:textId="517EF1C7" w:rsidR="31E2207D" w:rsidRDefault="31E2207D" w:rsidP="46FECB3F">
      <w:pPr>
        <w:rPr>
          <w:b/>
          <w:bCs/>
          <w:sz w:val="32"/>
          <w:szCs w:val="32"/>
        </w:rPr>
      </w:pPr>
      <w:r w:rsidRPr="46FECB3F">
        <w:rPr>
          <w:b/>
          <w:bCs/>
          <w:sz w:val="32"/>
          <w:szCs w:val="32"/>
        </w:rPr>
        <w:t>Result 2: TCR Violations by System Size</w:t>
      </w:r>
    </w:p>
    <w:p w14:paraId="1DC465C7" w14:textId="77777777" w:rsidR="0011246C" w:rsidRDefault="31E2207D" w:rsidP="0011246C">
      <w:pPr>
        <w:keepNext/>
      </w:pPr>
      <w:r>
        <w:rPr>
          <w:noProof/>
        </w:rPr>
        <w:drawing>
          <wp:inline distT="0" distB="0" distL="0" distR="0" wp14:anchorId="66C9816F" wp14:editId="20944A1D">
            <wp:extent cx="4344006" cy="1600423"/>
            <wp:effectExtent l="0" t="0" r="0" b="0"/>
            <wp:docPr id="1223166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6326" name="Picture 1223166326"/>
                    <pic:cNvPicPr/>
                  </pic:nvPicPr>
                  <pic:blipFill>
                    <a:blip r:embed="rId7">
                      <a:extLst>
                        <a:ext uri="{28A0092B-C50C-407E-A947-70E740481C1C}">
                          <a14:useLocalDpi xmlns:a14="http://schemas.microsoft.com/office/drawing/2010/main"/>
                        </a:ext>
                      </a:extLst>
                    </a:blip>
                    <a:stretch>
                      <a:fillRect/>
                    </a:stretch>
                  </pic:blipFill>
                  <pic:spPr>
                    <a:xfrm>
                      <a:off x="0" y="0"/>
                      <a:ext cx="4344006" cy="1600423"/>
                    </a:xfrm>
                    <a:prstGeom prst="rect">
                      <a:avLst/>
                    </a:prstGeom>
                  </pic:spPr>
                </pic:pic>
              </a:graphicData>
            </a:graphic>
          </wp:inline>
        </w:drawing>
      </w:r>
    </w:p>
    <w:p w14:paraId="5E1447DE" w14:textId="7127F5D1" w:rsidR="31E2207D" w:rsidRDefault="0011246C" w:rsidP="0011246C">
      <w:pPr>
        <w:pStyle w:val="Caption"/>
      </w:pPr>
      <w:r>
        <w:t xml:space="preserve">Figure </w:t>
      </w:r>
      <w:fldSimple w:instr=" SEQ Figure \* ARABIC ">
        <w:r w:rsidR="00204F81">
          <w:rPr>
            <w:noProof/>
          </w:rPr>
          <w:t>2</w:t>
        </w:r>
      </w:fldSimple>
      <w:r>
        <w:t xml:space="preserve"> </w:t>
      </w:r>
      <w:r w:rsidRPr="005B21B3">
        <w:t>TCR Violations by Population Category</w:t>
      </w:r>
    </w:p>
    <w:p w14:paraId="0937D849" w14:textId="194E5A46" w:rsidR="31E2207D" w:rsidRDefault="31E2207D">
      <w:r>
        <w:t>The table above shows the distribution of TCR violations by population size category. The results indicate that the smallest water systems (serving &lt;=500 people) account for the highest number of violations, while larger systems have significantly fewer violations.</w:t>
      </w:r>
    </w:p>
    <w:p w14:paraId="76911077" w14:textId="0B1D5F45" w:rsidR="46FECB3F" w:rsidRDefault="46FECB3F"/>
    <w:p w14:paraId="71F8FECE" w14:textId="3C0F3C76" w:rsidR="31E2207D" w:rsidRDefault="31E2207D" w:rsidP="46FECB3F">
      <w:pPr>
        <w:rPr>
          <w:rFonts w:ascii="Times New Roman" w:eastAsia="Times New Roman" w:hAnsi="Times New Roman" w:cs="Times New Roman"/>
          <w:b/>
          <w:bCs/>
          <w:sz w:val="32"/>
          <w:szCs w:val="32"/>
        </w:rPr>
      </w:pPr>
      <w:r w:rsidRPr="46FECB3F">
        <w:rPr>
          <w:rFonts w:ascii="Times New Roman" w:eastAsia="Times New Roman" w:hAnsi="Times New Roman" w:cs="Times New Roman"/>
          <w:b/>
          <w:bCs/>
          <w:sz w:val="32"/>
          <w:szCs w:val="32"/>
        </w:rPr>
        <w:t>Result 3: TCR Violations Over Time</w:t>
      </w:r>
    </w:p>
    <w:p w14:paraId="561981D8" w14:textId="77777777" w:rsidR="00204F81" w:rsidRDefault="31E2207D" w:rsidP="00204F81">
      <w:pPr>
        <w:keepNext/>
      </w:pPr>
      <w:r>
        <w:rPr>
          <w:noProof/>
        </w:rPr>
        <w:drawing>
          <wp:inline distT="0" distB="0" distL="0" distR="0" wp14:anchorId="12A20A82" wp14:editId="1B10A15C">
            <wp:extent cx="5724525" cy="3105150"/>
            <wp:effectExtent l="0" t="0" r="0" b="0"/>
            <wp:docPr id="56287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7491" name="Picture 56287491"/>
                    <pic:cNvPicPr/>
                  </pic:nvPicPr>
                  <pic:blipFill>
                    <a:blip r:embed="rId8">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14:paraId="55F3D869" w14:textId="05194AA2" w:rsidR="31E2207D" w:rsidRDefault="00204F81" w:rsidP="00204F81">
      <w:pPr>
        <w:pStyle w:val="Caption"/>
        <w:rPr>
          <w:rFonts w:ascii="Times New Roman" w:eastAsia="Times New Roman" w:hAnsi="Times New Roman" w:cs="Times New Roman"/>
          <w:b/>
          <w:bCs/>
          <w:sz w:val="32"/>
          <w:szCs w:val="32"/>
        </w:rPr>
      </w:pPr>
      <w:r>
        <w:t xml:space="preserve">Figure </w:t>
      </w:r>
      <w:fldSimple w:instr=" SEQ Figure \* ARABIC ">
        <w:r>
          <w:rPr>
            <w:noProof/>
          </w:rPr>
          <w:t>3</w:t>
        </w:r>
      </w:fldSimple>
      <w:r>
        <w:t xml:space="preserve"> </w:t>
      </w:r>
      <w:r w:rsidRPr="00461688">
        <w:t>TCR Violations Over Time</w:t>
      </w:r>
    </w:p>
    <w:p w14:paraId="374DFACE" w14:textId="6A5DE233" w:rsidR="19AD8D7E" w:rsidRDefault="19AD8D7E" w:rsidP="46FECB3F">
      <w:pPr>
        <w:rPr>
          <w:rFonts w:ascii="Times New Roman" w:eastAsia="Times New Roman" w:hAnsi="Times New Roman" w:cs="Times New Roman"/>
          <w:b/>
          <w:bCs/>
          <w:sz w:val="32"/>
          <w:szCs w:val="32"/>
        </w:rPr>
      </w:pPr>
      <w:r>
        <w:t>The graph above shows the trend of Total Coliform Rule (TCR) violations over time using the cleaned SDWIS dataset. The results indicate that violation counts fluctuate across years, with higher values in earlier years and a general decline in more recent years.</w:t>
      </w:r>
    </w:p>
    <w:sectPr w:rsidR="19AD8D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3BE99"/>
    <w:multiLevelType w:val="hybridMultilevel"/>
    <w:tmpl w:val="4CD29344"/>
    <w:lvl w:ilvl="0" w:tplc="FA2E7562">
      <w:start w:val="1"/>
      <w:numFmt w:val="bullet"/>
      <w:lvlText w:val=""/>
      <w:lvlJc w:val="left"/>
      <w:pPr>
        <w:ind w:left="720" w:hanging="360"/>
      </w:pPr>
      <w:rPr>
        <w:rFonts w:ascii="Symbol" w:hAnsi="Symbol" w:hint="default"/>
      </w:rPr>
    </w:lvl>
    <w:lvl w:ilvl="1" w:tplc="A12CA520">
      <w:start w:val="1"/>
      <w:numFmt w:val="bullet"/>
      <w:lvlText w:val="o"/>
      <w:lvlJc w:val="left"/>
      <w:pPr>
        <w:ind w:left="1440" w:hanging="360"/>
      </w:pPr>
      <w:rPr>
        <w:rFonts w:ascii="Courier New" w:hAnsi="Courier New" w:hint="default"/>
      </w:rPr>
    </w:lvl>
    <w:lvl w:ilvl="2" w:tplc="2B60542A">
      <w:start w:val="1"/>
      <w:numFmt w:val="bullet"/>
      <w:lvlText w:val=""/>
      <w:lvlJc w:val="left"/>
      <w:pPr>
        <w:ind w:left="2160" w:hanging="360"/>
      </w:pPr>
      <w:rPr>
        <w:rFonts w:ascii="Wingdings" w:hAnsi="Wingdings" w:hint="default"/>
      </w:rPr>
    </w:lvl>
    <w:lvl w:ilvl="3" w:tplc="54E2FC86">
      <w:start w:val="1"/>
      <w:numFmt w:val="bullet"/>
      <w:lvlText w:val=""/>
      <w:lvlJc w:val="left"/>
      <w:pPr>
        <w:ind w:left="2880" w:hanging="360"/>
      </w:pPr>
      <w:rPr>
        <w:rFonts w:ascii="Symbol" w:hAnsi="Symbol" w:hint="default"/>
      </w:rPr>
    </w:lvl>
    <w:lvl w:ilvl="4" w:tplc="45FEB5BE">
      <w:start w:val="1"/>
      <w:numFmt w:val="bullet"/>
      <w:lvlText w:val="o"/>
      <w:lvlJc w:val="left"/>
      <w:pPr>
        <w:ind w:left="3600" w:hanging="360"/>
      </w:pPr>
      <w:rPr>
        <w:rFonts w:ascii="Courier New" w:hAnsi="Courier New" w:hint="default"/>
      </w:rPr>
    </w:lvl>
    <w:lvl w:ilvl="5" w:tplc="F24C014E">
      <w:start w:val="1"/>
      <w:numFmt w:val="bullet"/>
      <w:lvlText w:val=""/>
      <w:lvlJc w:val="left"/>
      <w:pPr>
        <w:ind w:left="4320" w:hanging="360"/>
      </w:pPr>
      <w:rPr>
        <w:rFonts w:ascii="Wingdings" w:hAnsi="Wingdings" w:hint="default"/>
      </w:rPr>
    </w:lvl>
    <w:lvl w:ilvl="6" w:tplc="4D4CF5B6">
      <w:start w:val="1"/>
      <w:numFmt w:val="bullet"/>
      <w:lvlText w:val=""/>
      <w:lvlJc w:val="left"/>
      <w:pPr>
        <w:ind w:left="5040" w:hanging="360"/>
      </w:pPr>
      <w:rPr>
        <w:rFonts w:ascii="Symbol" w:hAnsi="Symbol" w:hint="default"/>
      </w:rPr>
    </w:lvl>
    <w:lvl w:ilvl="7" w:tplc="FE1280D6">
      <w:start w:val="1"/>
      <w:numFmt w:val="bullet"/>
      <w:lvlText w:val="o"/>
      <w:lvlJc w:val="left"/>
      <w:pPr>
        <w:ind w:left="5760" w:hanging="360"/>
      </w:pPr>
      <w:rPr>
        <w:rFonts w:ascii="Courier New" w:hAnsi="Courier New" w:hint="default"/>
      </w:rPr>
    </w:lvl>
    <w:lvl w:ilvl="8" w:tplc="39D65164">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753574"/>
    <w:rsid w:val="0011246C"/>
    <w:rsid w:val="00204F81"/>
    <w:rsid w:val="002A78B8"/>
    <w:rsid w:val="007B7F02"/>
    <w:rsid w:val="0D753574"/>
    <w:rsid w:val="10514E3F"/>
    <w:rsid w:val="17D6A8CB"/>
    <w:rsid w:val="19AD8D7E"/>
    <w:rsid w:val="19D16DD8"/>
    <w:rsid w:val="1FE426D4"/>
    <w:rsid w:val="2DBC0A3A"/>
    <w:rsid w:val="31E2207D"/>
    <w:rsid w:val="3B6F1267"/>
    <w:rsid w:val="3DDCCF07"/>
    <w:rsid w:val="46FECB3F"/>
    <w:rsid w:val="537A4754"/>
    <w:rsid w:val="6518BFF1"/>
    <w:rsid w:val="6A44C608"/>
    <w:rsid w:val="6AF0987B"/>
    <w:rsid w:val="77400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3574"/>
  <w15:chartTrackingRefBased/>
  <w15:docId w15:val="{F2FFA793-2E71-4840-97F4-7EFCC1FA4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6FEC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6FECB3F"/>
    <w:pPr>
      <w:ind w:left="720"/>
      <w:contextualSpacing/>
    </w:pPr>
  </w:style>
  <w:style w:type="paragraph" w:styleId="Caption">
    <w:name w:val="caption"/>
    <w:basedOn w:val="Normal"/>
    <w:next w:val="Normal"/>
    <w:uiPriority w:val="35"/>
    <w:unhideWhenUsed/>
    <w:qFormat/>
    <w:rsid w:val="0011246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0FB8B-6C3F-4B6A-83C8-44AF26EB6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Dawa Lamu Tamang</dc:creator>
  <cp:keywords/>
  <dc:description/>
  <cp:lastModifiedBy>Dawa Lamu Tamang</cp:lastModifiedBy>
  <cp:revision>4</cp:revision>
  <dcterms:created xsi:type="dcterms:W3CDTF">2026-03-30T22:01:00Z</dcterms:created>
  <dcterms:modified xsi:type="dcterms:W3CDTF">2026-03-30T22:13:00Z</dcterms:modified>
</cp:coreProperties>
</file>