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21A8" w14:textId="405D3AEB" w:rsidR="2EBE8600" w:rsidRDefault="2EBE8600" w:rsidP="41B5EFED">
      <w:pPr>
        <w:jc w:val="center"/>
        <w:rPr>
          <w:b/>
          <w:bCs/>
          <w:sz w:val="36"/>
          <w:szCs w:val="36"/>
        </w:rPr>
      </w:pPr>
      <w:r w:rsidRPr="41B5EFED">
        <w:rPr>
          <w:b/>
          <w:bCs/>
          <w:sz w:val="36"/>
          <w:szCs w:val="36"/>
        </w:rPr>
        <w:t>TCR Violations Analysis Technical Report – Project #5</w:t>
      </w:r>
    </w:p>
    <w:p w14:paraId="6E275FA0" w14:textId="3207037C" w:rsidR="2EBE8600" w:rsidRDefault="2EBE8600" w:rsidP="41B5EFED">
      <w:pPr>
        <w:jc w:val="center"/>
        <w:rPr>
          <w:sz w:val="32"/>
          <w:szCs w:val="32"/>
        </w:rPr>
      </w:pPr>
      <w:r w:rsidRPr="41B5EFED">
        <w:rPr>
          <w:sz w:val="32"/>
          <w:szCs w:val="32"/>
        </w:rPr>
        <w:t>Client: UMass Amherst Water Research Team</w:t>
      </w:r>
    </w:p>
    <w:p w14:paraId="2461EB8F" w14:textId="79A3D12D" w:rsidR="41B5EFED" w:rsidRDefault="41B5EFED" w:rsidP="41B5EFED">
      <w:pPr>
        <w:jc w:val="center"/>
        <w:rPr>
          <w:sz w:val="32"/>
          <w:szCs w:val="32"/>
        </w:rPr>
      </w:pPr>
    </w:p>
    <w:p w14:paraId="3556F4AB" w14:textId="0C04FE8D" w:rsidR="587EB1F5" w:rsidRDefault="587EB1F5" w:rsidP="41B5EFED">
      <w:pPr>
        <w:jc w:val="center"/>
      </w:pPr>
      <w:r w:rsidRPr="41B5EFED">
        <w:rPr>
          <w:b/>
          <w:bCs/>
          <w:sz w:val="36"/>
          <w:szCs w:val="36"/>
        </w:rPr>
        <w:t>Group ENVRN-02-06</w:t>
      </w:r>
    </w:p>
    <w:p w14:paraId="4A86C9A8" w14:textId="5FA63FEE" w:rsidR="2EBE8600" w:rsidRDefault="2EBE8600" w:rsidP="41B5EFED">
      <w:pPr>
        <w:jc w:val="center"/>
      </w:pPr>
      <w:r>
        <w:br/>
      </w:r>
      <w:r w:rsidRPr="41B5EFED">
        <w:rPr>
          <w:sz w:val="32"/>
          <w:szCs w:val="32"/>
        </w:rPr>
        <w:t>Dawa Lamu Tamang</w:t>
      </w:r>
    </w:p>
    <w:p w14:paraId="50DC6BB1" w14:textId="313808E3" w:rsidR="2DAF30FB" w:rsidRDefault="2DAF30FB" w:rsidP="41B5EFED">
      <w:pPr>
        <w:jc w:val="center"/>
      </w:pPr>
      <w:r w:rsidRPr="41B5EFED">
        <w:rPr>
          <w:sz w:val="32"/>
          <w:szCs w:val="32"/>
        </w:rPr>
        <w:t>Rebecca Carroll</w:t>
      </w:r>
    </w:p>
    <w:p w14:paraId="056C1722" w14:textId="7DA381A9" w:rsidR="2EBE8600" w:rsidRDefault="2EBE8600" w:rsidP="41B5EFED">
      <w:pPr>
        <w:jc w:val="center"/>
      </w:pPr>
      <w:r w:rsidRPr="41B5EFED">
        <w:rPr>
          <w:sz w:val="32"/>
          <w:szCs w:val="32"/>
        </w:rPr>
        <w:t>Savanna Flores</w:t>
      </w:r>
    </w:p>
    <w:p w14:paraId="12E8219B" w14:textId="21E80FEB" w:rsidR="41B5EFED" w:rsidRDefault="41B5EFED" w:rsidP="41B5EFED">
      <w:pPr>
        <w:jc w:val="center"/>
        <w:rPr>
          <w:sz w:val="32"/>
          <w:szCs w:val="32"/>
        </w:rPr>
      </w:pPr>
    </w:p>
    <w:p w14:paraId="00520504" w14:textId="3B29BE18" w:rsidR="2EBE8600" w:rsidRDefault="2EBE8600" w:rsidP="41B5EFED">
      <w:pPr>
        <w:jc w:val="center"/>
        <w:rPr>
          <w:sz w:val="32"/>
          <w:szCs w:val="32"/>
        </w:rPr>
      </w:pPr>
      <w:r w:rsidRPr="41B5EFED">
        <w:rPr>
          <w:sz w:val="32"/>
          <w:szCs w:val="32"/>
        </w:rPr>
        <w:t>CIVE 202: Civil Engineering Analysis II</w:t>
      </w:r>
    </w:p>
    <w:p w14:paraId="0AEFE8E9" w14:textId="094B280B" w:rsidR="2EBE8600" w:rsidRDefault="2EBE8600" w:rsidP="41B5EFED">
      <w:pPr>
        <w:jc w:val="center"/>
        <w:rPr>
          <w:sz w:val="32"/>
          <w:szCs w:val="32"/>
        </w:rPr>
      </w:pPr>
      <w:r w:rsidRPr="41B5EFED">
        <w:rPr>
          <w:sz w:val="32"/>
          <w:szCs w:val="32"/>
        </w:rPr>
        <w:t>Spring 2026</w:t>
      </w:r>
    </w:p>
    <w:p w14:paraId="327117D8" w14:textId="1DED0B85" w:rsidR="41B5EFED" w:rsidRDefault="41B5EFED" w:rsidP="41B5EFED"/>
    <w:p w14:paraId="0434C388" w14:textId="5495FB39" w:rsidR="41B5EFED" w:rsidRDefault="41B5EFED" w:rsidP="41B5EFED"/>
    <w:p w14:paraId="59AF65AE" w14:textId="599D25E6" w:rsidR="41B5EFED" w:rsidRDefault="41B5EFED" w:rsidP="41B5EFED"/>
    <w:p w14:paraId="7CAE69FE" w14:textId="36BF9D45" w:rsidR="41B5EFED" w:rsidRDefault="41B5EFED" w:rsidP="41B5EFED"/>
    <w:p w14:paraId="4D33AD62" w14:textId="1F26A7F9" w:rsidR="41B5EFED" w:rsidRDefault="41B5EFED" w:rsidP="41B5EFED"/>
    <w:p w14:paraId="30E6A902" w14:textId="4C5D0A7E" w:rsidR="41B5EFED" w:rsidRDefault="41B5EFED" w:rsidP="41B5EFED"/>
    <w:p w14:paraId="55C45F18" w14:textId="6970A03C" w:rsidR="41B5EFED" w:rsidRDefault="41B5EFED" w:rsidP="41B5EFED"/>
    <w:p w14:paraId="147DFCE1" w14:textId="027581B0" w:rsidR="41B5EFED" w:rsidRDefault="41B5EFED" w:rsidP="41B5EFED"/>
    <w:p w14:paraId="5EC80F77" w14:textId="0589F576" w:rsidR="41B5EFED" w:rsidRDefault="41B5EFED" w:rsidP="41B5EFED"/>
    <w:p w14:paraId="08003BA8" w14:textId="497B8292" w:rsidR="41B5EFED" w:rsidRDefault="41B5EFED" w:rsidP="41B5EFED"/>
    <w:p w14:paraId="38A43627" w14:textId="4A926B77" w:rsidR="41B5EFED" w:rsidRDefault="41B5EFED" w:rsidP="41B5EFED"/>
    <w:p w14:paraId="083455C1" w14:textId="4F66D8CE" w:rsidR="41B5EFED" w:rsidRDefault="41B5EFED" w:rsidP="41B5EFED"/>
    <w:p w14:paraId="27C08447" w14:textId="17B51D4B" w:rsidR="41B5EFED" w:rsidRDefault="41B5EFED" w:rsidP="41B5EFED"/>
    <w:p w14:paraId="79E802AA" w14:textId="6162A3CB" w:rsidR="41B5EFED" w:rsidRDefault="41B5EFED" w:rsidP="41B5EFED"/>
    <w:p w14:paraId="67EBF259" w14:textId="4476EF9C" w:rsidR="3446B457" w:rsidRDefault="3446B457" w:rsidP="3446B457"/>
    <w:p w14:paraId="6D90D43A" w14:textId="35E59F86" w:rsidR="41B5EFED" w:rsidRDefault="41B5EFED" w:rsidP="41B5EFED"/>
    <w:p w14:paraId="2F6366F5" w14:textId="78A77AAA" w:rsidR="3CB1D7DF" w:rsidRDefault="3CB1D7DF" w:rsidP="41B5EFED">
      <w:r w:rsidRPr="41B5EFED">
        <w:lastRenderedPageBreak/>
        <w:t>Table of Contents:</w:t>
      </w:r>
    </w:p>
    <w:sdt>
      <w:sdtPr>
        <w:id w:val="93510921"/>
        <w:docPartObj>
          <w:docPartGallery w:val="Table of Contents"/>
          <w:docPartUnique/>
        </w:docPartObj>
      </w:sdtPr>
      <w:sdtContent>
        <w:p w14:paraId="2FC3FDC4" w14:textId="5BA93E5B" w:rsidR="003C54FE" w:rsidRDefault="41B5EFED">
          <w:pPr>
            <w:pStyle w:val="TOC1"/>
            <w:tabs>
              <w:tab w:val="right" w:leader="dot" w:pos="9016"/>
            </w:tabs>
            <w:rPr>
              <w:noProof/>
              <w:kern w:val="2"/>
              <w:lang w:val="en-US" w:eastAsia="en-US"/>
              <w14:ligatures w14:val="standardContextual"/>
            </w:rPr>
          </w:pPr>
          <w:r>
            <w:fldChar w:fldCharType="begin"/>
          </w:r>
          <w:r>
            <w:instrText>TOC \o \z \u \h</w:instrText>
          </w:r>
          <w:r>
            <w:fldChar w:fldCharType="separate"/>
          </w:r>
          <w:hyperlink w:anchor="_Toc228294045" w:history="1">
            <w:r w:rsidR="003C54FE" w:rsidRPr="004629CD">
              <w:rPr>
                <w:rStyle w:val="Hyperlink"/>
                <w:noProof/>
              </w:rPr>
              <w:t>1. Introduction</w:t>
            </w:r>
            <w:r w:rsidR="003C54FE">
              <w:rPr>
                <w:noProof/>
                <w:webHidden/>
              </w:rPr>
              <w:tab/>
            </w:r>
            <w:r w:rsidR="003C54FE">
              <w:rPr>
                <w:noProof/>
                <w:webHidden/>
              </w:rPr>
              <w:fldChar w:fldCharType="begin"/>
            </w:r>
            <w:r w:rsidR="003C54FE">
              <w:rPr>
                <w:noProof/>
                <w:webHidden/>
              </w:rPr>
              <w:instrText xml:space="preserve"> PAGEREF _Toc228294045 \h </w:instrText>
            </w:r>
            <w:r w:rsidR="003C54FE">
              <w:rPr>
                <w:noProof/>
                <w:webHidden/>
              </w:rPr>
            </w:r>
            <w:r w:rsidR="003C54FE">
              <w:rPr>
                <w:noProof/>
                <w:webHidden/>
              </w:rPr>
              <w:fldChar w:fldCharType="separate"/>
            </w:r>
            <w:r w:rsidR="003C54FE">
              <w:rPr>
                <w:noProof/>
                <w:webHidden/>
              </w:rPr>
              <w:t>3</w:t>
            </w:r>
            <w:r w:rsidR="003C54FE">
              <w:rPr>
                <w:noProof/>
                <w:webHidden/>
              </w:rPr>
              <w:fldChar w:fldCharType="end"/>
            </w:r>
          </w:hyperlink>
        </w:p>
        <w:p w14:paraId="0CEB0DE4" w14:textId="119883CE" w:rsidR="003C54FE" w:rsidRDefault="003C54FE">
          <w:pPr>
            <w:pStyle w:val="TOC1"/>
            <w:tabs>
              <w:tab w:val="right" w:leader="dot" w:pos="9016"/>
            </w:tabs>
            <w:rPr>
              <w:noProof/>
              <w:kern w:val="2"/>
              <w:lang w:val="en-US" w:eastAsia="en-US"/>
              <w14:ligatures w14:val="standardContextual"/>
            </w:rPr>
          </w:pPr>
          <w:hyperlink w:anchor="_Toc228294046" w:history="1">
            <w:r w:rsidRPr="004629CD">
              <w:rPr>
                <w:rStyle w:val="Hyperlink"/>
                <w:noProof/>
              </w:rPr>
              <w:t>2. Methods</w:t>
            </w:r>
            <w:r>
              <w:rPr>
                <w:noProof/>
                <w:webHidden/>
              </w:rPr>
              <w:tab/>
            </w:r>
            <w:r>
              <w:rPr>
                <w:noProof/>
                <w:webHidden/>
              </w:rPr>
              <w:fldChar w:fldCharType="begin"/>
            </w:r>
            <w:r>
              <w:rPr>
                <w:noProof/>
                <w:webHidden/>
              </w:rPr>
              <w:instrText xml:space="preserve"> PAGEREF _Toc228294046 \h </w:instrText>
            </w:r>
            <w:r>
              <w:rPr>
                <w:noProof/>
                <w:webHidden/>
              </w:rPr>
            </w:r>
            <w:r>
              <w:rPr>
                <w:noProof/>
                <w:webHidden/>
              </w:rPr>
              <w:fldChar w:fldCharType="separate"/>
            </w:r>
            <w:r>
              <w:rPr>
                <w:noProof/>
                <w:webHidden/>
              </w:rPr>
              <w:t>3</w:t>
            </w:r>
            <w:r>
              <w:rPr>
                <w:noProof/>
                <w:webHidden/>
              </w:rPr>
              <w:fldChar w:fldCharType="end"/>
            </w:r>
          </w:hyperlink>
        </w:p>
        <w:p w14:paraId="30809475" w14:textId="17651B5E" w:rsidR="003C54FE" w:rsidRDefault="003C54FE">
          <w:pPr>
            <w:pStyle w:val="TOC2"/>
            <w:tabs>
              <w:tab w:val="right" w:leader="dot" w:pos="9016"/>
            </w:tabs>
            <w:rPr>
              <w:noProof/>
              <w:kern w:val="2"/>
              <w:lang w:val="en-US" w:eastAsia="en-US"/>
              <w14:ligatures w14:val="standardContextual"/>
            </w:rPr>
          </w:pPr>
          <w:hyperlink w:anchor="_Toc228294047" w:history="1">
            <w:r w:rsidRPr="004629CD">
              <w:rPr>
                <w:rStyle w:val="Hyperlink"/>
                <w:noProof/>
              </w:rPr>
              <w:t>2.1 Data sources and project workflow</w:t>
            </w:r>
            <w:r>
              <w:rPr>
                <w:noProof/>
                <w:webHidden/>
              </w:rPr>
              <w:tab/>
            </w:r>
            <w:r>
              <w:rPr>
                <w:noProof/>
                <w:webHidden/>
              </w:rPr>
              <w:fldChar w:fldCharType="begin"/>
            </w:r>
            <w:r>
              <w:rPr>
                <w:noProof/>
                <w:webHidden/>
              </w:rPr>
              <w:instrText xml:space="preserve"> PAGEREF _Toc228294047 \h </w:instrText>
            </w:r>
            <w:r>
              <w:rPr>
                <w:noProof/>
                <w:webHidden/>
              </w:rPr>
            </w:r>
            <w:r>
              <w:rPr>
                <w:noProof/>
                <w:webHidden/>
              </w:rPr>
              <w:fldChar w:fldCharType="separate"/>
            </w:r>
            <w:r>
              <w:rPr>
                <w:noProof/>
                <w:webHidden/>
              </w:rPr>
              <w:t>3</w:t>
            </w:r>
            <w:r>
              <w:rPr>
                <w:noProof/>
                <w:webHidden/>
              </w:rPr>
              <w:fldChar w:fldCharType="end"/>
            </w:r>
          </w:hyperlink>
        </w:p>
        <w:p w14:paraId="4FCC21EC" w14:textId="17E70E34" w:rsidR="003C54FE" w:rsidRDefault="003C54FE">
          <w:pPr>
            <w:pStyle w:val="TOC2"/>
            <w:tabs>
              <w:tab w:val="right" w:leader="dot" w:pos="9016"/>
            </w:tabs>
            <w:rPr>
              <w:noProof/>
              <w:kern w:val="2"/>
              <w:lang w:val="en-US" w:eastAsia="en-US"/>
              <w14:ligatures w14:val="standardContextual"/>
            </w:rPr>
          </w:pPr>
          <w:hyperlink w:anchor="_Toc228294048" w:history="1">
            <w:r w:rsidRPr="004629CD">
              <w:rPr>
                <w:rStyle w:val="Hyperlink"/>
                <w:noProof/>
              </w:rPr>
              <w:t>2.2 Variable selection and rationale</w:t>
            </w:r>
            <w:r>
              <w:rPr>
                <w:noProof/>
                <w:webHidden/>
              </w:rPr>
              <w:tab/>
            </w:r>
            <w:r>
              <w:rPr>
                <w:noProof/>
                <w:webHidden/>
              </w:rPr>
              <w:fldChar w:fldCharType="begin"/>
            </w:r>
            <w:r>
              <w:rPr>
                <w:noProof/>
                <w:webHidden/>
              </w:rPr>
              <w:instrText xml:space="preserve"> PAGEREF _Toc228294048 \h </w:instrText>
            </w:r>
            <w:r>
              <w:rPr>
                <w:noProof/>
                <w:webHidden/>
              </w:rPr>
            </w:r>
            <w:r>
              <w:rPr>
                <w:noProof/>
                <w:webHidden/>
              </w:rPr>
              <w:fldChar w:fldCharType="separate"/>
            </w:r>
            <w:r>
              <w:rPr>
                <w:noProof/>
                <w:webHidden/>
              </w:rPr>
              <w:t>3</w:t>
            </w:r>
            <w:r>
              <w:rPr>
                <w:noProof/>
                <w:webHidden/>
              </w:rPr>
              <w:fldChar w:fldCharType="end"/>
            </w:r>
          </w:hyperlink>
        </w:p>
        <w:p w14:paraId="653E3745" w14:textId="48488896" w:rsidR="003C54FE" w:rsidRDefault="003C54FE">
          <w:pPr>
            <w:pStyle w:val="TOC1"/>
            <w:tabs>
              <w:tab w:val="right" w:leader="dot" w:pos="9016"/>
            </w:tabs>
            <w:rPr>
              <w:noProof/>
              <w:kern w:val="2"/>
              <w:lang w:val="en-US" w:eastAsia="en-US"/>
              <w14:ligatures w14:val="standardContextual"/>
            </w:rPr>
          </w:pPr>
          <w:hyperlink w:anchor="_Toc228294049" w:history="1">
            <w:r w:rsidRPr="004629CD">
              <w:rPr>
                <w:rStyle w:val="Hyperlink"/>
                <w:noProof/>
              </w:rPr>
              <w:t>2.3 Data preparation and visualization</w:t>
            </w:r>
            <w:r>
              <w:rPr>
                <w:noProof/>
                <w:webHidden/>
              </w:rPr>
              <w:tab/>
            </w:r>
            <w:r>
              <w:rPr>
                <w:noProof/>
                <w:webHidden/>
              </w:rPr>
              <w:fldChar w:fldCharType="begin"/>
            </w:r>
            <w:r>
              <w:rPr>
                <w:noProof/>
                <w:webHidden/>
              </w:rPr>
              <w:instrText xml:space="preserve"> PAGEREF _Toc228294049 \h </w:instrText>
            </w:r>
            <w:r>
              <w:rPr>
                <w:noProof/>
                <w:webHidden/>
              </w:rPr>
            </w:r>
            <w:r>
              <w:rPr>
                <w:noProof/>
                <w:webHidden/>
              </w:rPr>
              <w:fldChar w:fldCharType="separate"/>
            </w:r>
            <w:r>
              <w:rPr>
                <w:noProof/>
                <w:webHidden/>
              </w:rPr>
              <w:t>4</w:t>
            </w:r>
            <w:r>
              <w:rPr>
                <w:noProof/>
                <w:webHidden/>
              </w:rPr>
              <w:fldChar w:fldCharType="end"/>
            </w:r>
          </w:hyperlink>
        </w:p>
        <w:p w14:paraId="1EDB386C" w14:textId="7C7F6680" w:rsidR="003C54FE" w:rsidRDefault="003C54FE">
          <w:pPr>
            <w:pStyle w:val="TOC1"/>
            <w:tabs>
              <w:tab w:val="right" w:leader="dot" w:pos="9016"/>
            </w:tabs>
            <w:rPr>
              <w:noProof/>
              <w:kern w:val="2"/>
              <w:lang w:val="en-US" w:eastAsia="en-US"/>
              <w14:ligatures w14:val="standardContextual"/>
            </w:rPr>
          </w:pPr>
          <w:hyperlink w:anchor="_Toc228294050" w:history="1">
            <w:r w:rsidRPr="004629CD">
              <w:rPr>
                <w:rStyle w:val="Hyperlink"/>
                <w:noProof/>
              </w:rPr>
              <w:t>2.4 Bias and ethical considerations in data analysis</w:t>
            </w:r>
            <w:r>
              <w:rPr>
                <w:noProof/>
                <w:webHidden/>
              </w:rPr>
              <w:tab/>
            </w:r>
            <w:r>
              <w:rPr>
                <w:noProof/>
                <w:webHidden/>
              </w:rPr>
              <w:fldChar w:fldCharType="begin"/>
            </w:r>
            <w:r>
              <w:rPr>
                <w:noProof/>
                <w:webHidden/>
              </w:rPr>
              <w:instrText xml:space="preserve"> PAGEREF _Toc228294050 \h </w:instrText>
            </w:r>
            <w:r>
              <w:rPr>
                <w:noProof/>
                <w:webHidden/>
              </w:rPr>
            </w:r>
            <w:r>
              <w:rPr>
                <w:noProof/>
                <w:webHidden/>
              </w:rPr>
              <w:fldChar w:fldCharType="separate"/>
            </w:r>
            <w:r>
              <w:rPr>
                <w:noProof/>
                <w:webHidden/>
              </w:rPr>
              <w:t>4</w:t>
            </w:r>
            <w:r>
              <w:rPr>
                <w:noProof/>
                <w:webHidden/>
              </w:rPr>
              <w:fldChar w:fldCharType="end"/>
            </w:r>
          </w:hyperlink>
        </w:p>
        <w:p w14:paraId="5B103F5B" w14:textId="26F2E0B1" w:rsidR="003C54FE" w:rsidRDefault="003C54FE">
          <w:pPr>
            <w:pStyle w:val="TOC1"/>
            <w:tabs>
              <w:tab w:val="right" w:leader="dot" w:pos="9016"/>
            </w:tabs>
            <w:rPr>
              <w:noProof/>
              <w:kern w:val="2"/>
              <w:lang w:val="en-US" w:eastAsia="en-US"/>
              <w14:ligatures w14:val="standardContextual"/>
            </w:rPr>
          </w:pPr>
          <w:hyperlink w:anchor="_Toc228294051" w:history="1">
            <w:r w:rsidRPr="004629CD">
              <w:rPr>
                <w:rStyle w:val="Hyperlink"/>
                <w:noProof/>
              </w:rPr>
              <w:t>3. Results and Discussion</w:t>
            </w:r>
            <w:r>
              <w:rPr>
                <w:noProof/>
                <w:webHidden/>
              </w:rPr>
              <w:tab/>
            </w:r>
            <w:r>
              <w:rPr>
                <w:noProof/>
                <w:webHidden/>
              </w:rPr>
              <w:fldChar w:fldCharType="begin"/>
            </w:r>
            <w:r>
              <w:rPr>
                <w:noProof/>
                <w:webHidden/>
              </w:rPr>
              <w:instrText xml:space="preserve"> PAGEREF _Toc228294051 \h </w:instrText>
            </w:r>
            <w:r>
              <w:rPr>
                <w:noProof/>
                <w:webHidden/>
              </w:rPr>
            </w:r>
            <w:r>
              <w:rPr>
                <w:noProof/>
                <w:webHidden/>
              </w:rPr>
              <w:fldChar w:fldCharType="separate"/>
            </w:r>
            <w:r>
              <w:rPr>
                <w:noProof/>
                <w:webHidden/>
              </w:rPr>
              <w:t>5</w:t>
            </w:r>
            <w:r>
              <w:rPr>
                <w:noProof/>
                <w:webHidden/>
              </w:rPr>
              <w:fldChar w:fldCharType="end"/>
            </w:r>
          </w:hyperlink>
        </w:p>
        <w:p w14:paraId="195B61C6" w14:textId="51453E32" w:rsidR="003C54FE" w:rsidRDefault="003C54FE">
          <w:pPr>
            <w:pStyle w:val="TOC2"/>
            <w:tabs>
              <w:tab w:val="right" w:leader="dot" w:pos="9016"/>
            </w:tabs>
            <w:rPr>
              <w:noProof/>
              <w:kern w:val="2"/>
              <w:lang w:val="en-US" w:eastAsia="en-US"/>
              <w14:ligatures w14:val="standardContextual"/>
            </w:rPr>
          </w:pPr>
          <w:hyperlink w:anchor="_Toc228294052" w:history="1">
            <w:r w:rsidRPr="004629CD">
              <w:rPr>
                <w:rStyle w:val="Hyperlink"/>
                <w:noProof/>
              </w:rPr>
              <w:t>3.1 TCR violations by state</w:t>
            </w:r>
            <w:r>
              <w:rPr>
                <w:noProof/>
                <w:webHidden/>
              </w:rPr>
              <w:tab/>
            </w:r>
            <w:r>
              <w:rPr>
                <w:noProof/>
                <w:webHidden/>
              </w:rPr>
              <w:fldChar w:fldCharType="begin"/>
            </w:r>
            <w:r>
              <w:rPr>
                <w:noProof/>
                <w:webHidden/>
              </w:rPr>
              <w:instrText xml:space="preserve"> PAGEREF _Toc228294052 \h </w:instrText>
            </w:r>
            <w:r>
              <w:rPr>
                <w:noProof/>
                <w:webHidden/>
              </w:rPr>
            </w:r>
            <w:r>
              <w:rPr>
                <w:noProof/>
                <w:webHidden/>
              </w:rPr>
              <w:fldChar w:fldCharType="separate"/>
            </w:r>
            <w:r>
              <w:rPr>
                <w:noProof/>
                <w:webHidden/>
              </w:rPr>
              <w:t>5</w:t>
            </w:r>
            <w:r>
              <w:rPr>
                <w:noProof/>
                <w:webHidden/>
              </w:rPr>
              <w:fldChar w:fldCharType="end"/>
            </w:r>
          </w:hyperlink>
        </w:p>
        <w:p w14:paraId="61C2A8FE" w14:textId="25378E76" w:rsidR="003C54FE" w:rsidRDefault="003C54FE">
          <w:pPr>
            <w:pStyle w:val="TOC2"/>
            <w:tabs>
              <w:tab w:val="right" w:leader="dot" w:pos="9016"/>
            </w:tabs>
            <w:rPr>
              <w:noProof/>
              <w:kern w:val="2"/>
              <w:lang w:val="en-US" w:eastAsia="en-US"/>
              <w14:ligatures w14:val="standardContextual"/>
            </w:rPr>
          </w:pPr>
          <w:hyperlink w:anchor="_Toc228294053" w:history="1">
            <w:r w:rsidRPr="004629CD">
              <w:rPr>
                <w:rStyle w:val="Hyperlink"/>
                <w:noProof/>
              </w:rPr>
              <w:t>3.2 TCR violations by system size</w:t>
            </w:r>
            <w:r>
              <w:rPr>
                <w:noProof/>
                <w:webHidden/>
              </w:rPr>
              <w:tab/>
            </w:r>
            <w:r>
              <w:rPr>
                <w:noProof/>
                <w:webHidden/>
              </w:rPr>
              <w:fldChar w:fldCharType="begin"/>
            </w:r>
            <w:r>
              <w:rPr>
                <w:noProof/>
                <w:webHidden/>
              </w:rPr>
              <w:instrText xml:space="preserve"> PAGEREF _Toc228294053 \h </w:instrText>
            </w:r>
            <w:r>
              <w:rPr>
                <w:noProof/>
                <w:webHidden/>
              </w:rPr>
            </w:r>
            <w:r>
              <w:rPr>
                <w:noProof/>
                <w:webHidden/>
              </w:rPr>
              <w:fldChar w:fldCharType="separate"/>
            </w:r>
            <w:r>
              <w:rPr>
                <w:noProof/>
                <w:webHidden/>
              </w:rPr>
              <w:t>6</w:t>
            </w:r>
            <w:r>
              <w:rPr>
                <w:noProof/>
                <w:webHidden/>
              </w:rPr>
              <w:fldChar w:fldCharType="end"/>
            </w:r>
          </w:hyperlink>
        </w:p>
        <w:p w14:paraId="03D9FDBB" w14:textId="29C48FDF" w:rsidR="003C54FE" w:rsidRDefault="003C54FE">
          <w:pPr>
            <w:pStyle w:val="TOC2"/>
            <w:tabs>
              <w:tab w:val="right" w:leader="dot" w:pos="9016"/>
            </w:tabs>
            <w:rPr>
              <w:noProof/>
              <w:kern w:val="2"/>
              <w:lang w:val="en-US" w:eastAsia="en-US"/>
              <w14:ligatures w14:val="standardContextual"/>
            </w:rPr>
          </w:pPr>
          <w:hyperlink w:anchor="_Toc228294054" w:history="1">
            <w:r w:rsidRPr="004629CD">
              <w:rPr>
                <w:rStyle w:val="Hyperlink"/>
                <w:noProof/>
              </w:rPr>
              <w:t>3.3 TCR violations over time</w:t>
            </w:r>
            <w:r>
              <w:rPr>
                <w:noProof/>
                <w:webHidden/>
              </w:rPr>
              <w:tab/>
            </w:r>
            <w:r>
              <w:rPr>
                <w:noProof/>
                <w:webHidden/>
              </w:rPr>
              <w:fldChar w:fldCharType="begin"/>
            </w:r>
            <w:r>
              <w:rPr>
                <w:noProof/>
                <w:webHidden/>
              </w:rPr>
              <w:instrText xml:space="preserve"> PAGEREF _Toc228294054 \h </w:instrText>
            </w:r>
            <w:r>
              <w:rPr>
                <w:noProof/>
                <w:webHidden/>
              </w:rPr>
            </w:r>
            <w:r>
              <w:rPr>
                <w:noProof/>
                <w:webHidden/>
              </w:rPr>
              <w:fldChar w:fldCharType="separate"/>
            </w:r>
            <w:r>
              <w:rPr>
                <w:noProof/>
                <w:webHidden/>
              </w:rPr>
              <w:t>6</w:t>
            </w:r>
            <w:r>
              <w:rPr>
                <w:noProof/>
                <w:webHidden/>
              </w:rPr>
              <w:fldChar w:fldCharType="end"/>
            </w:r>
          </w:hyperlink>
        </w:p>
        <w:p w14:paraId="5CE7A029" w14:textId="6EE806CF" w:rsidR="003C54FE" w:rsidRDefault="003C54FE">
          <w:pPr>
            <w:pStyle w:val="TOC2"/>
            <w:tabs>
              <w:tab w:val="right" w:leader="dot" w:pos="9016"/>
            </w:tabs>
            <w:rPr>
              <w:noProof/>
              <w:kern w:val="2"/>
              <w:lang w:val="en-US" w:eastAsia="en-US"/>
              <w14:ligatures w14:val="standardContextual"/>
            </w:rPr>
          </w:pPr>
          <w:hyperlink w:anchor="_Toc228294055" w:history="1">
            <w:r w:rsidRPr="004629CD">
              <w:rPr>
                <w:rStyle w:val="Hyperlink"/>
                <w:noProof/>
              </w:rPr>
              <w:t>3.4 State-level trends over time</w:t>
            </w:r>
            <w:r>
              <w:rPr>
                <w:noProof/>
                <w:webHidden/>
              </w:rPr>
              <w:tab/>
            </w:r>
            <w:r>
              <w:rPr>
                <w:noProof/>
                <w:webHidden/>
              </w:rPr>
              <w:fldChar w:fldCharType="begin"/>
            </w:r>
            <w:r>
              <w:rPr>
                <w:noProof/>
                <w:webHidden/>
              </w:rPr>
              <w:instrText xml:space="preserve"> PAGEREF _Toc228294055 \h </w:instrText>
            </w:r>
            <w:r>
              <w:rPr>
                <w:noProof/>
                <w:webHidden/>
              </w:rPr>
            </w:r>
            <w:r>
              <w:rPr>
                <w:noProof/>
                <w:webHidden/>
              </w:rPr>
              <w:fldChar w:fldCharType="separate"/>
            </w:r>
            <w:r>
              <w:rPr>
                <w:noProof/>
                <w:webHidden/>
              </w:rPr>
              <w:t>8</w:t>
            </w:r>
            <w:r>
              <w:rPr>
                <w:noProof/>
                <w:webHidden/>
              </w:rPr>
              <w:fldChar w:fldCharType="end"/>
            </w:r>
          </w:hyperlink>
        </w:p>
        <w:p w14:paraId="3CF82BB2" w14:textId="5D5BC933" w:rsidR="003C54FE" w:rsidRDefault="003C54FE">
          <w:pPr>
            <w:pStyle w:val="TOC2"/>
            <w:tabs>
              <w:tab w:val="right" w:leader="dot" w:pos="9016"/>
            </w:tabs>
            <w:rPr>
              <w:noProof/>
              <w:kern w:val="2"/>
              <w:lang w:val="en-US" w:eastAsia="en-US"/>
              <w14:ligatures w14:val="standardContextual"/>
            </w:rPr>
          </w:pPr>
          <w:hyperlink w:anchor="_Toc228294056" w:history="1">
            <w:r w:rsidRPr="004629CD">
              <w:rPr>
                <w:rStyle w:val="Hyperlink"/>
                <w:noProof/>
              </w:rPr>
              <w:t>3.5 System size trends over time</w:t>
            </w:r>
            <w:r>
              <w:rPr>
                <w:noProof/>
                <w:webHidden/>
              </w:rPr>
              <w:tab/>
            </w:r>
            <w:r>
              <w:rPr>
                <w:noProof/>
                <w:webHidden/>
              </w:rPr>
              <w:fldChar w:fldCharType="begin"/>
            </w:r>
            <w:r>
              <w:rPr>
                <w:noProof/>
                <w:webHidden/>
              </w:rPr>
              <w:instrText xml:space="preserve"> PAGEREF _Toc228294056 \h </w:instrText>
            </w:r>
            <w:r>
              <w:rPr>
                <w:noProof/>
                <w:webHidden/>
              </w:rPr>
            </w:r>
            <w:r>
              <w:rPr>
                <w:noProof/>
                <w:webHidden/>
              </w:rPr>
              <w:fldChar w:fldCharType="separate"/>
            </w:r>
            <w:r>
              <w:rPr>
                <w:noProof/>
                <w:webHidden/>
              </w:rPr>
              <w:t>8</w:t>
            </w:r>
            <w:r>
              <w:rPr>
                <w:noProof/>
                <w:webHidden/>
              </w:rPr>
              <w:fldChar w:fldCharType="end"/>
            </w:r>
          </w:hyperlink>
        </w:p>
        <w:p w14:paraId="17B12D99" w14:textId="03E19CE2" w:rsidR="003C54FE" w:rsidRDefault="003C54FE">
          <w:pPr>
            <w:pStyle w:val="TOC1"/>
            <w:tabs>
              <w:tab w:val="right" w:leader="dot" w:pos="9016"/>
            </w:tabs>
            <w:rPr>
              <w:noProof/>
              <w:kern w:val="2"/>
              <w:lang w:val="en-US" w:eastAsia="en-US"/>
              <w14:ligatures w14:val="standardContextual"/>
            </w:rPr>
          </w:pPr>
          <w:hyperlink w:anchor="_Toc228294057" w:history="1">
            <w:r w:rsidRPr="004629CD">
              <w:rPr>
                <w:rStyle w:val="Hyperlink"/>
                <w:noProof/>
              </w:rPr>
              <w:t>4. Conclusion</w:t>
            </w:r>
            <w:r>
              <w:rPr>
                <w:noProof/>
                <w:webHidden/>
              </w:rPr>
              <w:tab/>
            </w:r>
            <w:r>
              <w:rPr>
                <w:noProof/>
                <w:webHidden/>
              </w:rPr>
              <w:fldChar w:fldCharType="begin"/>
            </w:r>
            <w:r>
              <w:rPr>
                <w:noProof/>
                <w:webHidden/>
              </w:rPr>
              <w:instrText xml:space="preserve"> PAGEREF _Toc228294057 \h </w:instrText>
            </w:r>
            <w:r>
              <w:rPr>
                <w:noProof/>
                <w:webHidden/>
              </w:rPr>
            </w:r>
            <w:r>
              <w:rPr>
                <w:noProof/>
                <w:webHidden/>
              </w:rPr>
              <w:fldChar w:fldCharType="separate"/>
            </w:r>
            <w:r>
              <w:rPr>
                <w:noProof/>
                <w:webHidden/>
              </w:rPr>
              <w:t>9</w:t>
            </w:r>
            <w:r>
              <w:rPr>
                <w:noProof/>
                <w:webHidden/>
              </w:rPr>
              <w:fldChar w:fldCharType="end"/>
            </w:r>
          </w:hyperlink>
        </w:p>
        <w:p w14:paraId="032F0992" w14:textId="670DEF7A" w:rsidR="003C54FE" w:rsidRDefault="003C54FE">
          <w:pPr>
            <w:pStyle w:val="TOC1"/>
            <w:tabs>
              <w:tab w:val="right" w:leader="dot" w:pos="9016"/>
            </w:tabs>
            <w:rPr>
              <w:noProof/>
              <w:kern w:val="2"/>
              <w:lang w:val="en-US" w:eastAsia="en-US"/>
              <w14:ligatures w14:val="standardContextual"/>
            </w:rPr>
          </w:pPr>
          <w:hyperlink w:anchor="_Toc228294058" w:history="1">
            <w:r w:rsidRPr="004629CD">
              <w:rPr>
                <w:rStyle w:val="Hyperlink"/>
                <w:noProof/>
              </w:rPr>
              <w:t>5. References</w:t>
            </w:r>
            <w:r>
              <w:rPr>
                <w:noProof/>
                <w:webHidden/>
              </w:rPr>
              <w:tab/>
            </w:r>
            <w:r>
              <w:rPr>
                <w:noProof/>
                <w:webHidden/>
              </w:rPr>
              <w:fldChar w:fldCharType="begin"/>
            </w:r>
            <w:r>
              <w:rPr>
                <w:noProof/>
                <w:webHidden/>
              </w:rPr>
              <w:instrText xml:space="preserve"> PAGEREF _Toc228294058 \h </w:instrText>
            </w:r>
            <w:r>
              <w:rPr>
                <w:noProof/>
                <w:webHidden/>
              </w:rPr>
            </w:r>
            <w:r>
              <w:rPr>
                <w:noProof/>
                <w:webHidden/>
              </w:rPr>
              <w:fldChar w:fldCharType="separate"/>
            </w:r>
            <w:r>
              <w:rPr>
                <w:noProof/>
                <w:webHidden/>
              </w:rPr>
              <w:t>10</w:t>
            </w:r>
            <w:r>
              <w:rPr>
                <w:noProof/>
                <w:webHidden/>
              </w:rPr>
              <w:fldChar w:fldCharType="end"/>
            </w:r>
          </w:hyperlink>
        </w:p>
        <w:p w14:paraId="0C71CD3D" w14:textId="3E8EE85A" w:rsidR="41B5EFED" w:rsidRDefault="41B5EFED">
          <w:r>
            <w:fldChar w:fldCharType="end"/>
          </w:r>
        </w:p>
      </w:sdtContent>
    </w:sdt>
    <w:p w14:paraId="1CB54AA2" w14:textId="55F975F1" w:rsidR="41B5EFED" w:rsidRDefault="41B5EFED" w:rsidP="41B5EFED"/>
    <w:p w14:paraId="3C5354B4" w14:textId="3B268E66" w:rsidR="41B5EFED" w:rsidRDefault="41B5EFED" w:rsidP="41B5EFED"/>
    <w:p w14:paraId="06BECE5A" w14:textId="226B130C" w:rsidR="41B5EFED" w:rsidRDefault="41B5EFED" w:rsidP="41B5EFED"/>
    <w:p w14:paraId="6B12255A" w14:textId="6527D9A2" w:rsidR="41B5EFED" w:rsidRDefault="41B5EFED">
      <w:r>
        <w:br w:type="page"/>
      </w:r>
    </w:p>
    <w:p w14:paraId="0BD295A3" w14:textId="6BCDBF64" w:rsidR="54E91410" w:rsidRDefault="54E91410" w:rsidP="41B5EFED">
      <w:pPr>
        <w:pStyle w:val="Heading1"/>
        <w:rPr>
          <w:rFonts w:asciiTheme="minorHAnsi" w:eastAsiaTheme="minorEastAsia" w:hAnsiTheme="minorHAnsi" w:cstheme="minorBidi"/>
          <w:sz w:val="24"/>
          <w:szCs w:val="24"/>
        </w:rPr>
      </w:pPr>
      <w:bookmarkStart w:id="0" w:name="_Toc228294045"/>
      <w:r>
        <w:lastRenderedPageBreak/>
        <w:t>1. Introduction</w:t>
      </w:r>
      <w:bookmarkEnd w:id="0"/>
    </w:p>
    <w:p w14:paraId="46C603AF" w14:textId="4F6198AB" w:rsidR="54E91410" w:rsidRDefault="54E91410" w:rsidP="41B5EFED">
      <w:r w:rsidRPr="41B5EFED">
        <w:t>Drinking water quality is critical to public health, and monitoring microbial contamination is a key responsibility of water system operators. The Total Coliform Rule (TCR) established by the Environmental Protection Agency (EPA) ensures that public water systems are regularly tested for contamination. Violations of this rule may indicate issues in treatment, infrastructure, or monitoring practices.</w:t>
      </w:r>
    </w:p>
    <w:p w14:paraId="4170540B" w14:textId="3BABC49B" w:rsidR="54E91410" w:rsidRDefault="54E91410" w:rsidP="41B5EFED">
      <w:r w:rsidRPr="41B5EFED">
        <w:t>The objective of this project is to analyse TCR violations using data from the Safe Drinking Water Information System (SDWIS). Specifically, this project aims to:</w:t>
      </w:r>
    </w:p>
    <w:p w14:paraId="20343957" w14:textId="1952C532" w:rsidR="54E91410" w:rsidRDefault="54E91410" w:rsidP="41B5EFED">
      <w:pPr>
        <w:pStyle w:val="ListParagraph"/>
        <w:numPr>
          <w:ilvl w:val="0"/>
          <w:numId w:val="7"/>
        </w:numPr>
      </w:pPr>
      <w:r w:rsidRPr="41B5EFED">
        <w:t>Develop clear and meaningful visualizations of violation data</w:t>
      </w:r>
    </w:p>
    <w:p w14:paraId="2EC49462" w14:textId="5E8BC234" w:rsidR="54E91410" w:rsidRDefault="54E91410" w:rsidP="41B5EFED">
      <w:pPr>
        <w:pStyle w:val="ListParagraph"/>
        <w:numPr>
          <w:ilvl w:val="0"/>
          <w:numId w:val="7"/>
        </w:numPr>
      </w:pPr>
      <w:r w:rsidRPr="41B5EFED">
        <w:t>Identify trends in violations across different states</w:t>
      </w:r>
    </w:p>
    <w:p w14:paraId="53A4A5F8" w14:textId="2D73E446" w:rsidR="54E91410" w:rsidRDefault="54E91410" w:rsidP="41B5EFED">
      <w:pPr>
        <w:pStyle w:val="ListParagraph"/>
        <w:numPr>
          <w:ilvl w:val="0"/>
          <w:numId w:val="7"/>
        </w:numPr>
      </w:pPr>
      <w:r w:rsidRPr="41B5EFED">
        <w:t>Analyse how system size affects compliance</w:t>
      </w:r>
    </w:p>
    <w:p w14:paraId="1C3971D3" w14:textId="0C9C6A43" w:rsidR="54E91410" w:rsidRDefault="54E91410" w:rsidP="41B5EFED">
      <w:pPr>
        <w:pStyle w:val="ListParagraph"/>
        <w:numPr>
          <w:ilvl w:val="0"/>
          <w:numId w:val="7"/>
        </w:numPr>
      </w:pPr>
      <w:r w:rsidRPr="41B5EFED">
        <w:t>Evaluate how violations change over time</w:t>
      </w:r>
    </w:p>
    <w:p w14:paraId="3855728D" w14:textId="04B8C1A9" w:rsidR="54E91410" w:rsidRDefault="54E91410" w:rsidP="41B5EFED">
      <w:pPr>
        <w:pStyle w:val="Heading1"/>
      </w:pPr>
      <w:bookmarkStart w:id="1" w:name="_Toc228294046"/>
      <w:r w:rsidRPr="41B5EFED">
        <w:t>2. Methods</w:t>
      </w:r>
      <w:bookmarkEnd w:id="1"/>
    </w:p>
    <w:p w14:paraId="443A491C" w14:textId="67BCBD5A" w:rsidR="54E91410" w:rsidRDefault="54E91410" w:rsidP="41B5EFED">
      <w:pPr>
        <w:pStyle w:val="Heading2"/>
        <w:rPr>
          <w:rFonts w:asciiTheme="minorHAnsi" w:eastAsiaTheme="minorEastAsia" w:hAnsiTheme="minorHAnsi" w:cstheme="minorBidi"/>
          <w:b/>
          <w:bCs/>
          <w:sz w:val="24"/>
          <w:szCs w:val="24"/>
        </w:rPr>
      </w:pPr>
      <w:bookmarkStart w:id="2" w:name="_Toc228294047"/>
      <w:r w:rsidRPr="41B5EFED">
        <w:t>2.1 Data sources and project workflow</w:t>
      </w:r>
      <w:bookmarkEnd w:id="2"/>
    </w:p>
    <w:p w14:paraId="2C8E9B58" w14:textId="5C3261B6" w:rsidR="54E91410" w:rsidRDefault="54E91410" w:rsidP="41B5EFED">
      <w:pPr>
        <w:spacing w:before="240" w:after="240"/>
      </w:pPr>
      <w:r w:rsidRPr="41B5EFED">
        <w:t>The dataset used in this project was obtained from the EPA Safe Drinking Water Information System (SDWIS). The data includes quarterly violation reports for five selected states: Georgia (GA), Texas (TX), Ohio (OH), Massachusetts (MA), and Washington (WA).</w:t>
      </w:r>
    </w:p>
    <w:p w14:paraId="5280B212" w14:textId="5001CB56" w:rsidR="54E91410" w:rsidRDefault="54E91410" w:rsidP="41B5EFED">
      <w:pPr>
        <w:spacing w:before="240" w:after="240"/>
      </w:pPr>
      <w:r w:rsidRPr="41B5EFED">
        <w:t>Because the SDWIS system provides data on a quarterly basis, all four quarters for each year from 2021 to 2025 were downloaded and combined into a single dataset. This allowed for a complete analysis of yearly trends.</w:t>
      </w:r>
    </w:p>
    <w:p w14:paraId="426E25F7" w14:textId="2B598533" w:rsidR="54E91410" w:rsidRDefault="54E91410" w:rsidP="41B5EFED">
      <w:pPr>
        <w:pStyle w:val="Heading2"/>
        <w:rPr>
          <w:rFonts w:asciiTheme="minorHAnsi" w:eastAsiaTheme="minorEastAsia" w:hAnsiTheme="minorHAnsi" w:cstheme="minorBidi"/>
          <w:b/>
          <w:bCs/>
          <w:sz w:val="24"/>
          <w:szCs w:val="24"/>
        </w:rPr>
      </w:pPr>
      <w:bookmarkStart w:id="3" w:name="_Toc228294048"/>
      <w:r w:rsidRPr="41B5EFED">
        <w:t>2.2 Variable selection and rationale</w:t>
      </w:r>
      <w:bookmarkEnd w:id="3"/>
    </w:p>
    <w:p w14:paraId="7E1062AE" w14:textId="1C7FF33E" w:rsidR="54E91410" w:rsidRDefault="54E91410" w:rsidP="41B5EFED">
      <w:pPr>
        <w:spacing w:before="240" w:after="240"/>
      </w:pPr>
      <w:r w:rsidRPr="41B5EFED">
        <w:t>The variables selected for this analysis were chosen to align with the project objective of understanding violation patterns.</w:t>
      </w:r>
    </w:p>
    <w:p w14:paraId="49491655" w14:textId="6D306D97" w:rsidR="54E91410" w:rsidRDefault="54E91410" w:rsidP="41B5EFED">
      <w:pPr>
        <w:pStyle w:val="ListParagraph"/>
        <w:numPr>
          <w:ilvl w:val="0"/>
          <w:numId w:val="6"/>
        </w:numPr>
        <w:spacing w:after="0"/>
      </w:pPr>
      <w:proofErr w:type="spellStart"/>
      <w:r w:rsidRPr="41B5EFED">
        <w:t>primacy_agency_code</w:t>
      </w:r>
      <w:proofErr w:type="spellEnd"/>
      <w:r w:rsidRPr="41B5EFED">
        <w:t xml:space="preserve"> (State): Used to compare violations across states</w:t>
      </w:r>
    </w:p>
    <w:p w14:paraId="403FBD76" w14:textId="3E6D1076" w:rsidR="54E91410" w:rsidRDefault="54E91410" w:rsidP="41B5EFED">
      <w:pPr>
        <w:pStyle w:val="ListParagraph"/>
        <w:numPr>
          <w:ilvl w:val="0"/>
          <w:numId w:val="6"/>
        </w:numPr>
        <w:spacing w:after="0"/>
      </w:pPr>
      <w:r w:rsidRPr="41B5EFED">
        <w:t xml:space="preserve">pop_cat_5 (System size): Used to </w:t>
      </w:r>
      <w:proofErr w:type="spellStart"/>
      <w:r w:rsidRPr="41B5EFED">
        <w:t>analyze</w:t>
      </w:r>
      <w:proofErr w:type="spellEnd"/>
      <w:r w:rsidRPr="41B5EFED">
        <w:t xml:space="preserve"> how population size affects violations</w:t>
      </w:r>
    </w:p>
    <w:p w14:paraId="21999A7C" w14:textId="06214446" w:rsidR="54E91410" w:rsidRDefault="54E91410" w:rsidP="41B5EFED">
      <w:pPr>
        <w:pStyle w:val="ListParagraph"/>
        <w:numPr>
          <w:ilvl w:val="0"/>
          <w:numId w:val="6"/>
        </w:numPr>
        <w:spacing w:after="0"/>
      </w:pPr>
      <w:proofErr w:type="spellStart"/>
      <w:r w:rsidRPr="41B5EFED">
        <w:t>submission_year_quarter</w:t>
      </w:r>
      <w:proofErr w:type="spellEnd"/>
      <w:r w:rsidRPr="41B5EFED">
        <w:t xml:space="preserve"> / year: Used to track changes over time</w:t>
      </w:r>
    </w:p>
    <w:p w14:paraId="127409EA" w14:textId="23D3EC0A" w:rsidR="54E91410" w:rsidRDefault="54E91410" w:rsidP="41B5EFED">
      <w:pPr>
        <w:pStyle w:val="ListParagraph"/>
        <w:numPr>
          <w:ilvl w:val="0"/>
          <w:numId w:val="6"/>
        </w:numPr>
        <w:spacing w:after="0"/>
      </w:pPr>
      <w:proofErr w:type="spellStart"/>
      <w:r w:rsidRPr="41B5EFED">
        <w:t>violation_type</w:t>
      </w:r>
      <w:proofErr w:type="spellEnd"/>
      <w:r w:rsidRPr="41B5EFED">
        <w:t xml:space="preserve"> and </w:t>
      </w:r>
      <w:proofErr w:type="spellStart"/>
      <w:r w:rsidRPr="41B5EFED">
        <w:t>rule_name</w:t>
      </w:r>
      <w:proofErr w:type="spellEnd"/>
      <w:r w:rsidRPr="41B5EFED">
        <w:t>: Confirmed focus on Total Coliform Rule violations</w:t>
      </w:r>
    </w:p>
    <w:p w14:paraId="4616E7BC" w14:textId="31F85A84" w:rsidR="41B5EFED" w:rsidRDefault="41B5EFED" w:rsidP="41B5EFED">
      <w:pPr>
        <w:pStyle w:val="ListParagraph"/>
        <w:spacing w:after="0"/>
      </w:pPr>
    </w:p>
    <w:p w14:paraId="3320DAC6" w14:textId="7EA496B7" w:rsidR="41B5EFED" w:rsidRDefault="41B5EFED" w:rsidP="41B5EFED">
      <w:pPr>
        <w:spacing w:after="0"/>
      </w:pPr>
    </w:p>
    <w:p w14:paraId="12187056" w14:textId="3B88A476" w:rsidR="41B5EFED" w:rsidRDefault="41B5EFED" w:rsidP="41B5EFED">
      <w:pPr>
        <w:pStyle w:val="Heading3"/>
        <w:spacing w:before="281" w:after="281"/>
        <w:rPr>
          <w:rFonts w:ascii="Times New Roman" w:eastAsia="Times New Roman" w:hAnsi="Times New Roman" w:cs="Times New Roman"/>
          <w:b/>
          <w:bCs/>
        </w:rPr>
      </w:pPr>
    </w:p>
    <w:p w14:paraId="49425C41" w14:textId="7C91E6C2" w:rsidR="41B5EFED" w:rsidRDefault="41B5EFED">
      <w:r>
        <w:br w:type="page"/>
      </w:r>
    </w:p>
    <w:p w14:paraId="456B1CDB" w14:textId="179DA221" w:rsidR="68431549" w:rsidRDefault="68431549" w:rsidP="41B5EFED">
      <w:pPr>
        <w:pStyle w:val="Heading1"/>
        <w:rPr>
          <w:rFonts w:asciiTheme="minorHAnsi" w:eastAsiaTheme="minorEastAsia" w:hAnsiTheme="minorHAnsi" w:cstheme="minorBidi"/>
          <w:b/>
          <w:bCs/>
          <w:sz w:val="24"/>
          <w:szCs w:val="24"/>
        </w:rPr>
      </w:pPr>
      <w:bookmarkStart w:id="4" w:name="_Toc228294049"/>
      <w:r w:rsidRPr="41B5EFED">
        <w:rPr>
          <w:rStyle w:val="Heading2Char"/>
        </w:rPr>
        <w:lastRenderedPageBreak/>
        <w:t>2.3 Data preparation and visualization</w:t>
      </w:r>
      <w:bookmarkEnd w:id="4"/>
    </w:p>
    <w:p w14:paraId="09A11D49" w14:textId="026D19F3" w:rsidR="68431549" w:rsidRDefault="68431549" w:rsidP="41B5EFED">
      <w:pPr>
        <w:spacing w:before="240" w:after="240"/>
      </w:pPr>
      <w:r w:rsidRPr="41B5EFED">
        <w:t>The analysis was conducted using Python with pandas and matplotlib.</w:t>
      </w:r>
    </w:p>
    <w:p w14:paraId="58CA1C35" w14:textId="4A84CA6D" w:rsidR="68431549" w:rsidRDefault="68431549" w:rsidP="41B5EFED">
      <w:pPr>
        <w:spacing w:before="240" w:after="240"/>
      </w:pPr>
      <w:r w:rsidRPr="41B5EFED">
        <w:t>The following steps were performed:</w:t>
      </w:r>
    </w:p>
    <w:p w14:paraId="41689EC6" w14:textId="7CDDACA6" w:rsidR="68431549" w:rsidRDefault="68431549" w:rsidP="41B5EFED">
      <w:pPr>
        <w:pStyle w:val="ListParagraph"/>
        <w:numPr>
          <w:ilvl w:val="0"/>
          <w:numId w:val="5"/>
        </w:numPr>
        <w:spacing w:after="0"/>
      </w:pPr>
      <w:r w:rsidRPr="41B5EFED">
        <w:t>Combined all quarterly CSV files into a single dataset</w:t>
      </w:r>
    </w:p>
    <w:p w14:paraId="149A30ED" w14:textId="30A55E87" w:rsidR="68431549" w:rsidRDefault="68431549" w:rsidP="41B5EFED">
      <w:pPr>
        <w:pStyle w:val="ListParagraph"/>
        <w:numPr>
          <w:ilvl w:val="0"/>
          <w:numId w:val="5"/>
        </w:numPr>
        <w:spacing w:after="0"/>
      </w:pPr>
      <w:r w:rsidRPr="41B5EFED">
        <w:t>Standardized column names to lowercase format</w:t>
      </w:r>
    </w:p>
    <w:p w14:paraId="39E99E92" w14:textId="541EAA5A" w:rsidR="68431549" w:rsidRDefault="68431549" w:rsidP="41B5EFED">
      <w:pPr>
        <w:pStyle w:val="ListParagraph"/>
        <w:numPr>
          <w:ilvl w:val="0"/>
          <w:numId w:val="5"/>
        </w:numPr>
        <w:spacing w:after="0"/>
      </w:pPr>
      <w:r w:rsidRPr="41B5EFED">
        <w:t>Converted population values to numeric format</w:t>
      </w:r>
    </w:p>
    <w:p w14:paraId="7B5CCC60" w14:textId="7ACF7077" w:rsidR="68431549" w:rsidRDefault="68431549" w:rsidP="41B5EFED">
      <w:pPr>
        <w:pStyle w:val="ListParagraph"/>
        <w:numPr>
          <w:ilvl w:val="0"/>
          <w:numId w:val="5"/>
        </w:numPr>
        <w:spacing w:after="0"/>
      </w:pPr>
      <w:r w:rsidRPr="41B5EFED">
        <w:t>Extracted year from the submission year-quarter field</w:t>
      </w:r>
    </w:p>
    <w:p w14:paraId="23C2841F" w14:textId="6647FD46" w:rsidR="68431549" w:rsidRDefault="68431549" w:rsidP="41B5EFED">
      <w:pPr>
        <w:pStyle w:val="ListParagraph"/>
        <w:numPr>
          <w:ilvl w:val="0"/>
          <w:numId w:val="5"/>
        </w:numPr>
        <w:spacing w:after="0"/>
      </w:pPr>
      <w:r w:rsidRPr="41B5EFED">
        <w:t>Grouped data using pandas to calculate total violations</w:t>
      </w:r>
    </w:p>
    <w:p w14:paraId="0430B28C" w14:textId="22EA71E6" w:rsidR="68431549" w:rsidRDefault="68431549" w:rsidP="41B5EFED">
      <w:pPr>
        <w:spacing w:before="240" w:after="240"/>
      </w:pPr>
      <w:r w:rsidRPr="41B5EFED">
        <w:t>The visualizations created include:</w:t>
      </w:r>
    </w:p>
    <w:p w14:paraId="29659469" w14:textId="3F0029A5" w:rsidR="68431549" w:rsidRDefault="68431549" w:rsidP="41B5EFED">
      <w:pPr>
        <w:pStyle w:val="ListParagraph"/>
        <w:numPr>
          <w:ilvl w:val="0"/>
          <w:numId w:val="4"/>
        </w:numPr>
        <w:spacing w:after="0"/>
      </w:pPr>
      <w:r w:rsidRPr="41B5EFED">
        <w:t>Bar charts for violations by state and system size</w:t>
      </w:r>
    </w:p>
    <w:p w14:paraId="055A4561" w14:textId="53EF3DD5" w:rsidR="68431549" w:rsidRDefault="68431549" w:rsidP="41B5EFED">
      <w:pPr>
        <w:pStyle w:val="ListParagraph"/>
        <w:numPr>
          <w:ilvl w:val="0"/>
          <w:numId w:val="4"/>
        </w:numPr>
        <w:spacing w:after="0"/>
      </w:pPr>
      <w:r w:rsidRPr="41B5EFED">
        <w:t>Line plots for trends over time</w:t>
      </w:r>
    </w:p>
    <w:p w14:paraId="545DD9DC" w14:textId="2AAE1AC0" w:rsidR="41B5EFED" w:rsidRDefault="68431549" w:rsidP="3C8492A4">
      <w:pPr>
        <w:pStyle w:val="ListParagraph"/>
        <w:numPr>
          <w:ilvl w:val="0"/>
          <w:numId w:val="4"/>
        </w:numPr>
        <w:spacing w:after="0"/>
      </w:pPr>
      <w:r>
        <w:t>Multi-line plots to compare trends across states and system sizes</w:t>
      </w:r>
    </w:p>
    <w:p w14:paraId="2DC51756" w14:textId="0ADD117A" w:rsidR="00DD7365" w:rsidRDefault="00DD7365" w:rsidP="00DD7365">
      <w:pPr>
        <w:pStyle w:val="Heading1"/>
        <w:rPr>
          <w:rStyle w:val="Heading2Char"/>
        </w:rPr>
      </w:pPr>
      <w:bookmarkStart w:id="5" w:name="_Toc228294050"/>
      <w:r w:rsidRPr="41B5EFED">
        <w:rPr>
          <w:rStyle w:val="Heading2Char"/>
        </w:rPr>
        <w:t>2.</w:t>
      </w:r>
      <w:r>
        <w:rPr>
          <w:rStyle w:val="Heading2Char"/>
        </w:rPr>
        <w:t>4</w:t>
      </w:r>
      <w:r w:rsidRPr="41B5EFED">
        <w:rPr>
          <w:rStyle w:val="Heading2Char"/>
        </w:rPr>
        <w:t xml:space="preserve"> </w:t>
      </w:r>
      <w:r>
        <w:rPr>
          <w:rStyle w:val="Heading2Char"/>
        </w:rPr>
        <w:t>Bias and ethical considerations in data analysis</w:t>
      </w:r>
      <w:bookmarkEnd w:id="5"/>
    </w:p>
    <w:p w14:paraId="7C7A3882" w14:textId="09CC874F" w:rsidR="00DD7365" w:rsidRDefault="00DD7365" w:rsidP="00DD7365">
      <w:r>
        <w:t xml:space="preserve">All data-driven analyses are influenced by the decisions made during data collection, processing, and interpretation. In this project, several coding and methodological choices introduce potential sources of bias that should be considered when interpreting the results. </w:t>
      </w:r>
    </w:p>
    <w:p w14:paraId="7F566C90" w14:textId="689A9A25" w:rsidR="00DD7365" w:rsidRDefault="00DD7365" w:rsidP="00DD7365">
      <w:pPr>
        <w:pStyle w:val="ListParagraph"/>
        <w:numPr>
          <w:ilvl w:val="0"/>
          <w:numId w:val="8"/>
        </w:numPr>
      </w:pPr>
      <w:r>
        <w:t xml:space="preserve">Violations were aggregated by state and by </w:t>
      </w:r>
      <w:r w:rsidR="003C54FE">
        <w:t>time</w:t>
      </w:r>
      <w:r>
        <w:t xml:space="preserve"> (year and quarter) to identify trends. This approach simplifies the dataset and allows for clear comparisons but may obscure important variability at the individual water system level. Differences between specific systems such as operational practices or local environment conditions are not captured in aggregated results. </w:t>
      </w:r>
    </w:p>
    <w:p w14:paraId="0D3861E4" w14:textId="746DA5C0" w:rsidR="00DD7365" w:rsidRDefault="00DD7365" w:rsidP="00DD7365">
      <w:pPr>
        <w:pStyle w:val="ListParagraph"/>
        <w:numPr>
          <w:ilvl w:val="0"/>
          <w:numId w:val="8"/>
        </w:numPr>
      </w:pPr>
      <w:r>
        <w:t xml:space="preserve">The analysis relied on total counts of Total Coliform Rule (TCR) violations rather than normalized metrics. This introduces bias because states with larger populations or a greater number of water systems may naturally report more violations, even if their overall compliance rate is comparable to or better than smaller states. A more comprehensive analysis would consider violations per system or per population served. </w:t>
      </w:r>
    </w:p>
    <w:p w14:paraId="24BFDD99" w14:textId="6D4571EB" w:rsidR="00DD7365" w:rsidRDefault="00DD7365" w:rsidP="00DD7365">
      <w:pPr>
        <w:pStyle w:val="ListParagraph"/>
        <w:numPr>
          <w:ilvl w:val="0"/>
          <w:numId w:val="8"/>
        </w:numPr>
      </w:pPr>
      <w:r>
        <w:t xml:space="preserve">Data cleaning decisions may influence results. During preprocessing, non-numeric values in key fields such as population served were converted using methods that may produce missing values when errors occur. These records may be excluded from certain calculations, which can bias results toward cleaner or more complete data entries. Additionally, encoding adjustments were applied to ensure compatibility with Python, which may alter or remove certain special characters. </w:t>
      </w:r>
    </w:p>
    <w:p w14:paraId="027E9042" w14:textId="6258171D" w:rsidR="00DD7365" w:rsidRDefault="00DD7365" w:rsidP="00DD7365">
      <w:pPr>
        <w:pStyle w:val="ListParagraph"/>
        <w:numPr>
          <w:ilvl w:val="0"/>
          <w:numId w:val="8"/>
        </w:numPr>
      </w:pPr>
      <w:r>
        <w:t xml:space="preserve">The transformation of the submission year and quarter field into a numeric or categorical format introduces assumptions about time. Converting quarterly data </w:t>
      </w:r>
      <w:r w:rsidR="003C54FE">
        <w:t xml:space="preserve">into </w:t>
      </w:r>
      <w:r w:rsidR="003C54FE">
        <w:lastRenderedPageBreak/>
        <w:t>a</w:t>
      </w:r>
      <w:r>
        <w:t xml:space="preserve"> continuous or ordered variable assumes equal spacing between observations and may oversimplify temporal trends. </w:t>
      </w:r>
    </w:p>
    <w:p w14:paraId="52C5B62B" w14:textId="46E34FBE" w:rsidR="00DD7365" w:rsidRDefault="00DD7365" w:rsidP="00DD7365">
      <w:pPr>
        <w:pStyle w:val="ListParagraph"/>
        <w:numPr>
          <w:ilvl w:val="0"/>
          <w:numId w:val="8"/>
        </w:numPr>
      </w:pPr>
      <w:r>
        <w:t>The selection of only five states for analysis introduces selection bias. While the states were chosen to represent different EPA regions, they may not</w:t>
      </w:r>
      <w:r w:rsidR="003C54FE">
        <w:t xml:space="preserve"> fully capture national trends in TCR violations. As a result, findings from this analysis may not be fully generalizable to all public water systems in the United States. </w:t>
      </w:r>
    </w:p>
    <w:p w14:paraId="047F541A" w14:textId="74037E3E" w:rsidR="003C54FE" w:rsidRPr="00DD7365" w:rsidRDefault="003C54FE" w:rsidP="003C54FE">
      <w:r>
        <w:t>Conclusions should be considered in the context of the above limitations.</w:t>
      </w:r>
    </w:p>
    <w:p w14:paraId="0E158E61" w14:textId="3C13348E" w:rsidR="68431549" w:rsidRDefault="68431549" w:rsidP="41B5EFED">
      <w:pPr>
        <w:pStyle w:val="Heading1"/>
        <w:rPr>
          <w:rFonts w:asciiTheme="minorHAnsi" w:eastAsiaTheme="minorEastAsia" w:hAnsiTheme="minorHAnsi" w:cstheme="minorBidi"/>
          <w:b/>
          <w:bCs/>
          <w:sz w:val="24"/>
          <w:szCs w:val="24"/>
        </w:rPr>
      </w:pPr>
      <w:bookmarkStart w:id="6" w:name="_Toc228294051"/>
      <w:r w:rsidRPr="41B5EFED">
        <w:t>3. Results and Discussion</w:t>
      </w:r>
      <w:bookmarkEnd w:id="6"/>
    </w:p>
    <w:p w14:paraId="1A7A0DEF" w14:textId="5817172E" w:rsidR="68431549" w:rsidRDefault="68431549" w:rsidP="41B5EFED">
      <w:pPr>
        <w:pStyle w:val="Heading2"/>
      </w:pPr>
      <w:bookmarkStart w:id="7" w:name="_Toc228294052"/>
      <w:r w:rsidRPr="41B5EFED">
        <w:t>3.1 TCR violations by state</w:t>
      </w:r>
      <w:bookmarkEnd w:id="7"/>
    </w:p>
    <w:p w14:paraId="5A1A0752" w14:textId="090FA7C6" w:rsidR="0B5F6A89" w:rsidRDefault="0B5F6A89" w:rsidP="41B5EFED">
      <w:r>
        <w:rPr>
          <w:noProof/>
        </w:rPr>
        <w:drawing>
          <wp:inline distT="0" distB="0" distL="0" distR="0" wp14:anchorId="5403E204" wp14:editId="1A0DD560">
            <wp:extent cx="3720039" cy="1962150"/>
            <wp:effectExtent l="0" t="0" r="0" b="0"/>
            <wp:docPr id="848275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4078" name="Picture 264704078"/>
                    <pic:cNvPicPr/>
                  </pic:nvPicPr>
                  <pic:blipFill>
                    <a:blip r:embed="rId8">
                      <a:extLst>
                        <a:ext uri="{28A0092B-C50C-407E-A947-70E740481C1C}">
                          <a14:useLocalDpi xmlns:a14="http://schemas.microsoft.com/office/drawing/2010/main"/>
                        </a:ext>
                      </a:extLst>
                    </a:blip>
                    <a:stretch>
                      <a:fillRect/>
                    </a:stretch>
                  </pic:blipFill>
                  <pic:spPr>
                    <a:xfrm>
                      <a:off x="0" y="0"/>
                      <a:ext cx="3720039" cy="1962150"/>
                    </a:xfrm>
                    <a:prstGeom prst="rect">
                      <a:avLst/>
                    </a:prstGeom>
                  </pic:spPr>
                </pic:pic>
              </a:graphicData>
            </a:graphic>
          </wp:inline>
        </w:drawing>
      </w:r>
    </w:p>
    <w:p w14:paraId="6ECA93A5" w14:textId="49DA337A" w:rsidR="41B5EFED" w:rsidRDefault="004A1E1F" w:rsidP="004A1E1F">
      <w:pPr>
        <w:pStyle w:val="Caption"/>
      </w:pPr>
      <w:r>
        <w:t xml:space="preserve">Figure </w:t>
      </w:r>
      <w:r>
        <w:fldChar w:fldCharType="begin"/>
      </w:r>
      <w:r>
        <w:instrText>SEQ Figure \* ARABIC</w:instrText>
      </w:r>
      <w:r>
        <w:fldChar w:fldCharType="separate"/>
      </w:r>
      <w:r w:rsidR="00C01ED4">
        <w:rPr>
          <w:noProof/>
        </w:rPr>
        <w:t>1</w:t>
      </w:r>
      <w:r>
        <w:fldChar w:fldCharType="end"/>
      </w:r>
      <w:r>
        <w:t xml:space="preserve"> </w:t>
      </w:r>
      <w:r w:rsidRPr="00583909">
        <w:t>TCR violations by state</w:t>
      </w:r>
    </w:p>
    <w:p w14:paraId="75D77ADF" w14:textId="2FDD0783" w:rsidR="68431549" w:rsidRDefault="68431549" w:rsidP="41B5EFED">
      <w:pPr>
        <w:spacing w:before="240" w:after="240"/>
      </w:pPr>
      <w:r w:rsidRPr="41B5EFED">
        <w:t>The bar chart shows clear differences in violation counts across the five states.</w:t>
      </w:r>
    </w:p>
    <w:p w14:paraId="5F1B8C5A" w14:textId="7001CF8A" w:rsidR="68431549" w:rsidRDefault="68431549" w:rsidP="41B5EFED">
      <w:pPr>
        <w:spacing w:before="240" w:after="240"/>
      </w:pPr>
      <w:r w:rsidRPr="41B5EFED">
        <w:t>Washington (WA) and Ohio (OH) have the highest number of violations, while Massachusetts (MA) has the lowest. Texas (TX) and Georgia (GA) fall between these extremes.</w:t>
      </w:r>
    </w:p>
    <w:p w14:paraId="4E51C318" w14:textId="7D178DC9" w:rsidR="68431549" w:rsidRDefault="68431549" w:rsidP="41B5EFED">
      <w:pPr>
        <w:spacing w:before="240" w:after="240"/>
      </w:pPr>
      <w:r w:rsidRPr="41B5EFED">
        <w:t>This suggests that compliance levels vary significantly across states, potentially due to differences in infrastructure, regulatory enforcement, or system management practices.</w:t>
      </w:r>
    </w:p>
    <w:p w14:paraId="689F64DA" w14:textId="62DBB1FB" w:rsidR="41B5EFED" w:rsidRDefault="41B5EFED">
      <w:r>
        <w:br w:type="page"/>
      </w:r>
    </w:p>
    <w:p w14:paraId="5E5FFD89" w14:textId="3B352F30" w:rsidR="7662022A" w:rsidRDefault="7662022A" w:rsidP="41B5EFED">
      <w:pPr>
        <w:pStyle w:val="Heading2"/>
      </w:pPr>
      <w:bookmarkStart w:id="8" w:name="_Toc228294053"/>
      <w:r w:rsidRPr="41B5EFED">
        <w:lastRenderedPageBreak/>
        <w:t>3.2 TCR violations by system size</w:t>
      </w:r>
      <w:bookmarkEnd w:id="8"/>
    </w:p>
    <w:p w14:paraId="0948D51B" w14:textId="4FBE791E" w:rsidR="7662022A" w:rsidRDefault="7662022A" w:rsidP="41B5EFED">
      <w:r>
        <w:rPr>
          <w:noProof/>
        </w:rPr>
        <w:drawing>
          <wp:inline distT="0" distB="0" distL="0" distR="0" wp14:anchorId="4ED33426" wp14:editId="1D961473">
            <wp:extent cx="3759489" cy="2514667"/>
            <wp:effectExtent l="0" t="0" r="0" b="0"/>
            <wp:docPr id="1494138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74" name="Picture 1494138074"/>
                    <pic:cNvPicPr/>
                  </pic:nvPicPr>
                  <pic:blipFill>
                    <a:blip r:embed="rId9">
                      <a:extLst>
                        <a:ext uri="{28A0092B-C50C-407E-A947-70E740481C1C}">
                          <a14:useLocalDpi xmlns:a14="http://schemas.microsoft.com/office/drawing/2010/main"/>
                        </a:ext>
                      </a:extLst>
                    </a:blip>
                    <a:stretch>
                      <a:fillRect/>
                    </a:stretch>
                  </pic:blipFill>
                  <pic:spPr>
                    <a:xfrm>
                      <a:off x="0" y="0"/>
                      <a:ext cx="3759489" cy="2514667"/>
                    </a:xfrm>
                    <a:prstGeom prst="rect">
                      <a:avLst/>
                    </a:prstGeom>
                  </pic:spPr>
                </pic:pic>
              </a:graphicData>
            </a:graphic>
          </wp:inline>
        </w:drawing>
      </w:r>
    </w:p>
    <w:p w14:paraId="6F6650D1" w14:textId="0A7FBEC0" w:rsidR="004D0E72" w:rsidRDefault="004D0E72" w:rsidP="004D0E72">
      <w:pPr>
        <w:pStyle w:val="Caption"/>
      </w:pPr>
      <w:r>
        <w:t xml:space="preserve">Figure </w:t>
      </w:r>
      <w:r>
        <w:fldChar w:fldCharType="begin"/>
      </w:r>
      <w:r>
        <w:instrText>SEQ Figure \* ARABIC</w:instrText>
      </w:r>
      <w:r>
        <w:fldChar w:fldCharType="separate"/>
      </w:r>
      <w:r w:rsidR="00C01ED4">
        <w:rPr>
          <w:noProof/>
        </w:rPr>
        <w:t>2</w:t>
      </w:r>
      <w:r>
        <w:fldChar w:fldCharType="end"/>
      </w:r>
      <w:r>
        <w:t xml:space="preserve"> </w:t>
      </w:r>
      <w:r w:rsidRPr="00363E82">
        <w:t>TCR violations by system size</w:t>
      </w:r>
    </w:p>
    <w:p w14:paraId="548E7B0A" w14:textId="7E743401" w:rsidR="7662022A" w:rsidRDefault="7662022A" w:rsidP="41B5EFED">
      <w:pPr>
        <w:spacing w:before="240" w:after="240"/>
      </w:pPr>
      <w:r w:rsidRPr="41B5EFED">
        <w:rPr>
          <w:rFonts w:ascii="Times New Roman" w:eastAsia="Times New Roman" w:hAnsi="Times New Roman" w:cs="Times New Roman"/>
        </w:rPr>
        <w:t>The results show a strong relationship between system size and violations. Water systems serving 500 or fewer people account for the most violations. Medium-sized systems also contribute significantly, while large systems show very few violations. This indicates that smaller systems face greater challenges in maintaining compliance, likely due to limited resources, staffing, and technical capacity.</w:t>
      </w:r>
    </w:p>
    <w:p w14:paraId="5E687C51" w14:textId="340EE4C6" w:rsidR="340B2D03" w:rsidRDefault="340B2D03" w:rsidP="41B5EFED">
      <w:pPr>
        <w:pStyle w:val="Heading2"/>
      </w:pPr>
      <w:bookmarkStart w:id="9" w:name="_Toc228294054"/>
      <w:r w:rsidRPr="41B5EFED">
        <w:t>3.3 TCR violations over time</w:t>
      </w:r>
      <w:bookmarkEnd w:id="9"/>
    </w:p>
    <w:p w14:paraId="14DFBB7D" w14:textId="121D9109" w:rsidR="340B2D03" w:rsidRDefault="340B2D03" w:rsidP="41B5EFED">
      <w:r>
        <w:rPr>
          <w:noProof/>
        </w:rPr>
        <w:drawing>
          <wp:inline distT="0" distB="0" distL="0" distR="0" wp14:anchorId="3560725E" wp14:editId="2FD30F92">
            <wp:extent cx="4131875" cy="2619375"/>
            <wp:effectExtent l="0" t="0" r="0" b="0"/>
            <wp:docPr id="1597968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8058" name="Picture 1597968058"/>
                    <pic:cNvPicPr/>
                  </pic:nvPicPr>
                  <pic:blipFill>
                    <a:blip r:embed="rId10">
                      <a:extLst>
                        <a:ext uri="{28A0092B-C50C-407E-A947-70E740481C1C}">
                          <a14:useLocalDpi xmlns:a14="http://schemas.microsoft.com/office/drawing/2010/main"/>
                        </a:ext>
                      </a:extLst>
                    </a:blip>
                    <a:stretch>
                      <a:fillRect/>
                    </a:stretch>
                  </pic:blipFill>
                  <pic:spPr>
                    <a:xfrm>
                      <a:off x="0" y="0"/>
                      <a:ext cx="4131875" cy="2619375"/>
                    </a:xfrm>
                    <a:prstGeom prst="rect">
                      <a:avLst/>
                    </a:prstGeom>
                  </pic:spPr>
                </pic:pic>
              </a:graphicData>
            </a:graphic>
          </wp:inline>
        </w:drawing>
      </w:r>
    </w:p>
    <w:p w14:paraId="4522C909" w14:textId="23288FEC" w:rsidR="004D0E72" w:rsidRDefault="004D0E72" w:rsidP="004D0E72">
      <w:pPr>
        <w:pStyle w:val="Caption"/>
      </w:pPr>
      <w:r>
        <w:t xml:space="preserve">Figure </w:t>
      </w:r>
      <w:r>
        <w:fldChar w:fldCharType="begin"/>
      </w:r>
      <w:r>
        <w:instrText>SEQ Figure \* ARABIC</w:instrText>
      </w:r>
      <w:r>
        <w:fldChar w:fldCharType="separate"/>
      </w:r>
      <w:r w:rsidR="00C01ED4">
        <w:rPr>
          <w:noProof/>
        </w:rPr>
        <w:t>3</w:t>
      </w:r>
      <w:r>
        <w:fldChar w:fldCharType="end"/>
      </w:r>
      <w:r>
        <w:t xml:space="preserve"> </w:t>
      </w:r>
      <w:r w:rsidRPr="00867B00">
        <w:t>TCR violations over time (2021–2025)</w:t>
      </w:r>
    </w:p>
    <w:p w14:paraId="50F754FF" w14:textId="7C00D76B" w:rsidR="340B2D03" w:rsidRDefault="340B2D03" w:rsidP="41B5EFED">
      <w:pPr>
        <w:spacing w:before="240" w:after="240"/>
      </w:pPr>
      <w:r w:rsidRPr="41B5EFED">
        <w:rPr>
          <w:rFonts w:ascii="Times New Roman" w:eastAsia="Times New Roman" w:hAnsi="Times New Roman" w:cs="Times New Roman"/>
        </w:rPr>
        <w:t>The line plot shows a gradual decrease in violations from 2021 to 2025. This downward trend suggests improvements in compliance, monitoring practices, or infrastructure over time. However, the decrease is relatively steady rather than abrupt, indicating gradual progress rather than major policy shifts.</w:t>
      </w:r>
    </w:p>
    <w:p w14:paraId="5C8D1B4D" w14:textId="070F17B7" w:rsidR="011B245A" w:rsidRDefault="41B5EFED" w:rsidP="00AE68B8">
      <w:r>
        <w:br w:type="page"/>
      </w:r>
      <w:bookmarkStart w:id="10" w:name="_Toc228294055"/>
      <w:r w:rsidR="011B245A" w:rsidRPr="41B5EFED">
        <w:lastRenderedPageBreak/>
        <w:t>3.4 State-level trends over time</w:t>
      </w:r>
      <w:bookmarkEnd w:id="10"/>
    </w:p>
    <w:p w14:paraId="323EE7D0" w14:textId="61644679" w:rsidR="011B245A" w:rsidRDefault="011B245A" w:rsidP="41B5EFED">
      <w:r>
        <w:rPr>
          <w:noProof/>
        </w:rPr>
        <w:drawing>
          <wp:inline distT="0" distB="0" distL="0" distR="0" wp14:anchorId="5068EF15" wp14:editId="45B4E73D">
            <wp:extent cx="2684947" cy="2022720"/>
            <wp:effectExtent l="0" t="0" r="0" b="0"/>
            <wp:docPr id="741534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4318" name="Picture 741534318"/>
                    <pic:cNvPicPr/>
                  </pic:nvPicPr>
                  <pic:blipFill>
                    <a:blip r:embed="rId11">
                      <a:extLst>
                        <a:ext uri="{28A0092B-C50C-407E-A947-70E740481C1C}">
                          <a14:useLocalDpi xmlns:a14="http://schemas.microsoft.com/office/drawing/2010/main"/>
                        </a:ext>
                      </a:extLst>
                    </a:blip>
                    <a:stretch>
                      <a:fillRect/>
                    </a:stretch>
                  </pic:blipFill>
                  <pic:spPr>
                    <a:xfrm>
                      <a:off x="0" y="0"/>
                      <a:ext cx="2684947" cy="2022720"/>
                    </a:xfrm>
                    <a:prstGeom prst="rect">
                      <a:avLst/>
                    </a:prstGeom>
                  </pic:spPr>
                </pic:pic>
              </a:graphicData>
            </a:graphic>
          </wp:inline>
        </w:drawing>
      </w:r>
    </w:p>
    <w:p w14:paraId="79CDC767" w14:textId="6CA961B8" w:rsidR="0032373B" w:rsidRDefault="0032373B" w:rsidP="0032373B">
      <w:pPr>
        <w:pStyle w:val="Caption"/>
        <w:rPr>
          <w:i w:val="0"/>
          <w:iCs w:val="0"/>
        </w:rPr>
      </w:pPr>
      <w:r>
        <w:t xml:space="preserve">Figure </w:t>
      </w:r>
      <w:r>
        <w:fldChar w:fldCharType="begin"/>
      </w:r>
      <w:r>
        <w:instrText>SEQ Figure \* ARABIC</w:instrText>
      </w:r>
      <w:r>
        <w:fldChar w:fldCharType="separate"/>
      </w:r>
      <w:r w:rsidR="00C01ED4">
        <w:rPr>
          <w:noProof/>
        </w:rPr>
        <w:t>4</w:t>
      </w:r>
      <w:r>
        <w:fldChar w:fldCharType="end"/>
      </w:r>
      <w:r w:rsidR="003C54FE">
        <w:t xml:space="preserve"> Line plot of</w:t>
      </w:r>
      <w:r w:rsidRPr="006634D9">
        <w:t xml:space="preserve"> TCR violations by state over time</w:t>
      </w:r>
    </w:p>
    <w:p w14:paraId="5BE0FCE4" w14:textId="36BB8AD9" w:rsidR="003C54FE" w:rsidRDefault="003C54FE" w:rsidP="003C54FE">
      <w:r>
        <w:rPr>
          <w:noProof/>
        </w:rPr>
        <w:drawing>
          <wp:inline distT="0" distB="0" distL="0" distR="0" wp14:anchorId="53CA6DCA" wp14:editId="07988E23">
            <wp:extent cx="5731510" cy="1629410"/>
            <wp:effectExtent l="0" t="0" r="2540" b="8890"/>
            <wp:docPr id="2121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9411" name="Picture 212109411"/>
                    <pic:cNvPicPr/>
                  </pic:nvPicPr>
                  <pic:blipFill>
                    <a:blip r:embed="rId12">
                      <a:extLst>
                        <a:ext uri="{28A0092B-C50C-407E-A947-70E740481C1C}">
                          <a14:useLocalDpi xmlns:a14="http://schemas.microsoft.com/office/drawing/2010/main" val="0"/>
                        </a:ext>
                      </a:extLst>
                    </a:blip>
                    <a:stretch>
                      <a:fillRect/>
                    </a:stretch>
                  </pic:blipFill>
                  <pic:spPr>
                    <a:xfrm>
                      <a:off x="0" y="0"/>
                      <a:ext cx="5731510" cy="1629410"/>
                    </a:xfrm>
                    <a:prstGeom prst="rect">
                      <a:avLst/>
                    </a:prstGeom>
                  </pic:spPr>
                </pic:pic>
              </a:graphicData>
            </a:graphic>
          </wp:inline>
        </w:drawing>
      </w:r>
    </w:p>
    <w:p w14:paraId="0D49F518" w14:textId="7EA5BFE2" w:rsidR="003C54FE" w:rsidRPr="003C54FE" w:rsidRDefault="003C54FE" w:rsidP="003C54FE">
      <w:pPr>
        <w:rPr>
          <w:i/>
          <w:iCs/>
          <w:sz w:val="18"/>
          <w:szCs w:val="18"/>
        </w:rPr>
      </w:pPr>
      <w:r w:rsidRPr="003C54FE">
        <w:rPr>
          <w:i/>
          <w:iCs/>
          <w:sz w:val="18"/>
          <w:szCs w:val="18"/>
        </w:rPr>
        <w:t>Figure 5 Scatter plot of TCR violations by state over time</w:t>
      </w:r>
    </w:p>
    <w:p w14:paraId="2BA8A95A" w14:textId="6EC5A789" w:rsidR="011B245A" w:rsidRDefault="011B245A" w:rsidP="41B5EFED">
      <w:pPr>
        <w:spacing w:before="240" w:after="240"/>
        <w:rPr>
          <w:rFonts w:ascii="Times New Roman" w:eastAsia="Times New Roman" w:hAnsi="Times New Roman" w:cs="Times New Roman"/>
        </w:rPr>
      </w:pPr>
      <w:r w:rsidRPr="41B5EFED">
        <w:rPr>
          <w:rFonts w:ascii="Times New Roman" w:eastAsia="Times New Roman" w:hAnsi="Times New Roman" w:cs="Times New Roman"/>
        </w:rPr>
        <w:t>When analysing each state individually:</w:t>
      </w:r>
    </w:p>
    <w:p w14:paraId="04C0AD60" w14:textId="076A2825" w:rsidR="011B245A" w:rsidRDefault="011B245A" w:rsidP="41B5EFED">
      <w:pPr>
        <w:pStyle w:val="ListParagraph"/>
        <w:numPr>
          <w:ilvl w:val="0"/>
          <w:numId w:val="3"/>
        </w:numPr>
        <w:spacing w:after="0"/>
        <w:rPr>
          <w:rFonts w:ascii="Times New Roman" w:eastAsia="Times New Roman" w:hAnsi="Times New Roman" w:cs="Times New Roman"/>
        </w:rPr>
      </w:pPr>
      <w:r w:rsidRPr="41B5EFED">
        <w:rPr>
          <w:rFonts w:ascii="Times New Roman" w:eastAsia="Times New Roman" w:hAnsi="Times New Roman" w:cs="Times New Roman"/>
        </w:rPr>
        <w:t>All states show a slight decrease in violations over time</w:t>
      </w:r>
    </w:p>
    <w:p w14:paraId="5B3755AC" w14:textId="1160E6DB" w:rsidR="011B245A" w:rsidRDefault="011B245A" w:rsidP="41B5EFED">
      <w:pPr>
        <w:pStyle w:val="ListParagraph"/>
        <w:numPr>
          <w:ilvl w:val="0"/>
          <w:numId w:val="3"/>
        </w:numPr>
        <w:spacing w:after="0"/>
        <w:rPr>
          <w:rFonts w:ascii="Times New Roman" w:eastAsia="Times New Roman" w:hAnsi="Times New Roman" w:cs="Times New Roman"/>
        </w:rPr>
      </w:pPr>
      <w:r w:rsidRPr="41B5EFED">
        <w:rPr>
          <w:rFonts w:ascii="Times New Roman" w:eastAsia="Times New Roman" w:hAnsi="Times New Roman" w:cs="Times New Roman"/>
        </w:rPr>
        <w:t>Washington and Ohio consistently remain the highest</w:t>
      </w:r>
    </w:p>
    <w:p w14:paraId="5FBC1296" w14:textId="5893E11E" w:rsidR="011B245A" w:rsidRDefault="011B245A" w:rsidP="41B5EFED">
      <w:pPr>
        <w:pStyle w:val="ListParagraph"/>
        <w:numPr>
          <w:ilvl w:val="0"/>
          <w:numId w:val="3"/>
        </w:numPr>
        <w:spacing w:after="0"/>
        <w:rPr>
          <w:rFonts w:ascii="Times New Roman" w:eastAsia="Times New Roman" w:hAnsi="Times New Roman" w:cs="Times New Roman"/>
        </w:rPr>
      </w:pPr>
      <w:r w:rsidRPr="41B5EFED">
        <w:rPr>
          <w:rFonts w:ascii="Times New Roman" w:eastAsia="Times New Roman" w:hAnsi="Times New Roman" w:cs="Times New Roman"/>
        </w:rPr>
        <w:t>Massachusetts consistently remains the lowest</w:t>
      </w:r>
    </w:p>
    <w:p w14:paraId="64CB58B0" w14:textId="51FA153C" w:rsidR="011B245A" w:rsidRDefault="011B245A" w:rsidP="41B5EFED">
      <w:pPr>
        <w:spacing w:before="240" w:after="240"/>
      </w:pPr>
      <w:r w:rsidRPr="41B5EFED">
        <w:rPr>
          <w:rFonts w:ascii="Times New Roman" w:eastAsia="Times New Roman" w:hAnsi="Times New Roman" w:cs="Times New Roman"/>
        </w:rPr>
        <w:t>This indicates that while overall compliance is improving, differences between states persist.</w:t>
      </w:r>
    </w:p>
    <w:p w14:paraId="49B4BDD7" w14:textId="230B93D5" w:rsidR="011B245A" w:rsidRDefault="011B245A" w:rsidP="41B5EFED">
      <w:pPr>
        <w:pStyle w:val="Heading2"/>
      </w:pPr>
      <w:bookmarkStart w:id="11" w:name="_Toc228294056"/>
      <w:r w:rsidRPr="41B5EFED">
        <w:t>3.5 System size trends over time</w:t>
      </w:r>
      <w:bookmarkEnd w:id="11"/>
    </w:p>
    <w:p w14:paraId="7F4FBD68" w14:textId="71533CF7" w:rsidR="011B245A" w:rsidRDefault="011B245A" w:rsidP="41B5EFED">
      <w:r>
        <w:rPr>
          <w:noProof/>
        </w:rPr>
        <w:drawing>
          <wp:inline distT="0" distB="0" distL="0" distR="0" wp14:anchorId="31C958E8" wp14:editId="145DA2F5">
            <wp:extent cx="3097850" cy="2133960"/>
            <wp:effectExtent l="0" t="0" r="0" b="0"/>
            <wp:docPr id="230622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2339" name="Picture 230622339"/>
                    <pic:cNvPicPr/>
                  </pic:nvPicPr>
                  <pic:blipFill>
                    <a:blip r:embed="rId13">
                      <a:extLst>
                        <a:ext uri="{28A0092B-C50C-407E-A947-70E740481C1C}">
                          <a14:useLocalDpi xmlns:a14="http://schemas.microsoft.com/office/drawing/2010/main"/>
                        </a:ext>
                      </a:extLst>
                    </a:blip>
                    <a:stretch>
                      <a:fillRect/>
                    </a:stretch>
                  </pic:blipFill>
                  <pic:spPr>
                    <a:xfrm>
                      <a:off x="0" y="0"/>
                      <a:ext cx="3097850" cy="2133960"/>
                    </a:xfrm>
                    <a:prstGeom prst="rect">
                      <a:avLst/>
                    </a:prstGeom>
                  </pic:spPr>
                </pic:pic>
              </a:graphicData>
            </a:graphic>
          </wp:inline>
        </w:drawing>
      </w:r>
    </w:p>
    <w:p w14:paraId="7E43AFE2" w14:textId="5771CB76" w:rsidR="00C01ED4" w:rsidRDefault="00C01ED4" w:rsidP="00C01ED4">
      <w:pPr>
        <w:pStyle w:val="Caption"/>
      </w:pPr>
      <w:r>
        <w:lastRenderedPageBreak/>
        <w:t xml:space="preserve">Figure </w:t>
      </w:r>
      <w:fldSimple w:instr=" SEQ Figure \* ARABIC ">
        <w:r w:rsidRPr="01FC8173">
          <w:rPr>
            <w:noProof/>
          </w:rPr>
          <w:t>5</w:t>
        </w:r>
      </w:fldSimple>
      <w:r>
        <w:t xml:space="preserve"> TCR violations by system size over time</w:t>
      </w:r>
    </w:p>
    <w:p w14:paraId="0E0D8D59" w14:textId="65996291" w:rsidR="011B245A" w:rsidRDefault="011B245A" w:rsidP="41B5EFED">
      <w:pPr>
        <w:spacing w:before="240" w:after="240"/>
        <w:rPr>
          <w:rFonts w:ascii="Times New Roman" w:eastAsia="Times New Roman" w:hAnsi="Times New Roman" w:cs="Times New Roman"/>
        </w:rPr>
      </w:pPr>
      <w:r w:rsidRPr="41B5EFED">
        <w:rPr>
          <w:rFonts w:ascii="Times New Roman" w:eastAsia="Times New Roman" w:hAnsi="Times New Roman" w:cs="Times New Roman"/>
        </w:rPr>
        <w:t>The system size analysis over time shows that:</w:t>
      </w:r>
    </w:p>
    <w:p w14:paraId="224B19DE" w14:textId="7713C2C0" w:rsidR="011B245A" w:rsidRDefault="011B245A" w:rsidP="41B5EFED">
      <w:pPr>
        <w:pStyle w:val="ListParagraph"/>
        <w:numPr>
          <w:ilvl w:val="0"/>
          <w:numId w:val="2"/>
        </w:numPr>
        <w:spacing w:after="0"/>
        <w:rPr>
          <w:rFonts w:ascii="Times New Roman" w:eastAsia="Times New Roman" w:hAnsi="Times New Roman" w:cs="Times New Roman"/>
        </w:rPr>
      </w:pPr>
      <w:r w:rsidRPr="41B5EFED">
        <w:rPr>
          <w:rFonts w:ascii="Times New Roman" w:eastAsia="Times New Roman" w:hAnsi="Times New Roman" w:cs="Times New Roman"/>
        </w:rPr>
        <w:t>Small systems (≤500) dominate violations every year</w:t>
      </w:r>
    </w:p>
    <w:p w14:paraId="1DD87FBF" w14:textId="0AFDD93C" w:rsidR="011B245A" w:rsidRDefault="011B245A" w:rsidP="41B5EFED">
      <w:pPr>
        <w:pStyle w:val="ListParagraph"/>
        <w:numPr>
          <w:ilvl w:val="0"/>
          <w:numId w:val="2"/>
        </w:numPr>
        <w:spacing w:after="0"/>
        <w:rPr>
          <w:rFonts w:ascii="Times New Roman" w:eastAsia="Times New Roman" w:hAnsi="Times New Roman" w:cs="Times New Roman"/>
        </w:rPr>
      </w:pPr>
      <w:r w:rsidRPr="41B5EFED">
        <w:rPr>
          <w:rFonts w:ascii="Times New Roman" w:eastAsia="Times New Roman" w:hAnsi="Times New Roman" w:cs="Times New Roman"/>
        </w:rPr>
        <w:t>All system sizes show slight decreases over time</w:t>
      </w:r>
    </w:p>
    <w:p w14:paraId="1490F6AD" w14:textId="60B20516" w:rsidR="011B245A" w:rsidRDefault="011B245A" w:rsidP="41B5EFED">
      <w:pPr>
        <w:pStyle w:val="ListParagraph"/>
        <w:numPr>
          <w:ilvl w:val="0"/>
          <w:numId w:val="2"/>
        </w:numPr>
        <w:spacing w:after="0"/>
      </w:pPr>
      <w:r w:rsidRPr="41B5EFED">
        <w:rPr>
          <w:rFonts w:ascii="Times New Roman" w:eastAsia="Times New Roman" w:hAnsi="Times New Roman" w:cs="Times New Roman"/>
        </w:rPr>
        <w:t>Larger systems consistently maintain low violation counts</w:t>
      </w:r>
    </w:p>
    <w:p w14:paraId="69AE993C" w14:textId="1E8DC0BF" w:rsidR="41B5EFED" w:rsidRDefault="41B5EFED">
      <w:r>
        <w:br w:type="page"/>
      </w:r>
    </w:p>
    <w:p w14:paraId="511826FD" w14:textId="162BCF4B" w:rsidR="3B8CD308" w:rsidRDefault="3B8CD308" w:rsidP="41B5EFED">
      <w:pPr>
        <w:pStyle w:val="Heading1"/>
        <w:rPr>
          <w:rFonts w:asciiTheme="minorHAnsi" w:eastAsiaTheme="minorEastAsia" w:hAnsiTheme="minorHAnsi" w:cstheme="minorBidi"/>
          <w:b/>
          <w:bCs/>
          <w:sz w:val="24"/>
          <w:szCs w:val="24"/>
        </w:rPr>
      </w:pPr>
      <w:bookmarkStart w:id="12" w:name="_Toc228294057"/>
      <w:r w:rsidRPr="41B5EFED">
        <w:lastRenderedPageBreak/>
        <w:t>4. Conclusion</w:t>
      </w:r>
      <w:bookmarkEnd w:id="12"/>
    </w:p>
    <w:p w14:paraId="4E2532A5" w14:textId="74363E48" w:rsidR="3B8CD308" w:rsidRDefault="3B8CD308" w:rsidP="41B5EFED">
      <w:pPr>
        <w:spacing w:before="240" w:after="240"/>
      </w:pPr>
      <w:r w:rsidRPr="41B5EFED">
        <w:t xml:space="preserve">This project analysed Total Coliform Rule violations across five states from 2021 to 2025. The results show that violations are strongly influenced by both system size and geographic location. Small water systems account for </w:t>
      </w:r>
      <w:proofErr w:type="gramStart"/>
      <w:r w:rsidRPr="41B5EFED">
        <w:t>the majority of</w:t>
      </w:r>
      <w:proofErr w:type="gramEnd"/>
      <w:r w:rsidRPr="41B5EFED">
        <w:t xml:space="preserve"> violations, highlighting the need for additional support and resources for these systems. While violations have decreased over time, differences between states remain significant.</w:t>
      </w:r>
    </w:p>
    <w:p w14:paraId="799B1285" w14:textId="19C5F3C3" w:rsidR="3B8CD308" w:rsidRDefault="3B8CD308" w:rsidP="41B5EFED">
      <w:pPr>
        <w:spacing w:before="240" w:after="240"/>
      </w:pPr>
      <w:r w:rsidRPr="41B5EFED">
        <w:t>Overall, this analysis demonstrates the importance of data-driven approaches in understanding water quality compliance and improving public health outcomes.</w:t>
      </w:r>
    </w:p>
    <w:p w14:paraId="6E4DCA1E" w14:textId="73866522" w:rsidR="41B5EFED" w:rsidRDefault="41B5EFED" w:rsidP="41B5EFED">
      <w:pPr>
        <w:spacing w:before="240" w:after="240"/>
      </w:pPr>
    </w:p>
    <w:p w14:paraId="7732617E" w14:textId="5F2578EC" w:rsidR="41B5EFED" w:rsidRDefault="41B5EFED">
      <w:r>
        <w:br w:type="page"/>
      </w:r>
    </w:p>
    <w:p w14:paraId="02EC7AD8" w14:textId="0702BBF4" w:rsidR="0B5C8E11" w:rsidRDefault="0B5C8E11" w:rsidP="41B5EFED">
      <w:pPr>
        <w:pStyle w:val="Heading1"/>
      </w:pPr>
      <w:bookmarkStart w:id="13" w:name="_Toc228294058"/>
      <w:r w:rsidRPr="41B5EFED">
        <w:lastRenderedPageBreak/>
        <w:t>5. References</w:t>
      </w:r>
      <w:bookmarkEnd w:id="13"/>
    </w:p>
    <w:p w14:paraId="2603DA15" w14:textId="7C2AEED1" w:rsidR="10D2A06B" w:rsidRDefault="10D2A06B" w:rsidP="41B5EFED">
      <w:pPr>
        <w:spacing w:before="240" w:after="240"/>
        <w:ind w:left="567" w:hanging="567"/>
      </w:pPr>
      <w:r w:rsidRPr="41B5EFED">
        <w:rPr>
          <w:rFonts w:ascii="Times New Roman" w:eastAsia="Times New Roman" w:hAnsi="Times New Roman" w:cs="Times New Roman"/>
        </w:rPr>
        <w:t xml:space="preserve">(N.d.). </w:t>
      </w:r>
      <w:r w:rsidRPr="41B5EFED">
        <w:rPr>
          <w:rFonts w:ascii="Times New Roman" w:eastAsia="Times New Roman" w:hAnsi="Times New Roman" w:cs="Times New Roman"/>
          <w:i/>
          <w:iCs/>
        </w:rPr>
        <w:t>EPA</w:t>
      </w:r>
      <w:r w:rsidRPr="41B5EFED">
        <w:rPr>
          <w:rFonts w:ascii="Times New Roman" w:eastAsia="Times New Roman" w:hAnsi="Times New Roman" w:cs="Times New Roman"/>
        </w:rPr>
        <w:t>, Environmental Protection Agency, &lt;https://www.epa.gov/dwreginfo/revised-total-coliform-rule-and-total-coliform-rule&gt; (Apr. 23, 2026).</w:t>
      </w:r>
    </w:p>
    <w:p w14:paraId="0423F659" w14:textId="5E6A8A65" w:rsidR="10D2A06B" w:rsidRDefault="10D2A06B" w:rsidP="41B5EFED">
      <w:pPr>
        <w:spacing w:before="240" w:after="240"/>
        <w:ind w:left="567" w:hanging="567"/>
      </w:pPr>
      <w:r w:rsidRPr="41B5EFED">
        <w:rPr>
          <w:rFonts w:ascii="Times New Roman" w:eastAsia="Times New Roman" w:hAnsi="Times New Roman" w:cs="Times New Roman"/>
        </w:rPr>
        <w:t xml:space="preserve">(N.d.). </w:t>
      </w:r>
      <w:r w:rsidRPr="41B5EFED">
        <w:rPr>
          <w:rFonts w:ascii="Times New Roman" w:eastAsia="Times New Roman" w:hAnsi="Times New Roman" w:cs="Times New Roman"/>
          <w:i/>
          <w:iCs/>
        </w:rPr>
        <w:t>EPA</w:t>
      </w:r>
      <w:r w:rsidRPr="41B5EFED">
        <w:rPr>
          <w:rFonts w:ascii="Times New Roman" w:eastAsia="Times New Roman" w:hAnsi="Times New Roman" w:cs="Times New Roman"/>
        </w:rPr>
        <w:t>, Environmental Protection Agency, &lt;https://sdwis.epa.gov/ords/sfdw_pub/r/sfdw/sdwis_fed_reports_public/200&gt; (Apr. 23, 2026a).</w:t>
      </w:r>
    </w:p>
    <w:p w14:paraId="7CD82A20" w14:textId="5E792D4B" w:rsidR="10D2A06B" w:rsidRDefault="10D2A06B" w:rsidP="41B5EFED">
      <w:pPr>
        <w:spacing w:before="240" w:after="240"/>
        <w:ind w:left="567" w:hanging="567"/>
      </w:pPr>
      <w:r w:rsidRPr="41B5EFED">
        <w:rPr>
          <w:rFonts w:ascii="Times New Roman" w:eastAsia="Times New Roman" w:hAnsi="Times New Roman" w:cs="Times New Roman"/>
        </w:rPr>
        <w:t xml:space="preserve">(N.d.). </w:t>
      </w:r>
      <w:r w:rsidRPr="41B5EFED">
        <w:rPr>
          <w:rFonts w:ascii="Times New Roman" w:eastAsia="Times New Roman" w:hAnsi="Times New Roman" w:cs="Times New Roman"/>
          <w:i/>
          <w:iCs/>
        </w:rPr>
        <w:t>EPA</w:t>
      </w:r>
      <w:r w:rsidRPr="41B5EFED">
        <w:rPr>
          <w:rFonts w:ascii="Times New Roman" w:eastAsia="Times New Roman" w:hAnsi="Times New Roman" w:cs="Times New Roman"/>
        </w:rPr>
        <w:t>, Environmental Protection Agency, &lt;https://www.epa.gov/dwreginfo&gt; (Apr. 23, 2026a).</w:t>
      </w:r>
    </w:p>
    <w:p w14:paraId="358CCC08" w14:textId="0182B4E6" w:rsidR="10D2A06B" w:rsidRDefault="10D2A06B" w:rsidP="41B5EFED">
      <w:pPr>
        <w:spacing w:before="240" w:after="240"/>
        <w:ind w:left="567" w:hanging="567"/>
      </w:pPr>
      <w:r w:rsidRPr="41B5EFED">
        <w:rPr>
          <w:rFonts w:ascii="Times New Roman" w:eastAsia="Times New Roman" w:hAnsi="Times New Roman" w:cs="Times New Roman"/>
        </w:rPr>
        <w:t xml:space="preserve">“Visualization with python.” (n.d.). </w:t>
      </w:r>
      <w:r w:rsidRPr="41B5EFED">
        <w:rPr>
          <w:rFonts w:ascii="Times New Roman" w:eastAsia="Times New Roman" w:hAnsi="Times New Roman" w:cs="Times New Roman"/>
          <w:i/>
          <w:iCs/>
        </w:rPr>
        <w:t>Matplotlib</w:t>
      </w:r>
      <w:r w:rsidRPr="41B5EFED">
        <w:rPr>
          <w:rFonts w:ascii="Times New Roman" w:eastAsia="Times New Roman" w:hAnsi="Times New Roman" w:cs="Times New Roman"/>
        </w:rPr>
        <w:t>, &lt;https://matplotlib.org/&gt; (Apr. 23, 2026a).</w:t>
      </w:r>
    </w:p>
    <w:p w14:paraId="4F87F0FC" w14:textId="2F8B9A61" w:rsidR="10D2A06B" w:rsidRDefault="10D2A06B" w:rsidP="41B5EFED">
      <w:pPr>
        <w:spacing w:before="240" w:after="240"/>
        <w:ind w:left="567" w:hanging="567"/>
      </w:pPr>
      <w:r w:rsidRPr="41B5EFED">
        <w:rPr>
          <w:rFonts w:ascii="Times New Roman" w:eastAsia="Times New Roman" w:hAnsi="Times New Roman" w:cs="Times New Roman"/>
        </w:rPr>
        <w:t xml:space="preserve">“Pandas.” (n.d.). </w:t>
      </w:r>
      <w:r w:rsidRPr="41B5EFED">
        <w:rPr>
          <w:rFonts w:ascii="Times New Roman" w:eastAsia="Times New Roman" w:hAnsi="Times New Roman" w:cs="Times New Roman"/>
          <w:i/>
          <w:iCs/>
        </w:rPr>
        <w:t>pandas</w:t>
      </w:r>
      <w:r w:rsidRPr="41B5EFED">
        <w:rPr>
          <w:rFonts w:ascii="Times New Roman" w:eastAsia="Times New Roman" w:hAnsi="Times New Roman" w:cs="Times New Roman"/>
        </w:rPr>
        <w:t>, &lt;https://pandas.pydata.org/&gt; (Apr. 23, 2026).</w:t>
      </w:r>
    </w:p>
    <w:p w14:paraId="4FC318F7" w14:textId="06E05DDB" w:rsidR="41B5EFED" w:rsidRDefault="41B5EFED" w:rsidP="41B5EFED">
      <w:pPr>
        <w:spacing w:before="240" w:after="240"/>
      </w:pPr>
    </w:p>
    <w:p w14:paraId="5D358F70" w14:textId="11E4F254" w:rsidR="41B5EFED" w:rsidRDefault="41B5EFED" w:rsidP="41B5EFED">
      <w:pPr>
        <w:pStyle w:val="ListParagraph"/>
        <w:spacing w:after="0"/>
        <w:rPr>
          <w:rFonts w:ascii="Times New Roman" w:eastAsia="Times New Roman" w:hAnsi="Times New Roman" w:cs="Times New Roman"/>
        </w:rPr>
      </w:pPr>
    </w:p>
    <w:p w14:paraId="1C9906F6" w14:textId="19F0675C" w:rsidR="41B5EFED" w:rsidRDefault="41B5EFED" w:rsidP="41B5EFED">
      <w:pPr>
        <w:spacing w:before="240" w:after="240"/>
        <w:rPr>
          <w:rFonts w:ascii="Times New Roman" w:eastAsia="Times New Roman" w:hAnsi="Times New Roman" w:cs="Times New Roman"/>
        </w:rPr>
      </w:pPr>
    </w:p>
    <w:p w14:paraId="04CFEB61" w14:textId="7C2AB879" w:rsidR="41B5EFED" w:rsidRDefault="41B5EFED" w:rsidP="41B5EFED">
      <w:pPr>
        <w:spacing w:before="240" w:after="240"/>
        <w:rPr>
          <w:rFonts w:ascii="Times New Roman" w:eastAsia="Times New Roman" w:hAnsi="Times New Roman" w:cs="Times New Roman"/>
        </w:rPr>
      </w:pPr>
    </w:p>
    <w:p w14:paraId="64E2E6CE" w14:textId="4547CD81" w:rsidR="41B5EFED" w:rsidRDefault="41B5EFED" w:rsidP="41B5EFED">
      <w:pPr>
        <w:spacing w:before="240" w:after="240"/>
        <w:rPr>
          <w:rFonts w:ascii="Times New Roman" w:eastAsia="Times New Roman" w:hAnsi="Times New Roman" w:cs="Times New Roman"/>
        </w:rPr>
      </w:pPr>
    </w:p>
    <w:p w14:paraId="4C5E3D9A" w14:textId="00374016" w:rsidR="41B5EFED" w:rsidRDefault="41B5EFED" w:rsidP="41B5EFED">
      <w:pPr>
        <w:spacing w:before="240" w:after="240"/>
        <w:rPr>
          <w:rFonts w:ascii="Times New Roman" w:eastAsia="Times New Roman" w:hAnsi="Times New Roman" w:cs="Times New Roman"/>
        </w:rPr>
      </w:pPr>
    </w:p>
    <w:p w14:paraId="6949CC5D" w14:textId="432CA595" w:rsidR="41B5EFED" w:rsidRDefault="41B5EFED" w:rsidP="41B5EFED">
      <w:pPr>
        <w:spacing w:after="0"/>
      </w:pPr>
    </w:p>
    <w:p w14:paraId="2BF7755F" w14:textId="212B835D" w:rsidR="41B5EFED" w:rsidRDefault="41B5EFED" w:rsidP="41B5EFED">
      <w:pPr>
        <w:spacing w:before="240" w:after="240"/>
      </w:pPr>
    </w:p>
    <w:p w14:paraId="51ED95FF" w14:textId="35906DBC" w:rsidR="41B5EFED" w:rsidRDefault="41B5EFED" w:rsidP="41B5EFED">
      <w:pPr>
        <w:spacing w:after="0"/>
      </w:pPr>
    </w:p>
    <w:p w14:paraId="46BCE1A0" w14:textId="01B741AD" w:rsidR="41B5EFED" w:rsidRDefault="41B5EFED" w:rsidP="41B5EFED">
      <w:pPr>
        <w:spacing w:after="0"/>
      </w:pPr>
    </w:p>
    <w:p w14:paraId="54F0A577" w14:textId="15D10602" w:rsidR="41B5EFED" w:rsidRDefault="41B5EFED" w:rsidP="41B5EFED">
      <w:pPr>
        <w:spacing w:before="240" w:after="240"/>
      </w:pPr>
    </w:p>
    <w:p w14:paraId="373E3600" w14:textId="76C5522B" w:rsidR="41B5EFED" w:rsidRDefault="41B5EFED" w:rsidP="41B5EFED"/>
    <w:sectPr w:rsidR="41B5EFED">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C1A7" w14:textId="77777777" w:rsidR="003F2048" w:rsidRDefault="003F2048">
      <w:pPr>
        <w:spacing w:after="0" w:line="240" w:lineRule="auto"/>
      </w:pPr>
      <w:r>
        <w:separator/>
      </w:r>
    </w:p>
  </w:endnote>
  <w:endnote w:type="continuationSeparator" w:id="0">
    <w:p w14:paraId="09D0CB1D" w14:textId="77777777" w:rsidR="003F2048" w:rsidRDefault="003F2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1B5EFED" w14:paraId="6A57988E" w14:textId="77777777" w:rsidTr="41B5EFED">
      <w:trPr>
        <w:trHeight w:val="300"/>
      </w:trPr>
      <w:tc>
        <w:tcPr>
          <w:tcW w:w="3005" w:type="dxa"/>
        </w:tcPr>
        <w:p w14:paraId="66974350" w14:textId="5882C667" w:rsidR="41B5EFED" w:rsidRDefault="41B5EFED" w:rsidP="41B5EFED">
          <w:pPr>
            <w:pStyle w:val="Header"/>
            <w:ind w:left="-115"/>
          </w:pPr>
        </w:p>
      </w:tc>
      <w:tc>
        <w:tcPr>
          <w:tcW w:w="3005" w:type="dxa"/>
        </w:tcPr>
        <w:p w14:paraId="12EFBD11" w14:textId="4C9F5354" w:rsidR="41B5EFED" w:rsidRDefault="41B5EFED" w:rsidP="41B5EFED">
          <w:pPr>
            <w:pStyle w:val="Header"/>
            <w:jc w:val="center"/>
          </w:pPr>
          <w:r>
            <w:fldChar w:fldCharType="begin"/>
          </w:r>
          <w:r>
            <w:instrText>PAGE</w:instrText>
          </w:r>
          <w:r>
            <w:fldChar w:fldCharType="separate"/>
          </w:r>
          <w:r w:rsidR="004A1E1F">
            <w:rPr>
              <w:noProof/>
            </w:rPr>
            <w:t>1</w:t>
          </w:r>
          <w:r>
            <w:fldChar w:fldCharType="end"/>
          </w:r>
        </w:p>
      </w:tc>
      <w:tc>
        <w:tcPr>
          <w:tcW w:w="3005" w:type="dxa"/>
        </w:tcPr>
        <w:p w14:paraId="3C36C3FC" w14:textId="308C64BB" w:rsidR="41B5EFED" w:rsidRDefault="41B5EFED" w:rsidP="41B5EFED">
          <w:pPr>
            <w:pStyle w:val="Header"/>
            <w:ind w:right="-115"/>
            <w:jc w:val="right"/>
          </w:pPr>
        </w:p>
      </w:tc>
    </w:tr>
  </w:tbl>
  <w:p w14:paraId="621E4ADA" w14:textId="216D5D81" w:rsidR="41B5EFED" w:rsidRDefault="41B5EFED" w:rsidP="41B5E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4A12" w14:textId="77777777" w:rsidR="003F2048" w:rsidRDefault="003F2048">
      <w:pPr>
        <w:spacing w:after="0" w:line="240" w:lineRule="auto"/>
      </w:pPr>
      <w:r>
        <w:separator/>
      </w:r>
    </w:p>
  </w:footnote>
  <w:footnote w:type="continuationSeparator" w:id="0">
    <w:p w14:paraId="3DE36CE7" w14:textId="77777777" w:rsidR="003F2048" w:rsidRDefault="003F2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1B5EFED" w14:paraId="1DA2099F" w14:textId="77777777" w:rsidTr="41B5EFED">
      <w:trPr>
        <w:trHeight w:val="300"/>
      </w:trPr>
      <w:tc>
        <w:tcPr>
          <w:tcW w:w="3005" w:type="dxa"/>
        </w:tcPr>
        <w:p w14:paraId="6F7F497B" w14:textId="38555335" w:rsidR="41B5EFED" w:rsidRDefault="41B5EFED" w:rsidP="41B5EFED">
          <w:pPr>
            <w:pStyle w:val="Header"/>
            <w:ind w:left="-115"/>
          </w:pPr>
        </w:p>
      </w:tc>
      <w:tc>
        <w:tcPr>
          <w:tcW w:w="3005" w:type="dxa"/>
        </w:tcPr>
        <w:p w14:paraId="6DC47A7B" w14:textId="62343AAD" w:rsidR="41B5EFED" w:rsidRDefault="41B5EFED" w:rsidP="41B5EFED">
          <w:pPr>
            <w:pStyle w:val="Header"/>
            <w:jc w:val="center"/>
          </w:pPr>
        </w:p>
      </w:tc>
      <w:tc>
        <w:tcPr>
          <w:tcW w:w="3005" w:type="dxa"/>
        </w:tcPr>
        <w:p w14:paraId="7079BE96" w14:textId="77D038E3" w:rsidR="41B5EFED" w:rsidRDefault="41B5EFED" w:rsidP="41B5EFED">
          <w:pPr>
            <w:pStyle w:val="Header"/>
            <w:ind w:right="-115"/>
            <w:jc w:val="right"/>
          </w:pPr>
        </w:p>
      </w:tc>
    </w:tr>
  </w:tbl>
  <w:p w14:paraId="359E239D" w14:textId="0806979D" w:rsidR="41B5EFED" w:rsidRDefault="41B5EFED" w:rsidP="41B5EF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5532"/>
    <w:multiLevelType w:val="hybridMultilevel"/>
    <w:tmpl w:val="86F6FFF6"/>
    <w:lvl w:ilvl="0" w:tplc="4AD8CFD2">
      <w:start w:val="1"/>
      <w:numFmt w:val="bullet"/>
      <w:lvlText w:val=""/>
      <w:lvlJc w:val="left"/>
      <w:pPr>
        <w:ind w:left="720" w:hanging="360"/>
      </w:pPr>
      <w:rPr>
        <w:rFonts w:ascii="Symbol" w:hAnsi="Symbol" w:hint="default"/>
      </w:rPr>
    </w:lvl>
    <w:lvl w:ilvl="1" w:tplc="67D244FC">
      <w:start w:val="1"/>
      <w:numFmt w:val="bullet"/>
      <w:lvlText w:val="o"/>
      <w:lvlJc w:val="left"/>
      <w:pPr>
        <w:ind w:left="1440" w:hanging="360"/>
      </w:pPr>
      <w:rPr>
        <w:rFonts w:ascii="Courier New" w:hAnsi="Courier New" w:hint="default"/>
      </w:rPr>
    </w:lvl>
    <w:lvl w:ilvl="2" w:tplc="EB747740">
      <w:start w:val="1"/>
      <w:numFmt w:val="bullet"/>
      <w:lvlText w:val=""/>
      <w:lvlJc w:val="left"/>
      <w:pPr>
        <w:ind w:left="2160" w:hanging="360"/>
      </w:pPr>
      <w:rPr>
        <w:rFonts w:ascii="Wingdings" w:hAnsi="Wingdings" w:hint="default"/>
      </w:rPr>
    </w:lvl>
    <w:lvl w:ilvl="3" w:tplc="2F6CA29A">
      <w:start w:val="1"/>
      <w:numFmt w:val="bullet"/>
      <w:lvlText w:val=""/>
      <w:lvlJc w:val="left"/>
      <w:pPr>
        <w:ind w:left="2880" w:hanging="360"/>
      </w:pPr>
      <w:rPr>
        <w:rFonts w:ascii="Symbol" w:hAnsi="Symbol" w:hint="default"/>
      </w:rPr>
    </w:lvl>
    <w:lvl w:ilvl="4" w:tplc="5A783A4C">
      <w:start w:val="1"/>
      <w:numFmt w:val="bullet"/>
      <w:lvlText w:val="o"/>
      <w:lvlJc w:val="left"/>
      <w:pPr>
        <w:ind w:left="3600" w:hanging="360"/>
      </w:pPr>
      <w:rPr>
        <w:rFonts w:ascii="Courier New" w:hAnsi="Courier New" w:hint="default"/>
      </w:rPr>
    </w:lvl>
    <w:lvl w:ilvl="5" w:tplc="EF507DC2">
      <w:start w:val="1"/>
      <w:numFmt w:val="bullet"/>
      <w:lvlText w:val=""/>
      <w:lvlJc w:val="left"/>
      <w:pPr>
        <w:ind w:left="4320" w:hanging="360"/>
      </w:pPr>
      <w:rPr>
        <w:rFonts w:ascii="Wingdings" w:hAnsi="Wingdings" w:hint="default"/>
      </w:rPr>
    </w:lvl>
    <w:lvl w:ilvl="6" w:tplc="08A64A92">
      <w:start w:val="1"/>
      <w:numFmt w:val="bullet"/>
      <w:lvlText w:val=""/>
      <w:lvlJc w:val="left"/>
      <w:pPr>
        <w:ind w:left="5040" w:hanging="360"/>
      </w:pPr>
      <w:rPr>
        <w:rFonts w:ascii="Symbol" w:hAnsi="Symbol" w:hint="default"/>
      </w:rPr>
    </w:lvl>
    <w:lvl w:ilvl="7" w:tplc="2D707156">
      <w:start w:val="1"/>
      <w:numFmt w:val="bullet"/>
      <w:lvlText w:val="o"/>
      <w:lvlJc w:val="left"/>
      <w:pPr>
        <w:ind w:left="5760" w:hanging="360"/>
      </w:pPr>
      <w:rPr>
        <w:rFonts w:ascii="Courier New" w:hAnsi="Courier New" w:hint="default"/>
      </w:rPr>
    </w:lvl>
    <w:lvl w:ilvl="8" w:tplc="712C3ECE">
      <w:start w:val="1"/>
      <w:numFmt w:val="bullet"/>
      <w:lvlText w:val=""/>
      <w:lvlJc w:val="left"/>
      <w:pPr>
        <w:ind w:left="6480" w:hanging="360"/>
      </w:pPr>
      <w:rPr>
        <w:rFonts w:ascii="Wingdings" w:hAnsi="Wingdings" w:hint="default"/>
      </w:rPr>
    </w:lvl>
  </w:abstractNum>
  <w:abstractNum w:abstractNumId="1" w15:restartNumberingAfterBreak="0">
    <w:nsid w:val="0F13BC99"/>
    <w:multiLevelType w:val="hybridMultilevel"/>
    <w:tmpl w:val="BCEE7B8C"/>
    <w:lvl w:ilvl="0" w:tplc="0C8A570C">
      <w:start w:val="1"/>
      <w:numFmt w:val="bullet"/>
      <w:lvlText w:val=""/>
      <w:lvlJc w:val="left"/>
      <w:pPr>
        <w:ind w:left="720" w:hanging="360"/>
      </w:pPr>
      <w:rPr>
        <w:rFonts w:ascii="Symbol" w:hAnsi="Symbol" w:hint="default"/>
      </w:rPr>
    </w:lvl>
    <w:lvl w:ilvl="1" w:tplc="D2CC98F8">
      <w:start w:val="1"/>
      <w:numFmt w:val="bullet"/>
      <w:lvlText w:val="o"/>
      <w:lvlJc w:val="left"/>
      <w:pPr>
        <w:ind w:left="1440" w:hanging="360"/>
      </w:pPr>
      <w:rPr>
        <w:rFonts w:ascii="Courier New" w:hAnsi="Courier New" w:hint="default"/>
      </w:rPr>
    </w:lvl>
    <w:lvl w:ilvl="2" w:tplc="EB8846AA">
      <w:start w:val="1"/>
      <w:numFmt w:val="bullet"/>
      <w:lvlText w:val=""/>
      <w:lvlJc w:val="left"/>
      <w:pPr>
        <w:ind w:left="2160" w:hanging="360"/>
      </w:pPr>
      <w:rPr>
        <w:rFonts w:ascii="Wingdings" w:hAnsi="Wingdings" w:hint="default"/>
      </w:rPr>
    </w:lvl>
    <w:lvl w:ilvl="3" w:tplc="7D30F768">
      <w:start w:val="1"/>
      <w:numFmt w:val="bullet"/>
      <w:lvlText w:val=""/>
      <w:lvlJc w:val="left"/>
      <w:pPr>
        <w:ind w:left="2880" w:hanging="360"/>
      </w:pPr>
      <w:rPr>
        <w:rFonts w:ascii="Symbol" w:hAnsi="Symbol" w:hint="default"/>
      </w:rPr>
    </w:lvl>
    <w:lvl w:ilvl="4" w:tplc="F1CA68DA">
      <w:start w:val="1"/>
      <w:numFmt w:val="bullet"/>
      <w:lvlText w:val="o"/>
      <w:lvlJc w:val="left"/>
      <w:pPr>
        <w:ind w:left="3600" w:hanging="360"/>
      </w:pPr>
      <w:rPr>
        <w:rFonts w:ascii="Courier New" w:hAnsi="Courier New" w:hint="default"/>
      </w:rPr>
    </w:lvl>
    <w:lvl w:ilvl="5" w:tplc="F04898E6">
      <w:start w:val="1"/>
      <w:numFmt w:val="bullet"/>
      <w:lvlText w:val=""/>
      <w:lvlJc w:val="left"/>
      <w:pPr>
        <w:ind w:left="4320" w:hanging="360"/>
      </w:pPr>
      <w:rPr>
        <w:rFonts w:ascii="Wingdings" w:hAnsi="Wingdings" w:hint="default"/>
      </w:rPr>
    </w:lvl>
    <w:lvl w:ilvl="6" w:tplc="280CC50A">
      <w:start w:val="1"/>
      <w:numFmt w:val="bullet"/>
      <w:lvlText w:val=""/>
      <w:lvlJc w:val="left"/>
      <w:pPr>
        <w:ind w:left="5040" w:hanging="360"/>
      </w:pPr>
      <w:rPr>
        <w:rFonts w:ascii="Symbol" w:hAnsi="Symbol" w:hint="default"/>
      </w:rPr>
    </w:lvl>
    <w:lvl w:ilvl="7" w:tplc="A9744A48">
      <w:start w:val="1"/>
      <w:numFmt w:val="bullet"/>
      <w:lvlText w:val="o"/>
      <w:lvlJc w:val="left"/>
      <w:pPr>
        <w:ind w:left="5760" w:hanging="360"/>
      </w:pPr>
      <w:rPr>
        <w:rFonts w:ascii="Courier New" w:hAnsi="Courier New" w:hint="default"/>
      </w:rPr>
    </w:lvl>
    <w:lvl w:ilvl="8" w:tplc="050286F0">
      <w:start w:val="1"/>
      <w:numFmt w:val="bullet"/>
      <w:lvlText w:val=""/>
      <w:lvlJc w:val="left"/>
      <w:pPr>
        <w:ind w:left="6480" w:hanging="360"/>
      </w:pPr>
      <w:rPr>
        <w:rFonts w:ascii="Wingdings" w:hAnsi="Wingdings" w:hint="default"/>
      </w:rPr>
    </w:lvl>
  </w:abstractNum>
  <w:abstractNum w:abstractNumId="2" w15:restartNumberingAfterBreak="0">
    <w:nsid w:val="294AB08A"/>
    <w:multiLevelType w:val="hybridMultilevel"/>
    <w:tmpl w:val="95D6A96C"/>
    <w:lvl w:ilvl="0" w:tplc="27821AD2">
      <w:start w:val="1"/>
      <w:numFmt w:val="bullet"/>
      <w:lvlText w:val=""/>
      <w:lvlJc w:val="left"/>
      <w:pPr>
        <w:ind w:left="720" w:hanging="360"/>
      </w:pPr>
      <w:rPr>
        <w:rFonts w:ascii="Symbol" w:hAnsi="Symbol" w:hint="default"/>
      </w:rPr>
    </w:lvl>
    <w:lvl w:ilvl="1" w:tplc="45BEF2D4">
      <w:start w:val="1"/>
      <w:numFmt w:val="bullet"/>
      <w:lvlText w:val="o"/>
      <w:lvlJc w:val="left"/>
      <w:pPr>
        <w:ind w:left="1440" w:hanging="360"/>
      </w:pPr>
      <w:rPr>
        <w:rFonts w:ascii="Courier New" w:hAnsi="Courier New" w:hint="default"/>
      </w:rPr>
    </w:lvl>
    <w:lvl w:ilvl="2" w:tplc="6A7ED58C">
      <w:start w:val="1"/>
      <w:numFmt w:val="bullet"/>
      <w:lvlText w:val=""/>
      <w:lvlJc w:val="left"/>
      <w:pPr>
        <w:ind w:left="2160" w:hanging="360"/>
      </w:pPr>
      <w:rPr>
        <w:rFonts w:ascii="Wingdings" w:hAnsi="Wingdings" w:hint="default"/>
      </w:rPr>
    </w:lvl>
    <w:lvl w:ilvl="3" w:tplc="E4B6A488">
      <w:start w:val="1"/>
      <w:numFmt w:val="bullet"/>
      <w:lvlText w:val=""/>
      <w:lvlJc w:val="left"/>
      <w:pPr>
        <w:ind w:left="2880" w:hanging="360"/>
      </w:pPr>
      <w:rPr>
        <w:rFonts w:ascii="Symbol" w:hAnsi="Symbol" w:hint="default"/>
      </w:rPr>
    </w:lvl>
    <w:lvl w:ilvl="4" w:tplc="7FD8F2FA">
      <w:start w:val="1"/>
      <w:numFmt w:val="bullet"/>
      <w:lvlText w:val="o"/>
      <w:lvlJc w:val="left"/>
      <w:pPr>
        <w:ind w:left="3600" w:hanging="360"/>
      </w:pPr>
      <w:rPr>
        <w:rFonts w:ascii="Courier New" w:hAnsi="Courier New" w:hint="default"/>
      </w:rPr>
    </w:lvl>
    <w:lvl w:ilvl="5" w:tplc="160AD32C">
      <w:start w:val="1"/>
      <w:numFmt w:val="bullet"/>
      <w:lvlText w:val=""/>
      <w:lvlJc w:val="left"/>
      <w:pPr>
        <w:ind w:left="4320" w:hanging="360"/>
      </w:pPr>
      <w:rPr>
        <w:rFonts w:ascii="Wingdings" w:hAnsi="Wingdings" w:hint="default"/>
      </w:rPr>
    </w:lvl>
    <w:lvl w:ilvl="6" w:tplc="E716D7F8">
      <w:start w:val="1"/>
      <w:numFmt w:val="bullet"/>
      <w:lvlText w:val=""/>
      <w:lvlJc w:val="left"/>
      <w:pPr>
        <w:ind w:left="5040" w:hanging="360"/>
      </w:pPr>
      <w:rPr>
        <w:rFonts w:ascii="Symbol" w:hAnsi="Symbol" w:hint="default"/>
      </w:rPr>
    </w:lvl>
    <w:lvl w:ilvl="7" w:tplc="BD2A7816">
      <w:start w:val="1"/>
      <w:numFmt w:val="bullet"/>
      <w:lvlText w:val="o"/>
      <w:lvlJc w:val="left"/>
      <w:pPr>
        <w:ind w:left="5760" w:hanging="360"/>
      </w:pPr>
      <w:rPr>
        <w:rFonts w:ascii="Courier New" w:hAnsi="Courier New" w:hint="default"/>
      </w:rPr>
    </w:lvl>
    <w:lvl w:ilvl="8" w:tplc="45100A6A">
      <w:start w:val="1"/>
      <w:numFmt w:val="bullet"/>
      <w:lvlText w:val=""/>
      <w:lvlJc w:val="left"/>
      <w:pPr>
        <w:ind w:left="6480" w:hanging="360"/>
      </w:pPr>
      <w:rPr>
        <w:rFonts w:ascii="Wingdings" w:hAnsi="Wingdings" w:hint="default"/>
      </w:rPr>
    </w:lvl>
  </w:abstractNum>
  <w:abstractNum w:abstractNumId="3" w15:restartNumberingAfterBreak="0">
    <w:nsid w:val="2BF4D54A"/>
    <w:multiLevelType w:val="hybridMultilevel"/>
    <w:tmpl w:val="ED4280AC"/>
    <w:lvl w:ilvl="0" w:tplc="D2186D84">
      <w:start w:val="1"/>
      <w:numFmt w:val="bullet"/>
      <w:lvlText w:val=""/>
      <w:lvlJc w:val="left"/>
      <w:pPr>
        <w:ind w:left="720" w:hanging="360"/>
      </w:pPr>
      <w:rPr>
        <w:rFonts w:ascii="Symbol" w:hAnsi="Symbol" w:hint="default"/>
      </w:rPr>
    </w:lvl>
    <w:lvl w:ilvl="1" w:tplc="F2401132">
      <w:start w:val="1"/>
      <w:numFmt w:val="bullet"/>
      <w:lvlText w:val="o"/>
      <w:lvlJc w:val="left"/>
      <w:pPr>
        <w:ind w:left="1440" w:hanging="360"/>
      </w:pPr>
      <w:rPr>
        <w:rFonts w:ascii="Courier New" w:hAnsi="Courier New" w:hint="default"/>
      </w:rPr>
    </w:lvl>
    <w:lvl w:ilvl="2" w:tplc="F8289B66">
      <w:start w:val="1"/>
      <w:numFmt w:val="bullet"/>
      <w:lvlText w:val=""/>
      <w:lvlJc w:val="left"/>
      <w:pPr>
        <w:ind w:left="2160" w:hanging="360"/>
      </w:pPr>
      <w:rPr>
        <w:rFonts w:ascii="Wingdings" w:hAnsi="Wingdings" w:hint="default"/>
      </w:rPr>
    </w:lvl>
    <w:lvl w:ilvl="3" w:tplc="01EAD150">
      <w:start w:val="1"/>
      <w:numFmt w:val="bullet"/>
      <w:lvlText w:val=""/>
      <w:lvlJc w:val="left"/>
      <w:pPr>
        <w:ind w:left="2880" w:hanging="360"/>
      </w:pPr>
      <w:rPr>
        <w:rFonts w:ascii="Symbol" w:hAnsi="Symbol" w:hint="default"/>
      </w:rPr>
    </w:lvl>
    <w:lvl w:ilvl="4" w:tplc="89CCC6F2">
      <w:start w:val="1"/>
      <w:numFmt w:val="bullet"/>
      <w:lvlText w:val="o"/>
      <w:lvlJc w:val="left"/>
      <w:pPr>
        <w:ind w:left="3600" w:hanging="360"/>
      </w:pPr>
      <w:rPr>
        <w:rFonts w:ascii="Courier New" w:hAnsi="Courier New" w:hint="default"/>
      </w:rPr>
    </w:lvl>
    <w:lvl w:ilvl="5" w:tplc="D56A036C">
      <w:start w:val="1"/>
      <w:numFmt w:val="bullet"/>
      <w:lvlText w:val=""/>
      <w:lvlJc w:val="left"/>
      <w:pPr>
        <w:ind w:left="4320" w:hanging="360"/>
      </w:pPr>
      <w:rPr>
        <w:rFonts w:ascii="Wingdings" w:hAnsi="Wingdings" w:hint="default"/>
      </w:rPr>
    </w:lvl>
    <w:lvl w:ilvl="6" w:tplc="B7CEED58">
      <w:start w:val="1"/>
      <w:numFmt w:val="bullet"/>
      <w:lvlText w:val=""/>
      <w:lvlJc w:val="left"/>
      <w:pPr>
        <w:ind w:left="5040" w:hanging="360"/>
      </w:pPr>
      <w:rPr>
        <w:rFonts w:ascii="Symbol" w:hAnsi="Symbol" w:hint="default"/>
      </w:rPr>
    </w:lvl>
    <w:lvl w:ilvl="7" w:tplc="E76A7EC4">
      <w:start w:val="1"/>
      <w:numFmt w:val="bullet"/>
      <w:lvlText w:val="o"/>
      <w:lvlJc w:val="left"/>
      <w:pPr>
        <w:ind w:left="5760" w:hanging="360"/>
      </w:pPr>
      <w:rPr>
        <w:rFonts w:ascii="Courier New" w:hAnsi="Courier New" w:hint="default"/>
      </w:rPr>
    </w:lvl>
    <w:lvl w:ilvl="8" w:tplc="A41EB33E">
      <w:start w:val="1"/>
      <w:numFmt w:val="bullet"/>
      <w:lvlText w:val=""/>
      <w:lvlJc w:val="left"/>
      <w:pPr>
        <w:ind w:left="6480" w:hanging="360"/>
      </w:pPr>
      <w:rPr>
        <w:rFonts w:ascii="Wingdings" w:hAnsi="Wingdings" w:hint="default"/>
      </w:rPr>
    </w:lvl>
  </w:abstractNum>
  <w:abstractNum w:abstractNumId="4" w15:restartNumberingAfterBreak="0">
    <w:nsid w:val="2D3A9389"/>
    <w:multiLevelType w:val="hybridMultilevel"/>
    <w:tmpl w:val="3A1A5EEC"/>
    <w:lvl w:ilvl="0" w:tplc="ECAE5FBC">
      <w:start w:val="1"/>
      <w:numFmt w:val="bullet"/>
      <w:lvlText w:val=""/>
      <w:lvlJc w:val="left"/>
      <w:pPr>
        <w:ind w:left="720" w:hanging="360"/>
      </w:pPr>
      <w:rPr>
        <w:rFonts w:ascii="Symbol" w:hAnsi="Symbol" w:hint="default"/>
      </w:rPr>
    </w:lvl>
    <w:lvl w:ilvl="1" w:tplc="0618464C">
      <w:start w:val="1"/>
      <w:numFmt w:val="bullet"/>
      <w:lvlText w:val="o"/>
      <w:lvlJc w:val="left"/>
      <w:pPr>
        <w:ind w:left="1440" w:hanging="360"/>
      </w:pPr>
      <w:rPr>
        <w:rFonts w:ascii="Courier New" w:hAnsi="Courier New" w:hint="default"/>
      </w:rPr>
    </w:lvl>
    <w:lvl w:ilvl="2" w:tplc="4E40698C">
      <w:start w:val="1"/>
      <w:numFmt w:val="bullet"/>
      <w:lvlText w:val=""/>
      <w:lvlJc w:val="left"/>
      <w:pPr>
        <w:ind w:left="2160" w:hanging="360"/>
      </w:pPr>
      <w:rPr>
        <w:rFonts w:ascii="Wingdings" w:hAnsi="Wingdings" w:hint="default"/>
      </w:rPr>
    </w:lvl>
    <w:lvl w:ilvl="3" w:tplc="AB427C4A">
      <w:start w:val="1"/>
      <w:numFmt w:val="bullet"/>
      <w:lvlText w:val=""/>
      <w:lvlJc w:val="left"/>
      <w:pPr>
        <w:ind w:left="2880" w:hanging="360"/>
      </w:pPr>
      <w:rPr>
        <w:rFonts w:ascii="Symbol" w:hAnsi="Symbol" w:hint="default"/>
      </w:rPr>
    </w:lvl>
    <w:lvl w:ilvl="4" w:tplc="83DE5798">
      <w:start w:val="1"/>
      <w:numFmt w:val="bullet"/>
      <w:lvlText w:val="o"/>
      <w:lvlJc w:val="left"/>
      <w:pPr>
        <w:ind w:left="3600" w:hanging="360"/>
      </w:pPr>
      <w:rPr>
        <w:rFonts w:ascii="Courier New" w:hAnsi="Courier New" w:hint="default"/>
      </w:rPr>
    </w:lvl>
    <w:lvl w:ilvl="5" w:tplc="CC5A5870">
      <w:start w:val="1"/>
      <w:numFmt w:val="bullet"/>
      <w:lvlText w:val=""/>
      <w:lvlJc w:val="left"/>
      <w:pPr>
        <w:ind w:left="4320" w:hanging="360"/>
      </w:pPr>
      <w:rPr>
        <w:rFonts w:ascii="Wingdings" w:hAnsi="Wingdings" w:hint="default"/>
      </w:rPr>
    </w:lvl>
    <w:lvl w:ilvl="6" w:tplc="314EC39E">
      <w:start w:val="1"/>
      <w:numFmt w:val="bullet"/>
      <w:lvlText w:val=""/>
      <w:lvlJc w:val="left"/>
      <w:pPr>
        <w:ind w:left="5040" w:hanging="360"/>
      </w:pPr>
      <w:rPr>
        <w:rFonts w:ascii="Symbol" w:hAnsi="Symbol" w:hint="default"/>
      </w:rPr>
    </w:lvl>
    <w:lvl w:ilvl="7" w:tplc="3A88CBC0">
      <w:start w:val="1"/>
      <w:numFmt w:val="bullet"/>
      <w:lvlText w:val="o"/>
      <w:lvlJc w:val="left"/>
      <w:pPr>
        <w:ind w:left="5760" w:hanging="360"/>
      </w:pPr>
      <w:rPr>
        <w:rFonts w:ascii="Courier New" w:hAnsi="Courier New" w:hint="default"/>
      </w:rPr>
    </w:lvl>
    <w:lvl w:ilvl="8" w:tplc="0FB86F0E">
      <w:start w:val="1"/>
      <w:numFmt w:val="bullet"/>
      <w:lvlText w:val=""/>
      <w:lvlJc w:val="left"/>
      <w:pPr>
        <w:ind w:left="6480" w:hanging="360"/>
      </w:pPr>
      <w:rPr>
        <w:rFonts w:ascii="Wingdings" w:hAnsi="Wingdings" w:hint="default"/>
      </w:rPr>
    </w:lvl>
  </w:abstractNum>
  <w:abstractNum w:abstractNumId="5" w15:restartNumberingAfterBreak="0">
    <w:nsid w:val="428A5747"/>
    <w:multiLevelType w:val="hybridMultilevel"/>
    <w:tmpl w:val="E1088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A61C0F"/>
    <w:multiLevelType w:val="hybridMultilevel"/>
    <w:tmpl w:val="F6967C66"/>
    <w:lvl w:ilvl="0" w:tplc="DE18FBAC">
      <w:start w:val="1"/>
      <w:numFmt w:val="bullet"/>
      <w:lvlText w:val=""/>
      <w:lvlJc w:val="left"/>
      <w:pPr>
        <w:ind w:left="720" w:hanging="360"/>
      </w:pPr>
      <w:rPr>
        <w:rFonts w:ascii="Symbol" w:hAnsi="Symbol" w:hint="default"/>
      </w:rPr>
    </w:lvl>
    <w:lvl w:ilvl="1" w:tplc="97FAF2EE">
      <w:start w:val="1"/>
      <w:numFmt w:val="bullet"/>
      <w:lvlText w:val="o"/>
      <w:lvlJc w:val="left"/>
      <w:pPr>
        <w:ind w:left="1440" w:hanging="360"/>
      </w:pPr>
      <w:rPr>
        <w:rFonts w:ascii="Courier New" w:hAnsi="Courier New" w:hint="default"/>
      </w:rPr>
    </w:lvl>
    <w:lvl w:ilvl="2" w:tplc="2A38030C">
      <w:start w:val="1"/>
      <w:numFmt w:val="bullet"/>
      <w:lvlText w:val=""/>
      <w:lvlJc w:val="left"/>
      <w:pPr>
        <w:ind w:left="2160" w:hanging="360"/>
      </w:pPr>
      <w:rPr>
        <w:rFonts w:ascii="Wingdings" w:hAnsi="Wingdings" w:hint="default"/>
      </w:rPr>
    </w:lvl>
    <w:lvl w:ilvl="3" w:tplc="2F3438E2">
      <w:start w:val="1"/>
      <w:numFmt w:val="bullet"/>
      <w:lvlText w:val=""/>
      <w:lvlJc w:val="left"/>
      <w:pPr>
        <w:ind w:left="2880" w:hanging="360"/>
      </w:pPr>
      <w:rPr>
        <w:rFonts w:ascii="Symbol" w:hAnsi="Symbol" w:hint="default"/>
      </w:rPr>
    </w:lvl>
    <w:lvl w:ilvl="4" w:tplc="8FB80582">
      <w:start w:val="1"/>
      <w:numFmt w:val="bullet"/>
      <w:lvlText w:val="o"/>
      <w:lvlJc w:val="left"/>
      <w:pPr>
        <w:ind w:left="3600" w:hanging="360"/>
      </w:pPr>
      <w:rPr>
        <w:rFonts w:ascii="Courier New" w:hAnsi="Courier New" w:hint="default"/>
      </w:rPr>
    </w:lvl>
    <w:lvl w:ilvl="5" w:tplc="BD74AA9C">
      <w:start w:val="1"/>
      <w:numFmt w:val="bullet"/>
      <w:lvlText w:val=""/>
      <w:lvlJc w:val="left"/>
      <w:pPr>
        <w:ind w:left="4320" w:hanging="360"/>
      </w:pPr>
      <w:rPr>
        <w:rFonts w:ascii="Wingdings" w:hAnsi="Wingdings" w:hint="default"/>
      </w:rPr>
    </w:lvl>
    <w:lvl w:ilvl="6" w:tplc="94FE4B86">
      <w:start w:val="1"/>
      <w:numFmt w:val="bullet"/>
      <w:lvlText w:val=""/>
      <w:lvlJc w:val="left"/>
      <w:pPr>
        <w:ind w:left="5040" w:hanging="360"/>
      </w:pPr>
      <w:rPr>
        <w:rFonts w:ascii="Symbol" w:hAnsi="Symbol" w:hint="default"/>
      </w:rPr>
    </w:lvl>
    <w:lvl w:ilvl="7" w:tplc="AA6A0EAE">
      <w:start w:val="1"/>
      <w:numFmt w:val="bullet"/>
      <w:lvlText w:val="o"/>
      <w:lvlJc w:val="left"/>
      <w:pPr>
        <w:ind w:left="5760" w:hanging="360"/>
      </w:pPr>
      <w:rPr>
        <w:rFonts w:ascii="Courier New" w:hAnsi="Courier New" w:hint="default"/>
      </w:rPr>
    </w:lvl>
    <w:lvl w:ilvl="8" w:tplc="A8E25B6A">
      <w:start w:val="1"/>
      <w:numFmt w:val="bullet"/>
      <w:lvlText w:val=""/>
      <w:lvlJc w:val="left"/>
      <w:pPr>
        <w:ind w:left="6480" w:hanging="360"/>
      </w:pPr>
      <w:rPr>
        <w:rFonts w:ascii="Wingdings" w:hAnsi="Wingdings" w:hint="default"/>
      </w:rPr>
    </w:lvl>
  </w:abstractNum>
  <w:abstractNum w:abstractNumId="7" w15:restartNumberingAfterBreak="0">
    <w:nsid w:val="5E27C868"/>
    <w:multiLevelType w:val="hybridMultilevel"/>
    <w:tmpl w:val="B0E86826"/>
    <w:lvl w:ilvl="0" w:tplc="D8EECB0C">
      <w:start w:val="1"/>
      <w:numFmt w:val="bullet"/>
      <w:lvlText w:val=""/>
      <w:lvlJc w:val="left"/>
      <w:pPr>
        <w:ind w:left="720" w:hanging="360"/>
      </w:pPr>
      <w:rPr>
        <w:rFonts w:ascii="Symbol" w:hAnsi="Symbol" w:hint="default"/>
      </w:rPr>
    </w:lvl>
    <w:lvl w:ilvl="1" w:tplc="019AABA8">
      <w:start w:val="1"/>
      <w:numFmt w:val="bullet"/>
      <w:lvlText w:val="o"/>
      <w:lvlJc w:val="left"/>
      <w:pPr>
        <w:ind w:left="1440" w:hanging="360"/>
      </w:pPr>
      <w:rPr>
        <w:rFonts w:ascii="Courier New" w:hAnsi="Courier New" w:hint="default"/>
      </w:rPr>
    </w:lvl>
    <w:lvl w:ilvl="2" w:tplc="FBEAF588">
      <w:start w:val="1"/>
      <w:numFmt w:val="bullet"/>
      <w:lvlText w:val=""/>
      <w:lvlJc w:val="left"/>
      <w:pPr>
        <w:ind w:left="2160" w:hanging="360"/>
      </w:pPr>
      <w:rPr>
        <w:rFonts w:ascii="Wingdings" w:hAnsi="Wingdings" w:hint="default"/>
      </w:rPr>
    </w:lvl>
    <w:lvl w:ilvl="3" w:tplc="F692D610">
      <w:start w:val="1"/>
      <w:numFmt w:val="bullet"/>
      <w:lvlText w:val=""/>
      <w:lvlJc w:val="left"/>
      <w:pPr>
        <w:ind w:left="2880" w:hanging="360"/>
      </w:pPr>
      <w:rPr>
        <w:rFonts w:ascii="Symbol" w:hAnsi="Symbol" w:hint="default"/>
      </w:rPr>
    </w:lvl>
    <w:lvl w:ilvl="4" w:tplc="DC428B06">
      <w:start w:val="1"/>
      <w:numFmt w:val="bullet"/>
      <w:lvlText w:val="o"/>
      <w:lvlJc w:val="left"/>
      <w:pPr>
        <w:ind w:left="3600" w:hanging="360"/>
      </w:pPr>
      <w:rPr>
        <w:rFonts w:ascii="Courier New" w:hAnsi="Courier New" w:hint="default"/>
      </w:rPr>
    </w:lvl>
    <w:lvl w:ilvl="5" w:tplc="041E61F6">
      <w:start w:val="1"/>
      <w:numFmt w:val="bullet"/>
      <w:lvlText w:val=""/>
      <w:lvlJc w:val="left"/>
      <w:pPr>
        <w:ind w:left="4320" w:hanging="360"/>
      </w:pPr>
      <w:rPr>
        <w:rFonts w:ascii="Wingdings" w:hAnsi="Wingdings" w:hint="default"/>
      </w:rPr>
    </w:lvl>
    <w:lvl w:ilvl="6" w:tplc="7304BB48">
      <w:start w:val="1"/>
      <w:numFmt w:val="bullet"/>
      <w:lvlText w:val=""/>
      <w:lvlJc w:val="left"/>
      <w:pPr>
        <w:ind w:left="5040" w:hanging="360"/>
      </w:pPr>
      <w:rPr>
        <w:rFonts w:ascii="Symbol" w:hAnsi="Symbol" w:hint="default"/>
      </w:rPr>
    </w:lvl>
    <w:lvl w:ilvl="7" w:tplc="6442D3DC">
      <w:start w:val="1"/>
      <w:numFmt w:val="bullet"/>
      <w:lvlText w:val="o"/>
      <w:lvlJc w:val="left"/>
      <w:pPr>
        <w:ind w:left="5760" w:hanging="360"/>
      </w:pPr>
      <w:rPr>
        <w:rFonts w:ascii="Courier New" w:hAnsi="Courier New" w:hint="default"/>
      </w:rPr>
    </w:lvl>
    <w:lvl w:ilvl="8" w:tplc="56DA3FEC">
      <w:start w:val="1"/>
      <w:numFmt w:val="bullet"/>
      <w:lvlText w:val=""/>
      <w:lvlJc w:val="left"/>
      <w:pPr>
        <w:ind w:left="6480" w:hanging="360"/>
      </w:pPr>
      <w:rPr>
        <w:rFonts w:ascii="Wingdings" w:hAnsi="Wingdings" w:hint="default"/>
      </w:rPr>
    </w:lvl>
  </w:abstractNum>
  <w:num w:numId="1" w16cid:durableId="964502627">
    <w:abstractNumId w:val="2"/>
  </w:num>
  <w:num w:numId="2" w16cid:durableId="448352857">
    <w:abstractNumId w:val="3"/>
  </w:num>
  <w:num w:numId="3" w16cid:durableId="783159498">
    <w:abstractNumId w:val="6"/>
  </w:num>
  <w:num w:numId="4" w16cid:durableId="816797067">
    <w:abstractNumId w:val="0"/>
  </w:num>
  <w:num w:numId="5" w16cid:durableId="1230455952">
    <w:abstractNumId w:val="7"/>
  </w:num>
  <w:num w:numId="6" w16cid:durableId="355540747">
    <w:abstractNumId w:val="1"/>
  </w:num>
  <w:num w:numId="7" w16cid:durableId="1061442356">
    <w:abstractNumId w:val="4"/>
  </w:num>
  <w:num w:numId="8" w16cid:durableId="1251112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24AD2E"/>
    <w:rsid w:val="00133B2A"/>
    <w:rsid w:val="001C571C"/>
    <w:rsid w:val="0032373B"/>
    <w:rsid w:val="003A4FC2"/>
    <w:rsid w:val="003C54FE"/>
    <w:rsid w:val="003F2048"/>
    <w:rsid w:val="004A1E1F"/>
    <w:rsid w:val="004D0E72"/>
    <w:rsid w:val="006C9855"/>
    <w:rsid w:val="00AE68B8"/>
    <w:rsid w:val="00B450AA"/>
    <w:rsid w:val="00C01ED4"/>
    <w:rsid w:val="00C2036E"/>
    <w:rsid w:val="00DD7365"/>
    <w:rsid w:val="00E91D45"/>
    <w:rsid w:val="011B245A"/>
    <w:rsid w:val="015FB466"/>
    <w:rsid w:val="01FC8173"/>
    <w:rsid w:val="02D91C67"/>
    <w:rsid w:val="02E0363F"/>
    <w:rsid w:val="09BF967C"/>
    <w:rsid w:val="0AE5556B"/>
    <w:rsid w:val="0B5C8E11"/>
    <w:rsid w:val="0B5F6A89"/>
    <w:rsid w:val="10D2A06B"/>
    <w:rsid w:val="148BC1C4"/>
    <w:rsid w:val="1824AD2E"/>
    <w:rsid w:val="193D7DAC"/>
    <w:rsid w:val="19B4349A"/>
    <w:rsid w:val="1FD9B284"/>
    <w:rsid w:val="2253438A"/>
    <w:rsid w:val="282F8AE7"/>
    <w:rsid w:val="294E685D"/>
    <w:rsid w:val="2B4CB149"/>
    <w:rsid w:val="2DAF30FB"/>
    <w:rsid w:val="2E132CB0"/>
    <w:rsid w:val="2E9B0E28"/>
    <w:rsid w:val="2EBE8600"/>
    <w:rsid w:val="3130D471"/>
    <w:rsid w:val="340B2D03"/>
    <w:rsid w:val="34306817"/>
    <w:rsid w:val="3446B457"/>
    <w:rsid w:val="35D8C92E"/>
    <w:rsid w:val="3677A00F"/>
    <w:rsid w:val="37B147FC"/>
    <w:rsid w:val="38C469E0"/>
    <w:rsid w:val="3B0DD028"/>
    <w:rsid w:val="3B8CD308"/>
    <w:rsid w:val="3C43B7EF"/>
    <w:rsid w:val="3C8492A4"/>
    <w:rsid w:val="3CB1D7DF"/>
    <w:rsid w:val="41B5EFED"/>
    <w:rsid w:val="42187711"/>
    <w:rsid w:val="4A96B8CC"/>
    <w:rsid w:val="4D44C086"/>
    <w:rsid w:val="4DE965B3"/>
    <w:rsid w:val="54E91410"/>
    <w:rsid w:val="554941E9"/>
    <w:rsid w:val="587EB1F5"/>
    <w:rsid w:val="61CE5AD0"/>
    <w:rsid w:val="624AFF2D"/>
    <w:rsid w:val="63528618"/>
    <w:rsid w:val="68431549"/>
    <w:rsid w:val="6CE5D942"/>
    <w:rsid w:val="6D041E4A"/>
    <w:rsid w:val="744DCF31"/>
    <w:rsid w:val="74F5E486"/>
    <w:rsid w:val="759ED5C8"/>
    <w:rsid w:val="7662022A"/>
    <w:rsid w:val="7B965E89"/>
    <w:rsid w:val="7F6E7D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4C44"/>
  <w15:chartTrackingRefBased/>
  <w15:docId w15:val="{7C2D9418-E76B-405B-A645-82BF5541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1B5E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1B5E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1B5EFE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41B5EFED"/>
    <w:rPr>
      <w:rFonts w:asciiTheme="majorHAnsi" w:eastAsiaTheme="majorEastAsia" w:hAnsiTheme="majorHAnsi" w:cstheme="majorBidi"/>
      <w:color w:val="0F4761" w:themeColor="accent1" w:themeShade="BF"/>
      <w:sz w:val="40"/>
      <w:szCs w:val="40"/>
    </w:rPr>
  </w:style>
  <w:style w:type="paragraph" w:styleId="NoSpacing">
    <w:name w:val="No Spacing"/>
    <w:uiPriority w:val="1"/>
    <w:qFormat/>
    <w:rsid w:val="41B5EFED"/>
    <w:pPr>
      <w:spacing w:after="0"/>
    </w:pPr>
  </w:style>
  <w:style w:type="paragraph" w:styleId="ListParagraph">
    <w:name w:val="List Paragraph"/>
    <w:basedOn w:val="Normal"/>
    <w:uiPriority w:val="34"/>
    <w:qFormat/>
    <w:rsid w:val="41B5EFED"/>
    <w:pPr>
      <w:ind w:left="720"/>
      <w:contextualSpacing/>
    </w:pPr>
  </w:style>
  <w:style w:type="character" w:styleId="Hyperlink">
    <w:name w:val="Hyperlink"/>
    <w:basedOn w:val="DefaultParagraphFont"/>
    <w:uiPriority w:val="99"/>
    <w:unhideWhenUsed/>
    <w:rsid w:val="41B5EFED"/>
    <w:rPr>
      <w:color w:val="467886"/>
      <w:u w:val="single"/>
    </w:rPr>
  </w:style>
  <w:style w:type="paragraph" w:styleId="TOC1">
    <w:name w:val="toc 1"/>
    <w:basedOn w:val="Normal"/>
    <w:next w:val="Normal"/>
    <w:uiPriority w:val="39"/>
    <w:unhideWhenUsed/>
    <w:rsid w:val="41B5EFED"/>
    <w:pPr>
      <w:spacing w:after="100"/>
    </w:pPr>
  </w:style>
  <w:style w:type="paragraph" w:styleId="TOC2">
    <w:name w:val="toc 2"/>
    <w:basedOn w:val="Normal"/>
    <w:next w:val="Normal"/>
    <w:uiPriority w:val="39"/>
    <w:unhideWhenUsed/>
    <w:rsid w:val="41B5EFED"/>
    <w:pPr>
      <w:spacing w:after="100"/>
      <w:ind w:left="220"/>
    </w:pPr>
  </w:style>
  <w:style w:type="character" w:customStyle="1" w:styleId="Heading2Char">
    <w:name w:val="Heading 2 Char"/>
    <w:basedOn w:val="DefaultParagraphFont"/>
    <w:link w:val="Heading2"/>
    <w:uiPriority w:val="9"/>
    <w:rsid w:val="41B5EFED"/>
    <w:rPr>
      <w:rFonts w:asciiTheme="majorHAnsi" w:eastAsiaTheme="majorEastAsia" w:hAnsiTheme="majorHAnsi" w:cstheme="majorBidi"/>
      <w:color w:val="0F4761" w:themeColor="accent1" w:themeShade="BF"/>
      <w:sz w:val="32"/>
      <w:szCs w:val="32"/>
    </w:rPr>
  </w:style>
  <w:style w:type="paragraph" w:styleId="Header">
    <w:name w:val="header"/>
    <w:basedOn w:val="Normal"/>
    <w:uiPriority w:val="99"/>
    <w:unhideWhenUsed/>
    <w:rsid w:val="41B5EFED"/>
    <w:pPr>
      <w:tabs>
        <w:tab w:val="center" w:pos="4680"/>
        <w:tab w:val="right" w:pos="9360"/>
      </w:tabs>
      <w:spacing w:after="0" w:line="240" w:lineRule="auto"/>
    </w:pPr>
  </w:style>
  <w:style w:type="paragraph" w:styleId="Footer">
    <w:name w:val="footer"/>
    <w:basedOn w:val="Normal"/>
    <w:uiPriority w:val="99"/>
    <w:unhideWhenUsed/>
    <w:rsid w:val="41B5EFE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4A1E1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04668-5840-4CD7-8D08-5F50EC11F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Dawa Lamu Tamang</dc:creator>
  <cp:keywords/>
  <dc:description/>
  <cp:lastModifiedBy>Rebecca Carroll</cp:lastModifiedBy>
  <cp:revision>11</cp:revision>
  <dcterms:created xsi:type="dcterms:W3CDTF">2026-04-23T05:29:00Z</dcterms:created>
  <dcterms:modified xsi:type="dcterms:W3CDTF">2026-04-29T00:26:00Z</dcterms:modified>
</cp:coreProperties>
</file>