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F951" w14:textId="05DBFEED" w:rsidR="00561D2D" w:rsidRDefault="00561D2D" w:rsidP="00531289">
      <w:r>
        <w:t>Slide 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561D2D" w14:paraId="7C5E10FD" w14:textId="77777777" w:rsidTr="00903956">
        <w:tc>
          <w:tcPr>
            <w:tcW w:w="6799" w:type="dxa"/>
          </w:tcPr>
          <w:p w14:paraId="689BC1D4" w14:textId="77777777" w:rsidR="00903956" w:rsidRDefault="00903956" w:rsidP="0090395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3DCBB69D" w14:textId="77777777" w:rsidR="00903956" w:rsidRDefault="00903956" w:rsidP="0090395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0EE46C5B" w14:textId="77777777" w:rsidR="00903956" w:rsidRDefault="00903956" w:rsidP="0090395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32F3D7FE" w14:textId="4B296A6B" w:rsidR="00561D2D" w:rsidRPr="00903956" w:rsidRDefault="00107E0F" w:rsidP="0090395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D</w:t>
            </w:r>
            <w:r w:rsidR="00561D2D"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estacar que o título já dá um ligeiro </w:t>
            </w:r>
            <w:proofErr w:type="spellStart"/>
            <w:r w:rsidR="00561D2D"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overview</w:t>
            </w:r>
            <w:proofErr w:type="spellEnd"/>
            <w:r w:rsidR="00561D2D"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às questões colocadas e eventuais respostas</w:t>
            </w:r>
          </w:p>
        </w:tc>
        <w:tc>
          <w:tcPr>
            <w:tcW w:w="3657" w:type="dxa"/>
            <w:vAlign w:val="center"/>
          </w:tcPr>
          <w:p w14:paraId="4FB20B08" w14:textId="0F84020C" w:rsidR="00561D2D" w:rsidRDefault="00561D2D" w:rsidP="00531289">
            <w:r w:rsidRPr="00561D2D">
              <w:drawing>
                <wp:inline distT="0" distB="0" distL="0" distR="0" wp14:anchorId="564F455F" wp14:editId="208A8979">
                  <wp:extent cx="2082297" cy="1174451"/>
                  <wp:effectExtent l="0" t="0" r="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725" cy="118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8A689" w14:textId="0D871584" w:rsidR="00561D2D" w:rsidRDefault="00561D2D" w:rsidP="002B2BC8">
      <w:pPr>
        <w:spacing w:before="240"/>
      </w:pPr>
      <w:r>
        <w:t>Slide 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561D2D" w14:paraId="07BA8B5E" w14:textId="77777777" w:rsidTr="00903956">
        <w:tc>
          <w:tcPr>
            <w:tcW w:w="6799" w:type="dxa"/>
          </w:tcPr>
          <w:p w14:paraId="2BAE3401" w14:textId="77777777" w:rsidR="00107E0F" w:rsidRPr="00903956" w:rsidRDefault="00107E0F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A</w:t>
            </w:r>
            <w:r w:rsidR="00561D2D"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apresentação seguirá o seguinte plano: </w:t>
            </w:r>
          </w:p>
          <w:p w14:paraId="0E355061" w14:textId="6D117F50" w:rsidR="00107E0F" w:rsidRPr="00903956" w:rsidRDefault="00561D2D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1 - Inicialmente começamos por descrever as características dos conjuntos de dados, nomeadamente o número de </w:t>
            </w:r>
            <w:proofErr w:type="spellStart"/>
            <w:r w:rsidRPr="00903956">
              <w:rPr>
                <w:rFonts w:ascii="Times New Roman" w:hAnsi="Times New Roman" w:cs="Times New Roman"/>
                <w:i/>
                <w:iCs/>
                <w:sz w:val="18"/>
                <w:szCs w:val="18"/>
                <w:bdr w:val="none" w:sz="0" w:space="0" w:color="auto" w:frame="1"/>
              </w:rPr>
              <w:t>features</w:t>
            </w:r>
            <w:proofErr w:type="spellEnd"/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e de observações, indicando que decisões tomámos em lidar com valores em falta, ou na união dos dois conjuntos de dados</w:t>
            </w:r>
            <w:r w:rsid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.</w:t>
            </w: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25C40C1D" w14:textId="534E048A" w:rsidR="00903956" w:rsidRDefault="00561D2D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2 - Com os dados preparados, segue-se a exposição das questões formuladas, já indiciadas pelo </w:t>
            </w:r>
            <w:r w:rsidR="00903956"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título</w:t>
            </w: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da apresentação e explicam-se que técnicas de redução de dimensionalidade foram aplicadas</w:t>
            </w:r>
            <w:r w:rsid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.</w:t>
            </w: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35423EBC" w14:textId="7311124C" w:rsidR="00107E0F" w:rsidRPr="00903956" w:rsidRDefault="00561D2D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3 - Depois de preparados os conjuntos de dados para responder às questões colocadas, mostram-me os modelos explorados pelo grupo, comparando as métricas de performance em cenários com e sem amostragem</w:t>
            </w:r>
            <w:r w:rsid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.</w:t>
            </w: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3257D5DB" w14:textId="2E595C9A" w:rsidR="00561D2D" w:rsidRPr="00903956" w:rsidRDefault="00561D2D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03956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4 - Por fim mostram-se conclusões, indicando alguns dos problemas que tivemos e que pretendemos corrigir, bem como possíveis sugestões a serem abordadas num cenário futuro.</w:t>
            </w:r>
          </w:p>
        </w:tc>
        <w:tc>
          <w:tcPr>
            <w:tcW w:w="3657" w:type="dxa"/>
            <w:vAlign w:val="center"/>
          </w:tcPr>
          <w:p w14:paraId="6EB3EDE6" w14:textId="00F1D9E2" w:rsidR="00561D2D" w:rsidRDefault="00561D2D" w:rsidP="00531289">
            <w:r w:rsidRPr="00561D2D">
              <w:drawing>
                <wp:inline distT="0" distB="0" distL="0" distR="0" wp14:anchorId="59405498" wp14:editId="3F87B0C0">
                  <wp:extent cx="2126441" cy="1213164"/>
                  <wp:effectExtent l="0" t="0" r="762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925" cy="12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753EB" w14:textId="7160B137" w:rsidR="00561D2D" w:rsidRDefault="00561D2D" w:rsidP="002B2BC8">
      <w:pPr>
        <w:spacing w:before="240"/>
      </w:pPr>
      <w:r>
        <w:t>Slide 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903956" w14:paraId="50BC7236" w14:textId="77777777" w:rsidTr="00903956">
        <w:tc>
          <w:tcPr>
            <w:tcW w:w="6799" w:type="dxa"/>
          </w:tcPr>
          <w:p w14:paraId="0BE21E2A" w14:textId="77777777" w:rsidR="00107E0F" w:rsidRPr="00CF5BC4" w:rsidRDefault="00561D2D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Dos dois conjuntos de dados fornecidos, numa fase inicial, interpretaram-se as </w:t>
            </w:r>
            <w:proofErr w:type="spellStart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features</w:t>
            </w:r>
            <w:proofErr w:type="spellEnd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de cada um, e o seu respetivo significado, e começou-se por explorar alguns valores que pudessem estar em falta. </w:t>
            </w:r>
          </w:p>
          <w:p w14:paraId="0DC2DAA3" w14:textId="77777777" w:rsidR="00640B0C" w:rsidRPr="00CF5BC4" w:rsidRDefault="00561D2D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Neste caso, o </w:t>
            </w:r>
            <w:proofErr w:type="spellStart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dataset</w:t>
            </w:r>
            <w:proofErr w:type="spellEnd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das condições meteorológicas em Lisboa 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</w:rPr>
              <w:t xml:space="preserve">apresenta uma dimensionalidade de 24 </w:t>
            </w:r>
            <w:proofErr w:type="spellStart"/>
            <w:r w:rsidR="00640B0C" w:rsidRPr="00CF5B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features</w:t>
            </w:r>
            <w:proofErr w:type="spellEnd"/>
            <w:r w:rsidR="00640B0C" w:rsidRPr="00CF5B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</w:rPr>
              <w:t>com 9504 observações.</w:t>
            </w:r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Da </w:t>
            </w:r>
            <w:proofErr w:type="gramStart"/>
            <w:r w:rsidR="00640B0C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analise</w:t>
            </w:r>
            <w:proofErr w:type="gramEnd"/>
            <w:r w:rsidR="00640B0C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estatística, </w:t>
            </w:r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observação dos valores em falta, notou-se que a </w:t>
            </w:r>
            <w:proofErr w:type="spellStart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feature</w:t>
            </w:r>
            <w:proofErr w:type="spellEnd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que indica o risco severo está ausente em grande parte das observações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(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</w:rPr>
              <w:t>8760 valores, representativo de aproximadamente 92% das observações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</w:rPr>
              <w:t xml:space="preserve">Em simultâneo, outras </w:t>
            </w:r>
            <w:proofErr w:type="spellStart"/>
            <w:r w:rsidR="00640B0C" w:rsidRPr="00CF5B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features</w:t>
            </w:r>
            <w:proofErr w:type="spellEnd"/>
            <w:r w:rsidR="00640B0C" w:rsidRPr="00CF5B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</w:rPr>
              <w:t>apresentam valores em falta</w:t>
            </w:r>
            <w:r w:rsidR="00640B0C" w:rsidRPr="00CF5BC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1A51D92" w14:textId="77777777" w:rsidR="00903956" w:rsidRPr="00CF5BC4" w:rsidRDefault="00640B0C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D</w:t>
            </w:r>
            <w:r w:rsidRPr="00CF5BC4">
              <w:rPr>
                <w:rFonts w:ascii="Times New Roman" w:hAnsi="Times New Roman" w:cs="Times New Roman"/>
                <w:sz w:val="18"/>
                <w:szCs w:val="18"/>
              </w:rPr>
              <w:t xml:space="preserve">esta forma, é afastada a ideia de remover estas observações, uma vez que a perda de informação seria consideravelmente grande, reduzindo o </w:t>
            </w:r>
            <w:proofErr w:type="spellStart"/>
            <w:r w:rsidRPr="00CF5B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dataset</w:t>
            </w:r>
            <w:proofErr w:type="spellEnd"/>
            <w:r w:rsidRPr="00CF5B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CF5BC4">
              <w:rPr>
                <w:rFonts w:ascii="Times New Roman" w:hAnsi="Times New Roman" w:cs="Times New Roman"/>
                <w:sz w:val="18"/>
                <w:szCs w:val="18"/>
              </w:rPr>
              <w:t>a apenas 8% da dimensão original</w:t>
            </w:r>
            <w:r w:rsidRPr="00CF5BC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CF5B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61D2D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pelo que se optou por fazer imputação</w:t>
            </w:r>
            <w:r w:rsidR="00903956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.</w:t>
            </w:r>
          </w:p>
          <w:p w14:paraId="29FF5B9F" w14:textId="77777777" w:rsidR="00903956" w:rsidRPr="00CF5BC4" w:rsidRDefault="00903956" w:rsidP="00561D2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T</w:t>
            </w:r>
            <w:r w:rsidR="00561D2D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endo por base o desvio padrão das </w:t>
            </w:r>
            <w:proofErr w:type="spellStart"/>
            <w:r w:rsidR="00561D2D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features</w:t>
            </w:r>
            <w:proofErr w:type="spellEnd"/>
            <w:r w:rsidR="00561D2D"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, num cenário onde este é elevado imputou-se com a mediana, utilizando a média para cenários onde o desvio padrão é menor. </w:t>
            </w:r>
          </w:p>
          <w:p w14:paraId="6296BCC9" w14:textId="446AB542" w:rsidR="00107E0F" w:rsidRPr="00CF5BC4" w:rsidRDefault="00561D2D" w:rsidP="0090395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Para o </w:t>
            </w:r>
            <w:proofErr w:type="spellStart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severerisk</w:t>
            </w:r>
            <w:proofErr w:type="spellEnd"/>
            <w:r w:rsidRPr="00CF5BC4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, de acordo com a documentação dos dados, pode ser feita a imputação com valor 0</w:t>
            </w:r>
          </w:p>
        </w:tc>
        <w:tc>
          <w:tcPr>
            <w:tcW w:w="3657" w:type="dxa"/>
            <w:vAlign w:val="center"/>
          </w:tcPr>
          <w:p w14:paraId="4BD54B74" w14:textId="414897D2" w:rsidR="00561D2D" w:rsidRDefault="00561D2D" w:rsidP="00531289">
            <w:r w:rsidRPr="00561D2D">
              <w:drawing>
                <wp:inline distT="0" distB="0" distL="0" distR="0" wp14:anchorId="18F51C6C" wp14:editId="646DC070">
                  <wp:extent cx="2150637" cy="1240325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474" cy="127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7B207" w14:textId="60B501DE" w:rsidR="00561D2D" w:rsidRDefault="00561D2D" w:rsidP="002B2BC8">
      <w:pPr>
        <w:spacing w:before="240"/>
      </w:pPr>
      <w:r>
        <w:t>Slide 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561D2D" w14:paraId="350CCF2B" w14:textId="77777777" w:rsidTr="00CF5BC4">
        <w:tc>
          <w:tcPr>
            <w:tcW w:w="6799" w:type="dxa"/>
          </w:tcPr>
          <w:p w14:paraId="3C4A533D" w14:textId="6561D282" w:rsidR="00255BE4" w:rsidRPr="008D17CB" w:rsidRDefault="00561D2D" w:rsidP="00255BE4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D17CB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 xml:space="preserve">Seguindo para o conjunto de dados da energia, </w:t>
            </w:r>
            <w:r w:rsidR="00255BE4" w:rsidRPr="008D17CB">
              <w:rPr>
                <w:rFonts w:ascii="Times New Roman" w:hAnsi="Times New Roman" w:cs="Times New Roman"/>
                <w:sz w:val="18"/>
                <w:szCs w:val="18"/>
              </w:rPr>
              <w:t xml:space="preserve">composto por 5 </w:t>
            </w:r>
            <w:proofErr w:type="spellStart"/>
            <w:r w:rsidR="00255BE4" w:rsidRPr="008D17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features</w:t>
            </w:r>
            <w:proofErr w:type="spellEnd"/>
            <w:r w:rsidR="00255BE4" w:rsidRPr="008D17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r w:rsidR="00255BE4" w:rsidRPr="008D17CB">
              <w:rPr>
                <w:rFonts w:ascii="Times New Roman" w:hAnsi="Times New Roman" w:cs="Times New Roman"/>
                <w:sz w:val="18"/>
                <w:szCs w:val="18"/>
              </w:rPr>
              <w:t>com um registo de um total de aproximadamente 3.8 milhões medições de energia ativa consumida para os vários códigos postais compreendidos ao longo do país. Verific</w:t>
            </w:r>
            <w:r w:rsidR="008D17CB" w:rsidRPr="008D17CB">
              <w:rPr>
                <w:rFonts w:ascii="Times New Roman" w:hAnsi="Times New Roman" w:cs="Times New Roman"/>
                <w:sz w:val="18"/>
                <w:szCs w:val="18"/>
              </w:rPr>
              <w:t>ou</w:t>
            </w:r>
            <w:r w:rsidR="00255BE4" w:rsidRPr="008D17CB">
              <w:rPr>
                <w:rFonts w:ascii="Times New Roman" w:hAnsi="Times New Roman" w:cs="Times New Roman"/>
                <w:sz w:val="18"/>
                <w:szCs w:val="18"/>
              </w:rPr>
              <w:t xml:space="preserve">-se que todos as entradas possuem um valor não nulo, ou NA, para todas as </w:t>
            </w:r>
            <w:proofErr w:type="spellStart"/>
            <w:r w:rsidR="00255BE4" w:rsidRPr="008D17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features</w:t>
            </w:r>
            <w:proofErr w:type="spellEnd"/>
            <w:r w:rsidR="00255BE4" w:rsidRPr="008D17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r w:rsidR="00255BE4" w:rsidRPr="008D17CB">
              <w:rPr>
                <w:rFonts w:ascii="Times New Roman" w:hAnsi="Times New Roman" w:cs="Times New Roman"/>
                <w:sz w:val="18"/>
                <w:szCs w:val="18"/>
              </w:rPr>
              <w:t>pelo que não foi necessário fazer qualquer tipo de imputação</w:t>
            </w:r>
            <w:r w:rsidR="008D17CB" w:rsidRPr="008D17C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11BEB1A" w14:textId="69807FE8" w:rsidR="008D17CB" w:rsidRDefault="008D17CB" w:rsidP="008D17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D288EF" w14:textId="3024CD72" w:rsidR="008D17CB" w:rsidRDefault="008D17CB" w:rsidP="002B2BC8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D17CB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Num cenário inicial</w:t>
            </w:r>
            <w:r w:rsidR="002B2BC8">
              <w:rPr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, c</w:t>
            </w:r>
            <w:r w:rsidRPr="008D17CB">
              <w:rPr>
                <w:rFonts w:ascii="Times New Roman" w:hAnsi="Times New Roman" w:cs="Times New Roman"/>
                <w:sz w:val="18"/>
                <w:szCs w:val="18"/>
              </w:rPr>
              <w:t xml:space="preserve">omeçando pelos códigos postais, com auxílio a dados externos indicadores de consumo industrial e doméstico, provenientes da </w:t>
            </w:r>
            <w:proofErr w:type="spellStart"/>
            <w:r w:rsidRPr="008D17CB">
              <w:rPr>
                <w:rFonts w:ascii="Times New Roman" w:hAnsi="Times New Roman" w:cs="Times New Roman"/>
                <w:sz w:val="18"/>
                <w:szCs w:val="18"/>
              </w:rPr>
              <w:t>PorData</w:t>
            </w:r>
            <w:proofErr w:type="spellEnd"/>
            <w:r w:rsidRPr="008D17CB">
              <w:rPr>
                <w:rFonts w:ascii="Times New Roman" w:hAnsi="Times New Roman" w:cs="Times New Roman"/>
                <w:sz w:val="18"/>
                <w:szCs w:val="18"/>
              </w:rPr>
              <w:t xml:space="preserve"> [4], o grupo considerou interessante a preparação de um </w:t>
            </w:r>
            <w:proofErr w:type="spellStart"/>
            <w:r w:rsidRPr="008D17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subset</w:t>
            </w:r>
            <w:proofErr w:type="spellEnd"/>
            <w:r w:rsidRPr="008D17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8D17CB">
              <w:rPr>
                <w:rFonts w:ascii="Times New Roman" w:hAnsi="Times New Roman" w:cs="Times New Roman"/>
                <w:sz w:val="18"/>
                <w:szCs w:val="18"/>
              </w:rPr>
              <w:t>dos dados originais, onde se categoriza cada código postal escolhido como Residencial ou Industrial, na perspetiva de treinar um classificador supervisionado</w:t>
            </w:r>
          </w:p>
          <w:p w14:paraId="0EEA64F6" w14:textId="77777777" w:rsidR="002B2BC8" w:rsidRPr="008D17CB" w:rsidRDefault="002B2BC8" w:rsidP="002B2BC8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D2729B" w14:textId="3C88B54C" w:rsidR="00561D2D" w:rsidRPr="008D17CB" w:rsidRDefault="008D17CB" w:rsidP="008D17CB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Após a</w:t>
            </w:r>
            <w:r w:rsidRPr="008D17CB">
              <w:rPr>
                <w:rFonts w:ascii="Times New Roman" w:hAnsi="Times New Roman" w:cs="Times New Roman"/>
                <w:sz w:val="18"/>
                <w:szCs w:val="18"/>
              </w:rPr>
              <w:t xml:space="preserve"> normalização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do</w:t>
            </w:r>
            <w:r w:rsidR="002B2BC8">
              <w:rPr>
                <w:rFonts w:ascii="Times New Roman" w:hAnsi="Times New Roman" w:cs="Times New Roman"/>
                <w:sz w:val="18"/>
                <w:szCs w:val="18"/>
              </w:rPr>
              <w:t xml:space="preserve"> novo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D17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dataset</w:t>
            </w:r>
            <w:proofErr w:type="spellEnd"/>
            <w:r w:rsidRPr="008D17CB">
              <w:rPr>
                <w:rFonts w:ascii="Times New Roman" w:hAnsi="Times New Roman" w:cs="Times New Roman"/>
                <w:sz w:val="18"/>
                <w:szCs w:val="18"/>
              </w:rPr>
              <w:t>, verificou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-se</w:t>
            </w:r>
            <w:r w:rsidRPr="008D17CB">
              <w:rPr>
                <w:rFonts w:ascii="Times New Roman" w:hAnsi="Times New Roman" w:cs="Times New Roman"/>
                <w:sz w:val="18"/>
                <w:szCs w:val="18"/>
              </w:rPr>
              <w:t xml:space="preserve"> que em zonas industriais o consumo energético muito raramente desce abaixo de 70% do seu consumo máximo diário, ao contrário das zonas residenciais onde a tendência das horas “mortas” e a madrugada demonstra uma forte descida do consumo energético.</w:t>
            </w:r>
          </w:p>
        </w:tc>
        <w:tc>
          <w:tcPr>
            <w:tcW w:w="3657" w:type="dxa"/>
            <w:vAlign w:val="center"/>
          </w:tcPr>
          <w:p w14:paraId="1E837ADA" w14:textId="050CCE28" w:rsidR="00561D2D" w:rsidRDefault="00561D2D" w:rsidP="00531289">
            <w:r w:rsidRPr="00561D2D">
              <w:drawing>
                <wp:inline distT="0" distB="0" distL="0" distR="0" wp14:anchorId="574D86F5" wp14:editId="17924F7B">
                  <wp:extent cx="2154925" cy="1235798"/>
                  <wp:effectExtent l="0" t="0" r="0" b="254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347" cy="125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DFA8A" w14:textId="639FFFCC" w:rsidR="007C2810" w:rsidRPr="00561D2D" w:rsidRDefault="007C2810" w:rsidP="002B2BC8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7C2810" w:rsidRPr="00561D2D" w:rsidSect="002B2BC8">
      <w:pgSz w:w="11906" w:h="16838"/>
      <w:pgMar w:top="113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C57E7"/>
    <w:multiLevelType w:val="hybridMultilevel"/>
    <w:tmpl w:val="E962D1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401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89"/>
    <w:rsid w:val="00107E0F"/>
    <w:rsid w:val="00255BE4"/>
    <w:rsid w:val="002A70C7"/>
    <w:rsid w:val="002B2649"/>
    <w:rsid w:val="002B2BC8"/>
    <w:rsid w:val="00531289"/>
    <w:rsid w:val="00561D2D"/>
    <w:rsid w:val="005C3961"/>
    <w:rsid w:val="00640B0C"/>
    <w:rsid w:val="007C2810"/>
    <w:rsid w:val="00853A69"/>
    <w:rsid w:val="008D17CB"/>
    <w:rsid w:val="00903956"/>
    <w:rsid w:val="00C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0CE5"/>
  <w15:chartTrackingRefBased/>
  <w15:docId w15:val="{97EBB503-20CA-4443-B2CE-B991FF34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6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0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FA21-DD76-4326-8337-035C58AB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2</cp:revision>
  <dcterms:created xsi:type="dcterms:W3CDTF">2024-05-28T08:36:00Z</dcterms:created>
  <dcterms:modified xsi:type="dcterms:W3CDTF">2024-05-28T08:36:00Z</dcterms:modified>
</cp:coreProperties>
</file>