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081" w:rsidRPr="0096752A" w:rsidRDefault="00594081" w:rsidP="00A46F5A">
      <w:pPr>
        <w:spacing w:after="0" w:line="240" w:lineRule="auto"/>
        <w:jc w:val="right"/>
        <w:rPr>
          <w:rFonts w:ascii="Candara" w:hAnsi="Candara" w:cs="Shruti"/>
          <w:color w:val="595959" w:themeColor="text1" w:themeTint="A6"/>
          <w:sz w:val="14"/>
          <w:szCs w:val="14"/>
        </w:rPr>
      </w:pPr>
      <w:bookmarkStart w:id="0" w:name="_GoBack"/>
      <w:bookmarkEnd w:id="0"/>
      <w:r w:rsidRPr="0096752A">
        <w:rPr>
          <w:rFonts w:ascii="Candara" w:hAnsi="Candara" w:cs="Shruti"/>
          <w:color w:val="595959" w:themeColor="text1" w:themeTint="A6"/>
          <w:sz w:val="14"/>
          <w:szCs w:val="14"/>
        </w:rPr>
        <w:t>Revista Portuguesa de Investigação</w:t>
      </w:r>
      <w:r w:rsidR="00A46F5A" w:rsidRPr="0096752A">
        <w:rPr>
          <w:rFonts w:ascii="Candara" w:hAnsi="Candara" w:cs="Shruti"/>
          <w:color w:val="595959" w:themeColor="text1" w:themeTint="A6"/>
          <w:sz w:val="14"/>
          <w:szCs w:val="14"/>
        </w:rPr>
        <w:t xml:space="preserve"> Comportamental e </w:t>
      </w:r>
      <w:proofErr w:type="gramStart"/>
      <w:r w:rsidR="00A46F5A" w:rsidRPr="0096752A">
        <w:rPr>
          <w:rFonts w:ascii="Candara" w:hAnsi="Candara" w:cs="Shruti"/>
          <w:color w:val="595959" w:themeColor="text1" w:themeTint="A6"/>
          <w:sz w:val="14"/>
          <w:szCs w:val="14"/>
        </w:rPr>
        <w:t xml:space="preserve">Social </w:t>
      </w:r>
      <w:r w:rsidR="00712D63" w:rsidRPr="0096752A">
        <w:rPr>
          <w:rFonts w:ascii="Candara" w:hAnsi="Candara" w:cs="Shruti"/>
          <w:color w:val="595959" w:themeColor="text1" w:themeTint="A6"/>
          <w:sz w:val="14"/>
          <w:szCs w:val="14"/>
        </w:rPr>
        <w:t xml:space="preserve">  </w:t>
      </w:r>
      <w:r w:rsidR="00A46F5A" w:rsidRPr="0096752A">
        <w:rPr>
          <w:rFonts w:ascii="Candara" w:hAnsi="Candara" w:cs="Shruti"/>
          <w:color w:val="595959" w:themeColor="text1" w:themeTint="A6"/>
          <w:sz w:val="14"/>
          <w:szCs w:val="14"/>
        </w:rPr>
        <w:t>2015</w:t>
      </w:r>
      <w:proofErr w:type="gramEnd"/>
      <w:r w:rsidR="00391C1B" w:rsidRPr="0096752A">
        <w:rPr>
          <w:rFonts w:ascii="Candara" w:hAnsi="Candara" w:cs="Shruti"/>
          <w:color w:val="595959" w:themeColor="text1" w:themeTint="A6"/>
          <w:sz w:val="14"/>
          <w:szCs w:val="14"/>
        </w:rPr>
        <w:t>, Vol. 1 (1)</w:t>
      </w:r>
      <w:r w:rsidRPr="0096752A">
        <w:rPr>
          <w:rFonts w:ascii="Candara" w:hAnsi="Candara" w:cs="Shruti"/>
          <w:color w:val="595959" w:themeColor="text1" w:themeTint="A6"/>
          <w:sz w:val="14"/>
          <w:szCs w:val="14"/>
        </w:rPr>
        <w:t xml:space="preserve">: </w:t>
      </w:r>
      <w:r w:rsidR="00210A92" w:rsidRPr="0096752A">
        <w:rPr>
          <w:rFonts w:ascii="Candara" w:hAnsi="Candara" w:cs="Shruti"/>
          <w:color w:val="595959" w:themeColor="text1" w:themeTint="A6"/>
          <w:sz w:val="14"/>
          <w:szCs w:val="14"/>
        </w:rPr>
        <w:t>3-16</w:t>
      </w:r>
    </w:p>
    <w:p w:rsidR="00594081" w:rsidRPr="0096752A" w:rsidRDefault="00594081" w:rsidP="00A46F5A">
      <w:pPr>
        <w:pBdr>
          <w:bottom w:val="single" w:sz="4" w:space="1" w:color="auto"/>
        </w:pBdr>
        <w:spacing w:after="0" w:line="360" w:lineRule="auto"/>
        <w:jc w:val="right"/>
        <w:rPr>
          <w:rFonts w:ascii="Candara" w:hAnsi="Candara" w:cs="Shruti"/>
          <w:color w:val="595959" w:themeColor="text1" w:themeTint="A6"/>
          <w:sz w:val="14"/>
          <w:szCs w:val="14"/>
          <w:lang w:val="en-US"/>
        </w:rPr>
      </w:pPr>
      <w:r w:rsidRPr="0096752A">
        <w:rPr>
          <w:rFonts w:ascii="Candara" w:hAnsi="Candara" w:cs="Shruti"/>
          <w:color w:val="595959" w:themeColor="text1" w:themeTint="A6"/>
          <w:sz w:val="14"/>
          <w:szCs w:val="14"/>
          <w:lang w:val="en-US"/>
        </w:rPr>
        <w:t>Portuguese Journal of Beh</w:t>
      </w:r>
      <w:r w:rsidR="00A46F5A" w:rsidRPr="0096752A">
        <w:rPr>
          <w:rFonts w:ascii="Candara" w:hAnsi="Candara" w:cs="Shruti"/>
          <w:color w:val="595959" w:themeColor="text1" w:themeTint="A6"/>
          <w:sz w:val="14"/>
          <w:szCs w:val="14"/>
          <w:lang w:val="en-US"/>
        </w:rPr>
        <w:t xml:space="preserve">avioral and Social Research </w:t>
      </w:r>
      <w:r w:rsidR="00712D63" w:rsidRPr="0096752A">
        <w:rPr>
          <w:rFonts w:ascii="Candara" w:hAnsi="Candara" w:cs="Shruti"/>
          <w:color w:val="595959" w:themeColor="text1" w:themeTint="A6"/>
          <w:sz w:val="14"/>
          <w:szCs w:val="14"/>
          <w:lang w:val="en-US"/>
        </w:rPr>
        <w:t xml:space="preserve">  </w:t>
      </w:r>
      <w:r w:rsidR="00A46F5A" w:rsidRPr="0096752A">
        <w:rPr>
          <w:rFonts w:ascii="Candara" w:hAnsi="Candara" w:cs="Shruti"/>
          <w:color w:val="595959" w:themeColor="text1" w:themeTint="A6"/>
          <w:sz w:val="14"/>
          <w:szCs w:val="14"/>
          <w:lang w:val="en-US"/>
        </w:rPr>
        <w:t>2015</w:t>
      </w:r>
      <w:r w:rsidRPr="0096752A">
        <w:rPr>
          <w:rFonts w:ascii="Candara" w:hAnsi="Candara" w:cs="Shruti"/>
          <w:color w:val="595959" w:themeColor="text1" w:themeTint="A6"/>
          <w:sz w:val="14"/>
          <w:szCs w:val="14"/>
          <w:lang w:val="en-US"/>
        </w:rPr>
        <w:t xml:space="preserve">, </w:t>
      </w:r>
      <w:r w:rsidR="009C6935" w:rsidRPr="0096752A">
        <w:rPr>
          <w:rFonts w:ascii="Candara" w:hAnsi="Candara" w:cs="Shruti"/>
          <w:color w:val="595959" w:themeColor="text1" w:themeTint="A6"/>
          <w:sz w:val="14"/>
          <w:szCs w:val="14"/>
          <w:lang w:val="en-US"/>
        </w:rPr>
        <w:t>Vol. 1</w:t>
      </w:r>
      <w:r w:rsidR="00894C04">
        <w:rPr>
          <w:rFonts w:ascii="Candara" w:hAnsi="Candara" w:cs="Shruti"/>
          <w:color w:val="595959" w:themeColor="text1" w:themeTint="A6"/>
          <w:sz w:val="14"/>
          <w:szCs w:val="14"/>
          <w:lang w:val="en-US"/>
        </w:rPr>
        <w:t xml:space="preserve"> </w:t>
      </w:r>
      <w:r w:rsidR="009C6935" w:rsidRPr="0096752A">
        <w:rPr>
          <w:rFonts w:ascii="Candara" w:hAnsi="Candara" w:cs="Shruti"/>
          <w:color w:val="595959" w:themeColor="text1" w:themeTint="A6"/>
          <w:sz w:val="14"/>
          <w:szCs w:val="14"/>
          <w:lang w:val="en-US"/>
        </w:rPr>
        <w:t>(</w:t>
      </w:r>
      <w:r w:rsidRPr="0096752A">
        <w:rPr>
          <w:rFonts w:ascii="Candara" w:hAnsi="Candara" w:cs="Shruti"/>
          <w:color w:val="595959" w:themeColor="text1" w:themeTint="A6"/>
          <w:sz w:val="14"/>
          <w:szCs w:val="14"/>
          <w:lang w:val="en-US"/>
        </w:rPr>
        <w:t>1</w:t>
      </w:r>
      <w:r w:rsidR="009C6935" w:rsidRPr="0096752A">
        <w:rPr>
          <w:rFonts w:ascii="Candara" w:hAnsi="Candara" w:cs="Shruti"/>
          <w:color w:val="595959" w:themeColor="text1" w:themeTint="A6"/>
          <w:sz w:val="14"/>
          <w:szCs w:val="14"/>
          <w:lang w:val="en-US"/>
        </w:rPr>
        <w:t>)</w:t>
      </w:r>
      <w:r w:rsidRPr="0096752A">
        <w:rPr>
          <w:rFonts w:ascii="Candara" w:hAnsi="Candara" w:cs="Shruti"/>
          <w:color w:val="595959" w:themeColor="text1" w:themeTint="A6"/>
          <w:sz w:val="14"/>
          <w:szCs w:val="14"/>
          <w:lang w:val="en-US"/>
        </w:rPr>
        <w:t xml:space="preserve">: </w:t>
      </w:r>
      <w:r w:rsidR="00210A92" w:rsidRPr="0096752A">
        <w:rPr>
          <w:rFonts w:ascii="Candara" w:hAnsi="Candara" w:cs="Shruti"/>
          <w:color w:val="595959" w:themeColor="text1" w:themeTint="A6"/>
          <w:sz w:val="14"/>
          <w:szCs w:val="14"/>
          <w:lang w:val="en-US"/>
        </w:rPr>
        <w:t>3-16</w:t>
      </w:r>
    </w:p>
    <w:p w:rsidR="00594081" w:rsidRPr="0096752A" w:rsidRDefault="00594081" w:rsidP="003410BA">
      <w:pPr>
        <w:autoSpaceDE w:val="0"/>
        <w:autoSpaceDN w:val="0"/>
        <w:adjustRightInd w:val="0"/>
        <w:spacing w:after="0" w:line="240" w:lineRule="auto"/>
        <w:jc w:val="both"/>
        <w:rPr>
          <w:rFonts w:ascii="Lucida Sans" w:hAnsi="Lucida Sans" w:cs="Mangal"/>
          <w:color w:val="004D74"/>
          <w:szCs w:val="14"/>
          <w:lang w:val="en-US"/>
        </w:rPr>
      </w:pPr>
    </w:p>
    <w:p w:rsidR="001A3626" w:rsidRPr="0096752A" w:rsidRDefault="001A3626" w:rsidP="001A3626">
      <w:pPr>
        <w:pStyle w:val="FormalivreA"/>
        <w:spacing w:after="120"/>
        <w:jc w:val="both"/>
        <w:rPr>
          <w:rFonts w:ascii="Candara Bold" w:hAnsi="Candara Bold"/>
          <w:sz w:val="26"/>
          <w:lang w:val="pt-PT"/>
        </w:rPr>
      </w:pPr>
      <w:r w:rsidRPr="0096752A">
        <w:rPr>
          <w:rFonts w:ascii="Lucida Sans" w:eastAsiaTheme="minorEastAsia" w:hAnsi="Lucida Sans" w:cs="Mangal"/>
          <w:color w:val="0A615E"/>
          <w:szCs w:val="14"/>
          <w:lang w:val="pt-PT"/>
        </w:rPr>
        <w:t xml:space="preserve">Calcular e apresentar tamanhos do efeito em trabalhos científicos (1): As limitações do </w:t>
      </w:r>
      <w:r w:rsidRPr="0096752A">
        <w:rPr>
          <w:rFonts w:ascii="Lucida Sans" w:eastAsiaTheme="minorEastAsia" w:hAnsi="Lucida Sans" w:cs="Mangal"/>
          <w:i/>
          <w:color w:val="0A615E"/>
          <w:szCs w:val="14"/>
          <w:lang w:val="pt-PT"/>
        </w:rPr>
        <w:t>p</w:t>
      </w:r>
      <w:r w:rsidRPr="0096752A">
        <w:rPr>
          <w:rFonts w:ascii="Lucida Sans" w:eastAsiaTheme="minorEastAsia" w:hAnsi="Lucida Sans" w:cs="Mangal"/>
          <w:color w:val="0A615E"/>
          <w:szCs w:val="14"/>
          <w:lang w:val="pt-PT"/>
        </w:rPr>
        <w:t xml:space="preserve"> </w:t>
      </w:r>
      <w:proofErr w:type="gramStart"/>
      <w:r w:rsidRPr="0096752A">
        <w:rPr>
          <w:rFonts w:ascii="Lucida Sans" w:eastAsiaTheme="minorEastAsia" w:hAnsi="Lucida Sans" w:cs="Mangal"/>
          <w:color w:val="0A615E"/>
          <w:szCs w:val="14"/>
          <w:lang w:val="pt-PT"/>
        </w:rPr>
        <w:t>&lt; 0</w:t>
      </w:r>
      <w:proofErr w:type="gramEnd"/>
      <w:r w:rsidRPr="0096752A">
        <w:rPr>
          <w:rFonts w:ascii="Lucida Sans" w:eastAsiaTheme="minorEastAsia" w:hAnsi="Lucida Sans" w:cs="Mangal"/>
          <w:color w:val="0A615E"/>
          <w:szCs w:val="14"/>
          <w:lang w:val="pt-PT"/>
        </w:rPr>
        <w:t>,05 na análise de dif</w:t>
      </w:r>
      <w:r w:rsidRPr="006C775B">
        <w:rPr>
          <w:rFonts w:ascii="Lucida Sans" w:eastAsiaTheme="minorEastAsia" w:hAnsi="Lucida Sans" w:cs="Mangal"/>
          <w:color w:val="0A615E"/>
          <w:szCs w:val="14"/>
          <w:lang w:val="pt-PT"/>
        </w:rPr>
        <w:t>e</w:t>
      </w:r>
      <w:r w:rsidRPr="0096752A">
        <w:rPr>
          <w:rFonts w:ascii="Lucida Sans" w:eastAsiaTheme="minorEastAsia" w:hAnsi="Lucida Sans" w:cs="Mangal"/>
          <w:color w:val="0A615E"/>
          <w:szCs w:val="14"/>
          <w:lang w:val="pt-PT"/>
        </w:rPr>
        <w:t>renças de médias de dois grupos</w:t>
      </w:r>
    </w:p>
    <w:p w:rsidR="001A3626" w:rsidRPr="0096752A" w:rsidRDefault="001A3626" w:rsidP="001A3626">
      <w:pPr>
        <w:pStyle w:val="FormalivreA"/>
        <w:spacing w:after="120"/>
        <w:jc w:val="both"/>
        <w:rPr>
          <w:rFonts w:ascii="Candara Bold" w:hAnsi="Candara Bold"/>
          <w:sz w:val="28"/>
        </w:rPr>
      </w:pPr>
      <w:r w:rsidRPr="0096752A">
        <w:rPr>
          <w:rFonts w:ascii="Lucida Sans" w:eastAsiaTheme="minorEastAsia" w:hAnsi="Lucida Sans" w:cs="Mangal"/>
          <w:color w:val="595959" w:themeColor="text1" w:themeTint="A6"/>
          <w:sz w:val="20"/>
          <w:szCs w:val="14"/>
        </w:rPr>
        <w:t xml:space="preserve">Calculating and reporting effect sizes on scientific papers (1): </w:t>
      </w:r>
      <w:r w:rsidRPr="0096752A">
        <w:rPr>
          <w:rFonts w:ascii="Lucida Sans" w:eastAsiaTheme="minorEastAsia" w:hAnsi="Lucida Sans" w:cs="Mangal"/>
          <w:i/>
          <w:color w:val="595959" w:themeColor="text1" w:themeTint="A6"/>
          <w:sz w:val="20"/>
          <w:szCs w:val="14"/>
        </w:rPr>
        <w:t>p</w:t>
      </w:r>
      <w:r w:rsidRPr="0096752A">
        <w:rPr>
          <w:rFonts w:ascii="Lucida Sans" w:eastAsiaTheme="minorEastAsia" w:hAnsi="Lucida Sans" w:cs="Mangal"/>
          <w:color w:val="595959" w:themeColor="text1" w:themeTint="A6"/>
          <w:sz w:val="20"/>
          <w:szCs w:val="14"/>
        </w:rPr>
        <w:t xml:space="preserve"> &lt; 0.05 limitations in the analysis of mean differences of two groups</w:t>
      </w:r>
    </w:p>
    <w:p w:rsidR="00584AE1" w:rsidRPr="0096752A" w:rsidRDefault="00584AE1" w:rsidP="00584AE1">
      <w:pPr>
        <w:pStyle w:val="Formalivre"/>
        <w:spacing w:after="120" w:line="276" w:lineRule="auto"/>
        <w:jc w:val="both"/>
        <w:rPr>
          <w:rFonts w:ascii="Lucida Sans" w:eastAsiaTheme="minorEastAsia" w:hAnsi="Lucida Sans" w:cs="Mangal"/>
          <w:color w:val="0D7D7A"/>
          <w:spacing w:val="-10"/>
          <w:sz w:val="16"/>
          <w:szCs w:val="14"/>
          <w:bdr w:val="nil"/>
          <w:lang w:eastAsia="pt-PT"/>
        </w:rPr>
      </w:pPr>
      <w:r w:rsidRPr="0096752A">
        <w:rPr>
          <w:rFonts w:ascii="Lucida Sans" w:eastAsiaTheme="minorEastAsia" w:hAnsi="Lucida Sans" w:cs="Mangal"/>
          <w:color w:val="0D7D7A"/>
          <w:spacing w:val="-10"/>
          <w:sz w:val="16"/>
          <w:szCs w:val="14"/>
          <w:bdr w:val="nil"/>
          <w:lang w:eastAsia="pt-PT"/>
        </w:rPr>
        <w:t xml:space="preserve">Artigo </w:t>
      </w:r>
      <w:r w:rsidR="001A3626" w:rsidRPr="0096752A">
        <w:rPr>
          <w:rFonts w:ascii="Lucida Sans" w:eastAsiaTheme="minorEastAsia" w:hAnsi="Lucida Sans" w:cs="Mangal"/>
          <w:color w:val="0D7D7A"/>
          <w:spacing w:val="-10"/>
          <w:sz w:val="16"/>
          <w:szCs w:val="14"/>
          <w:bdr w:val="nil"/>
          <w:lang w:eastAsia="pt-PT"/>
        </w:rPr>
        <w:t xml:space="preserve">de </w:t>
      </w:r>
      <w:proofErr w:type="gramStart"/>
      <w:r w:rsidR="001A3626" w:rsidRPr="0096752A">
        <w:rPr>
          <w:rFonts w:ascii="Lucida Sans" w:eastAsiaTheme="minorEastAsia" w:hAnsi="Lucida Sans" w:cs="Mangal"/>
          <w:color w:val="0D7D7A"/>
          <w:spacing w:val="-10"/>
          <w:sz w:val="16"/>
          <w:szCs w:val="14"/>
          <w:bdr w:val="nil"/>
          <w:lang w:eastAsia="pt-PT"/>
        </w:rPr>
        <w:t>Revisão</w:t>
      </w:r>
      <w:r w:rsidRPr="0096752A">
        <w:rPr>
          <w:rFonts w:ascii="Lucida Sans" w:eastAsiaTheme="minorEastAsia" w:hAnsi="Lucida Sans" w:cs="Mangal"/>
          <w:color w:val="0D7D7A"/>
          <w:spacing w:val="-10"/>
          <w:sz w:val="16"/>
          <w:szCs w:val="14"/>
          <w:bdr w:val="nil"/>
          <w:lang w:eastAsia="pt-PT"/>
        </w:rPr>
        <w:t xml:space="preserve">  |</w:t>
      </w:r>
      <w:proofErr w:type="gramEnd"/>
      <w:r w:rsidRPr="0096752A">
        <w:rPr>
          <w:rFonts w:ascii="Lucida Sans" w:eastAsiaTheme="minorEastAsia" w:hAnsi="Lucida Sans" w:cs="Mangal"/>
          <w:color w:val="0D7D7A"/>
          <w:spacing w:val="-10"/>
          <w:sz w:val="16"/>
          <w:szCs w:val="14"/>
          <w:bdr w:val="nil"/>
          <w:lang w:eastAsia="pt-PT"/>
        </w:rPr>
        <w:t xml:space="preserve">   </w:t>
      </w:r>
      <w:proofErr w:type="spellStart"/>
      <w:r w:rsidR="001A3626" w:rsidRPr="0096752A">
        <w:rPr>
          <w:rFonts w:ascii="Lucida Sans" w:eastAsiaTheme="minorEastAsia" w:hAnsi="Lucida Sans" w:cs="Mangal"/>
          <w:color w:val="0D7D7A"/>
          <w:spacing w:val="-10"/>
          <w:sz w:val="16"/>
          <w:szCs w:val="14"/>
          <w:bdr w:val="nil"/>
          <w:lang w:eastAsia="pt-PT"/>
        </w:rPr>
        <w:t>Revision</w:t>
      </w:r>
      <w:proofErr w:type="spellEnd"/>
      <w:r w:rsidRPr="0096752A">
        <w:rPr>
          <w:rFonts w:ascii="Lucida Sans" w:eastAsiaTheme="minorEastAsia" w:hAnsi="Lucida Sans" w:cs="Mangal"/>
          <w:color w:val="0D7D7A"/>
          <w:spacing w:val="-10"/>
          <w:sz w:val="16"/>
          <w:szCs w:val="14"/>
          <w:bdr w:val="nil"/>
          <w:lang w:eastAsia="pt-PT"/>
        </w:rPr>
        <w:t xml:space="preserve"> </w:t>
      </w:r>
      <w:proofErr w:type="spellStart"/>
      <w:r w:rsidRPr="0096752A">
        <w:rPr>
          <w:rFonts w:ascii="Lucida Sans" w:eastAsiaTheme="minorEastAsia" w:hAnsi="Lucida Sans" w:cs="Mangal"/>
          <w:color w:val="0D7D7A"/>
          <w:spacing w:val="-10"/>
          <w:sz w:val="16"/>
          <w:szCs w:val="14"/>
          <w:bdr w:val="nil"/>
          <w:lang w:eastAsia="pt-PT"/>
        </w:rPr>
        <w:t>Article</w:t>
      </w:r>
      <w:proofErr w:type="spellEnd"/>
    </w:p>
    <w:p w:rsidR="00A678FB" w:rsidRPr="0096752A" w:rsidRDefault="00A678FB" w:rsidP="00D32979">
      <w:pPr>
        <w:autoSpaceDE w:val="0"/>
        <w:autoSpaceDN w:val="0"/>
        <w:adjustRightInd w:val="0"/>
        <w:spacing w:after="0" w:line="240" w:lineRule="auto"/>
        <w:rPr>
          <w:rFonts w:ascii="Lucida Sans" w:hAnsi="Lucida Sans" w:cs="Mangal"/>
          <w:sz w:val="16"/>
          <w:szCs w:val="14"/>
        </w:rPr>
      </w:pPr>
    </w:p>
    <w:p w:rsidR="00210A92" w:rsidRPr="0096752A" w:rsidRDefault="00210A92" w:rsidP="00210A92">
      <w:pPr>
        <w:autoSpaceDE w:val="0"/>
        <w:autoSpaceDN w:val="0"/>
        <w:adjustRightInd w:val="0"/>
        <w:spacing w:after="0" w:line="240" w:lineRule="auto"/>
        <w:rPr>
          <w:rFonts w:ascii="Lucida Sans" w:hAnsi="Lucida Sans" w:cs="Mangal"/>
          <w:sz w:val="14"/>
          <w:szCs w:val="14"/>
        </w:rPr>
      </w:pPr>
      <w:r w:rsidRPr="0096752A">
        <w:rPr>
          <w:rFonts w:ascii="Lucida Sans" w:hAnsi="Lucida Sans" w:cs="Mangal"/>
          <w:sz w:val="18"/>
          <w:szCs w:val="14"/>
        </w:rPr>
        <w:t>Helena Espírito-Santo</w:t>
      </w:r>
      <w:r w:rsidRPr="0096752A">
        <w:rPr>
          <w:rFonts w:ascii="Lucida Sans" w:hAnsi="Lucida Sans" w:cs="Mangal"/>
          <w:color w:val="A6A6A6" w:themeColor="background1" w:themeShade="A6"/>
          <w:sz w:val="18"/>
          <w:szCs w:val="14"/>
        </w:rPr>
        <w:t xml:space="preserve">, </w:t>
      </w:r>
      <w:proofErr w:type="spellStart"/>
      <w:r w:rsidRPr="0096752A">
        <w:rPr>
          <w:rFonts w:ascii="Lucida Sans" w:hAnsi="Lucida Sans" w:cs="Mangal"/>
          <w:color w:val="A6A6A6" w:themeColor="background1" w:themeShade="A6"/>
          <w:sz w:val="18"/>
          <w:szCs w:val="14"/>
        </w:rPr>
        <w:t>PhD</w:t>
      </w:r>
      <w:proofErr w:type="spellEnd"/>
      <w:r w:rsidRPr="0096752A">
        <w:rPr>
          <w:rFonts w:ascii="Lucida Sans" w:hAnsi="Lucida Sans" w:cs="Mangal"/>
          <w:color w:val="A6A6A6" w:themeColor="background1" w:themeShade="A6"/>
          <w:sz w:val="18"/>
          <w:szCs w:val="14"/>
        </w:rPr>
        <w:t xml:space="preserve"> </w:t>
      </w:r>
      <w:r w:rsidRPr="0096752A">
        <w:rPr>
          <w:rFonts w:ascii="Lucida Sans" w:hAnsi="Lucida Sans" w:cs="Mangal"/>
          <w:color w:val="A6A6A6" w:themeColor="background1" w:themeShade="A6"/>
          <w:sz w:val="14"/>
          <w:szCs w:val="14"/>
        </w:rPr>
        <w:t>(1a)</w:t>
      </w:r>
      <w:r w:rsidRPr="0096752A">
        <w:rPr>
          <w:rFonts w:ascii="Lucida Sans" w:hAnsi="Lucida Sans" w:cs="Mangal"/>
          <w:color w:val="A6A6A6" w:themeColor="background1" w:themeShade="A6"/>
          <w:sz w:val="18"/>
          <w:szCs w:val="14"/>
        </w:rPr>
        <w:t>,</w:t>
      </w:r>
      <w:r w:rsidRPr="0096752A">
        <w:rPr>
          <w:rFonts w:ascii="Lucida Sans" w:hAnsi="Lucida Sans" w:cs="Mangal"/>
          <w:sz w:val="18"/>
          <w:szCs w:val="14"/>
        </w:rPr>
        <w:t xml:space="preserve"> </w:t>
      </w:r>
      <w:r w:rsidR="00F8702A">
        <w:rPr>
          <w:rFonts w:ascii="Lucida Sans" w:hAnsi="Lucida Sans" w:cs="Mangal"/>
          <w:sz w:val="18"/>
          <w:szCs w:val="14"/>
        </w:rPr>
        <w:t xml:space="preserve">Fernanda </w:t>
      </w:r>
      <w:r w:rsidRPr="0096752A">
        <w:rPr>
          <w:rFonts w:ascii="Lucida Sans" w:hAnsi="Lucida Sans" w:cs="Mangal"/>
          <w:sz w:val="18"/>
          <w:szCs w:val="14"/>
        </w:rPr>
        <w:t>Daniel</w:t>
      </w:r>
      <w:r w:rsidRPr="0096752A">
        <w:rPr>
          <w:rFonts w:ascii="Lucida Sans" w:hAnsi="Lucida Sans" w:cs="Mangal"/>
          <w:color w:val="A6A6A6" w:themeColor="background1" w:themeShade="A6"/>
          <w:sz w:val="18"/>
          <w:szCs w:val="14"/>
        </w:rPr>
        <w:t xml:space="preserve">, </w:t>
      </w:r>
      <w:proofErr w:type="spellStart"/>
      <w:r w:rsidRPr="0096752A">
        <w:rPr>
          <w:rFonts w:ascii="Lucida Sans" w:hAnsi="Lucida Sans" w:cs="Mangal"/>
          <w:color w:val="A6A6A6" w:themeColor="background1" w:themeShade="A6"/>
          <w:sz w:val="18"/>
          <w:szCs w:val="14"/>
        </w:rPr>
        <w:t>PhD</w:t>
      </w:r>
      <w:proofErr w:type="spellEnd"/>
      <w:r w:rsidRPr="0096752A">
        <w:rPr>
          <w:rFonts w:ascii="Lucida Sans" w:hAnsi="Lucida Sans" w:cs="Mangal"/>
          <w:color w:val="A6A6A6" w:themeColor="background1" w:themeShade="A6"/>
          <w:sz w:val="18"/>
          <w:szCs w:val="14"/>
        </w:rPr>
        <w:t xml:space="preserve"> </w:t>
      </w:r>
      <w:r w:rsidR="00E54D72">
        <w:rPr>
          <w:rFonts w:ascii="Lucida Sans" w:hAnsi="Lucida Sans" w:cs="Mangal"/>
          <w:color w:val="A6A6A6" w:themeColor="background1" w:themeShade="A6"/>
          <w:sz w:val="14"/>
          <w:szCs w:val="14"/>
        </w:rPr>
        <w:t>(1a</w:t>
      </w:r>
      <w:r w:rsidRPr="0096752A">
        <w:rPr>
          <w:rFonts w:ascii="Lucida Sans" w:hAnsi="Lucida Sans" w:cs="Mangal"/>
          <w:color w:val="A6A6A6" w:themeColor="background1" w:themeShade="A6"/>
          <w:sz w:val="14"/>
          <w:szCs w:val="14"/>
        </w:rPr>
        <w:t>)</w:t>
      </w:r>
    </w:p>
    <w:p w:rsidR="00210A92" w:rsidRPr="0096752A" w:rsidRDefault="00210A92" w:rsidP="00210A92">
      <w:pPr>
        <w:autoSpaceDE w:val="0"/>
        <w:autoSpaceDN w:val="0"/>
        <w:adjustRightInd w:val="0"/>
        <w:spacing w:after="0" w:line="240" w:lineRule="auto"/>
        <w:rPr>
          <w:rFonts w:ascii="Lucida Sans" w:hAnsi="Lucida Sans" w:cs="Mangal"/>
          <w:color w:val="595959" w:themeColor="text1" w:themeTint="A6"/>
          <w:sz w:val="12"/>
          <w:szCs w:val="14"/>
        </w:rPr>
      </w:pPr>
    </w:p>
    <w:p w:rsidR="00210A92" w:rsidRPr="0096752A" w:rsidRDefault="00210A92" w:rsidP="00210A92">
      <w:pPr>
        <w:pStyle w:val="Formalivre"/>
        <w:jc w:val="both"/>
        <w:rPr>
          <w:rFonts w:ascii="Avenir Book" w:hAnsi="Avenir Book"/>
        </w:rPr>
      </w:pPr>
      <w:r w:rsidRPr="0096752A">
        <w:rPr>
          <w:rFonts w:ascii="Candara" w:hAnsi="Candara" w:cs="Mangal"/>
          <w:color w:val="595959" w:themeColor="text1" w:themeTint="A6"/>
          <w:sz w:val="14"/>
          <w:szCs w:val="14"/>
        </w:rPr>
        <w:t>(1) Instituto Superior Miguel Torga, Coimbra, Portugal</w:t>
      </w:r>
      <w:r w:rsidR="00C45944" w:rsidRPr="0096752A">
        <w:rPr>
          <w:rFonts w:ascii="Candara" w:hAnsi="Candara" w:cs="Mangal"/>
          <w:color w:val="595959" w:themeColor="text1" w:themeTint="A6"/>
          <w:sz w:val="14"/>
          <w:szCs w:val="14"/>
        </w:rPr>
        <w:t>.</w:t>
      </w:r>
    </w:p>
    <w:p w:rsidR="00210A92" w:rsidRPr="0096752A" w:rsidRDefault="00210A92" w:rsidP="00210A92">
      <w:pPr>
        <w:autoSpaceDE w:val="0"/>
        <w:autoSpaceDN w:val="0"/>
        <w:adjustRightInd w:val="0"/>
        <w:spacing w:after="0" w:line="240" w:lineRule="auto"/>
        <w:rPr>
          <w:rFonts w:ascii="Candara" w:hAnsi="Candara" w:cs="Mangal"/>
          <w:color w:val="595959" w:themeColor="text1" w:themeTint="A6"/>
          <w:sz w:val="14"/>
          <w:szCs w:val="14"/>
        </w:rPr>
      </w:pPr>
      <w:r w:rsidRPr="0096752A">
        <w:rPr>
          <w:rFonts w:ascii="Candara" w:hAnsi="Candara" w:cs="Mangal"/>
          <w:color w:val="595959" w:themeColor="text1" w:themeTint="A6"/>
          <w:sz w:val="14"/>
          <w:szCs w:val="14"/>
        </w:rPr>
        <w:t xml:space="preserve">(2) Instituto Superior Miguel Torga, Coimbra, Portugal. </w:t>
      </w:r>
    </w:p>
    <w:p w:rsidR="00210A92" w:rsidRDefault="00210A92" w:rsidP="00210A92">
      <w:pPr>
        <w:shd w:val="clear" w:color="auto" w:fill="FFFFFF"/>
        <w:spacing w:after="0" w:line="240" w:lineRule="auto"/>
        <w:rPr>
          <w:rFonts w:ascii="Candara" w:eastAsia="ヒラギノ角ゴ Pro W3" w:hAnsi="Candara" w:cs="Mangal"/>
          <w:color w:val="595959" w:themeColor="text1" w:themeTint="A6"/>
          <w:sz w:val="14"/>
          <w:szCs w:val="14"/>
          <w:lang w:eastAsia="en-US"/>
        </w:rPr>
      </w:pPr>
      <w:r w:rsidRPr="0096752A">
        <w:rPr>
          <w:rFonts w:ascii="Candara" w:hAnsi="Candara" w:cs="Mangal"/>
          <w:color w:val="595959" w:themeColor="text1" w:themeTint="A6"/>
          <w:sz w:val="14"/>
          <w:szCs w:val="14"/>
        </w:rPr>
        <w:t>(a)</w:t>
      </w:r>
      <w:r w:rsidRPr="0096752A">
        <w:rPr>
          <w:rFonts w:ascii="Candara" w:eastAsia="ヒラギノ角ゴ Pro W3" w:hAnsi="Candara" w:cs="Mangal"/>
          <w:color w:val="595959" w:themeColor="text1" w:themeTint="A6"/>
          <w:sz w:val="14"/>
          <w:szCs w:val="14"/>
          <w:lang w:eastAsia="en-US"/>
        </w:rPr>
        <w:t xml:space="preserve"> Elaboração do trabalho.</w:t>
      </w:r>
    </w:p>
    <w:p w:rsidR="00E54D72" w:rsidRPr="0096752A" w:rsidRDefault="00E54D72" w:rsidP="00210A92">
      <w:pPr>
        <w:shd w:val="clear" w:color="auto" w:fill="FFFFFF"/>
        <w:spacing w:after="0" w:line="240" w:lineRule="auto"/>
        <w:rPr>
          <w:rFonts w:ascii="Candara" w:eastAsia="ヒラギノ角ゴ Pro W3" w:hAnsi="Candara" w:cs="Mangal"/>
          <w:color w:val="595959" w:themeColor="text1" w:themeTint="A6"/>
          <w:sz w:val="14"/>
          <w:szCs w:val="14"/>
          <w:lang w:eastAsia="en-US"/>
        </w:rPr>
      </w:pPr>
    </w:p>
    <w:p w:rsidR="00DE0C9E" w:rsidRPr="0096752A" w:rsidRDefault="00DE0C9E" w:rsidP="00DE0C9E">
      <w:pPr>
        <w:spacing w:after="0"/>
        <w:rPr>
          <w:rFonts w:ascii="Times New Roman" w:eastAsia="Times New Roman" w:hAnsi="Times New Roman" w:cs="Times New Roman"/>
          <w:sz w:val="24"/>
          <w:szCs w:val="24"/>
        </w:rPr>
      </w:pPr>
      <w:r w:rsidRPr="0096752A">
        <w:rPr>
          <w:rFonts w:ascii="Candara" w:eastAsia="ヒラギノ角ゴ Pro W3" w:hAnsi="Candara" w:cs="Mangal"/>
          <w:color w:val="595959" w:themeColor="text1" w:themeTint="A6"/>
          <w:sz w:val="14"/>
          <w:szCs w:val="14"/>
          <w:lang w:eastAsia="en-US"/>
        </w:rPr>
        <w:t xml:space="preserve">Autor para </w:t>
      </w:r>
      <w:proofErr w:type="gramStart"/>
      <w:r w:rsidRPr="0096752A">
        <w:rPr>
          <w:rFonts w:ascii="Candara" w:eastAsia="ヒラギノ角ゴ Pro W3" w:hAnsi="Candara" w:cs="Mangal"/>
          <w:color w:val="595959" w:themeColor="text1" w:themeTint="A6"/>
          <w:sz w:val="14"/>
          <w:szCs w:val="14"/>
          <w:lang w:eastAsia="en-US"/>
        </w:rPr>
        <w:t>correspondência  |</w:t>
      </w:r>
      <w:proofErr w:type="gramEnd"/>
      <w:r w:rsidRPr="0096752A">
        <w:rPr>
          <w:rFonts w:ascii="Candara" w:eastAsia="ヒラギノ角ゴ Pro W3" w:hAnsi="Candara" w:cs="Mangal"/>
          <w:color w:val="595959" w:themeColor="text1" w:themeTint="A6"/>
          <w:sz w:val="14"/>
          <w:szCs w:val="14"/>
          <w:lang w:eastAsia="en-US"/>
        </w:rPr>
        <w:t xml:space="preserve">  </w:t>
      </w:r>
      <w:proofErr w:type="spellStart"/>
      <w:r w:rsidRPr="0096752A">
        <w:rPr>
          <w:rFonts w:ascii="Candara" w:eastAsia="ヒラギノ角ゴ Pro W3" w:hAnsi="Candara" w:cs="Mangal"/>
          <w:color w:val="595959" w:themeColor="text1" w:themeTint="A6"/>
          <w:sz w:val="14"/>
          <w:szCs w:val="14"/>
          <w:lang w:eastAsia="en-US"/>
        </w:rPr>
        <w:t>Corresponding</w:t>
      </w:r>
      <w:proofErr w:type="spellEnd"/>
      <w:r w:rsidRPr="0096752A">
        <w:rPr>
          <w:rFonts w:ascii="Candara" w:eastAsia="ヒラギノ角ゴ Pro W3" w:hAnsi="Candara" w:cs="Mangal"/>
          <w:color w:val="595959" w:themeColor="text1" w:themeTint="A6"/>
          <w:sz w:val="14"/>
          <w:szCs w:val="14"/>
          <w:lang w:eastAsia="en-US"/>
        </w:rPr>
        <w:t xml:space="preserve"> </w:t>
      </w:r>
      <w:proofErr w:type="spellStart"/>
      <w:r w:rsidRPr="0096752A">
        <w:rPr>
          <w:rFonts w:ascii="Candara" w:eastAsia="ヒラギノ角ゴ Pro W3" w:hAnsi="Candara" w:cs="Mangal"/>
          <w:color w:val="595959" w:themeColor="text1" w:themeTint="A6"/>
          <w:sz w:val="14"/>
          <w:szCs w:val="14"/>
          <w:lang w:eastAsia="en-US"/>
        </w:rPr>
        <w:t>author</w:t>
      </w:r>
      <w:proofErr w:type="spellEnd"/>
      <w:r w:rsidRPr="0096752A">
        <w:rPr>
          <w:rFonts w:ascii="Candara" w:eastAsia="ヒラギノ角ゴ Pro W3" w:hAnsi="Candara" w:cs="Mangal"/>
          <w:color w:val="595959" w:themeColor="text1" w:themeTint="A6"/>
          <w:sz w:val="14"/>
          <w:szCs w:val="14"/>
          <w:lang w:eastAsia="en-US"/>
        </w:rPr>
        <w:t xml:space="preserve">: Helena Espírito-Santo; Largo de Celas, 1, 3000-132 Coimbra, Portugal; +351 910637946; </w:t>
      </w:r>
      <w:r w:rsidRPr="0096752A">
        <w:rPr>
          <w:rFonts w:ascii="Candara" w:hAnsi="Candara" w:cs="Mangal"/>
          <w:color w:val="595959" w:themeColor="text1" w:themeTint="A6"/>
          <w:sz w:val="14"/>
          <w:szCs w:val="14"/>
        </w:rPr>
        <w:t>helenum@gmail.com.</w:t>
      </w:r>
    </w:p>
    <w:p w:rsidR="000F6E63" w:rsidRPr="0096752A" w:rsidRDefault="000F6E63" w:rsidP="00830380">
      <w:pPr>
        <w:pBdr>
          <w:bottom w:val="single" w:sz="4" w:space="1" w:color="auto"/>
        </w:pBdr>
        <w:autoSpaceDE w:val="0"/>
        <w:autoSpaceDN w:val="0"/>
        <w:adjustRightInd w:val="0"/>
        <w:spacing w:after="120" w:line="240" w:lineRule="auto"/>
        <w:rPr>
          <w:rFonts w:ascii="Lucida Sans" w:hAnsi="Lucida Sans" w:cs="Mangal"/>
          <w:szCs w:val="14"/>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7663"/>
      </w:tblGrid>
      <w:tr w:rsidR="00EF4528" w:rsidRPr="00894C04" w:rsidTr="0041448D">
        <w:tc>
          <w:tcPr>
            <w:tcW w:w="2943" w:type="dxa"/>
          </w:tcPr>
          <w:p w:rsidR="00830380" w:rsidRPr="0096752A" w:rsidRDefault="00830380" w:rsidP="00CC172D">
            <w:pPr>
              <w:autoSpaceDE w:val="0"/>
              <w:autoSpaceDN w:val="0"/>
              <w:adjustRightInd w:val="0"/>
              <w:jc w:val="both"/>
              <w:rPr>
                <w:rFonts w:ascii="Lucida Sans" w:hAnsi="Lucida Sans" w:cs="Mangal"/>
                <w:b/>
                <w:color w:val="004D74"/>
                <w:spacing w:val="20"/>
                <w:sz w:val="18"/>
                <w:szCs w:val="14"/>
              </w:rPr>
            </w:pPr>
          </w:p>
          <w:p w:rsidR="00F126C0" w:rsidRPr="0096752A" w:rsidRDefault="00F126C0" w:rsidP="00CC172D">
            <w:pPr>
              <w:autoSpaceDE w:val="0"/>
              <w:autoSpaceDN w:val="0"/>
              <w:adjustRightInd w:val="0"/>
              <w:jc w:val="both"/>
              <w:rPr>
                <w:rFonts w:ascii="Candara" w:hAnsi="Candara" w:cs="Mangal"/>
                <w:color w:val="0A615E"/>
                <w:sz w:val="20"/>
                <w:szCs w:val="20"/>
              </w:rPr>
            </w:pPr>
          </w:p>
          <w:p w:rsidR="0041448D" w:rsidRPr="0096752A" w:rsidRDefault="0041448D" w:rsidP="00CC172D">
            <w:pPr>
              <w:autoSpaceDE w:val="0"/>
              <w:autoSpaceDN w:val="0"/>
              <w:adjustRightInd w:val="0"/>
              <w:jc w:val="both"/>
              <w:rPr>
                <w:rFonts w:ascii="Candara" w:hAnsi="Candara" w:cs="Mangal"/>
                <w:color w:val="0A615E"/>
                <w:sz w:val="10"/>
                <w:szCs w:val="20"/>
              </w:rPr>
            </w:pPr>
          </w:p>
          <w:p w:rsidR="00566781" w:rsidRPr="0096752A" w:rsidRDefault="00566781" w:rsidP="00CC172D">
            <w:pPr>
              <w:autoSpaceDE w:val="0"/>
              <w:autoSpaceDN w:val="0"/>
              <w:adjustRightInd w:val="0"/>
              <w:jc w:val="both"/>
              <w:rPr>
                <w:rFonts w:ascii="Candara" w:hAnsi="Candara" w:cs="Mangal"/>
                <w:color w:val="0A615E"/>
                <w:sz w:val="28"/>
                <w:szCs w:val="20"/>
              </w:rPr>
            </w:pPr>
          </w:p>
          <w:p w:rsidR="00EF4528" w:rsidRPr="0096752A" w:rsidRDefault="00EF4528" w:rsidP="00CC172D">
            <w:pPr>
              <w:autoSpaceDE w:val="0"/>
              <w:autoSpaceDN w:val="0"/>
              <w:adjustRightInd w:val="0"/>
              <w:jc w:val="both"/>
              <w:rPr>
                <w:rFonts w:ascii="Candara" w:hAnsi="Candara" w:cs="Mangal"/>
                <w:color w:val="0A615E"/>
                <w:sz w:val="20"/>
                <w:szCs w:val="20"/>
              </w:rPr>
            </w:pPr>
            <w:r w:rsidRPr="0096752A">
              <w:rPr>
                <w:rFonts w:ascii="Candara" w:hAnsi="Candara" w:cs="Mangal"/>
                <w:color w:val="0A615E"/>
                <w:sz w:val="20"/>
                <w:szCs w:val="20"/>
              </w:rPr>
              <w:t>Palavras-Chave</w:t>
            </w:r>
          </w:p>
          <w:p w:rsidR="00566781" w:rsidRPr="0096752A" w:rsidRDefault="00566781" w:rsidP="00566781">
            <w:pPr>
              <w:pStyle w:val="FormalivreA"/>
              <w:jc w:val="both"/>
              <w:rPr>
                <w:rFonts w:ascii="Candara" w:hAnsi="Candara"/>
                <w:sz w:val="16"/>
                <w:lang w:val="pt-PT"/>
              </w:rPr>
            </w:pPr>
            <w:r w:rsidRPr="0096752A">
              <w:rPr>
                <w:rFonts w:ascii="Candara" w:hAnsi="Candara"/>
                <w:sz w:val="16"/>
                <w:lang w:val="pt-PT"/>
              </w:rPr>
              <w:t xml:space="preserve">Tamanho do efeito </w:t>
            </w:r>
          </w:p>
          <w:p w:rsidR="00566781" w:rsidRPr="0096752A" w:rsidRDefault="00566781" w:rsidP="00566781">
            <w:pPr>
              <w:pStyle w:val="FormalivreA"/>
              <w:jc w:val="both"/>
              <w:rPr>
                <w:rFonts w:ascii="Candara" w:hAnsi="Candara"/>
                <w:sz w:val="16"/>
                <w:lang w:val="pt-PT"/>
              </w:rPr>
            </w:pPr>
            <w:r w:rsidRPr="0096752A">
              <w:rPr>
                <w:rFonts w:ascii="Candara" w:hAnsi="Candara"/>
                <w:sz w:val="16"/>
                <w:lang w:val="pt-PT"/>
              </w:rPr>
              <w:t>Significância estatística</w:t>
            </w:r>
          </w:p>
          <w:p w:rsidR="00566781" w:rsidRPr="00AA4AAB" w:rsidRDefault="00566781" w:rsidP="00566781">
            <w:pPr>
              <w:pStyle w:val="FormalivreA"/>
              <w:jc w:val="both"/>
              <w:rPr>
                <w:rFonts w:ascii="Candara" w:hAnsi="Candara"/>
                <w:i/>
                <w:sz w:val="16"/>
                <w:lang w:val="es-ES_tradnl"/>
              </w:rPr>
            </w:pPr>
            <w:r w:rsidRPr="00AA4AAB">
              <w:rPr>
                <w:rFonts w:ascii="Candara" w:hAnsi="Candara"/>
                <w:sz w:val="16"/>
                <w:lang w:val="es-ES_tradnl"/>
              </w:rPr>
              <w:t xml:space="preserve">Valor </w:t>
            </w:r>
            <w:r w:rsidRPr="00AA4AAB">
              <w:rPr>
                <w:rFonts w:ascii="Candara" w:hAnsi="Candara"/>
                <w:i/>
                <w:sz w:val="16"/>
                <w:lang w:val="es-ES_tradnl"/>
              </w:rPr>
              <w:t>p</w:t>
            </w:r>
          </w:p>
          <w:p w:rsidR="00566781" w:rsidRPr="00AA4AAB" w:rsidRDefault="00566781" w:rsidP="00566781">
            <w:pPr>
              <w:pStyle w:val="FormalivreA"/>
              <w:jc w:val="both"/>
              <w:rPr>
                <w:rFonts w:ascii="Candara" w:hAnsi="Candara"/>
                <w:sz w:val="16"/>
                <w:lang w:val="es-ES_tradnl"/>
              </w:rPr>
            </w:pPr>
            <w:r w:rsidRPr="00AA4AAB">
              <w:rPr>
                <w:rFonts w:ascii="Candara" w:hAnsi="Candara"/>
                <w:i/>
                <w:sz w:val="16"/>
                <w:lang w:val="es-ES_tradnl"/>
              </w:rPr>
              <w:t>d</w:t>
            </w:r>
            <w:r w:rsidRPr="00AA4AAB">
              <w:rPr>
                <w:rFonts w:ascii="Candara" w:hAnsi="Candara"/>
                <w:sz w:val="16"/>
                <w:lang w:val="es-ES_tradnl"/>
              </w:rPr>
              <w:t xml:space="preserve"> de Cohen</w:t>
            </w:r>
          </w:p>
          <w:p w:rsidR="00566781" w:rsidRPr="00AA4AAB" w:rsidRDefault="00566781" w:rsidP="00566781">
            <w:pPr>
              <w:pStyle w:val="FormalivreA"/>
              <w:jc w:val="both"/>
              <w:rPr>
                <w:rFonts w:ascii="Candara" w:hAnsi="Candara"/>
                <w:sz w:val="16"/>
                <w:lang w:val="es-ES_tradnl"/>
              </w:rPr>
            </w:pPr>
            <w:r w:rsidRPr="00AA4AAB">
              <w:rPr>
                <w:rFonts w:ascii="Candara" w:hAnsi="Candara"/>
                <w:i/>
                <w:sz w:val="16"/>
                <w:lang w:val="es-ES_tradnl"/>
              </w:rPr>
              <w:t>g</w:t>
            </w:r>
            <w:r w:rsidRPr="00AA4AAB">
              <w:rPr>
                <w:rFonts w:ascii="Candara" w:hAnsi="Candara"/>
                <w:sz w:val="16"/>
                <w:lang w:val="es-ES_tradnl"/>
              </w:rPr>
              <w:t xml:space="preserve"> de </w:t>
            </w:r>
            <w:proofErr w:type="spellStart"/>
            <w:r w:rsidRPr="00AA4AAB">
              <w:rPr>
                <w:rFonts w:ascii="Candara" w:hAnsi="Candara"/>
                <w:sz w:val="16"/>
                <w:lang w:val="es-ES_tradnl"/>
              </w:rPr>
              <w:t>Hedges</w:t>
            </w:r>
            <w:proofErr w:type="spellEnd"/>
          </w:p>
          <w:p w:rsidR="00566781" w:rsidRPr="00691E52" w:rsidRDefault="00566781" w:rsidP="00566781">
            <w:pPr>
              <w:pStyle w:val="FormalivreA"/>
              <w:jc w:val="both"/>
              <w:rPr>
                <w:rFonts w:ascii="Candara" w:eastAsiaTheme="minorEastAsia" w:hAnsi="Candara" w:cs="Mangal"/>
                <w:color w:val="auto"/>
                <w:sz w:val="16"/>
                <w:szCs w:val="18"/>
                <w:lang w:val="pt-PT"/>
              </w:rPr>
            </w:pPr>
            <w:r w:rsidRPr="00691E52">
              <w:rPr>
                <w:rFonts w:ascii="Candara" w:hAnsi="Candara"/>
                <w:i/>
                <w:sz w:val="16"/>
                <w:lang w:val="pt-PT"/>
              </w:rPr>
              <w:t>Delta</w:t>
            </w:r>
            <w:r w:rsidRPr="00691E52">
              <w:rPr>
                <w:rFonts w:ascii="Candara" w:hAnsi="Candara"/>
                <w:sz w:val="16"/>
                <w:lang w:val="pt-PT"/>
              </w:rPr>
              <w:t xml:space="preserve"> de </w:t>
            </w:r>
            <w:proofErr w:type="spellStart"/>
            <w:r w:rsidRPr="00691E52">
              <w:rPr>
                <w:rFonts w:ascii="Candara" w:hAnsi="Candara"/>
                <w:sz w:val="16"/>
                <w:lang w:val="pt-PT"/>
              </w:rPr>
              <w:t>Glass</w:t>
            </w:r>
            <w:proofErr w:type="spellEnd"/>
          </w:p>
          <w:p w:rsidR="00EF4528" w:rsidRPr="00691E52" w:rsidRDefault="00EF4528" w:rsidP="00CC172D">
            <w:pPr>
              <w:autoSpaceDE w:val="0"/>
              <w:autoSpaceDN w:val="0"/>
              <w:adjustRightInd w:val="0"/>
              <w:jc w:val="both"/>
              <w:rPr>
                <w:rFonts w:ascii="Lucida Sans" w:hAnsi="Lucida Sans" w:cs="Mangal"/>
                <w:b/>
                <w:color w:val="004D74"/>
                <w:spacing w:val="20"/>
                <w:sz w:val="16"/>
                <w:szCs w:val="14"/>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691E52" w:rsidRDefault="0041448D" w:rsidP="00CC172D">
            <w:pPr>
              <w:autoSpaceDE w:val="0"/>
              <w:autoSpaceDN w:val="0"/>
              <w:adjustRightInd w:val="0"/>
              <w:jc w:val="both"/>
              <w:rPr>
                <w:rFonts w:ascii="Candara" w:hAnsi="Candara" w:cs="Mangal"/>
                <w:color w:val="0A615E"/>
                <w:sz w:val="20"/>
                <w:szCs w:val="20"/>
              </w:rPr>
            </w:pPr>
          </w:p>
          <w:p w:rsidR="0041448D" w:rsidRPr="00C57710" w:rsidRDefault="0041448D" w:rsidP="00CC172D">
            <w:pPr>
              <w:autoSpaceDE w:val="0"/>
              <w:autoSpaceDN w:val="0"/>
              <w:adjustRightInd w:val="0"/>
              <w:jc w:val="both"/>
              <w:rPr>
                <w:rFonts w:ascii="Candara" w:hAnsi="Candara" w:cs="Mangal"/>
                <w:color w:val="0A615E"/>
                <w:sz w:val="40"/>
                <w:szCs w:val="20"/>
              </w:rPr>
            </w:pPr>
          </w:p>
          <w:p w:rsidR="00EF4528" w:rsidRPr="0096752A" w:rsidRDefault="00EF4528" w:rsidP="00CC172D">
            <w:pPr>
              <w:autoSpaceDE w:val="0"/>
              <w:autoSpaceDN w:val="0"/>
              <w:adjustRightInd w:val="0"/>
              <w:jc w:val="both"/>
              <w:rPr>
                <w:rFonts w:ascii="Candara" w:hAnsi="Candara" w:cs="Mangal"/>
                <w:color w:val="0A615E"/>
                <w:sz w:val="20"/>
                <w:szCs w:val="20"/>
                <w:lang w:val="en-US"/>
              </w:rPr>
            </w:pPr>
            <w:r w:rsidRPr="0096752A">
              <w:rPr>
                <w:rFonts w:ascii="Candara" w:hAnsi="Candara" w:cs="Mangal"/>
                <w:color w:val="0A615E"/>
                <w:sz w:val="20"/>
                <w:szCs w:val="20"/>
                <w:lang w:val="en-US"/>
              </w:rPr>
              <w:t>Keywords</w:t>
            </w:r>
          </w:p>
          <w:p w:rsidR="00566781" w:rsidRPr="0096752A" w:rsidRDefault="00566781" w:rsidP="00566781">
            <w:pPr>
              <w:pStyle w:val="FormalivreA"/>
              <w:spacing w:line="276" w:lineRule="auto"/>
              <w:jc w:val="both"/>
              <w:rPr>
                <w:rFonts w:ascii="Candara" w:eastAsiaTheme="minorEastAsia" w:hAnsi="Candara" w:cs="Mangal"/>
                <w:color w:val="auto"/>
                <w:sz w:val="16"/>
                <w:szCs w:val="18"/>
              </w:rPr>
            </w:pPr>
            <w:r w:rsidRPr="0096752A">
              <w:rPr>
                <w:rFonts w:ascii="Candara" w:eastAsiaTheme="minorEastAsia" w:hAnsi="Candara" w:cs="Mangal"/>
                <w:color w:val="auto"/>
                <w:sz w:val="16"/>
                <w:szCs w:val="18"/>
              </w:rPr>
              <w:t>Effect size</w:t>
            </w:r>
          </w:p>
          <w:p w:rsidR="00566781" w:rsidRPr="0096752A" w:rsidRDefault="00566781" w:rsidP="00566781">
            <w:pPr>
              <w:pStyle w:val="FormalivreA"/>
              <w:spacing w:line="276" w:lineRule="auto"/>
              <w:jc w:val="both"/>
              <w:rPr>
                <w:rFonts w:ascii="Candara" w:eastAsiaTheme="minorEastAsia" w:hAnsi="Candara" w:cs="Mangal"/>
                <w:color w:val="auto"/>
                <w:sz w:val="16"/>
                <w:szCs w:val="18"/>
              </w:rPr>
            </w:pPr>
            <w:r w:rsidRPr="0096752A">
              <w:rPr>
                <w:rFonts w:ascii="Candara" w:eastAsiaTheme="minorEastAsia" w:hAnsi="Candara" w:cs="Mangal"/>
                <w:color w:val="auto"/>
                <w:sz w:val="16"/>
                <w:szCs w:val="18"/>
              </w:rPr>
              <w:t>Statistical significance</w:t>
            </w:r>
          </w:p>
          <w:p w:rsidR="00566781" w:rsidRPr="0096752A" w:rsidRDefault="00566781" w:rsidP="00566781">
            <w:pPr>
              <w:pStyle w:val="FormalivreA"/>
              <w:spacing w:line="276" w:lineRule="auto"/>
              <w:jc w:val="both"/>
              <w:rPr>
                <w:rFonts w:ascii="Candara" w:eastAsiaTheme="minorEastAsia" w:hAnsi="Candara" w:cs="Mangal"/>
                <w:color w:val="auto"/>
                <w:sz w:val="16"/>
                <w:szCs w:val="18"/>
              </w:rPr>
            </w:pPr>
            <w:r w:rsidRPr="0096752A">
              <w:rPr>
                <w:rFonts w:ascii="Candara" w:eastAsiaTheme="minorEastAsia" w:hAnsi="Candara" w:cs="Mangal"/>
                <w:i/>
                <w:color w:val="auto"/>
                <w:sz w:val="16"/>
                <w:szCs w:val="18"/>
              </w:rPr>
              <w:t>p</w:t>
            </w:r>
            <w:r w:rsidRPr="0096752A">
              <w:rPr>
                <w:rFonts w:ascii="Candara" w:eastAsiaTheme="minorEastAsia" w:hAnsi="Candara" w:cs="Mangal"/>
                <w:color w:val="auto"/>
                <w:sz w:val="16"/>
                <w:szCs w:val="18"/>
              </w:rPr>
              <w:t>-value</w:t>
            </w:r>
          </w:p>
          <w:p w:rsidR="00566781" w:rsidRPr="0096752A" w:rsidRDefault="00566781" w:rsidP="00566781">
            <w:pPr>
              <w:pStyle w:val="FormalivreA"/>
              <w:spacing w:line="276" w:lineRule="auto"/>
              <w:jc w:val="both"/>
              <w:rPr>
                <w:rFonts w:ascii="Candara" w:eastAsiaTheme="minorEastAsia" w:hAnsi="Candara" w:cs="Mangal"/>
                <w:color w:val="auto"/>
                <w:sz w:val="16"/>
                <w:szCs w:val="18"/>
              </w:rPr>
            </w:pPr>
            <w:r w:rsidRPr="0096752A">
              <w:rPr>
                <w:rFonts w:ascii="Candara" w:eastAsiaTheme="minorEastAsia" w:hAnsi="Candara" w:cs="Mangal"/>
                <w:color w:val="auto"/>
                <w:sz w:val="16"/>
                <w:szCs w:val="18"/>
              </w:rPr>
              <w:t xml:space="preserve">Cohen’s </w:t>
            </w:r>
            <w:r w:rsidRPr="0096752A">
              <w:rPr>
                <w:rFonts w:ascii="Candara" w:eastAsiaTheme="minorEastAsia" w:hAnsi="Candara" w:cs="Mangal"/>
                <w:i/>
                <w:color w:val="auto"/>
                <w:sz w:val="16"/>
                <w:szCs w:val="18"/>
              </w:rPr>
              <w:t>d</w:t>
            </w:r>
          </w:p>
          <w:p w:rsidR="00566781" w:rsidRPr="0096752A" w:rsidRDefault="00566781" w:rsidP="00566781">
            <w:pPr>
              <w:pStyle w:val="FormalivreA"/>
              <w:spacing w:line="276" w:lineRule="auto"/>
              <w:jc w:val="both"/>
              <w:rPr>
                <w:rFonts w:ascii="Candara" w:eastAsiaTheme="minorEastAsia" w:hAnsi="Candara" w:cs="Mangal"/>
                <w:color w:val="auto"/>
                <w:sz w:val="16"/>
                <w:szCs w:val="18"/>
              </w:rPr>
            </w:pPr>
            <w:r w:rsidRPr="0096752A">
              <w:rPr>
                <w:rFonts w:ascii="Candara" w:eastAsiaTheme="minorEastAsia" w:hAnsi="Candara" w:cs="Mangal"/>
                <w:color w:val="auto"/>
                <w:sz w:val="16"/>
                <w:szCs w:val="18"/>
              </w:rPr>
              <w:t xml:space="preserve">Hedges’ </w:t>
            </w:r>
            <w:r w:rsidRPr="0096752A">
              <w:rPr>
                <w:rFonts w:ascii="Candara" w:eastAsiaTheme="minorEastAsia" w:hAnsi="Candara" w:cs="Mangal"/>
                <w:i/>
                <w:color w:val="auto"/>
                <w:sz w:val="16"/>
                <w:szCs w:val="18"/>
              </w:rPr>
              <w:t>g</w:t>
            </w:r>
          </w:p>
          <w:p w:rsidR="00566781" w:rsidRPr="0096752A" w:rsidRDefault="00566781" w:rsidP="00566781">
            <w:pPr>
              <w:pStyle w:val="FormalivreA"/>
              <w:spacing w:line="276" w:lineRule="auto"/>
              <w:jc w:val="both"/>
              <w:rPr>
                <w:rFonts w:ascii="Candara" w:hAnsi="Candara"/>
                <w:sz w:val="18"/>
                <w:lang w:val="en-GB"/>
              </w:rPr>
            </w:pPr>
            <w:r w:rsidRPr="0096752A">
              <w:rPr>
                <w:rFonts w:ascii="Candara" w:eastAsiaTheme="minorEastAsia" w:hAnsi="Candara" w:cs="Mangal"/>
                <w:color w:val="auto"/>
                <w:sz w:val="16"/>
                <w:szCs w:val="18"/>
              </w:rPr>
              <w:t>Glass’s Delta</w:t>
            </w:r>
          </w:p>
          <w:p w:rsidR="00EF4528" w:rsidRPr="0096752A" w:rsidRDefault="00EF4528" w:rsidP="00CC172D">
            <w:pPr>
              <w:autoSpaceDE w:val="0"/>
              <w:autoSpaceDN w:val="0"/>
              <w:adjustRightInd w:val="0"/>
              <w:jc w:val="both"/>
              <w:rPr>
                <w:rFonts w:ascii="Mangal" w:hAnsi="Mangal" w:cs="Mangal"/>
                <w:b/>
                <w:sz w:val="16"/>
                <w:szCs w:val="18"/>
                <w:lang w:val="en-GB"/>
              </w:rPr>
            </w:pPr>
          </w:p>
          <w:p w:rsidR="000F6E63" w:rsidRPr="0096752A" w:rsidRDefault="000F6E63" w:rsidP="00975A94">
            <w:pPr>
              <w:autoSpaceDE w:val="0"/>
              <w:autoSpaceDN w:val="0"/>
              <w:adjustRightInd w:val="0"/>
              <w:jc w:val="both"/>
              <w:rPr>
                <w:rFonts w:ascii="Candara" w:hAnsi="Candara" w:cs="Mangal"/>
                <w:sz w:val="18"/>
                <w:szCs w:val="18"/>
                <w:lang w:val="en-US"/>
              </w:rPr>
            </w:pPr>
          </w:p>
          <w:p w:rsidR="00975A94" w:rsidRPr="0096752A" w:rsidRDefault="00975A94" w:rsidP="00CC172D">
            <w:pPr>
              <w:autoSpaceDE w:val="0"/>
              <w:autoSpaceDN w:val="0"/>
              <w:adjustRightInd w:val="0"/>
              <w:jc w:val="both"/>
              <w:rPr>
                <w:rFonts w:ascii="Mangal" w:hAnsi="Mangal" w:cs="Mangal"/>
                <w:b/>
                <w:sz w:val="18"/>
                <w:szCs w:val="18"/>
                <w:lang w:val="en-US"/>
              </w:rPr>
            </w:pPr>
          </w:p>
        </w:tc>
        <w:tc>
          <w:tcPr>
            <w:tcW w:w="7663" w:type="dxa"/>
          </w:tcPr>
          <w:p w:rsidR="00830380" w:rsidRPr="00691E52" w:rsidRDefault="00830380" w:rsidP="00CC172D">
            <w:pPr>
              <w:autoSpaceDE w:val="0"/>
              <w:autoSpaceDN w:val="0"/>
              <w:adjustRightInd w:val="0"/>
              <w:jc w:val="both"/>
              <w:rPr>
                <w:rFonts w:ascii="Lucida Sans" w:hAnsi="Lucida Sans" w:cs="Mangal"/>
                <w:b/>
                <w:color w:val="004D74"/>
                <w:spacing w:val="20"/>
                <w:sz w:val="18"/>
                <w:szCs w:val="14"/>
                <w:lang w:val="en-US"/>
              </w:rPr>
            </w:pPr>
          </w:p>
          <w:p w:rsidR="00566781" w:rsidRPr="00691E52" w:rsidRDefault="00566781" w:rsidP="00CC172D">
            <w:pPr>
              <w:autoSpaceDE w:val="0"/>
              <w:autoSpaceDN w:val="0"/>
              <w:adjustRightInd w:val="0"/>
              <w:jc w:val="both"/>
              <w:rPr>
                <w:rFonts w:ascii="Candara" w:hAnsi="Candara" w:cs="Mangal"/>
                <w:color w:val="0A615E"/>
                <w:spacing w:val="20"/>
                <w:szCs w:val="14"/>
                <w:lang w:val="en-US"/>
              </w:rPr>
            </w:pPr>
          </w:p>
          <w:p w:rsidR="00EF4528" w:rsidRPr="0096752A" w:rsidRDefault="0041448D" w:rsidP="00CC172D">
            <w:pPr>
              <w:autoSpaceDE w:val="0"/>
              <w:autoSpaceDN w:val="0"/>
              <w:adjustRightInd w:val="0"/>
              <w:jc w:val="both"/>
              <w:rPr>
                <w:rFonts w:ascii="Candara" w:hAnsi="Candara" w:cs="Mangal"/>
                <w:color w:val="0A615E"/>
                <w:spacing w:val="20"/>
                <w:szCs w:val="14"/>
              </w:rPr>
            </w:pPr>
            <w:r w:rsidRPr="0096752A">
              <w:rPr>
                <w:rFonts w:ascii="Candara" w:hAnsi="Candara" w:cs="Mangal"/>
                <w:color w:val="0A615E"/>
                <w:spacing w:val="20"/>
                <w:szCs w:val="14"/>
              </w:rPr>
              <w:t>RESUMO</w:t>
            </w:r>
          </w:p>
          <w:p w:rsidR="00EF4528" w:rsidRPr="0096752A" w:rsidRDefault="00EF4528" w:rsidP="00CC172D">
            <w:pPr>
              <w:autoSpaceDE w:val="0"/>
              <w:autoSpaceDN w:val="0"/>
              <w:adjustRightInd w:val="0"/>
              <w:jc w:val="both"/>
              <w:rPr>
                <w:rFonts w:ascii="Candara" w:hAnsi="Candara" w:cs="Mangal"/>
                <w:b/>
                <w:sz w:val="8"/>
                <w:szCs w:val="14"/>
              </w:rPr>
            </w:pPr>
          </w:p>
          <w:p w:rsidR="003F548E" w:rsidRPr="0096752A" w:rsidRDefault="003F548E" w:rsidP="003F548E">
            <w:pPr>
              <w:pStyle w:val="FormalivreA"/>
              <w:spacing w:line="276" w:lineRule="auto"/>
              <w:jc w:val="both"/>
              <w:rPr>
                <w:rFonts w:ascii="Candara" w:hAnsi="Candara"/>
                <w:sz w:val="16"/>
                <w:lang w:val="pt-PT"/>
              </w:rPr>
            </w:pPr>
            <w:r w:rsidRPr="0096752A">
              <w:rPr>
                <w:rFonts w:ascii="Candara" w:hAnsi="Candara"/>
                <w:sz w:val="16"/>
                <w:lang w:val="pt-PT"/>
              </w:rPr>
              <w:t xml:space="preserve">A </w:t>
            </w:r>
            <w:r w:rsidRPr="0096752A">
              <w:rPr>
                <w:rFonts w:ascii="Candara Italic" w:hAnsi="Candara Italic"/>
                <w:sz w:val="16"/>
                <w:lang w:val="pt-PT"/>
              </w:rPr>
              <w:t>Revista Portuguesa de Investigação Comportamental e Social</w:t>
            </w:r>
            <w:r w:rsidRPr="0096752A">
              <w:rPr>
                <w:rFonts w:ascii="Candara" w:hAnsi="Candara"/>
                <w:sz w:val="16"/>
                <w:lang w:val="pt-PT"/>
              </w:rPr>
              <w:t xml:space="preserve"> exige que os autores sigam as recomendações do </w:t>
            </w:r>
            <w:proofErr w:type="spellStart"/>
            <w:r w:rsidRPr="0096752A">
              <w:rPr>
                <w:rFonts w:ascii="Candara" w:hAnsi="Candara"/>
                <w:i/>
                <w:sz w:val="16"/>
                <w:lang w:val="pt-PT"/>
              </w:rPr>
              <w:t>Publication</w:t>
            </w:r>
            <w:proofErr w:type="spellEnd"/>
            <w:r w:rsidRPr="0096752A">
              <w:rPr>
                <w:rFonts w:ascii="Candara" w:hAnsi="Candara"/>
                <w:i/>
                <w:sz w:val="16"/>
                <w:lang w:val="pt-PT"/>
              </w:rPr>
              <w:t xml:space="preserve"> Manual </w:t>
            </w:r>
            <w:proofErr w:type="spellStart"/>
            <w:r w:rsidRPr="0096752A">
              <w:rPr>
                <w:rFonts w:ascii="Candara" w:hAnsi="Candara"/>
                <w:i/>
                <w:sz w:val="16"/>
                <w:lang w:val="pt-PT"/>
              </w:rPr>
              <w:t>of</w:t>
            </w:r>
            <w:proofErr w:type="spellEnd"/>
            <w:r w:rsidRPr="0096752A">
              <w:rPr>
                <w:rFonts w:ascii="Candara" w:hAnsi="Candara"/>
                <w:i/>
                <w:sz w:val="16"/>
                <w:lang w:val="pt-PT"/>
              </w:rPr>
              <w:t xml:space="preserve"> </w:t>
            </w:r>
            <w:proofErr w:type="spellStart"/>
            <w:r w:rsidRPr="0096752A">
              <w:rPr>
                <w:rFonts w:ascii="Candara" w:hAnsi="Candara"/>
                <w:i/>
                <w:sz w:val="16"/>
                <w:lang w:val="pt-PT"/>
              </w:rPr>
              <w:t>the</w:t>
            </w:r>
            <w:proofErr w:type="spellEnd"/>
            <w:r w:rsidRPr="0096752A">
              <w:rPr>
                <w:rFonts w:ascii="Candara" w:hAnsi="Candara"/>
                <w:i/>
                <w:sz w:val="16"/>
                <w:lang w:val="pt-PT"/>
              </w:rPr>
              <w:t xml:space="preserve"> </w:t>
            </w:r>
            <w:proofErr w:type="spellStart"/>
            <w:r w:rsidRPr="0096752A">
              <w:rPr>
                <w:rFonts w:ascii="Candara" w:hAnsi="Candara"/>
                <w:i/>
                <w:sz w:val="16"/>
                <w:lang w:val="pt-PT"/>
              </w:rPr>
              <w:t>American</w:t>
            </w:r>
            <w:proofErr w:type="spellEnd"/>
            <w:r w:rsidRPr="0096752A">
              <w:rPr>
                <w:rFonts w:ascii="Candara" w:hAnsi="Candara"/>
                <w:i/>
                <w:sz w:val="16"/>
                <w:lang w:val="pt-PT"/>
              </w:rPr>
              <w:t xml:space="preserve"> </w:t>
            </w:r>
            <w:proofErr w:type="spellStart"/>
            <w:r w:rsidRPr="0096752A">
              <w:rPr>
                <w:rFonts w:ascii="Candara" w:hAnsi="Candara"/>
                <w:i/>
                <w:sz w:val="16"/>
                <w:lang w:val="pt-PT"/>
              </w:rPr>
              <w:t>Psychological</w:t>
            </w:r>
            <w:proofErr w:type="spellEnd"/>
            <w:r w:rsidRPr="0096752A">
              <w:rPr>
                <w:rFonts w:ascii="Candara" w:hAnsi="Candara"/>
                <w:i/>
                <w:sz w:val="16"/>
                <w:lang w:val="pt-PT"/>
              </w:rPr>
              <w:t xml:space="preserve"> </w:t>
            </w:r>
            <w:proofErr w:type="spellStart"/>
            <w:r w:rsidRPr="0096752A">
              <w:rPr>
                <w:rFonts w:ascii="Candara" w:hAnsi="Candara"/>
                <w:i/>
                <w:sz w:val="16"/>
                <w:lang w:val="pt-PT"/>
              </w:rPr>
              <w:t>Association</w:t>
            </w:r>
            <w:proofErr w:type="spellEnd"/>
            <w:r w:rsidRPr="0096752A">
              <w:rPr>
                <w:rFonts w:ascii="Candara" w:hAnsi="Candara"/>
                <w:sz w:val="16"/>
                <w:lang w:val="pt-PT"/>
              </w:rPr>
              <w:t xml:space="preserve"> (APA, 2010) na apresentação da informação estatística. Uma das recomendações da APA é de que os tamanhos do efeito sejam apresentados associados aos níveis de significância estatística. Uma vez que os valores de</w:t>
            </w:r>
            <w:r w:rsidRPr="0096752A">
              <w:rPr>
                <w:rFonts w:ascii="Candara" w:hAnsi="Candara"/>
                <w:i/>
                <w:sz w:val="16"/>
                <w:u w:color="00B050"/>
                <w:lang w:val="pt-PT"/>
              </w:rPr>
              <w:t xml:space="preserve"> p </w:t>
            </w:r>
            <w:r w:rsidRPr="0096752A">
              <w:rPr>
                <w:rFonts w:ascii="Candara" w:hAnsi="Candara"/>
                <w:sz w:val="16"/>
                <w:lang w:val="pt-PT"/>
              </w:rPr>
              <w:t xml:space="preserve">decorrentes dos resultados dos testes estatísticos não informam sobre a magnitude ou importância de uma diferença, devem então reportar-se os tamanhos do efeito (TDE). De facto, os TDE dão significado aos testes estatísticos, enfatizam o poder dos testes estatísticos, reduzem o risco de a mera variação </w:t>
            </w:r>
            <w:proofErr w:type="spellStart"/>
            <w:r w:rsidRPr="0096752A">
              <w:rPr>
                <w:rFonts w:ascii="Candara" w:hAnsi="Candara"/>
                <w:sz w:val="16"/>
                <w:lang w:val="pt-PT"/>
              </w:rPr>
              <w:t>amostral</w:t>
            </w:r>
            <w:proofErr w:type="spellEnd"/>
            <w:r w:rsidRPr="0096752A">
              <w:rPr>
                <w:rFonts w:ascii="Candara" w:hAnsi="Candara"/>
                <w:sz w:val="16"/>
                <w:lang w:val="pt-PT"/>
              </w:rPr>
              <w:t xml:space="preserve"> ser interpretada como</w:t>
            </w:r>
            <w:r w:rsidRPr="0096752A">
              <w:rPr>
                <w:sz w:val="18"/>
                <w:lang w:val="pt-PT"/>
              </w:rPr>
              <w:t xml:space="preserve"> </w:t>
            </w:r>
            <w:r w:rsidRPr="0096752A">
              <w:rPr>
                <w:rFonts w:ascii="Candara" w:hAnsi="Candara"/>
                <w:sz w:val="16"/>
                <w:lang w:val="pt-PT"/>
              </w:rPr>
              <w:t xml:space="preserve">relação real, podem aumentar o relato de resultados “não-significativos” e permitem acumular conhecimento de vários estudos usando a meta-análise. </w:t>
            </w:r>
          </w:p>
          <w:p w:rsidR="003F548E" w:rsidRPr="0096752A" w:rsidRDefault="003F548E" w:rsidP="003F548E">
            <w:pPr>
              <w:pStyle w:val="FormalivreA"/>
              <w:spacing w:line="276" w:lineRule="auto"/>
              <w:jc w:val="both"/>
              <w:rPr>
                <w:rFonts w:ascii="Candara" w:hAnsi="Candara"/>
                <w:sz w:val="16"/>
                <w:lang w:val="pt-PT"/>
              </w:rPr>
            </w:pPr>
            <w:r w:rsidRPr="0096752A">
              <w:rPr>
                <w:rFonts w:ascii="Candara" w:hAnsi="Candara"/>
                <w:sz w:val="16"/>
                <w:lang w:val="pt-PT"/>
              </w:rPr>
              <w:t>Assim, os objetivos deste artigo são os de apresentar os limites do nível de significância; descrever os fundamentos da apresentação dos TDE dos testes estatísticos para análise de diferenças entre dois grupos; apresentar as fórmulas para calcular os TDE, fornecendo exemplos de estudos nossos; apresentar procedimentos de cálculo dos intervalos de confiança;</w:t>
            </w:r>
            <w:r w:rsidRPr="0096752A">
              <w:rPr>
                <w:sz w:val="18"/>
                <w:lang w:val="pt-PT"/>
              </w:rPr>
              <w:t xml:space="preserve"> </w:t>
            </w:r>
            <w:r w:rsidRPr="0096752A">
              <w:rPr>
                <w:rFonts w:ascii="Candara" w:hAnsi="Candara"/>
                <w:sz w:val="16"/>
                <w:lang w:val="pt-PT"/>
              </w:rPr>
              <w:t xml:space="preserve">fornecer as fórmulas de conversão para revisão da literatura; indicar como interpretar os TDE; e ainda mostrar que, apesar de frequentemente ser interpretável, o significado (efeito pequeno, médio ou grande para uma métrica arbitrária) pode ser impreciso, havendo necessidade de ser interpretado no contexto da área de investigação e de variáveis do mundo real. </w:t>
            </w:r>
          </w:p>
          <w:p w:rsidR="0041448D" w:rsidRPr="0096752A" w:rsidRDefault="0041448D" w:rsidP="003A0690">
            <w:pPr>
              <w:pStyle w:val="FormalivreA"/>
              <w:jc w:val="both"/>
              <w:rPr>
                <w:rFonts w:ascii="Candara" w:eastAsiaTheme="minorEastAsia" w:hAnsi="Candara" w:cs="Mangal"/>
                <w:color w:val="auto"/>
                <w:sz w:val="16"/>
                <w:szCs w:val="18"/>
                <w:lang w:val="pt-PT"/>
              </w:rPr>
            </w:pPr>
          </w:p>
          <w:p w:rsidR="00566781" w:rsidRPr="0096752A" w:rsidRDefault="00566781" w:rsidP="003A0690">
            <w:pPr>
              <w:pStyle w:val="FormalivreA"/>
              <w:jc w:val="both"/>
              <w:rPr>
                <w:rFonts w:ascii="Candara" w:eastAsiaTheme="minorEastAsia" w:hAnsi="Candara" w:cs="Mangal"/>
                <w:color w:val="auto"/>
                <w:sz w:val="16"/>
                <w:szCs w:val="18"/>
                <w:lang w:val="pt-PT"/>
              </w:rPr>
            </w:pPr>
          </w:p>
          <w:p w:rsidR="00566781" w:rsidRPr="0096752A" w:rsidRDefault="00566781" w:rsidP="003A0690">
            <w:pPr>
              <w:pStyle w:val="FormalivreA"/>
              <w:jc w:val="both"/>
              <w:rPr>
                <w:rFonts w:ascii="Candara" w:eastAsiaTheme="minorEastAsia" w:hAnsi="Candara" w:cs="Mangal"/>
                <w:color w:val="auto"/>
                <w:sz w:val="16"/>
                <w:szCs w:val="18"/>
                <w:lang w:val="pt-PT"/>
              </w:rPr>
            </w:pPr>
          </w:p>
          <w:p w:rsidR="0041448D" w:rsidRPr="0096752A" w:rsidRDefault="0041448D" w:rsidP="0041448D">
            <w:pPr>
              <w:autoSpaceDE w:val="0"/>
              <w:autoSpaceDN w:val="0"/>
              <w:adjustRightInd w:val="0"/>
              <w:ind w:left="34"/>
              <w:jc w:val="both"/>
              <w:rPr>
                <w:rFonts w:ascii="Candara" w:hAnsi="Candara" w:cs="Mangal"/>
                <w:color w:val="0A615E"/>
                <w:spacing w:val="20"/>
                <w:szCs w:val="14"/>
                <w:lang w:val="en-US"/>
              </w:rPr>
            </w:pPr>
            <w:r w:rsidRPr="0096752A">
              <w:rPr>
                <w:rFonts w:ascii="Candara" w:hAnsi="Candara" w:cs="Mangal"/>
                <w:color w:val="0A615E"/>
                <w:spacing w:val="20"/>
                <w:szCs w:val="14"/>
                <w:lang w:val="en-US"/>
              </w:rPr>
              <w:t>ABSTRACT</w:t>
            </w:r>
          </w:p>
          <w:p w:rsidR="0041448D" w:rsidRPr="0096752A" w:rsidRDefault="0041448D" w:rsidP="0041448D">
            <w:pPr>
              <w:autoSpaceDE w:val="0"/>
              <w:autoSpaceDN w:val="0"/>
              <w:adjustRightInd w:val="0"/>
              <w:ind w:left="2977"/>
              <w:jc w:val="both"/>
              <w:rPr>
                <w:rFonts w:ascii="Candara" w:hAnsi="Candara" w:cs="Mangal"/>
                <w:color w:val="0A615E"/>
                <w:spacing w:val="20"/>
                <w:sz w:val="8"/>
                <w:szCs w:val="14"/>
                <w:lang w:val="en-US"/>
              </w:rPr>
            </w:pPr>
          </w:p>
          <w:p w:rsidR="003F548E" w:rsidRPr="0096752A" w:rsidRDefault="003F548E" w:rsidP="003F548E">
            <w:pPr>
              <w:pStyle w:val="FormalivreA"/>
              <w:spacing w:line="276" w:lineRule="auto"/>
              <w:jc w:val="both"/>
              <w:rPr>
                <w:rFonts w:ascii="Candara" w:hAnsi="Candara"/>
                <w:sz w:val="16"/>
              </w:rPr>
            </w:pPr>
            <w:r w:rsidRPr="0096752A">
              <w:rPr>
                <w:rFonts w:ascii="Candara" w:hAnsi="Candara"/>
                <w:sz w:val="16"/>
              </w:rPr>
              <w:t xml:space="preserve">The Portuguese Journal of Behavioral and Social Research </w:t>
            </w:r>
            <w:proofErr w:type="gramStart"/>
            <w:r w:rsidRPr="0096752A">
              <w:rPr>
                <w:rFonts w:ascii="Candara" w:hAnsi="Candara"/>
                <w:sz w:val="16"/>
              </w:rPr>
              <w:t>requires</w:t>
            </w:r>
            <w:proofErr w:type="gramEnd"/>
            <w:r w:rsidRPr="0096752A">
              <w:rPr>
                <w:rFonts w:ascii="Candara" w:hAnsi="Candara"/>
                <w:sz w:val="16"/>
              </w:rPr>
              <w:t xml:space="preserve"> authors to follow the recommendations of the Publication Manual of the American Psychological Association (APA, 2010) in the presentation of statistical information. One of the APA recommendations is that effect sizes should be presented along with levels of statistical significance. Since p-values from the results of the statistical tests do not indicate the magnitude or importance of a difference, then effect sizes (ES) should reported. In fact, ES give meaning to statistical tests; emphasize the power of statistical tests; reduce the risk of interpret mere sampling variation as real relationship; can increase the reporting of “non-</w:t>
            </w:r>
            <w:proofErr w:type="spellStart"/>
            <w:r w:rsidRPr="0096752A">
              <w:rPr>
                <w:rFonts w:ascii="Candara" w:hAnsi="Candara"/>
                <w:sz w:val="16"/>
              </w:rPr>
              <w:t>significant"results</w:t>
            </w:r>
            <w:proofErr w:type="spellEnd"/>
            <w:r w:rsidRPr="0096752A">
              <w:rPr>
                <w:rFonts w:ascii="Candara" w:hAnsi="Candara"/>
                <w:sz w:val="16"/>
              </w:rPr>
              <w:t>, and allow the accumulation of knowledge from several studies using meta-analysis.</w:t>
            </w:r>
          </w:p>
          <w:p w:rsidR="003F548E" w:rsidRPr="0096752A" w:rsidRDefault="003F548E" w:rsidP="003F548E">
            <w:pPr>
              <w:pStyle w:val="FormalivreA"/>
              <w:spacing w:line="276" w:lineRule="auto"/>
              <w:jc w:val="both"/>
              <w:rPr>
                <w:rFonts w:ascii="Candara" w:hAnsi="Candara"/>
                <w:sz w:val="16"/>
              </w:rPr>
            </w:pPr>
            <w:r w:rsidRPr="0096752A">
              <w:rPr>
                <w:rFonts w:ascii="Candara" w:hAnsi="Candara"/>
                <w:sz w:val="16"/>
              </w:rPr>
              <w:t>Thus, the objectives of this paper are to present the limits of the significance level; describe the foundations of presentation of ES of statistical tests to analyze differences between two groups; present the formulas to calculate directly ES, providing examples of our own previous studies; show how to calculate confidence intervals; provide the conversion formulas for the review of the literature; indicate how to interpret the ES; and show that, although interpretable, the meaning (small, medium or large effect for an arbitrary metric) could be inaccurate, requiring that interpretation should be made in the context of the research area and in the context of real world variables.</w:t>
            </w:r>
          </w:p>
          <w:p w:rsidR="009F2EDB" w:rsidRPr="0096752A" w:rsidRDefault="009F2EDB" w:rsidP="003A0690">
            <w:pPr>
              <w:pStyle w:val="FormalivreA"/>
              <w:jc w:val="both"/>
              <w:rPr>
                <w:rFonts w:ascii="Tahoma" w:hAnsi="Tahoma" w:cs="Tahoma"/>
                <w:color w:val="FF0000"/>
                <w:sz w:val="18"/>
                <w:szCs w:val="18"/>
              </w:rPr>
            </w:pPr>
          </w:p>
        </w:tc>
      </w:tr>
    </w:tbl>
    <w:p w:rsidR="00594081" w:rsidRPr="0096752A" w:rsidRDefault="00594081" w:rsidP="00D235FC">
      <w:pPr>
        <w:shd w:val="clear" w:color="auto" w:fill="FFFFFF" w:themeFill="background1"/>
        <w:autoSpaceDE w:val="0"/>
        <w:autoSpaceDN w:val="0"/>
        <w:adjustRightInd w:val="0"/>
        <w:spacing w:after="0" w:line="240" w:lineRule="auto"/>
        <w:jc w:val="both"/>
        <w:rPr>
          <w:rFonts w:ascii="Candara" w:hAnsi="Candara" w:cs="Mangal"/>
          <w:sz w:val="16"/>
          <w:szCs w:val="18"/>
          <w:lang w:val="en-US"/>
        </w:rPr>
        <w:sectPr w:rsidR="00594081" w:rsidRPr="0096752A" w:rsidSect="002C584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720" w:right="720" w:bottom="720" w:left="720" w:header="709" w:footer="709" w:gutter="0"/>
          <w:pgNumType w:start="3"/>
          <w:cols w:space="566"/>
          <w:titlePg/>
          <w:docGrid w:linePitch="360"/>
        </w:sectPr>
      </w:pPr>
    </w:p>
    <w:p w:rsidR="00566781" w:rsidRPr="0096752A" w:rsidRDefault="00566781" w:rsidP="00566781">
      <w:pPr>
        <w:shd w:val="clear" w:color="auto" w:fill="FFFFFF" w:themeFill="background1"/>
        <w:autoSpaceDE w:val="0"/>
        <w:autoSpaceDN w:val="0"/>
        <w:adjustRightInd w:val="0"/>
        <w:spacing w:after="0" w:line="240" w:lineRule="auto"/>
        <w:jc w:val="both"/>
        <w:rPr>
          <w:rFonts w:ascii="Candara" w:hAnsi="Candara" w:cs="Shruti"/>
          <w:b/>
          <w:color w:val="595959" w:themeColor="text1" w:themeTint="A6"/>
          <w:sz w:val="14"/>
          <w:szCs w:val="14"/>
          <w:lang w:val="en-US"/>
        </w:rPr>
      </w:pPr>
    </w:p>
    <w:p w:rsidR="00566781" w:rsidRPr="0096752A" w:rsidRDefault="00566781" w:rsidP="00566781">
      <w:pPr>
        <w:shd w:val="clear" w:color="auto" w:fill="FFFFFF" w:themeFill="background1"/>
        <w:autoSpaceDE w:val="0"/>
        <w:autoSpaceDN w:val="0"/>
        <w:adjustRightInd w:val="0"/>
        <w:spacing w:after="0" w:line="240" w:lineRule="auto"/>
        <w:jc w:val="both"/>
        <w:rPr>
          <w:rFonts w:ascii="Candara" w:hAnsi="Candara" w:cs="Shruti"/>
          <w:b/>
          <w:color w:val="595959" w:themeColor="text1" w:themeTint="A6"/>
          <w:sz w:val="14"/>
          <w:szCs w:val="14"/>
          <w:lang w:val="en-US"/>
        </w:rPr>
      </w:pPr>
    </w:p>
    <w:p w:rsidR="00566781" w:rsidRPr="0096752A" w:rsidRDefault="00566781" w:rsidP="00566781">
      <w:pPr>
        <w:shd w:val="clear" w:color="auto" w:fill="FFFFFF" w:themeFill="background1"/>
        <w:autoSpaceDE w:val="0"/>
        <w:autoSpaceDN w:val="0"/>
        <w:adjustRightInd w:val="0"/>
        <w:spacing w:after="0" w:line="240" w:lineRule="auto"/>
        <w:jc w:val="both"/>
        <w:rPr>
          <w:rFonts w:ascii="Candara" w:hAnsi="Candara" w:cs="Shruti"/>
          <w:b/>
          <w:color w:val="595959" w:themeColor="text1" w:themeTint="A6"/>
          <w:sz w:val="14"/>
          <w:szCs w:val="14"/>
          <w:lang w:val="en-US"/>
        </w:rPr>
      </w:pPr>
    </w:p>
    <w:p w:rsidR="00566781" w:rsidRDefault="00566781" w:rsidP="00566781">
      <w:pPr>
        <w:shd w:val="clear" w:color="auto" w:fill="FFFFFF" w:themeFill="background1"/>
        <w:autoSpaceDE w:val="0"/>
        <w:autoSpaceDN w:val="0"/>
        <w:adjustRightInd w:val="0"/>
        <w:spacing w:after="0" w:line="240" w:lineRule="auto"/>
        <w:jc w:val="both"/>
        <w:rPr>
          <w:rFonts w:ascii="Candara" w:hAnsi="Candara" w:cs="Shruti"/>
          <w:b/>
          <w:color w:val="595959" w:themeColor="text1" w:themeTint="A6"/>
          <w:sz w:val="14"/>
          <w:szCs w:val="14"/>
          <w:lang w:val="en-US"/>
        </w:rPr>
      </w:pPr>
    </w:p>
    <w:p w:rsidR="006C775B" w:rsidRDefault="006C775B" w:rsidP="00566781">
      <w:pPr>
        <w:shd w:val="clear" w:color="auto" w:fill="FFFFFF" w:themeFill="background1"/>
        <w:autoSpaceDE w:val="0"/>
        <w:autoSpaceDN w:val="0"/>
        <w:adjustRightInd w:val="0"/>
        <w:spacing w:after="0" w:line="240" w:lineRule="auto"/>
        <w:jc w:val="both"/>
        <w:rPr>
          <w:rFonts w:ascii="Candara" w:hAnsi="Candara" w:cs="Shruti"/>
          <w:b/>
          <w:color w:val="595959" w:themeColor="text1" w:themeTint="A6"/>
          <w:sz w:val="14"/>
          <w:szCs w:val="14"/>
          <w:lang w:val="en-US"/>
        </w:rPr>
      </w:pPr>
    </w:p>
    <w:p w:rsidR="006C775B" w:rsidRPr="0096752A" w:rsidRDefault="006C775B" w:rsidP="00566781">
      <w:pPr>
        <w:shd w:val="clear" w:color="auto" w:fill="FFFFFF" w:themeFill="background1"/>
        <w:autoSpaceDE w:val="0"/>
        <w:autoSpaceDN w:val="0"/>
        <w:adjustRightInd w:val="0"/>
        <w:spacing w:after="0" w:line="240" w:lineRule="auto"/>
        <w:jc w:val="both"/>
        <w:rPr>
          <w:rFonts w:ascii="Candara" w:hAnsi="Candara" w:cs="Shruti"/>
          <w:b/>
          <w:color w:val="595959" w:themeColor="text1" w:themeTint="A6"/>
          <w:sz w:val="14"/>
          <w:szCs w:val="14"/>
          <w:lang w:val="en-US"/>
        </w:rPr>
      </w:pPr>
    </w:p>
    <w:p w:rsidR="00566781" w:rsidRPr="00894C04" w:rsidRDefault="00566781" w:rsidP="00566781">
      <w:pPr>
        <w:shd w:val="clear" w:color="auto" w:fill="FFFFFF" w:themeFill="background1"/>
        <w:autoSpaceDE w:val="0"/>
        <w:autoSpaceDN w:val="0"/>
        <w:adjustRightInd w:val="0"/>
        <w:spacing w:after="0" w:line="240" w:lineRule="auto"/>
        <w:jc w:val="both"/>
        <w:rPr>
          <w:rFonts w:ascii="Candara" w:hAnsi="Candara" w:cs="Shruti"/>
          <w:color w:val="FF0000"/>
          <w:sz w:val="14"/>
          <w:szCs w:val="14"/>
          <w:lang w:val="en-US"/>
        </w:rPr>
      </w:pPr>
      <w:r w:rsidRPr="00894C04">
        <w:rPr>
          <w:rFonts w:ascii="Candara" w:hAnsi="Candara" w:cs="Shruti"/>
          <w:color w:val="595959" w:themeColor="text1" w:themeTint="A6"/>
          <w:sz w:val="14"/>
          <w:szCs w:val="14"/>
          <w:lang w:val="en-US"/>
        </w:rPr>
        <w:t>Recebido | Received:  04/01/2015</w:t>
      </w:r>
    </w:p>
    <w:p w:rsidR="00566781" w:rsidRPr="006C775B" w:rsidRDefault="00566781" w:rsidP="00566781">
      <w:pPr>
        <w:shd w:val="clear" w:color="auto" w:fill="FFFFFF" w:themeFill="background1"/>
        <w:autoSpaceDE w:val="0"/>
        <w:autoSpaceDN w:val="0"/>
        <w:adjustRightInd w:val="0"/>
        <w:spacing w:after="0" w:line="240" w:lineRule="auto"/>
        <w:jc w:val="both"/>
        <w:rPr>
          <w:rFonts w:ascii="Candara" w:hAnsi="Candara" w:cs="Shruti"/>
          <w:color w:val="595959" w:themeColor="text1" w:themeTint="A6"/>
          <w:sz w:val="14"/>
          <w:szCs w:val="14"/>
          <w:lang w:val="en-US"/>
        </w:rPr>
      </w:pPr>
      <w:proofErr w:type="spellStart"/>
      <w:r w:rsidRPr="006C775B">
        <w:rPr>
          <w:rFonts w:ascii="Candara" w:hAnsi="Candara" w:cs="Shruti"/>
          <w:color w:val="595959" w:themeColor="text1" w:themeTint="A6"/>
          <w:sz w:val="14"/>
          <w:szCs w:val="14"/>
          <w:lang w:val="en-US"/>
        </w:rPr>
        <w:t>Revisto</w:t>
      </w:r>
      <w:proofErr w:type="spellEnd"/>
      <w:r w:rsidRPr="006C775B">
        <w:rPr>
          <w:rFonts w:ascii="Candara" w:hAnsi="Candara" w:cs="Shruti"/>
          <w:color w:val="595959" w:themeColor="text1" w:themeTint="A6"/>
          <w:sz w:val="14"/>
          <w:szCs w:val="14"/>
          <w:lang w:val="en-US"/>
        </w:rPr>
        <w:t xml:space="preserve"> | Reviewed: 01/02/2015</w:t>
      </w:r>
      <w:r w:rsidRPr="006C775B">
        <w:rPr>
          <w:rFonts w:ascii="Candara" w:hAnsi="Candara" w:cs="Shruti"/>
          <w:color w:val="595959" w:themeColor="text1" w:themeTint="A6"/>
          <w:sz w:val="14"/>
          <w:szCs w:val="14"/>
          <w:lang w:val="en-US"/>
        </w:rPr>
        <w:tab/>
      </w:r>
      <w:r w:rsidRPr="006C775B">
        <w:rPr>
          <w:rFonts w:ascii="Candara" w:hAnsi="Candara" w:cs="Shruti"/>
          <w:color w:val="595959" w:themeColor="text1" w:themeTint="A6"/>
          <w:sz w:val="14"/>
          <w:szCs w:val="14"/>
          <w:lang w:val="en-US"/>
        </w:rPr>
        <w:tab/>
      </w:r>
      <w:r w:rsidRPr="006C775B">
        <w:rPr>
          <w:rFonts w:ascii="Candara" w:hAnsi="Candara" w:cs="Shruti"/>
          <w:color w:val="595959" w:themeColor="text1" w:themeTint="A6"/>
          <w:sz w:val="14"/>
          <w:szCs w:val="14"/>
          <w:lang w:val="en-US"/>
        </w:rPr>
        <w:tab/>
      </w:r>
      <w:r w:rsidRPr="006C775B">
        <w:rPr>
          <w:rFonts w:ascii="Candara" w:hAnsi="Candara" w:cs="Shruti"/>
          <w:color w:val="595959" w:themeColor="text1" w:themeTint="A6"/>
          <w:sz w:val="14"/>
          <w:szCs w:val="14"/>
          <w:lang w:val="en-US"/>
        </w:rPr>
        <w:tab/>
      </w:r>
      <w:r w:rsidRPr="006C775B">
        <w:rPr>
          <w:rFonts w:ascii="Candara" w:hAnsi="Candara" w:cs="Shruti"/>
          <w:color w:val="595959" w:themeColor="text1" w:themeTint="A6"/>
          <w:sz w:val="14"/>
          <w:szCs w:val="14"/>
          <w:lang w:val="en-US"/>
        </w:rPr>
        <w:tab/>
      </w:r>
      <w:r w:rsidRPr="006C775B">
        <w:rPr>
          <w:rFonts w:ascii="Candara" w:hAnsi="Candara" w:cs="Shruti"/>
          <w:color w:val="595959" w:themeColor="text1" w:themeTint="A6"/>
          <w:sz w:val="14"/>
          <w:szCs w:val="14"/>
          <w:lang w:val="en-US"/>
        </w:rPr>
        <w:tab/>
      </w:r>
      <w:r w:rsidRPr="006C775B">
        <w:rPr>
          <w:rFonts w:ascii="Candara" w:hAnsi="Candara" w:cs="Shruti"/>
          <w:color w:val="595959" w:themeColor="text1" w:themeTint="A6"/>
          <w:sz w:val="14"/>
          <w:szCs w:val="14"/>
          <w:lang w:val="en-US"/>
        </w:rPr>
        <w:tab/>
      </w:r>
      <w:r w:rsidRPr="006C775B">
        <w:rPr>
          <w:rFonts w:ascii="Candara" w:hAnsi="Candara" w:cs="Shruti"/>
          <w:color w:val="595959" w:themeColor="text1" w:themeTint="A6"/>
          <w:sz w:val="14"/>
          <w:szCs w:val="14"/>
          <w:lang w:val="en-US"/>
        </w:rPr>
        <w:tab/>
      </w:r>
    </w:p>
    <w:p w:rsidR="0070424C" w:rsidRPr="006C775B" w:rsidRDefault="00566781" w:rsidP="0070424C">
      <w:pPr>
        <w:shd w:val="clear" w:color="auto" w:fill="FFFFFF" w:themeFill="background1"/>
        <w:autoSpaceDE w:val="0"/>
        <w:autoSpaceDN w:val="0"/>
        <w:adjustRightInd w:val="0"/>
        <w:spacing w:after="0" w:line="240" w:lineRule="auto"/>
        <w:rPr>
          <w:rFonts w:ascii="Candara" w:hAnsi="Candara" w:cs="Shruti"/>
          <w:color w:val="595959" w:themeColor="text1" w:themeTint="A6"/>
          <w:sz w:val="14"/>
          <w:szCs w:val="14"/>
          <w:lang w:val="en-US"/>
        </w:rPr>
      </w:pPr>
      <w:proofErr w:type="spellStart"/>
      <w:r w:rsidRPr="006C775B">
        <w:rPr>
          <w:rFonts w:ascii="Candara" w:hAnsi="Candara" w:cs="Shruti"/>
          <w:color w:val="595959" w:themeColor="text1" w:themeTint="A6"/>
          <w:sz w:val="14"/>
          <w:szCs w:val="14"/>
          <w:lang w:val="en-US"/>
        </w:rPr>
        <w:t>Aceite</w:t>
      </w:r>
      <w:proofErr w:type="spellEnd"/>
      <w:r w:rsidRPr="006C775B">
        <w:rPr>
          <w:rFonts w:ascii="Candara" w:hAnsi="Candara" w:cs="Shruti"/>
          <w:color w:val="595959" w:themeColor="text1" w:themeTint="A6"/>
          <w:sz w:val="14"/>
          <w:szCs w:val="14"/>
          <w:lang w:val="en-US"/>
        </w:rPr>
        <w:t xml:space="preserve"> | Accepted: 10/02/2015</w:t>
      </w:r>
      <w:r w:rsidR="00D235FC"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r>
      <w:r w:rsidR="006C775B" w:rsidRPr="006C775B">
        <w:rPr>
          <w:rFonts w:ascii="Candara" w:hAnsi="Candara" w:cs="Shruti"/>
          <w:color w:val="595959" w:themeColor="text1" w:themeTint="A6"/>
          <w:sz w:val="14"/>
          <w:szCs w:val="14"/>
          <w:lang w:val="en-US"/>
        </w:rPr>
        <w:tab/>
        <w:t xml:space="preserve">                       </w:t>
      </w:r>
      <w:r w:rsidR="006C775B" w:rsidRPr="006C775B">
        <w:rPr>
          <w:rFonts w:ascii="Candara" w:hAnsi="Candara" w:cs="Shruti"/>
          <w:color w:val="0A615E"/>
          <w:sz w:val="14"/>
          <w:szCs w:val="14"/>
          <w:lang w:val="en-US"/>
        </w:rPr>
        <w:t xml:space="preserve"> </w:t>
      </w:r>
      <w:r w:rsidR="00E333CB">
        <w:fldChar w:fldCharType="begin"/>
      </w:r>
      <w:r w:rsidR="00E333CB" w:rsidRPr="00894C04">
        <w:rPr>
          <w:lang w:val="en-US"/>
        </w:rPr>
        <w:instrText>HYPERLINK "http://rpics.ismt.pt/index.php/ISMT"</w:instrText>
      </w:r>
      <w:r w:rsidR="00E333CB">
        <w:fldChar w:fldCharType="separate"/>
      </w:r>
      <w:r w:rsidR="006C775B" w:rsidRPr="006C775B">
        <w:rPr>
          <w:rStyle w:val="Hiperligao"/>
          <w:rFonts w:ascii="Lucida Sans" w:hAnsi="Lucida Sans" w:cs="Mangal"/>
          <w:color w:val="0A615E"/>
          <w:spacing w:val="-10"/>
          <w:sz w:val="16"/>
          <w:szCs w:val="14"/>
          <w:bdr w:val="nil"/>
          <w:shd w:val="clear" w:color="auto" w:fill="D9D9D9" w:themeFill="background1" w:themeFillShade="D9"/>
          <w:lang w:val="en-US"/>
        </w:rPr>
        <w:t>RPICS</w:t>
      </w:r>
      <w:r w:rsidR="00E333CB">
        <w:fldChar w:fldCharType="end"/>
      </w:r>
    </w:p>
    <w:p w:rsidR="0070424C" w:rsidRPr="006C775B" w:rsidRDefault="0070424C" w:rsidP="0070424C">
      <w:pPr>
        <w:shd w:val="clear" w:color="auto" w:fill="FFFFFF" w:themeFill="background1"/>
        <w:autoSpaceDE w:val="0"/>
        <w:autoSpaceDN w:val="0"/>
        <w:adjustRightInd w:val="0"/>
        <w:spacing w:after="0" w:line="240" w:lineRule="auto"/>
        <w:rPr>
          <w:rFonts w:ascii="Candara" w:hAnsi="Candara"/>
          <w:sz w:val="16"/>
          <w:szCs w:val="16"/>
          <w:lang w:val="en-US"/>
        </w:rPr>
        <w:sectPr w:rsidR="0070424C" w:rsidRPr="006C775B" w:rsidSect="009C6935">
          <w:type w:val="continuous"/>
          <w:pgSz w:w="11906" w:h="16838"/>
          <w:pgMar w:top="720" w:right="720" w:bottom="720" w:left="720" w:header="708" w:footer="708" w:gutter="0"/>
          <w:cols w:space="566"/>
          <w:docGrid w:linePitch="360"/>
        </w:sectPr>
      </w:pPr>
    </w:p>
    <w:p w:rsidR="008D3642" w:rsidRPr="006C775B" w:rsidRDefault="008D3642" w:rsidP="008D3642">
      <w:pPr>
        <w:autoSpaceDE w:val="0"/>
        <w:autoSpaceDN w:val="0"/>
        <w:adjustRightInd w:val="0"/>
        <w:spacing w:after="0" w:line="240" w:lineRule="auto"/>
        <w:jc w:val="center"/>
        <w:rPr>
          <w:rFonts w:ascii="Candara" w:hAnsi="Candara" w:cs="Mangal"/>
          <w:b/>
          <w:color w:val="0A615E"/>
          <w:sz w:val="24"/>
          <w:szCs w:val="14"/>
          <w:lang w:val="en-US"/>
        </w:rPr>
        <w:sectPr w:rsidR="008D3642" w:rsidRPr="006C775B" w:rsidSect="008D3642">
          <w:type w:val="continuous"/>
          <w:pgSz w:w="11906" w:h="16838"/>
          <w:pgMar w:top="720" w:right="720" w:bottom="720" w:left="720" w:header="708" w:footer="708" w:gutter="0"/>
          <w:cols w:num="2" w:space="566"/>
          <w:docGrid w:linePitch="360"/>
        </w:sectPr>
      </w:pPr>
    </w:p>
    <w:p w:rsidR="00566781" w:rsidRPr="0096752A" w:rsidRDefault="00566781" w:rsidP="00566781">
      <w:pPr>
        <w:pStyle w:val="FormalivreA"/>
        <w:spacing w:after="180"/>
        <w:jc w:val="center"/>
        <w:rPr>
          <w:rFonts w:ascii="Candara" w:eastAsiaTheme="minorEastAsia" w:hAnsi="Candara" w:cs="Mangal"/>
          <w:b/>
          <w:color w:val="0A615E"/>
          <w:szCs w:val="14"/>
          <w:lang w:val="pt-PT"/>
        </w:rPr>
      </w:pPr>
      <w:r w:rsidRPr="0096752A">
        <w:rPr>
          <w:rFonts w:ascii="Candara" w:eastAsiaTheme="minorEastAsia" w:hAnsi="Candara" w:cs="Mangal"/>
          <w:b/>
          <w:color w:val="0A615E"/>
          <w:szCs w:val="14"/>
          <w:lang w:val="pt-PT"/>
        </w:rPr>
        <w:lastRenderedPageBreak/>
        <w:t>VISÃO GERAL</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O poder de um teste estatístico corresponde à probabilidade de rejeitar corretamente a hipótese nula (Cohen, 1992a, p. 98) e depende de três aspetos, incluindo o tamanho do efeito/TDE, o nível de significância e o tamanho da amostra (Cohen, 1988, p.4; Cohen, 1992a, p. 98; Cohen, 1992b, pp. 99-100). No presente artigo abordaremos somente o nível de significância e o tamanho do efeito.</w:t>
      </w:r>
    </w:p>
    <w:p w:rsidR="00566781" w:rsidRPr="0096752A" w:rsidRDefault="00566781" w:rsidP="00566781">
      <w:pPr>
        <w:pStyle w:val="FormalivreA"/>
        <w:spacing w:line="276" w:lineRule="auto"/>
        <w:jc w:val="both"/>
        <w:rPr>
          <w:rFonts w:ascii="Candara Bold" w:hAnsi="Candara Bold"/>
          <w:sz w:val="22"/>
          <w:lang w:val="pt-PT"/>
        </w:rPr>
      </w:pPr>
    </w:p>
    <w:p w:rsidR="00566781" w:rsidRPr="0096752A" w:rsidRDefault="00566781" w:rsidP="00566781">
      <w:pPr>
        <w:pStyle w:val="FormalivreA"/>
        <w:spacing w:line="276" w:lineRule="auto"/>
        <w:jc w:val="both"/>
        <w:rPr>
          <w:rFonts w:ascii="Candara Bold" w:hAnsi="Candara Bold"/>
          <w:sz w:val="22"/>
          <w:lang w:val="pt-PT"/>
        </w:rPr>
      </w:pPr>
      <w:r w:rsidRPr="0096752A">
        <w:rPr>
          <w:rFonts w:ascii="Candara Bold" w:hAnsi="Candara Bold"/>
          <w:sz w:val="22"/>
          <w:lang w:val="pt-PT"/>
        </w:rPr>
        <w:t>Nível de Significância</w:t>
      </w:r>
    </w:p>
    <w:p w:rsidR="00566781" w:rsidRPr="0096752A" w:rsidRDefault="00566781" w:rsidP="00566781">
      <w:pPr>
        <w:pStyle w:val="FormalivreA"/>
        <w:spacing w:after="80" w:line="276" w:lineRule="auto"/>
        <w:ind w:firstLine="425"/>
        <w:jc w:val="both"/>
        <w:rPr>
          <w:rFonts w:ascii="Candara" w:hAnsi="Candara"/>
          <w:sz w:val="20"/>
          <w:lang w:val="pt-PT"/>
        </w:rPr>
      </w:pPr>
      <w:r w:rsidRPr="0096752A">
        <w:rPr>
          <w:rFonts w:ascii="Candara" w:hAnsi="Candara"/>
          <w:sz w:val="20"/>
          <w:lang w:val="pt-PT"/>
        </w:rPr>
        <w:t xml:space="preserve">O nível de significância corresponde à evidência de que o fenómeno existe ou ao risco de rejeitar erradamente a hipótese nula (Cohen,1988; 1992b). Apesar de dominar a literatura científica, este parâmetro não autoriza a fazer qualquer afirmação sobre a probabilidade matemática de determinada hipótese (Fisher, 1959).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b/>
          <w:sz w:val="22"/>
          <w:lang w:val="pt-PT"/>
        </w:rPr>
        <w:t>História e definições.</w:t>
      </w:r>
      <w:r w:rsidRPr="0096752A">
        <w:rPr>
          <w:rFonts w:ascii="Candara" w:hAnsi="Candara"/>
          <w:sz w:val="20"/>
          <w:lang w:val="pt-PT"/>
        </w:rPr>
        <w:t xml:space="preserve"> Quando, em 1925, Fisher defendeu o cálculo do valor da probabilidade (</w:t>
      </w:r>
      <w:r w:rsidRPr="0096752A">
        <w:rPr>
          <w:rFonts w:ascii="Candara" w:hAnsi="Candara"/>
          <w:i/>
          <w:sz w:val="20"/>
          <w:lang w:val="pt-PT"/>
        </w:rPr>
        <w:t>p</w:t>
      </w:r>
      <w:r w:rsidRPr="0096752A">
        <w:rPr>
          <w:rFonts w:ascii="Candara" w:hAnsi="Candara"/>
          <w:sz w:val="20"/>
          <w:lang w:val="pt-PT"/>
        </w:rPr>
        <w:t xml:space="preserve">) da estatística e </w:t>
      </w:r>
      <w:proofErr w:type="spellStart"/>
      <w:r w:rsidRPr="0096752A">
        <w:rPr>
          <w:rFonts w:ascii="Candara" w:hAnsi="Candara"/>
          <w:sz w:val="20"/>
          <w:lang w:val="pt-PT"/>
        </w:rPr>
        <w:t>Neyman</w:t>
      </w:r>
      <w:proofErr w:type="spellEnd"/>
      <w:r w:rsidRPr="0096752A">
        <w:rPr>
          <w:rFonts w:ascii="Candara" w:hAnsi="Candara"/>
          <w:sz w:val="20"/>
          <w:lang w:val="pt-PT"/>
        </w:rPr>
        <w:t xml:space="preserve"> e </w:t>
      </w:r>
      <w:proofErr w:type="spellStart"/>
      <w:r w:rsidRPr="0096752A">
        <w:rPr>
          <w:rFonts w:ascii="Candara" w:hAnsi="Candara"/>
          <w:sz w:val="20"/>
          <w:lang w:val="pt-PT"/>
        </w:rPr>
        <w:t>Pearson</w:t>
      </w:r>
      <w:proofErr w:type="spellEnd"/>
      <w:r w:rsidRPr="0096752A">
        <w:rPr>
          <w:rFonts w:ascii="Candara" w:hAnsi="Candara"/>
          <w:sz w:val="20"/>
          <w:lang w:val="pt-PT"/>
        </w:rPr>
        <w:t xml:space="preserve"> em 1933 apresentaram o conceito de nível de significância, ou alfa, todos estariam longe de pensar que os seus conceitos iriam dominar a literatura científica.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Para Fisher (1925; 1959), o valor de</w:t>
      </w:r>
      <w:r w:rsidRPr="0096752A">
        <w:rPr>
          <w:rFonts w:ascii="Candara" w:hAnsi="Candara"/>
          <w:i/>
          <w:sz w:val="20"/>
          <w:u w:color="00B050"/>
          <w:lang w:val="pt-PT"/>
        </w:rPr>
        <w:t xml:space="preserve"> p </w:t>
      </w:r>
      <w:r w:rsidRPr="0096752A">
        <w:rPr>
          <w:rFonts w:ascii="Candara" w:hAnsi="Candara"/>
          <w:sz w:val="20"/>
          <w:lang w:val="pt-PT"/>
        </w:rPr>
        <w:t>de um teste estatístico mede a força da Evidência contra a Hipótese nula (</w:t>
      </w:r>
      <w:proofErr w:type="gramStart"/>
      <w:r w:rsidRPr="0096752A">
        <w:rPr>
          <w:rFonts w:ascii="Candara" w:hAnsi="Candara"/>
          <w:i/>
          <w:sz w:val="20"/>
          <w:lang w:val="pt-PT"/>
        </w:rPr>
        <w:t>p</w:t>
      </w:r>
      <w:r w:rsidRPr="0096752A">
        <w:rPr>
          <w:rFonts w:ascii="Candara" w:hAnsi="Candara"/>
          <w:sz w:val="20"/>
          <w:lang w:val="pt-PT"/>
        </w:rPr>
        <w:t>(</w:t>
      </w:r>
      <w:r w:rsidRPr="0096752A">
        <w:rPr>
          <w:rFonts w:ascii="Candara" w:hAnsi="Candara"/>
          <w:i/>
          <w:sz w:val="20"/>
          <w:lang w:val="pt-PT"/>
        </w:rPr>
        <w:t>E</w:t>
      </w:r>
      <w:r w:rsidRPr="0096752A">
        <w:rPr>
          <w:rFonts w:ascii="Candara" w:hAnsi="Candara"/>
          <w:sz w:val="20"/>
          <w:lang w:val="pt-PT"/>
        </w:rPr>
        <w:t>|</w:t>
      </w:r>
      <w:r w:rsidRPr="0096752A">
        <w:rPr>
          <w:rFonts w:ascii="Candara" w:hAnsi="Candara"/>
          <w:i/>
          <w:sz w:val="20"/>
          <w:lang w:val="pt-PT"/>
        </w:rPr>
        <w:t>H</w:t>
      </w:r>
      <w:proofErr w:type="gramEnd"/>
      <w:r w:rsidRPr="0096752A">
        <w:rPr>
          <w:rFonts w:ascii="Candara" w:hAnsi="Candara"/>
          <w:sz w:val="20"/>
          <w:lang w:val="pt-PT"/>
        </w:rPr>
        <w:t>). O autor defendeu um valor de</w:t>
      </w:r>
      <w:r w:rsidRPr="0096752A">
        <w:rPr>
          <w:rFonts w:ascii="Candara" w:hAnsi="Candara"/>
          <w:i/>
          <w:sz w:val="20"/>
          <w:u w:color="00B050"/>
          <w:lang w:val="pt-PT"/>
        </w:rPr>
        <w:t xml:space="preserve"> p </w:t>
      </w:r>
      <w:r w:rsidRPr="0096752A">
        <w:rPr>
          <w:rFonts w:ascii="Candara" w:hAnsi="Candara"/>
          <w:sz w:val="20"/>
          <w:lang w:val="pt-PT"/>
        </w:rPr>
        <w:t xml:space="preserve">inferior a 0,05 como um “valor suficientemente pequeno”, mas não como uma regra de ouro.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No método de </w:t>
      </w:r>
      <w:proofErr w:type="spellStart"/>
      <w:r w:rsidRPr="0096752A">
        <w:rPr>
          <w:rFonts w:ascii="Candara" w:hAnsi="Candara"/>
          <w:sz w:val="20"/>
          <w:lang w:val="pt-PT"/>
        </w:rPr>
        <w:t>Neyman</w:t>
      </w:r>
      <w:proofErr w:type="spellEnd"/>
      <w:r w:rsidRPr="0096752A">
        <w:rPr>
          <w:rFonts w:ascii="Candara" w:hAnsi="Candara"/>
          <w:sz w:val="20"/>
          <w:lang w:val="pt-PT"/>
        </w:rPr>
        <w:t xml:space="preserve"> e </w:t>
      </w:r>
      <w:proofErr w:type="spellStart"/>
      <w:r w:rsidRPr="0096752A">
        <w:rPr>
          <w:rFonts w:ascii="Candara" w:hAnsi="Candara"/>
          <w:sz w:val="20"/>
          <w:lang w:val="pt-PT"/>
        </w:rPr>
        <w:t>Pearson</w:t>
      </w:r>
      <w:proofErr w:type="spellEnd"/>
      <w:r w:rsidRPr="0096752A">
        <w:rPr>
          <w:rFonts w:ascii="Candara" w:hAnsi="Candara"/>
          <w:sz w:val="20"/>
          <w:lang w:val="pt-PT"/>
        </w:rPr>
        <w:t>, o valor de alfa associa-se ao nível de confiança com que o teste estatístico permite rejeitar a hipótese nula (H</w:t>
      </w:r>
      <w:r w:rsidRPr="0096752A">
        <w:rPr>
          <w:rFonts w:ascii="Candara" w:hAnsi="Candara"/>
          <w:sz w:val="22"/>
          <w:vertAlign w:val="subscript"/>
          <w:lang w:val="pt-PT"/>
        </w:rPr>
        <w:t xml:space="preserve">0 </w:t>
      </w:r>
      <w:r w:rsidRPr="0096752A">
        <w:rPr>
          <w:rFonts w:ascii="Candara" w:hAnsi="Candara"/>
          <w:sz w:val="22"/>
          <w:lang w:val="pt-PT"/>
        </w:rPr>
        <w:t>=</w:t>
      </w:r>
      <w:r w:rsidRPr="0096752A">
        <w:rPr>
          <w:rFonts w:ascii="Candara" w:hAnsi="Candara"/>
          <w:sz w:val="13"/>
          <w:vertAlign w:val="subscript"/>
          <w:lang w:val="pt-PT"/>
        </w:rPr>
        <w:t xml:space="preserve"> </w:t>
      </w:r>
      <w:r w:rsidRPr="0096752A">
        <w:rPr>
          <w:rFonts w:ascii="Candara" w:hAnsi="Candara"/>
          <w:sz w:val="20"/>
          <w:lang w:val="pt-PT"/>
        </w:rPr>
        <w:t xml:space="preserve">não há um determinado resultado), tendo sido acordados </w:t>
      </w:r>
      <w:proofErr w:type="gramStart"/>
      <w:r w:rsidRPr="0096752A">
        <w:rPr>
          <w:rFonts w:ascii="Candara" w:hAnsi="Candara"/>
          <w:sz w:val="20"/>
          <w:lang w:val="pt-PT"/>
        </w:rPr>
        <w:t>os valor</w:t>
      </w:r>
      <w:proofErr w:type="gramEnd"/>
      <w:r w:rsidRPr="0096752A">
        <w:rPr>
          <w:rFonts w:ascii="Candara" w:hAnsi="Candara"/>
          <w:sz w:val="20"/>
          <w:lang w:val="pt-PT"/>
        </w:rPr>
        <w:t xml:space="preserve"> fixos de 0,05 (</w:t>
      </w:r>
      <w:r w:rsidR="00494E85">
        <w:rPr>
          <w:rFonts w:ascii="Candara" w:hAnsi="Candara"/>
          <w:sz w:val="20"/>
          <w:lang w:val="pt-PT"/>
        </w:rPr>
        <w:t>i. e.</w:t>
      </w:r>
      <w:r w:rsidRPr="0096752A">
        <w:rPr>
          <w:rFonts w:ascii="Candara" w:hAnsi="Candara"/>
          <w:sz w:val="20"/>
          <w:lang w:val="pt-PT"/>
        </w:rPr>
        <w:t>, os resultados são “significativos”, havendo 5% de probabilidade de obter os dados se a H</w:t>
      </w:r>
      <w:r w:rsidRPr="0096752A">
        <w:rPr>
          <w:rFonts w:ascii="Candara" w:hAnsi="Candara"/>
          <w:sz w:val="20"/>
          <w:vertAlign w:val="subscript"/>
          <w:lang w:val="pt-PT"/>
        </w:rPr>
        <w:t>0</w:t>
      </w:r>
      <w:r w:rsidRPr="0096752A">
        <w:rPr>
          <w:rFonts w:ascii="Candara" w:hAnsi="Candara"/>
          <w:sz w:val="20"/>
          <w:lang w:val="pt-PT"/>
        </w:rPr>
        <w:t xml:space="preserve"> fosse verdadeira)</w:t>
      </w:r>
      <w:r w:rsidRPr="0096752A">
        <w:rPr>
          <w:rFonts w:ascii="Candara" w:hAnsi="Candara"/>
          <w:sz w:val="20"/>
          <w:vertAlign w:val="superscript"/>
        </w:rPr>
        <w:endnoteReference w:id="1"/>
      </w:r>
      <w:r w:rsidRPr="0096752A">
        <w:rPr>
          <w:rFonts w:ascii="Candara" w:hAnsi="Candara"/>
          <w:sz w:val="20"/>
          <w:lang w:val="pt-PT"/>
        </w:rPr>
        <w:t>, 0,01 (</w:t>
      </w:r>
      <w:r w:rsidR="00494E85">
        <w:rPr>
          <w:rFonts w:ascii="Candara" w:hAnsi="Candara"/>
          <w:sz w:val="20"/>
          <w:lang w:val="pt-PT"/>
        </w:rPr>
        <w:t xml:space="preserve">i. </w:t>
      </w:r>
      <w:proofErr w:type="gramStart"/>
      <w:r w:rsidR="00494E85">
        <w:rPr>
          <w:rFonts w:ascii="Candara" w:hAnsi="Candara"/>
          <w:sz w:val="20"/>
          <w:lang w:val="pt-PT"/>
        </w:rPr>
        <w:t>e.</w:t>
      </w:r>
      <w:proofErr w:type="gramEnd"/>
      <w:r w:rsidRPr="0096752A">
        <w:rPr>
          <w:rFonts w:ascii="Candara" w:hAnsi="Candara"/>
          <w:sz w:val="20"/>
          <w:lang w:val="pt-PT"/>
        </w:rPr>
        <w:t>, os resultados são “altamente significativos”) ou 0,001 (</w:t>
      </w:r>
      <w:r w:rsidR="00494E85">
        <w:rPr>
          <w:rFonts w:ascii="Candara" w:hAnsi="Candara"/>
          <w:sz w:val="20"/>
          <w:lang w:val="pt-PT"/>
        </w:rPr>
        <w:t>i. e.</w:t>
      </w:r>
      <w:r w:rsidRPr="0096752A">
        <w:rPr>
          <w:rFonts w:ascii="Candara" w:hAnsi="Candara"/>
          <w:sz w:val="20"/>
          <w:lang w:val="pt-PT"/>
        </w:rPr>
        <w:t>, os resultados são “muito altamente significativos”). Neste método, há que distinguir o erro do Tipo I (rejeição falsa de H</w:t>
      </w:r>
      <w:r w:rsidRPr="0096752A">
        <w:rPr>
          <w:rFonts w:ascii="Candara" w:hAnsi="Candara"/>
          <w:sz w:val="20"/>
          <w:vertAlign w:val="subscript"/>
          <w:lang w:val="pt-PT"/>
        </w:rPr>
        <w:t>0</w:t>
      </w:r>
      <w:r w:rsidRPr="0096752A">
        <w:rPr>
          <w:rFonts w:ascii="Candara" w:hAnsi="Candara"/>
          <w:sz w:val="20"/>
          <w:lang w:val="pt-PT"/>
        </w:rPr>
        <w:t>) e o erro do Tipo II (manutenção falsa de H</w:t>
      </w:r>
      <w:r w:rsidRPr="0096752A">
        <w:rPr>
          <w:rFonts w:ascii="Candara" w:hAnsi="Candara"/>
          <w:sz w:val="20"/>
          <w:vertAlign w:val="subscript"/>
          <w:lang w:val="pt-PT"/>
        </w:rPr>
        <w:t>0</w:t>
      </w:r>
      <w:r w:rsidRPr="0096752A">
        <w:rPr>
          <w:rFonts w:ascii="Candara" w:hAnsi="Candara"/>
          <w:sz w:val="20"/>
          <w:lang w:val="pt-PT"/>
        </w:rPr>
        <w:t>). A probabilidade do erro do Tipo I é alfa, e a probabilidade do erro do Tipo II é beta. O poder é o complemento de beta (1</w:t>
      </w:r>
      <w:r w:rsidR="007E0E55">
        <w:rPr>
          <w:rFonts w:ascii="Candara" w:hAnsi="Candara"/>
          <w:sz w:val="20"/>
          <w:lang w:val="pt-PT"/>
        </w:rPr>
        <w:t xml:space="preserve"> </w:t>
      </w:r>
      <w:proofErr w:type="gramStart"/>
      <w:r w:rsidRPr="0096752A">
        <w:rPr>
          <w:rFonts w:ascii="Candara" w:hAnsi="Candara"/>
          <w:sz w:val="20"/>
          <w:lang w:val="pt-PT"/>
        </w:rPr>
        <w:t>-</w:t>
      </w:r>
      <w:r w:rsidR="007E0E55">
        <w:rPr>
          <w:rFonts w:ascii="Candara" w:hAnsi="Candara"/>
          <w:sz w:val="20"/>
          <w:lang w:val="pt-PT"/>
        </w:rPr>
        <w:t xml:space="preserve"> </w:t>
      </w:r>
      <w:r w:rsidRPr="0096752A">
        <w:rPr>
          <w:rFonts w:ascii="Candara" w:hAnsi="Candara"/>
          <w:sz w:val="20"/>
        </w:rPr>
        <w:t>β</w:t>
      </w:r>
      <w:proofErr w:type="gramEnd"/>
      <w:r w:rsidRPr="0096752A">
        <w:rPr>
          <w:rFonts w:ascii="Candara" w:hAnsi="Candara"/>
          <w:sz w:val="20"/>
          <w:lang w:val="pt-PT"/>
        </w:rPr>
        <w:t>), definindo-se como a probabilidade de rejeitar corretamente a H</w:t>
      </w:r>
      <w:r w:rsidRPr="0096752A">
        <w:rPr>
          <w:rFonts w:ascii="Candara" w:hAnsi="Candara"/>
          <w:sz w:val="20"/>
          <w:vertAlign w:val="subscript"/>
          <w:lang w:val="pt-PT"/>
        </w:rPr>
        <w:t xml:space="preserve">0 </w:t>
      </w:r>
      <w:r w:rsidRPr="0096752A">
        <w:rPr>
          <w:rFonts w:ascii="Candara" w:hAnsi="Candara"/>
          <w:sz w:val="20"/>
          <w:lang w:val="pt-PT"/>
        </w:rPr>
        <w:t>quando a hipótese alternativa é verdadeira (H</w:t>
      </w:r>
      <w:r w:rsidRPr="0096752A">
        <w:rPr>
          <w:rFonts w:ascii="Candara" w:hAnsi="Candara"/>
          <w:sz w:val="20"/>
          <w:vertAlign w:val="subscript"/>
          <w:lang w:val="pt-PT"/>
        </w:rPr>
        <w:t>1</w:t>
      </w:r>
      <w:r w:rsidRPr="0096752A">
        <w:rPr>
          <w:rFonts w:ascii="Candara" w:hAnsi="Candara"/>
          <w:sz w:val="22"/>
          <w:lang w:val="pt-PT"/>
        </w:rPr>
        <w:t xml:space="preserve"> =</w:t>
      </w:r>
      <w:r w:rsidRPr="0096752A">
        <w:rPr>
          <w:rFonts w:ascii="Candara" w:hAnsi="Candara"/>
          <w:sz w:val="13"/>
          <w:vertAlign w:val="subscript"/>
          <w:lang w:val="pt-PT"/>
        </w:rPr>
        <w:t xml:space="preserve"> </w:t>
      </w:r>
      <w:r w:rsidRPr="0096752A">
        <w:rPr>
          <w:rFonts w:ascii="Candara" w:hAnsi="Candara"/>
          <w:sz w:val="20"/>
          <w:lang w:val="pt-PT"/>
        </w:rPr>
        <w:t xml:space="preserve">há um determinado resultado) (Cohen, 1992a; </w:t>
      </w:r>
      <w:proofErr w:type="spellStart"/>
      <w:r w:rsidRPr="0096752A">
        <w:rPr>
          <w:rFonts w:ascii="Candara" w:hAnsi="Candara"/>
          <w:sz w:val="20"/>
          <w:lang w:val="pt-PT"/>
        </w:rPr>
        <w:t>Kline</w:t>
      </w:r>
      <w:proofErr w:type="spellEnd"/>
      <w:r w:rsidRPr="0096752A">
        <w:rPr>
          <w:rFonts w:ascii="Candara" w:hAnsi="Candara"/>
          <w:sz w:val="20"/>
          <w:lang w:val="pt-PT"/>
        </w:rPr>
        <w:t>, 2004).</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Mais tarde, Cohen (1992b, p. 99) sugeriu que um</w:t>
      </w:r>
      <w:r w:rsidRPr="0096752A">
        <w:rPr>
          <w:rFonts w:ascii="Candara" w:hAnsi="Candara"/>
          <w:i/>
          <w:sz w:val="20"/>
          <w:u w:color="00B050"/>
          <w:lang w:val="pt-PT"/>
        </w:rPr>
        <w:t xml:space="preserve"> p </w:t>
      </w:r>
      <w:r w:rsidRPr="0096752A">
        <w:rPr>
          <w:rFonts w:ascii="Candara" w:hAnsi="Candara"/>
          <w:sz w:val="20"/>
          <w:lang w:val="pt-PT"/>
        </w:rPr>
        <w:t>inferior a 0,05 devia ser usado para estudos exploratórios e que valores de alfa mais pequenos deviam ser usados quando se testam várias hipóteses nulas.</w:t>
      </w:r>
    </w:p>
    <w:p w:rsidR="00566781" w:rsidRPr="0096752A" w:rsidRDefault="00566781" w:rsidP="00566781">
      <w:pPr>
        <w:pStyle w:val="FormalivreA"/>
        <w:spacing w:after="80" w:line="276" w:lineRule="auto"/>
        <w:ind w:firstLine="425"/>
        <w:jc w:val="both"/>
        <w:rPr>
          <w:rFonts w:ascii="Candara" w:hAnsi="Candara"/>
          <w:sz w:val="20"/>
          <w:lang w:val="pt-PT"/>
        </w:rPr>
      </w:pPr>
      <w:r w:rsidRPr="0096752A">
        <w:rPr>
          <w:rFonts w:ascii="Candara" w:hAnsi="Candara"/>
          <w:sz w:val="20"/>
          <w:lang w:val="pt-PT"/>
        </w:rPr>
        <w:t>Desde então, a maioria dos investigadores normalmente espera obter um valor de</w:t>
      </w:r>
      <w:r w:rsidRPr="0096752A">
        <w:rPr>
          <w:rFonts w:ascii="Candara" w:hAnsi="Candara"/>
          <w:i/>
          <w:sz w:val="20"/>
          <w:u w:color="00B050"/>
          <w:lang w:val="pt-PT"/>
        </w:rPr>
        <w:t xml:space="preserve"> p </w:t>
      </w:r>
      <w:r w:rsidRPr="0096752A">
        <w:rPr>
          <w:rFonts w:ascii="Candara" w:hAnsi="Candara"/>
          <w:sz w:val="20"/>
          <w:lang w:val="pt-PT"/>
        </w:rPr>
        <w:t xml:space="preserve">suficientemente </w:t>
      </w:r>
      <w:r w:rsidRPr="0096752A">
        <w:rPr>
          <w:rFonts w:ascii="Candara" w:hAnsi="Candara"/>
          <w:sz w:val="20"/>
          <w:lang w:val="pt-PT"/>
        </w:rPr>
        <w:lastRenderedPageBreak/>
        <w:t>pequeno (</w:t>
      </w:r>
      <w:r w:rsidR="00494E85">
        <w:rPr>
          <w:rFonts w:ascii="Candara" w:hAnsi="Candara"/>
          <w:sz w:val="20"/>
          <w:lang w:val="pt-PT"/>
        </w:rPr>
        <w:t>i. e.</w:t>
      </w:r>
      <w:r w:rsidRPr="0096752A">
        <w:rPr>
          <w:rFonts w:ascii="Candara" w:hAnsi="Candara"/>
          <w:sz w:val="20"/>
          <w:lang w:val="pt-PT"/>
        </w:rPr>
        <w:t>,</w:t>
      </w:r>
      <w:r w:rsidRPr="0096752A">
        <w:rPr>
          <w:rFonts w:ascii="Candara" w:hAnsi="Candara"/>
          <w:i/>
          <w:sz w:val="20"/>
          <w:u w:color="00B050"/>
          <w:lang w:val="pt-PT"/>
        </w:rPr>
        <w:t xml:space="preserve"> p </w:t>
      </w:r>
      <w:proofErr w:type="gramStart"/>
      <w:r w:rsidRPr="0096752A">
        <w:rPr>
          <w:rFonts w:ascii="Candara" w:hAnsi="Candara"/>
          <w:sz w:val="20"/>
          <w:lang w:val="pt-PT"/>
        </w:rPr>
        <w:t xml:space="preserve">&lt; </w:t>
      </w:r>
      <w:r w:rsidRPr="0096752A">
        <w:rPr>
          <w:rFonts w:ascii="Candara" w:hAnsi="Candara"/>
          <w:sz w:val="20"/>
        </w:rPr>
        <w:t>α</w:t>
      </w:r>
      <w:proofErr w:type="gramEnd"/>
      <w:r w:rsidRPr="0096752A">
        <w:rPr>
          <w:rFonts w:ascii="Candara" w:hAnsi="Candara"/>
          <w:sz w:val="20"/>
          <w:lang w:val="pt-PT"/>
        </w:rPr>
        <w:t>), para que possa rejeitar a hipótese nula, aceitando a hipótese alternativa (</w:t>
      </w:r>
      <w:proofErr w:type="spellStart"/>
      <w:r w:rsidRPr="0096752A">
        <w:rPr>
          <w:rFonts w:ascii="Candara" w:hAnsi="Candara"/>
          <w:sz w:val="20"/>
          <w:lang w:val="pt-PT"/>
        </w:rPr>
        <w:t>Huberty</w:t>
      </w:r>
      <w:proofErr w:type="spellEnd"/>
      <w:r w:rsidRPr="0096752A">
        <w:rPr>
          <w:rFonts w:ascii="Candara" w:hAnsi="Candara"/>
          <w:sz w:val="20"/>
          <w:lang w:val="pt-PT"/>
        </w:rPr>
        <w:t>, 1993). Estima-se que cerca de 90% dos artigos nas ciências sociais empreguem este procedimento (</w:t>
      </w:r>
      <w:proofErr w:type="spellStart"/>
      <w:r w:rsidRPr="0096752A">
        <w:rPr>
          <w:rFonts w:ascii="Candara" w:hAnsi="Candara"/>
          <w:sz w:val="20"/>
          <w:lang w:val="pt-PT"/>
        </w:rPr>
        <w:t>Loftus</w:t>
      </w:r>
      <w:proofErr w:type="spellEnd"/>
      <w:r w:rsidRPr="0096752A">
        <w:rPr>
          <w:rFonts w:ascii="Candara" w:hAnsi="Candara"/>
          <w:sz w:val="20"/>
          <w:lang w:val="pt-PT"/>
        </w:rPr>
        <w:t xml:space="preserve">, 1991), independentemente se são testes </w:t>
      </w:r>
      <w:r w:rsidRPr="0096752A">
        <w:rPr>
          <w:rFonts w:ascii="Candara Italic" w:hAnsi="Candara Italic"/>
          <w:sz w:val="20"/>
          <w:lang w:val="pt-PT"/>
        </w:rPr>
        <w:t>t</w:t>
      </w:r>
      <w:r w:rsidRPr="0096752A">
        <w:rPr>
          <w:rFonts w:ascii="Candara" w:hAnsi="Candara"/>
          <w:sz w:val="20"/>
          <w:lang w:val="pt-PT"/>
        </w:rPr>
        <w:t xml:space="preserve">, análises de variância ou estatísticas não-paramétricas, como os teste </w:t>
      </w:r>
      <w:r w:rsidRPr="0096752A">
        <w:rPr>
          <w:rFonts w:ascii="Candara Italic" w:hAnsi="Candara Italic"/>
          <w:sz w:val="20"/>
          <w:lang w:val="pt-PT"/>
        </w:rPr>
        <w:t>U</w:t>
      </w:r>
      <w:r w:rsidRPr="0096752A">
        <w:rPr>
          <w:rFonts w:ascii="Candara" w:hAnsi="Candara"/>
          <w:sz w:val="20"/>
          <w:lang w:val="pt-PT"/>
        </w:rPr>
        <w:t xml:space="preserve"> de Mann-</w:t>
      </w:r>
      <w:proofErr w:type="spellStart"/>
      <w:r w:rsidRPr="0096752A">
        <w:rPr>
          <w:rFonts w:ascii="Candara" w:hAnsi="Candara"/>
          <w:sz w:val="20"/>
          <w:lang w:val="pt-PT"/>
        </w:rPr>
        <w:t>Whitney</w:t>
      </w:r>
      <w:proofErr w:type="spellEnd"/>
      <w:r w:rsidRPr="0096752A">
        <w:rPr>
          <w:rFonts w:ascii="Candara" w:hAnsi="Candara"/>
          <w:sz w:val="20"/>
          <w:lang w:val="pt-PT"/>
        </w:rPr>
        <w:t xml:space="preserve"> ou o teste de </w:t>
      </w:r>
      <w:proofErr w:type="spellStart"/>
      <w:r w:rsidRPr="0096752A">
        <w:rPr>
          <w:rFonts w:ascii="Candara" w:hAnsi="Candara"/>
          <w:sz w:val="20"/>
          <w:lang w:val="pt-PT"/>
        </w:rPr>
        <w:t>Kruskal-Wallis</w:t>
      </w:r>
      <w:proofErr w:type="spellEnd"/>
      <w:r w:rsidRPr="0096752A">
        <w:rPr>
          <w:rFonts w:ascii="Candara" w:hAnsi="Candara"/>
          <w:sz w:val="20"/>
          <w:lang w:val="pt-PT"/>
        </w:rPr>
        <w:t xml:space="preserve"> para análise de variância.</w:t>
      </w:r>
    </w:p>
    <w:p w:rsidR="00566781" w:rsidRPr="0096752A" w:rsidRDefault="00566781" w:rsidP="00566781">
      <w:pPr>
        <w:pStyle w:val="FormalivreA"/>
        <w:spacing w:line="276" w:lineRule="auto"/>
        <w:ind w:firstLine="426"/>
        <w:jc w:val="both"/>
        <w:rPr>
          <w:lang w:val="pt-PT"/>
        </w:rPr>
      </w:pPr>
      <w:r w:rsidRPr="0096752A">
        <w:rPr>
          <w:rFonts w:ascii="Candara Bold" w:hAnsi="Candara Bold"/>
          <w:sz w:val="22"/>
          <w:szCs w:val="22"/>
          <w:lang w:val="pt-PT"/>
        </w:rPr>
        <w:t>Críticas</w:t>
      </w:r>
      <w:r w:rsidRPr="0096752A">
        <w:rPr>
          <w:rFonts w:ascii="Candara Bold" w:hAnsi="Candara Bold"/>
          <w:lang w:val="pt-PT"/>
        </w:rPr>
        <w:t>.</w:t>
      </w:r>
      <w:r w:rsidRPr="0096752A">
        <w:rPr>
          <w:rFonts w:ascii="Candara" w:hAnsi="Candara"/>
          <w:sz w:val="22"/>
          <w:lang w:val="pt-PT"/>
        </w:rPr>
        <w:t xml:space="preserve"> </w:t>
      </w:r>
      <w:r w:rsidRPr="0096752A">
        <w:rPr>
          <w:rFonts w:ascii="Candara" w:hAnsi="Candara"/>
          <w:sz w:val="20"/>
          <w:lang w:val="pt-PT"/>
        </w:rPr>
        <w:t>O</w:t>
      </w:r>
      <w:r w:rsidRPr="0096752A">
        <w:rPr>
          <w:sz w:val="22"/>
          <w:lang w:val="pt-PT"/>
        </w:rPr>
        <w:t xml:space="preserve"> </w:t>
      </w:r>
      <w:r w:rsidRPr="0096752A">
        <w:rPr>
          <w:rFonts w:ascii="Candara" w:hAnsi="Candara"/>
          <w:sz w:val="20"/>
          <w:lang w:val="pt-PT"/>
        </w:rPr>
        <w:t>debate sobre a importância do nível de significância não é novo (</w:t>
      </w:r>
      <w:proofErr w:type="spellStart"/>
      <w:r w:rsidRPr="0096752A">
        <w:rPr>
          <w:rFonts w:ascii="Candara" w:hAnsi="Candara"/>
          <w:sz w:val="20"/>
          <w:lang w:val="pt-PT"/>
        </w:rPr>
        <w:t>Cumming</w:t>
      </w:r>
      <w:proofErr w:type="spellEnd"/>
      <w:r w:rsidRPr="0096752A">
        <w:rPr>
          <w:rFonts w:ascii="Candara" w:hAnsi="Candara"/>
          <w:sz w:val="20"/>
          <w:lang w:val="pt-PT"/>
        </w:rPr>
        <w:t xml:space="preserve">, 2012; </w:t>
      </w:r>
      <w:proofErr w:type="spellStart"/>
      <w:r w:rsidRPr="0096752A">
        <w:rPr>
          <w:rFonts w:ascii="Candara" w:hAnsi="Candara"/>
          <w:sz w:val="20"/>
          <w:lang w:val="pt-PT"/>
        </w:rPr>
        <w:t>Kirk</w:t>
      </w:r>
      <w:proofErr w:type="spellEnd"/>
      <w:r w:rsidRPr="0096752A">
        <w:rPr>
          <w:rFonts w:ascii="Candara" w:hAnsi="Candara"/>
          <w:sz w:val="20"/>
          <w:lang w:val="pt-PT"/>
        </w:rPr>
        <w:t xml:space="preserve">, 1996; </w:t>
      </w:r>
      <w:proofErr w:type="spellStart"/>
      <w:r w:rsidRPr="0096752A">
        <w:rPr>
          <w:rFonts w:ascii="Candara" w:hAnsi="Candara"/>
          <w:sz w:val="20"/>
          <w:lang w:val="pt-PT"/>
        </w:rPr>
        <w:t>Salsburg</w:t>
      </w:r>
      <w:proofErr w:type="spellEnd"/>
      <w:r w:rsidRPr="0096752A">
        <w:rPr>
          <w:rFonts w:ascii="Candara" w:hAnsi="Candara"/>
          <w:sz w:val="20"/>
          <w:lang w:val="pt-PT"/>
        </w:rPr>
        <w:t xml:space="preserve">, 2002). Em 1900, Karl </w:t>
      </w:r>
      <w:proofErr w:type="spellStart"/>
      <w:r w:rsidRPr="0096752A">
        <w:rPr>
          <w:rFonts w:ascii="Candara" w:hAnsi="Candara"/>
          <w:sz w:val="20"/>
          <w:lang w:val="pt-PT"/>
        </w:rPr>
        <w:t>Pearson</w:t>
      </w:r>
      <w:proofErr w:type="spellEnd"/>
      <w:r w:rsidRPr="0096752A">
        <w:rPr>
          <w:rFonts w:ascii="Candara" w:hAnsi="Candara"/>
          <w:sz w:val="20"/>
          <w:lang w:val="pt-PT"/>
        </w:rPr>
        <w:t xml:space="preserve"> já afirmava que o </w:t>
      </w:r>
      <w:r w:rsidRPr="0096752A">
        <w:rPr>
          <w:rFonts w:ascii="Candara Italic" w:hAnsi="Candara Italic"/>
          <w:sz w:val="20"/>
          <w:lang w:val="pt-PT"/>
        </w:rPr>
        <w:t xml:space="preserve">nível de significância </w:t>
      </w:r>
      <w:r w:rsidRPr="0096752A">
        <w:rPr>
          <w:rFonts w:ascii="Candara" w:hAnsi="Candara"/>
          <w:sz w:val="20"/>
          <w:lang w:val="pt-PT"/>
        </w:rPr>
        <w:t>não é suficiente por si mesmo e desde a década de 60 do século XX que se registam revisões sobre a questão fundadora do valor do</w:t>
      </w:r>
      <w:r w:rsidRPr="0096752A">
        <w:rPr>
          <w:rFonts w:ascii="Candara" w:hAnsi="Candara"/>
          <w:i/>
          <w:sz w:val="20"/>
          <w:u w:color="00B050"/>
          <w:lang w:val="pt-PT"/>
        </w:rPr>
        <w:t xml:space="preserve"> p </w:t>
      </w:r>
      <w:r w:rsidRPr="0096752A">
        <w:rPr>
          <w:rFonts w:ascii="Candara" w:hAnsi="Candara"/>
          <w:sz w:val="20"/>
          <w:lang w:val="pt-PT"/>
        </w:rPr>
        <w:t>(</w:t>
      </w:r>
      <w:r w:rsidR="00494E85">
        <w:rPr>
          <w:rFonts w:ascii="Candara" w:hAnsi="Candara"/>
          <w:sz w:val="20"/>
          <w:lang w:val="pt-PT"/>
        </w:rPr>
        <w:t>p. e.</w:t>
      </w:r>
      <w:r w:rsidRPr="0096752A">
        <w:rPr>
          <w:rFonts w:ascii="Candara" w:hAnsi="Candara"/>
          <w:sz w:val="20"/>
          <w:lang w:val="pt-PT"/>
        </w:rPr>
        <w:t xml:space="preserve">, </w:t>
      </w:r>
      <w:proofErr w:type="spellStart"/>
      <w:r w:rsidRPr="0096752A">
        <w:rPr>
          <w:rFonts w:ascii="Candara" w:hAnsi="Candara"/>
          <w:sz w:val="20"/>
          <w:lang w:val="pt-PT"/>
        </w:rPr>
        <w:t>Morrison</w:t>
      </w:r>
      <w:proofErr w:type="spellEnd"/>
      <w:r w:rsidRPr="0096752A">
        <w:rPr>
          <w:rFonts w:ascii="Candara" w:hAnsi="Candara"/>
          <w:sz w:val="20"/>
          <w:lang w:val="pt-PT"/>
        </w:rPr>
        <w:t xml:space="preserve"> e </w:t>
      </w:r>
      <w:proofErr w:type="spellStart"/>
      <w:r w:rsidRPr="0096752A">
        <w:rPr>
          <w:rFonts w:ascii="Candara" w:hAnsi="Candara"/>
          <w:sz w:val="20"/>
          <w:lang w:val="pt-PT"/>
        </w:rPr>
        <w:t>Henkel</w:t>
      </w:r>
      <w:proofErr w:type="spellEnd"/>
      <w:r w:rsidRPr="0096752A">
        <w:rPr>
          <w:rFonts w:ascii="Candara" w:hAnsi="Candara"/>
          <w:sz w:val="20"/>
          <w:lang w:val="pt-PT"/>
        </w:rPr>
        <w:t xml:space="preserve"> 1970; </w:t>
      </w:r>
      <w:proofErr w:type="spellStart"/>
      <w:r w:rsidRPr="0096752A">
        <w:rPr>
          <w:rFonts w:ascii="Candara" w:hAnsi="Candara"/>
          <w:sz w:val="20"/>
          <w:lang w:val="pt-PT"/>
        </w:rPr>
        <w:t>Nickerson</w:t>
      </w:r>
      <w:proofErr w:type="spellEnd"/>
      <w:r w:rsidRPr="0096752A">
        <w:rPr>
          <w:rFonts w:ascii="Candara" w:hAnsi="Candara"/>
          <w:sz w:val="20"/>
          <w:lang w:val="pt-PT"/>
        </w:rPr>
        <w:t>, 2000), incluindo tentativas para corrigir a situação (</w:t>
      </w:r>
      <w:r w:rsidR="00494E85">
        <w:rPr>
          <w:rFonts w:ascii="Candara" w:hAnsi="Candara"/>
          <w:sz w:val="20"/>
          <w:lang w:val="pt-PT"/>
        </w:rPr>
        <w:t>p. e.</w:t>
      </w:r>
      <w:r w:rsidRPr="0096752A">
        <w:rPr>
          <w:rFonts w:ascii="Candara" w:hAnsi="Candara"/>
          <w:sz w:val="20"/>
          <w:lang w:val="pt-PT"/>
        </w:rPr>
        <w:t xml:space="preserve">, </w:t>
      </w:r>
      <w:proofErr w:type="spellStart"/>
      <w:r w:rsidRPr="0096752A">
        <w:rPr>
          <w:rFonts w:ascii="Candara" w:hAnsi="Candara"/>
          <w:sz w:val="20"/>
          <w:lang w:val="pt-PT"/>
        </w:rPr>
        <w:t>Giere</w:t>
      </w:r>
      <w:proofErr w:type="spellEnd"/>
      <w:r w:rsidRPr="0096752A">
        <w:rPr>
          <w:rFonts w:ascii="Candara" w:hAnsi="Candara"/>
          <w:sz w:val="20"/>
          <w:lang w:val="pt-PT"/>
        </w:rPr>
        <w:t xml:space="preserve">, 1972; </w:t>
      </w:r>
      <w:proofErr w:type="spellStart"/>
      <w:r w:rsidRPr="0096752A">
        <w:rPr>
          <w:rFonts w:ascii="Candara" w:hAnsi="Candara"/>
          <w:sz w:val="20"/>
          <w:lang w:val="pt-PT"/>
        </w:rPr>
        <w:t>Trafimow</w:t>
      </w:r>
      <w:proofErr w:type="spellEnd"/>
      <w:r w:rsidRPr="0096752A">
        <w:rPr>
          <w:rFonts w:ascii="Candara" w:hAnsi="Candara"/>
          <w:sz w:val="20"/>
          <w:lang w:val="pt-PT"/>
        </w:rPr>
        <w:t>, 2003), propostas para estatísticas ou métodos alternativos (</w:t>
      </w:r>
      <w:r w:rsidR="00494E85">
        <w:rPr>
          <w:rFonts w:ascii="Candara" w:hAnsi="Candara"/>
          <w:sz w:val="20"/>
          <w:lang w:val="pt-PT"/>
        </w:rPr>
        <w:t>p. e.</w:t>
      </w:r>
      <w:r w:rsidRPr="0096752A">
        <w:rPr>
          <w:rFonts w:ascii="Candara" w:hAnsi="Candara"/>
          <w:sz w:val="20"/>
          <w:lang w:val="pt-PT"/>
        </w:rPr>
        <w:t xml:space="preserve">, </w:t>
      </w:r>
      <w:proofErr w:type="spellStart"/>
      <w:r w:rsidRPr="0096752A">
        <w:rPr>
          <w:rFonts w:ascii="Candara" w:hAnsi="Candara"/>
          <w:sz w:val="20"/>
          <w:lang w:val="pt-PT"/>
        </w:rPr>
        <w:t>Carver</w:t>
      </w:r>
      <w:proofErr w:type="spellEnd"/>
      <w:r w:rsidRPr="0096752A">
        <w:rPr>
          <w:rFonts w:ascii="Candara" w:hAnsi="Candara"/>
          <w:sz w:val="20"/>
          <w:lang w:val="pt-PT"/>
        </w:rPr>
        <w:t xml:space="preserve">, 1978; </w:t>
      </w:r>
      <w:proofErr w:type="spellStart"/>
      <w:r w:rsidRPr="0096752A">
        <w:rPr>
          <w:rFonts w:ascii="Candara" w:hAnsi="Candara"/>
          <w:sz w:val="20"/>
          <w:lang w:val="pt-PT"/>
        </w:rPr>
        <w:t>Loftus</w:t>
      </w:r>
      <w:proofErr w:type="spellEnd"/>
      <w:r w:rsidRPr="0096752A">
        <w:rPr>
          <w:rFonts w:ascii="Candara" w:hAnsi="Candara"/>
          <w:sz w:val="20"/>
          <w:lang w:val="pt-PT"/>
        </w:rPr>
        <w:t>, 1996)</w:t>
      </w:r>
      <w:r w:rsidRPr="0096752A">
        <w:rPr>
          <w:rFonts w:ascii="Candara" w:hAnsi="Candara"/>
          <w:sz w:val="20"/>
          <w:vertAlign w:val="superscript"/>
        </w:rPr>
        <w:endnoteReference w:id="2"/>
      </w:r>
      <w:r w:rsidRPr="0096752A">
        <w:rPr>
          <w:rFonts w:ascii="Candara" w:hAnsi="Candara"/>
          <w:sz w:val="20"/>
          <w:lang w:val="pt-PT"/>
        </w:rPr>
        <w:t xml:space="preserve"> </w:t>
      </w:r>
      <w:proofErr w:type="gramStart"/>
      <w:r w:rsidRPr="0096752A">
        <w:rPr>
          <w:rFonts w:ascii="Candara" w:hAnsi="Candara"/>
          <w:sz w:val="20"/>
          <w:lang w:val="pt-PT"/>
        </w:rPr>
        <w:t>ou</w:t>
      </w:r>
      <w:proofErr w:type="gramEnd"/>
      <w:r w:rsidRPr="0096752A">
        <w:rPr>
          <w:rFonts w:ascii="Candara" w:hAnsi="Candara"/>
          <w:sz w:val="20"/>
          <w:lang w:val="pt-PT"/>
        </w:rPr>
        <w:t xml:space="preserve"> mesmo ataque aos níveis de significância (</w:t>
      </w:r>
      <w:r w:rsidR="00494E85">
        <w:rPr>
          <w:rFonts w:ascii="Candara" w:hAnsi="Candara"/>
          <w:sz w:val="20"/>
          <w:lang w:val="pt-PT"/>
        </w:rPr>
        <w:t>p. e.</w:t>
      </w:r>
      <w:r w:rsidRPr="0096752A">
        <w:rPr>
          <w:rFonts w:ascii="Candara" w:hAnsi="Candara"/>
          <w:sz w:val="20"/>
          <w:lang w:val="pt-PT"/>
        </w:rPr>
        <w:t xml:space="preserve">, Cohen, 1994; </w:t>
      </w:r>
      <w:proofErr w:type="spellStart"/>
      <w:r w:rsidRPr="0096752A">
        <w:rPr>
          <w:rFonts w:ascii="Candara" w:hAnsi="Candara"/>
          <w:sz w:val="20"/>
          <w:lang w:val="pt-PT"/>
        </w:rPr>
        <w:t>Killeen</w:t>
      </w:r>
      <w:proofErr w:type="spellEnd"/>
      <w:r w:rsidRPr="0096752A">
        <w:rPr>
          <w:rFonts w:ascii="Candara" w:hAnsi="Candara"/>
          <w:sz w:val="20"/>
          <w:lang w:val="pt-PT"/>
        </w:rPr>
        <w:t xml:space="preserve">, 2005).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De facto, as críticas aos limites dos níveis de significância estão a generalizar-se em várias áreas de investigação, incluindo</w:t>
      </w:r>
      <w:r w:rsidRPr="0096752A">
        <w:rPr>
          <w:rFonts w:ascii="Candara" w:hAnsi="Candara"/>
          <w:color w:val="E5A7FD"/>
          <w:sz w:val="20"/>
          <w:lang w:val="pt-PT"/>
        </w:rPr>
        <w:t xml:space="preserve">, </w:t>
      </w:r>
      <w:r w:rsidRPr="0096752A">
        <w:rPr>
          <w:rFonts w:ascii="Candara" w:hAnsi="Candara"/>
          <w:sz w:val="20"/>
          <w:lang w:val="pt-PT"/>
        </w:rPr>
        <w:t>por exemplo, a psicologia (</w:t>
      </w:r>
      <w:proofErr w:type="spellStart"/>
      <w:r w:rsidRPr="0096752A">
        <w:rPr>
          <w:rFonts w:ascii="Candara" w:hAnsi="Candara"/>
          <w:sz w:val="20"/>
          <w:lang w:val="pt-PT"/>
        </w:rPr>
        <w:t>Loftus</w:t>
      </w:r>
      <w:proofErr w:type="spellEnd"/>
      <w:r w:rsidRPr="0096752A">
        <w:rPr>
          <w:rFonts w:ascii="Candara" w:hAnsi="Candara"/>
          <w:sz w:val="20"/>
          <w:lang w:val="pt-PT"/>
        </w:rPr>
        <w:t xml:space="preserve">, 1996; </w:t>
      </w:r>
      <w:proofErr w:type="spellStart"/>
      <w:r w:rsidRPr="0096752A">
        <w:rPr>
          <w:rFonts w:ascii="Candara" w:hAnsi="Candara"/>
          <w:sz w:val="20"/>
          <w:lang w:val="pt-PT"/>
        </w:rPr>
        <w:t>Wagenmakers</w:t>
      </w:r>
      <w:proofErr w:type="spellEnd"/>
      <w:r w:rsidRPr="0096752A">
        <w:rPr>
          <w:rFonts w:ascii="Candara" w:hAnsi="Candara"/>
          <w:sz w:val="20"/>
          <w:lang w:val="pt-PT"/>
        </w:rPr>
        <w:t>, 2007), neurociências (</w:t>
      </w:r>
      <w:proofErr w:type="spellStart"/>
      <w:r w:rsidRPr="0096752A">
        <w:rPr>
          <w:rFonts w:ascii="Candara" w:hAnsi="Candara"/>
          <w:sz w:val="20"/>
          <w:lang w:val="pt-PT"/>
        </w:rPr>
        <w:t>Hentschke</w:t>
      </w:r>
      <w:proofErr w:type="spellEnd"/>
      <w:r w:rsidRPr="0096752A">
        <w:rPr>
          <w:rFonts w:ascii="Candara" w:hAnsi="Candara"/>
          <w:sz w:val="20"/>
          <w:lang w:val="pt-PT"/>
        </w:rPr>
        <w:t xml:space="preserve"> e </w:t>
      </w:r>
      <w:proofErr w:type="spellStart"/>
      <w:r w:rsidRPr="0096752A">
        <w:rPr>
          <w:rFonts w:ascii="Candara" w:hAnsi="Candara"/>
          <w:sz w:val="20"/>
          <w:lang w:val="pt-PT"/>
        </w:rPr>
        <w:t>Stüttgen</w:t>
      </w:r>
      <w:proofErr w:type="spellEnd"/>
      <w:r w:rsidRPr="0096752A">
        <w:rPr>
          <w:rFonts w:ascii="Candara" w:hAnsi="Candara"/>
          <w:sz w:val="20"/>
          <w:lang w:val="pt-PT"/>
        </w:rPr>
        <w:t>, 2011), biologia (</w:t>
      </w:r>
      <w:proofErr w:type="spellStart"/>
      <w:r w:rsidRPr="0096752A">
        <w:rPr>
          <w:rFonts w:ascii="Candara" w:hAnsi="Candara"/>
          <w:sz w:val="20"/>
          <w:lang w:val="pt-PT"/>
        </w:rPr>
        <w:t>Nakagawa</w:t>
      </w:r>
      <w:proofErr w:type="spellEnd"/>
      <w:r w:rsidRPr="0096752A">
        <w:rPr>
          <w:rFonts w:ascii="Candara" w:hAnsi="Candara"/>
          <w:sz w:val="20"/>
          <w:lang w:val="pt-PT"/>
        </w:rPr>
        <w:t xml:space="preserve"> e </w:t>
      </w:r>
      <w:proofErr w:type="spellStart"/>
      <w:r w:rsidRPr="0096752A">
        <w:rPr>
          <w:rFonts w:ascii="Candara" w:hAnsi="Candara"/>
          <w:sz w:val="20"/>
          <w:lang w:val="pt-PT"/>
        </w:rPr>
        <w:t>Cuthill</w:t>
      </w:r>
      <w:proofErr w:type="spellEnd"/>
      <w:r w:rsidRPr="0096752A">
        <w:rPr>
          <w:rFonts w:ascii="Candara" w:hAnsi="Candara"/>
          <w:sz w:val="20"/>
          <w:lang w:val="pt-PT"/>
        </w:rPr>
        <w:t>, 2007), medicina (</w:t>
      </w:r>
      <w:proofErr w:type="spellStart"/>
      <w:r w:rsidRPr="0096752A">
        <w:rPr>
          <w:rFonts w:ascii="Candara" w:hAnsi="Candara"/>
          <w:sz w:val="20"/>
          <w:lang w:val="pt-PT"/>
        </w:rPr>
        <w:t>Aickin</w:t>
      </w:r>
      <w:proofErr w:type="spellEnd"/>
      <w:r w:rsidRPr="0096752A">
        <w:rPr>
          <w:rFonts w:ascii="Candara" w:hAnsi="Candara"/>
          <w:sz w:val="20"/>
          <w:lang w:val="pt-PT"/>
        </w:rPr>
        <w:t xml:space="preserve">, 2004; </w:t>
      </w:r>
      <w:proofErr w:type="spellStart"/>
      <w:r w:rsidRPr="0096752A">
        <w:rPr>
          <w:rFonts w:ascii="Candara" w:hAnsi="Candara"/>
          <w:sz w:val="20"/>
          <w:lang w:val="pt-PT"/>
        </w:rPr>
        <w:t>Snyder</w:t>
      </w:r>
      <w:proofErr w:type="spellEnd"/>
      <w:r w:rsidRPr="0096752A">
        <w:rPr>
          <w:rFonts w:ascii="Candara" w:hAnsi="Candara"/>
          <w:sz w:val="20"/>
          <w:lang w:val="pt-PT"/>
        </w:rPr>
        <w:t xml:space="preserve"> e </w:t>
      </w:r>
      <w:proofErr w:type="spellStart"/>
      <w:r w:rsidRPr="0096752A">
        <w:rPr>
          <w:rFonts w:ascii="Candara" w:hAnsi="Candara"/>
          <w:sz w:val="20"/>
          <w:lang w:val="pt-PT"/>
        </w:rPr>
        <w:t>Lawson</w:t>
      </w:r>
      <w:proofErr w:type="spellEnd"/>
      <w:r w:rsidRPr="0096752A">
        <w:rPr>
          <w:rFonts w:ascii="Candara" w:hAnsi="Candara"/>
          <w:sz w:val="20"/>
          <w:lang w:val="pt-PT"/>
        </w:rPr>
        <w:t>, 1993), educação (</w:t>
      </w:r>
      <w:proofErr w:type="spellStart"/>
      <w:r w:rsidRPr="0096752A">
        <w:rPr>
          <w:rFonts w:ascii="Candara" w:hAnsi="Candara"/>
          <w:sz w:val="20"/>
          <w:lang w:val="pt-PT"/>
        </w:rPr>
        <w:t>Kirk</w:t>
      </w:r>
      <w:proofErr w:type="spellEnd"/>
      <w:r w:rsidRPr="0096752A">
        <w:rPr>
          <w:rFonts w:ascii="Candara" w:hAnsi="Candara"/>
          <w:sz w:val="20"/>
          <w:lang w:val="pt-PT"/>
        </w:rPr>
        <w:t xml:space="preserve">, 1996; </w:t>
      </w:r>
      <w:proofErr w:type="spellStart"/>
      <w:r w:rsidRPr="0096752A">
        <w:rPr>
          <w:rFonts w:ascii="Candara" w:hAnsi="Candara"/>
          <w:sz w:val="20"/>
          <w:lang w:val="pt-PT"/>
        </w:rPr>
        <w:t>Olejnik</w:t>
      </w:r>
      <w:proofErr w:type="spellEnd"/>
      <w:r w:rsidRPr="0096752A">
        <w:rPr>
          <w:rFonts w:ascii="Candara" w:hAnsi="Candara"/>
          <w:sz w:val="20"/>
          <w:lang w:val="pt-PT"/>
        </w:rPr>
        <w:t xml:space="preserve"> e Algina, 2000), desporto (Thomas, Salazar e </w:t>
      </w:r>
      <w:proofErr w:type="spellStart"/>
      <w:r w:rsidRPr="0096752A">
        <w:rPr>
          <w:rFonts w:ascii="Candara" w:hAnsi="Candara"/>
          <w:sz w:val="20"/>
          <w:lang w:val="pt-PT"/>
        </w:rPr>
        <w:t>Landers</w:t>
      </w:r>
      <w:proofErr w:type="spellEnd"/>
      <w:r w:rsidRPr="0096752A">
        <w:rPr>
          <w:rFonts w:ascii="Candara" w:hAnsi="Candara"/>
          <w:sz w:val="20"/>
          <w:lang w:val="pt-PT"/>
        </w:rPr>
        <w:t>, 1991) ou o m</w:t>
      </w:r>
      <w:r w:rsidR="00E54D72">
        <w:rPr>
          <w:rFonts w:ascii="Candara" w:hAnsi="Candara"/>
          <w:sz w:val="20"/>
          <w:lang w:val="pt-PT"/>
        </w:rPr>
        <w:t>arketing (</w:t>
      </w:r>
      <w:proofErr w:type="spellStart"/>
      <w:r w:rsidR="00E54D72">
        <w:rPr>
          <w:rFonts w:ascii="Candara" w:hAnsi="Candara"/>
          <w:sz w:val="20"/>
          <w:lang w:val="pt-PT"/>
        </w:rPr>
        <w:t>Fern</w:t>
      </w:r>
      <w:proofErr w:type="spellEnd"/>
      <w:r w:rsidR="00E54D72">
        <w:rPr>
          <w:rFonts w:ascii="Candara" w:hAnsi="Candara"/>
          <w:sz w:val="20"/>
          <w:lang w:val="pt-PT"/>
        </w:rPr>
        <w:t xml:space="preserve"> e Monroe, 1996).</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Importa, então, referir algumas das limitações do nível de significância. Note-se, primeiramente, que o teste de significância da hipótese nula é assimétrico, pelo que só se podem reunir dados </w:t>
      </w:r>
      <w:r w:rsidRPr="0096752A">
        <w:rPr>
          <w:rFonts w:ascii="Candara Italic" w:hAnsi="Candara Italic"/>
          <w:sz w:val="20"/>
          <w:lang w:val="pt-PT"/>
        </w:rPr>
        <w:t>contra</w:t>
      </w:r>
      <w:r w:rsidRPr="0096752A">
        <w:rPr>
          <w:rFonts w:ascii="Candara" w:hAnsi="Candara"/>
          <w:sz w:val="20"/>
          <w:lang w:val="pt-PT"/>
        </w:rPr>
        <w:t xml:space="preserve"> a hipótese nula, mas não em seu suporte. Assim, os valores de</w:t>
      </w:r>
      <w:r w:rsidRPr="0096752A">
        <w:rPr>
          <w:rFonts w:ascii="Candara" w:hAnsi="Candara"/>
          <w:i/>
          <w:sz w:val="20"/>
          <w:u w:color="00B050"/>
          <w:lang w:val="pt-PT"/>
        </w:rPr>
        <w:t xml:space="preserve"> p </w:t>
      </w:r>
      <w:r w:rsidRPr="0096752A">
        <w:rPr>
          <w:rFonts w:ascii="Candara" w:hAnsi="Candara"/>
          <w:sz w:val="20"/>
          <w:lang w:val="pt-PT"/>
        </w:rPr>
        <w:t xml:space="preserve">acima de 0,05 não indicam a ausência de um efeito (revisão de </w:t>
      </w:r>
      <w:proofErr w:type="spellStart"/>
      <w:r w:rsidRPr="0096752A">
        <w:rPr>
          <w:rFonts w:ascii="Candara" w:hAnsi="Candara"/>
          <w:sz w:val="20"/>
          <w:lang w:val="pt-PT"/>
        </w:rPr>
        <w:t>Ferguson</w:t>
      </w:r>
      <w:proofErr w:type="spellEnd"/>
      <w:r w:rsidRPr="0096752A">
        <w:rPr>
          <w:rFonts w:ascii="Candara" w:hAnsi="Candara"/>
          <w:sz w:val="20"/>
          <w:lang w:val="pt-PT"/>
        </w:rPr>
        <w:t xml:space="preserve">, 2009; </w:t>
      </w:r>
      <w:proofErr w:type="spellStart"/>
      <w:r w:rsidRPr="0096752A">
        <w:rPr>
          <w:rFonts w:ascii="Candara" w:hAnsi="Candara"/>
          <w:sz w:val="20"/>
          <w:lang w:val="pt-PT"/>
        </w:rPr>
        <w:t>Hentschke</w:t>
      </w:r>
      <w:proofErr w:type="spellEnd"/>
      <w:r w:rsidRPr="0096752A">
        <w:rPr>
          <w:rFonts w:ascii="Candara" w:hAnsi="Candara"/>
          <w:sz w:val="20"/>
          <w:lang w:val="pt-PT"/>
        </w:rPr>
        <w:t xml:space="preserve"> e </w:t>
      </w:r>
      <w:proofErr w:type="spellStart"/>
      <w:r w:rsidRPr="0096752A">
        <w:rPr>
          <w:rFonts w:ascii="Candara" w:hAnsi="Candara"/>
          <w:sz w:val="20"/>
          <w:lang w:val="pt-PT"/>
        </w:rPr>
        <w:t>Stüttgen</w:t>
      </w:r>
      <w:proofErr w:type="spellEnd"/>
      <w:r w:rsidRPr="0096752A">
        <w:rPr>
          <w:rFonts w:ascii="Candara" w:hAnsi="Candara"/>
          <w:sz w:val="20"/>
          <w:lang w:val="pt-PT"/>
        </w:rPr>
        <w:t xml:space="preserve">, 2011; </w:t>
      </w:r>
      <w:proofErr w:type="spellStart"/>
      <w:r w:rsidRPr="0096752A">
        <w:rPr>
          <w:rFonts w:ascii="Candara" w:hAnsi="Candara"/>
          <w:sz w:val="20"/>
          <w:lang w:val="pt-PT"/>
        </w:rPr>
        <w:t>Loftus</w:t>
      </w:r>
      <w:proofErr w:type="spellEnd"/>
      <w:r w:rsidRPr="0096752A">
        <w:rPr>
          <w:rFonts w:ascii="Candara" w:hAnsi="Candara"/>
          <w:sz w:val="20"/>
          <w:lang w:val="pt-PT"/>
        </w:rPr>
        <w:t xml:space="preserve">, 1996).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Assinale-se também que, apesar de o valor do</w:t>
      </w:r>
      <w:r w:rsidRPr="0096752A">
        <w:rPr>
          <w:rFonts w:ascii="Candara" w:hAnsi="Candara"/>
          <w:i/>
          <w:sz w:val="20"/>
          <w:u w:color="00B050"/>
          <w:lang w:val="pt-PT"/>
        </w:rPr>
        <w:t xml:space="preserve"> p </w:t>
      </w:r>
      <w:r w:rsidRPr="0096752A">
        <w:rPr>
          <w:rFonts w:ascii="Candara" w:hAnsi="Candara"/>
          <w:sz w:val="20"/>
          <w:lang w:val="pt-PT"/>
        </w:rPr>
        <w:t>fornecer a probabilidade de se obter uma estatística significativa, ele não informa sobre a importância clínica ou prática dos resultados (</w:t>
      </w:r>
      <w:proofErr w:type="spellStart"/>
      <w:r w:rsidRPr="0096752A">
        <w:rPr>
          <w:rFonts w:ascii="Candara" w:hAnsi="Candara"/>
          <w:sz w:val="20"/>
          <w:lang w:val="pt-PT"/>
        </w:rPr>
        <w:t>Berben</w:t>
      </w:r>
      <w:proofErr w:type="spellEnd"/>
      <w:r w:rsidRPr="0096752A">
        <w:rPr>
          <w:rFonts w:ascii="Candara" w:hAnsi="Candara"/>
          <w:sz w:val="20"/>
          <w:lang w:val="pt-PT"/>
        </w:rPr>
        <w:t xml:space="preserve">, </w:t>
      </w:r>
      <w:proofErr w:type="spellStart"/>
      <w:r w:rsidRPr="0096752A">
        <w:rPr>
          <w:rFonts w:ascii="Candara" w:hAnsi="Candara"/>
          <w:sz w:val="20"/>
          <w:lang w:val="pt-PT"/>
        </w:rPr>
        <w:t>Sereika</w:t>
      </w:r>
      <w:proofErr w:type="spellEnd"/>
      <w:r w:rsidRPr="0096752A">
        <w:rPr>
          <w:rFonts w:ascii="Candara" w:hAnsi="Candara"/>
          <w:sz w:val="20"/>
          <w:lang w:val="pt-PT"/>
        </w:rPr>
        <w:t xml:space="preserve"> e </w:t>
      </w:r>
      <w:proofErr w:type="spellStart"/>
      <w:r w:rsidRPr="0096752A">
        <w:rPr>
          <w:rFonts w:ascii="Candara" w:hAnsi="Candara"/>
          <w:sz w:val="20"/>
          <w:lang w:val="pt-PT"/>
        </w:rPr>
        <w:t>Engberg</w:t>
      </w:r>
      <w:proofErr w:type="spellEnd"/>
      <w:r w:rsidRPr="0096752A">
        <w:rPr>
          <w:rFonts w:ascii="Candara" w:hAnsi="Candara"/>
          <w:sz w:val="20"/>
          <w:lang w:val="pt-PT"/>
        </w:rPr>
        <w:t xml:space="preserve">, 2012; </w:t>
      </w:r>
      <w:proofErr w:type="spellStart"/>
      <w:r w:rsidRPr="0096752A">
        <w:rPr>
          <w:rFonts w:ascii="Candara" w:hAnsi="Candara"/>
          <w:sz w:val="20"/>
          <w:lang w:val="pt-PT"/>
        </w:rPr>
        <w:t>Durlak</w:t>
      </w:r>
      <w:proofErr w:type="spellEnd"/>
      <w:r w:rsidRPr="0096752A">
        <w:rPr>
          <w:rFonts w:ascii="Candara" w:hAnsi="Candara"/>
          <w:sz w:val="20"/>
          <w:lang w:val="pt-PT"/>
        </w:rPr>
        <w:t xml:space="preserve">, 2009; </w:t>
      </w:r>
      <w:proofErr w:type="spellStart"/>
      <w:r w:rsidRPr="0096752A">
        <w:rPr>
          <w:rFonts w:ascii="Candara" w:hAnsi="Candara"/>
          <w:sz w:val="20"/>
          <w:lang w:val="pt-PT"/>
        </w:rPr>
        <w:t>Jacobson</w:t>
      </w:r>
      <w:proofErr w:type="spellEnd"/>
      <w:r w:rsidRPr="0096752A">
        <w:rPr>
          <w:rFonts w:ascii="Candara" w:hAnsi="Candara"/>
          <w:sz w:val="20"/>
          <w:lang w:val="pt-PT"/>
        </w:rPr>
        <w:t xml:space="preserve"> e </w:t>
      </w:r>
      <w:proofErr w:type="spellStart"/>
      <w:r w:rsidRPr="0096752A">
        <w:rPr>
          <w:rFonts w:ascii="Candara" w:hAnsi="Candara"/>
          <w:sz w:val="20"/>
          <w:lang w:val="pt-PT"/>
        </w:rPr>
        <w:t>Truax</w:t>
      </w:r>
      <w:proofErr w:type="spellEnd"/>
      <w:r w:rsidRPr="0096752A">
        <w:rPr>
          <w:rFonts w:ascii="Candara" w:hAnsi="Candara"/>
          <w:sz w:val="20"/>
          <w:lang w:val="pt-PT"/>
        </w:rPr>
        <w:t xml:space="preserve">, 1991; </w:t>
      </w:r>
      <w:proofErr w:type="spellStart"/>
      <w:r w:rsidRPr="0096752A">
        <w:rPr>
          <w:rFonts w:ascii="Candara" w:hAnsi="Candara"/>
          <w:sz w:val="20"/>
          <w:lang w:val="pt-PT"/>
        </w:rPr>
        <w:t>Kirk</w:t>
      </w:r>
      <w:proofErr w:type="spellEnd"/>
      <w:r w:rsidRPr="0096752A">
        <w:rPr>
          <w:rFonts w:ascii="Candara" w:hAnsi="Candara"/>
          <w:sz w:val="20"/>
          <w:lang w:val="pt-PT"/>
        </w:rPr>
        <w:t xml:space="preserve">, 1996; </w:t>
      </w:r>
      <w:proofErr w:type="spellStart"/>
      <w:r w:rsidRPr="0096752A">
        <w:rPr>
          <w:rFonts w:ascii="Candara" w:hAnsi="Candara"/>
          <w:sz w:val="20"/>
          <w:lang w:val="pt-PT"/>
        </w:rPr>
        <w:t>Snyder</w:t>
      </w:r>
      <w:proofErr w:type="spellEnd"/>
      <w:r w:rsidRPr="0096752A">
        <w:rPr>
          <w:rFonts w:ascii="Candara" w:hAnsi="Candara"/>
          <w:sz w:val="20"/>
          <w:lang w:val="pt-PT"/>
        </w:rPr>
        <w:t xml:space="preserve"> e </w:t>
      </w:r>
      <w:proofErr w:type="spellStart"/>
      <w:r w:rsidRPr="0096752A">
        <w:rPr>
          <w:rFonts w:ascii="Candara" w:hAnsi="Candara"/>
          <w:sz w:val="20"/>
          <w:lang w:val="pt-PT"/>
        </w:rPr>
        <w:t>Lawson</w:t>
      </w:r>
      <w:proofErr w:type="spellEnd"/>
      <w:r w:rsidRPr="0096752A">
        <w:rPr>
          <w:rFonts w:ascii="Candara" w:hAnsi="Candara"/>
          <w:sz w:val="20"/>
          <w:lang w:val="pt-PT"/>
        </w:rPr>
        <w:t xml:space="preserve">, 1993), sendo somente adequado se </w:t>
      </w:r>
      <w:proofErr w:type="spellStart"/>
      <w:r w:rsidRPr="0096752A">
        <w:rPr>
          <w:rFonts w:ascii="Candara" w:hAnsi="Candara"/>
          <w:sz w:val="20"/>
          <w:lang w:val="pt-PT"/>
        </w:rPr>
        <w:t>se</w:t>
      </w:r>
      <w:proofErr w:type="spellEnd"/>
      <w:r w:rsidRPr="0096752A">
        <w:rPr>
          <w:rFonts w:ascii="Candara" w:hAnsi="Candara"/>
          <w:sz w:val="20"/>
          <w:lang w:val="pt-PT"/>
        </w:rPr>
        <w:t xml:space="preserve"> explicitar o seu papel no suporte a uma teoria (</w:t>
      </w:r>
      <w:proofErr w:type="spellStart"/>
      <w:r w:rsidRPr="0096752A">
        <w:rPr>
          <w:rFonts w:ascii="Candara" w:hAnsi="Candara"/>
          <w:sz w:val="20"/>
          <w:lang w:val="pt-PT"/>
        </w:rPr>
        <w:t>Chow</w:t>
      </w:r>
      <w:proofErr w:type="spellEnd"/>
      <w:r w:rsidRPr="0096752A">
        <w:rPr>
          <w:rFonts w:ascii="Candara" w:hAnsi="Candara"/>
          <w:sz w:val="20"/>
          <w:lang w:val="pt-PT"/>
        </w:rPr>
        <w:t>, 1988). Na realidade, só se devia dizer que um</w:t>
      </w:r>
      <w:r w:rsidRPr="0096752A">
        <w:rPr>
          <w:rFonts w:ascii="Candara" w:hAnsi="Candara"/>
          <w:i/>
          <w:sz w:val="20"/>
          <w:u w:color="00B050"/>
          <w:lang w:val="pt-PT"/>
        </w:rPr>
        <w:t xml:space="preserve"> p </w:t>
      </w:r>
      <w:r w:rsidRPr="0096752A">
        <w:rPr>
          <w:rFonts w:ascii="Candara" w:hAnsi="Candara"/>
          <w:sz w:val="20"/>
          <w:lang w:val="pt-PT"/>
        </w:rPr>
        <w:t xml:space="preserve">é menor do que alfa quando a hipótese fosse colocada </w:t>
      </w:r>
      <w:r w:rsidRPr="0096752A">
        <w:rPr>
          <w:rFonts w:ascii="Candara Italic" w:hAnsi="Candara Italic"/>
          <w:sz w:val="20"/>
          <w:lang w:val="pt-PT"/>
        </w:rPr>
        <w:t>antes</w:t>
      </w:r>
      <w:r w:rsidRPr="0096752A">
        <w:rPr>
          <w:rFonts w:ascii="Candara" w:hAnsi="Candara"/>
          <w:sz w:val="20"/>
          <w:lang w:val="pt-PT"/>
        </w:rPr>
        <w:t xml:space="preserve"> dos dados serem recolhidos (</w:t>
      </w:r>
      <w:proofErr w:type="spellStart"/>
      <w:r w:rsidRPr="0096752A">
        <w:rPr>
          <w:rFonts w:ascii="Candara" w:hAnsi="Candara"/>
          <w:sz w:val="20"/>
          <w:lang w:val="pt-PT"/>
        </w:rPr>
        <w:t>Kline</w:t>
      </w:r>
      <w:proofErr w:type="spellEnd"/>
      <w:r w:rsidRPr="0096752A">
        <w:rPr>
          <w:rFonts w:ascii="Candara" w:hAnsi="Candara"/>
          <w:sz w:val="20"/>
          <w:lang w:val="pt-PT"/>
        </w:rPr>
        <w:t>, 2004).</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O nível de alfa é também criticado pela sua arbitrariedade (</w:t>
      </w:r>
      <w:r w:rsidR="00494E85">
        <w:rPr>
          <w:rFonts w:ascii="Candara" w:hAnsi="Candara"/>
          <w:sz w:val="20"/>
          <w:lang w:val="pt-PT"/>
        </w:rPr>
        <w:t>p. e.</w:t>
      </w:r>
      <w:r w:rsidRPr="0096752A">
        <w:rPr>
          <w:rFonts w:ascii="Candara" w:hAnsi="Candara"/>
          <w:sz w:val="20"/>
          <w:lang w:val="pt-PT"/>
        </w:rPr>
        <w:t xml:space="preserve">, </w:t>
      </w:r>
      <w:proofErr w:type="spellStart"/>
      <w:r w:rsidRPr="0096752A">
        <w:rPr>
          <w:rFonts w:ascii="Candara" w:hAnsi="Candara"/>
          <w:sz w:val="20"/>
          <w:lang w:val="pt-PT"/>
        </w:rPr>
        <w:t>Kline</w:t>
      </w:r>
      <w:proofErr w:type="spellEnd"/>
      <w:r w:rsidRPr="0096752A">
        <w:rPr>
          <w:rFonts w:ascii="Candara" w:hAnsi="Candara"/>
          <w:sz w:val="20"/>
          <w:lang w:val="pt-PT"/>
        </w:rPr>
        <w:t xml:space="preserve">, 2004), com </w:t>
      </w:r>
      <w:proofErr w:type="spellStart"/>
      <w:r w:rsidRPr="0096752A">
        <w:rPr>
          <w:rFonts w:ascii="Candara" w:hAnsi="Candara"/>
          <w:sz w:val="20"/>
          <w:lang w:val="pt-PT"/>
        </w:rPr>
        <w:t>Rosnow</w:t>
      </w:r>
      <w:proofErr w:type="spellEnd"/>
      <w:r w:rsidRPr="0096752A">
        <w:rPr>
          <w:rFonts w:ascii="Candara" w:hAnsi="Candara"/>
          <w:sz w:val="20"/>
          <w:lang w:val="pt-PT"/>
        </w:rPr>
        <w:t xml:space="preserve"> e </w:t>
      </w:r>
      <w:proofErr w:type="spellStart"/>
      <w:r w:rsidRPr="0096752A">
        <w:rPr>
          <w:rFonts w:ascii="Candara" w:hAnsi="Candara"/>
          <w:sz w:val="20"/>
          <w:lang w:val="pt-PT"/>
        </w:rPr>
        <w:t>Rosenthal</w:t>
      </w:r>
      <w:proofErr w:type="spellEnd"/>
      <w:r w:rsidRPr="0096752A">
        <w:rPr>
          <w:rFonts w:ascii="Candara" w:hAnsi="Candara"/>
          <w:sz w:val="20"/>
          <w:lang w:val="pt-PT"/>
        </w:rPr>
        <w:t xml:space="preserve"> (1989, p. 1277) a escreverem ironicamente “… </w:t>
      </w:r>
      <w:proofErr w:type="spellStart"/>
      <w:r w:rsidRPr="0096752A">
        <w:rPr>
          <w:rFonts w:ascii="Candara" w:hAnsi="Candara"/>
          <w:sz w:val="20"/>
          <w:lang w:val="pt-PT"/>
        </w:rPr>
        <w:t>God</w:t>
      </w:r>
      <w:proofErr w:type="spellEnd"/>
      <w:r w:rsidRPr="0096752A">
        <w:rPr>
          <w:rFonts w:ascii="Candara" w:hAnsi="Candara"/>
          <w:sz w:val="20"/>
          <w:lang w:val="pt-PT"/>
        </w:rPr>
        <w:t xml:space="preserve"> </w:t>
      </w:r>
      <w:proofErr w:type="spellStart"/>
      <w:r w:rsidRPr="0096752A">
        <w:rPr>
          <w:rFonts w:ascii="Candara" w:hAnsi="Candara"/>
          <w:sz w:val="20"/>
          <w:lang w:val="pt-PT"/>
        </w:rPr>
        <w:t>loves</w:t>
      </w:r>
      <w:proofErr w:type="spellEnd"/>
      <w:r w:rsidRPr="0096752A">
        <w:rPr>
          <w:rFonts w:ascii="Candara" w:hAnsi="Candara"/>
          <w:sz w:val="20"/>
          <w:lang w:val="pt-PT"/>
        </w:rPr>
        <w:t xml:space="preserve"> </w:t>
      </w:r>
      <w:proofErr w:type="spellStart"/>
      <w:r w:rsidRPr="0096752A">
        <w:rPr>
          <w:rFonts w:ascii="Candara" w:hAnsi="Candara"/>
          <w:sz w:val="20"/>
          <w:lang w:val="pt-PT"/>
        </w:rPr>
        <w:t>the</w:t>
      </w:r>
      <w:proofErr w:type="spellEnd"/>
      <w:r w:rsidRPr="0096752A">
        <w:rPr>
          <w:rFonts w:ascii="Candara" w:hAnsi="Candara"/>
          <w:sz w:val="20"/>
          <w:lang w:val="pt-PT"/>
        </w:rPr>
        <w:t xml:space="preserve"> 0.06 </w:t>
      </w:r>
      <w:proofErr w:type="spellStart"/>
      <w:r w:rsidRPr="0096752A">
        <w:rPr>
          <w:rFonts w:ascii="Candara" w:hAnsi="Candara"/>
          <w:sz w:val="20"/>
          <w:lang w:val="pt-PT"/>
        </w:rPr>
        <w:t>nearly</w:t>
      </w:r>
      <w:proofErr w:type="spellEnd"/>
      <w:r w:rsidRPr="0096752A">
        <w:rPr>
          <w:rFonts w:ascii="Candara" w:hAnsi="Candara"/>
          <w:sz w:val="20"/>
          <w:lang w:val="pt-PT"/>
        </w:rPr>
        <w:t xml:space="preserve"> as </w:t>
      </w:r>
      <w:proofErr w:type="spellStart"/>
      <w:r w:rsidRPr="0096752A">
        <w:rPr>
          <w:rFonts w:ascii="Candara" w:hAnsi="Candara"/>
          <w:sz w:val="20"/>
          <w:lang w:val="pt-PT"/>
        </w:rPr>
        <w:t>much</w:t>
      </w:r>
      <w:proofErr w:type="spellEnd"/>
      <w:r w:rsidRPr="0096752A">
        <w:rPr>
          <w:rFonts w:ascii="Candara" w:hAnsi="Candara"/>
          <w:sz w:val="20"/>
          <w:lang w:val="pt-PT"/>
        </w:rPr>
        <w:t xml:space="preserve"> as </w:t>
      </w:r>
      <w:proofErr w:type="spellStart"/>
      <w:r w:rsidRPr="0096752A">
        <w:rPr>
          <w:rFonts w:ascii="Candara" w:hAnsi="Candara"/>
          <w:sz w:val="20"/>
          <w:lang w:val="pt-PT"/>
        </w:rPr>
        <w:t>the</w:t>
      </w:r>
      <w:proofErr w:type="spellEnd"/>
      <w:r w:rsidRPr="0096752A">
        <w:rPr>
          <w:rFonts w:ascii="Candara" w:hAnsi="Candara"/>
          <w:sz w:val="20"/>
          <w:lang w:val="pt-PT"/>
        </w:rPr>
        <w:t xml:space="preserve"> 0.05”</w:t>
      </w:r>
      <w:r w:rsidRPr="0096752A">
        <w:rPr>
          <w:rFonts w:ascii="Candara" w:hAnsi="Candara"/>
          <w:sz w:val="20"/>
          <w:vertAlign w:val="superscript"/>
        </w:rPr>
        <w:endnoteReference w:id="3"/>
      </w:r>
      <w:r w:rsidRPr="0096752A">
        <w:rPr>
          <w:rFonts w:ascii="Candara" w:hAnsi="Candara"/>
          <w:sz w:val="20"/>
          <w:lang w:val="pt-PT"/>
        </w:rPr>
        <w:t xml:space="preserve">; com </w:t>
      </w:r>
      <w:proofErr w:type="spellStart"/>
      <w:r w:rsidRPr="0096752A">
        <w:rPr>
          <w:rFonts w:ascii="Candara" w:hAnsi="Candara"/>
          <w:sz w:val="20"/>
          <w:lang w:val="pt-PT"/>
        </w:rPr>
        <w:t>Cochran</w:t>
      </w:r>
      <w:proofErr w:type="spellEnd"/>
      <w:r w:rsidRPr="0096752A">
        <w:rPr>
          <w:rFonts w:ascii="Candara" w:hAnsi="Candara"/>
          <w:sz w:val="20"/>
          <w:lang w:val="pt-PT"/>
        </w:rPr>
        <w:t xml:space="preserve">, Moses e </w:t>
      </w:r>
      <w:proofErr w:type="spellStart"/>
      <w:r w:rsidRPr="0096752A">
        <w:rPr>
          <w:rFonts w:ascii="Candara" w:hAnsi="Candara"/>
          <w:sz w:val="20"/>
          <w:lang w:val="pt-PT"/>
        </w:rPr>
        <w:t>Mosteller</w:t>
      </w:r>
      <w:proofErr w:type="spellEnd"/>
      <w:r w:rsidRPr="0096752A">
        <w:rPr>
          <w:rFonts w:ascii="Candara" w:hAnsi="Candara"/>
          <w:sz w:val="20"/>
          <w:lang w:val="pt-PT"/>
        </w:rPr>
        <w:t xml:space="preserve"> (1983, p. 19) a afirmarem "no </w:t>
      </w:r>
      <w:proofErr w:type="spellStart"/>
      <w:r w:rsidRPr="0096752A">
        <w:rPr>
          <w:rFonts w:ascii="Candara" w:hAnsi="Candara"/>
          <w:sz w:val="20"/>
          <w:lang w:val="pt-PT"/>
        </w:rPr>
        <w:t>strong</w:t>
      </w:r>
      <w:proofErr w:type="spellEnd"/>
      <w:r w:rsidRPr="0096752A">
        <w:rPr>
          <w:rFonts w:ascii="Candara" w:hAnsi="Candara"/>
          <w:sz w:val="20"/>
          <w:lang w:val="pt-PT"/>
        </w:rPr>
        <w:t xml:space="preserve"> logical </w:t>
      </w:r>
      <w:proofErr w:type="spellStart"/>
      <w:r w:rsidRPr="0096752A">
        <w:rPr>
          <w:rFonts w:ascii="Candara" w:hAnsi="Candara"/>
          <w:sz w:val="20"/>
          <w:lang w:val="pt-PT"/>
        </w:rPr>
        <w:t>reason</w:t>
      </w:r>
      <w:proofErr w:type="spellEnd"/>
      <w:r w:rsidRPr="0096752A">
        <w:rPr>
          <w:rFonts w:ascii="Candara" w:hAnsi="Candara"/>
          <w:sz w:val="20"/>
          <w:lang w:val="pt-PT"/>
        </w:rPr>
        <w:t xml:space="preserve"> lies </w:t>
      </w:r>
      <w:proofErr w:type="spellStart"/>
      <w:r w:rsidRPr="0096752A">
        <w:rPr>
          <w:rFonts w:ascii="Candara" w:hAnsi="Candara"/>
          <w:sz w:val="20"/>
          <w:lang w:val="pt-PT"/>
        </w:rPr>
        <w:t>behind</w:t>
      </w:r>
      <w:proofErr w:type="spellEnd"/>
      <w:r w:rsidRPr="0096752A">
        <w:rPr>
          <w:rFonts w:ascii="Candara" w:hAnsi="Candara"/>
          <w:sz w:val="20"/>
          <w:lang w:val="pt-PT"/>
        </w:rPr>
        <w:t xml:space="preserve"> </w:t>
      </w:r>
      <w:proofErr w:type="spellStart"/>
      <w:r w:rsidRPr="0096752A">
        <w:rPr>
          <w:rFonts w:ascii="Candara" w:hAnsi="Candara"/>
          <w:sz w:val="20"/>
          <w:lang w:val="pt-PT"/>
        </w:rPr>
        <w:t>this</w:t>
      </w:r>
      <w:proofErr w:type="spellEnd"/>
      <w:r w:rsidRPr="0096752A">
        <w:rPr>
          <w:rFonts w:ascii="Candara" w:hAnsi="Candara"/>
          <w:sz w:val="20"/>
          <w:lang w:val="pt-PT"/>
        </w:rPr>
        <w:t xml:space="preserve"> </w:t>
      </w:r>
      <w:proofErr w:type="spellStart"/>
      <w:r w:rsidRPr="0096752A">
        <w:rPr>
          <w:rFonts w:ascii="Candara" w:hAnsi="Candara"/>
          <w:sz w:val="20"/>
          <w:lang w:val="pt-PT"/>
        </w:rPr>
        <w:t>choice</w:t>
      </w:r>
      <w:proofErr w:type="spellEnd"/>
      <w:r w:rsidRPr="0096752A">
        <w:rPr>
          <w:rFonts w:ascii="Candara" w:hAnsi="Candara"/>
          <w:sz w:val="20"/>
          <w:lang w:val="pt-PT"/>
        </w:rPr>
        <w:t>"</w:t>
      </w:r>
      <w:r w:rsidRPr="0096752A">
        <w:rPr>
          <w:rFonts w:ascii="Candara" w:hAnsi="Candara"/>
          <w:sz w:val="20"/>
          <w:vertAlign w:val="superscript"/>
        </w:rPr>
        <w:endnoteReference w:id="4"/>
      </w:r>
      <w:r w:rsidRPr="0096752A">
        <w:rPr>
          <w:rFonts w:ascii="Candara" w:hAnsi="Candara"/>
          <w:sz w:val="20"/>
          <w:lang w:val="pt-PT"/>
        </w:rPr>
        <w:t xml:space="preserve">, </w:t>
      </w:r>
      <w:proofErr w:type="gramStart"/>
      <w:r w:rsidRPr="0096752A">
        <w:rPr>
          <w:rFonts w:ascii="Candara" w:hAnsi="Candara"/>
          <w:sz w:val="20"/>
          <w:lang w:val="pt-PT"/>
        </w:rPr>
        <w:t>e</w:t>
      </w:r>
      <w:proofErr w:type="gramEnd"/>
      <w:r w:rsidRPr="0096752A">
        <w:rPr>
          <w:rFonts w:ascii="Candara" w:hAnsi="Candara"/>
          <w:sz w:val="20"/>
          <w:lang w:val="pt-PT"/>
        </w:rPr>
        <w:t xml:space="preserve"> ainda com </w:t>
      </w:r>
      <w:proofErr w:type="spellStart"/>
      <w:r w:rsidRPr="0096752A">
        <w:rPr>
          <w:rFonts w:ascii="Candara" w:hAnsi="Candara"/>
          <w:sz w:val="20"/>
          <w:lang w:val="pt-PT"/>
        </w:rPr>
        <w:lastRenderedPageBreak/>
        <w:t>Kirk</w:t>
      </w:r>
      <w:proofErr w:type="spellEnd"/>
      <w:r w:rsidRPr="0096752A">
        <w:rPr>
          <w:rFonts w:ascii="Candara" w:hAnsi="Candara"/>
          <w:sz w:val="20"/>
          <w:lang w:val="pt-PT"/>
        </w:rPr>
        <w:t xml:space="preserve"> (1996, p. 748) a criticar que o investigador passa de um </w:t>
      </w:r>
      <w:r w:rsidRPr="0096752A">
        <w:rPr>
          <w:rFonts w:ascii="Candara Italic" w:hAnsi="Candara Italic"/>
          <w:sz w:val="20"/>
          <w:lang w:val="pt-PT"/>
        </w:rPr>
        <w:t>continuum</w:t>
      </w:r>
      <w:r w:rsidRPr="0096752A">
        <w:rPr>
          <w:rFonts w:ascii="Candara" w:hAnsi="Candara"/>
          <w:sz w:val="20"/>
          <w:lang w:val="pt-PT"/>
        </w:rPr>
        <w:t xml:space="preserve"> de incerteza para uma decisão dicotómica de rejeitar-não-rejeitar (respetivamente:</w:t>
      </w:r>
      <w:r w:rsidRPr="0096752A">
        <w:rPr>
          <w:rFonts w:ascii="Candara" w:hAnsi="Candara"/>
          <w:i/>
          <w:sz w:val="20"/>
          <w:u w:color="00B050"/>
          <w:lang w:val="pt-PT"/>
        </w:rPr>
        <w:t xml:space="preserve"> p </w:t>
      </w:r>
      <w:r w:rsidRPr="0096752A">
        <w:rPr>
          <w:rFonts w:ascii="Candara" w:hAnsi="Candara"/>
          <w:sz w:val="20"/>
          <w:lang w:val="pt-PT"/>
        </w:rPr>
        <w:t>= 0,06 ou</w:t>
      </w:r>
      <w:r w:rsidRPr="0096752A">
        <w:rPr>
          <w:rFonts w:ascii="Candara" w:hAnsi="Candara"/>
          <w:i/>
          <w:sz w:val="20"/>
          <w:u w:color="00B050"/>
          <w:lang w:val="pt-PT"/>
        </w:rPr>
        <w:t xml:space="preserve"> p </w:t>
      </w:r>
      <w:r w:rsidRPr="0096752A">
        <w:rPr>
          <w:rFonts w:ascii="Candara" w:hAnsi="Candara"/>
          <w:sz w:val="20"/>
          <w:lang w:val="pt-PT"/>
        </w:rPr>
        <w:t>&lt; 0,05)</w:t>
      </w:r>
      <w:r w:rsidRPr="0096752A">
        <w:rPr>
          <w:rFonts w:ascii="Candara" w:hAnsi="Candara"/>
          <w:sz w:val="20"/>
          <w:vertAlign w:val="superscript"/>
        </w:rPr>
        <w:endnoteReference w:id="5"/>
      </w:r>
      <w:r w:rsidRPr="0096752A">
        <w:rPr>
          <w:rFonts w:ascii="Candara" w:hAnsi="Candara"/>
          <w:sz w:val="20"/>
          <w:lang w:val="pt-PT"/>
        </w:rPr>
        <w:t>.</w:t>
      </w:r>
    </w:p>
    <w:p w:rsidR="00566781" w:rsidRPr="0096752A" w:rsidRDefault="00566781" w:rsidP="00566781">
      <w:pPr>
        <w:pStyle w:val="FormalivreA"/>
        <w:spacing w:after="80" w:line="276" w:lineRule="auto"/>
        <w:ind w:firstLine="425"/>
        <w:jc w:val="both"/>
        <w:rPr>
          <w:rFonts w:ascii="Candara" w:hAnsi="Candara"/>
          <w:sz w:val="20"/>
          <w:lang w:val="pt-PT"/>
        </w:rPr>
      </w:pPr>
      <w:r w:rsidRPr="0096752A">
        <w:rPr>
          <w:rFonts w:ascii="Candara" w:hAnsi="Candara"/>
          <w:sz w:val="20"/>
          <w:lang w:val="pt-PT"/>
        </w:rPr>
        <w:t xml:space="preserve">Por estas razões, há autores que aconselham a especificar um nível de alfa que considere a </w:t>
      </w:r>
      <w:r w:rsidRPr="0096752A">
        <w:rPr>
          <w:rFonts w:ascii="Candara Italic" w:hAnsi="Candara Italic"/>
          <w:sz w:val="20"/>
          <w:lang w:val="pt-PT"/>
        </w:rPr>
        <w:t>importância relativa</w:t>
      </w:r>
      <w:r w:rsidRPr="0096752A">
        <w:rPr>
          <w:rFonts w:ascii="Candara" w:hAnsi="Candara"/>
          <w:sz w:val="20"/>
          <w:lang w:val="pt-PT"/>
        </w:rPr>
        <w:t xml:space="preserve"> do erro do Tipo I </w:t>
      </w:r>
      <w:r w:rsidRPr="0096752A">
        <w:rPr>
          <w:rFonts w:ascii="Candara Italic" w:hAnsi="Candara Italic"/>
          <w:sz w:val="20"/>
          <w:lang w:val="pt-PT"/>
        </w:rPr>
        <w:t>versus</w:t>
      </w:r>
      <w:r w:rsidRPr="0096752A">
        <w:rPr>
          <w:rFonts w:ascii="Candara" w:hAnsi="Candara"/>
          <w:sz w:val="20"/>
          <w:lang w:val="pt-PT"/>
        </w:rPr>
        <w:t xml:space="preserve"> o erro do Tipo II, decidindo refletidamente qual a </w:t>
      </w:r>
      <w:r w:rsidRPr="0096752A">
        <w:rPr>
          <w:rFonts w:ascii="Candara Italic" w:hAnsi="Candara Italic"/>
          <w:sz w:val="20"/>
          <w:lang w:val="pt-PT"/>
        </w:rPr>
        <w:t>probabilidade aceitável</w:t>
      </w:r>
      <w:r w:rsidRPr="0096752A">
        <w:rPr>
          <w:rFonts w:ascii="Candara" w:hAnsi="Candara"/>
          <w:sz w:val="20"/>
          <w:lang w:val="pt-PT"/>
        </w:rPr>
        <w:t xml:space="preserve"> de encontrar um </w:t>
      </w:r>
      <w:r w:rsidRPr="0096752A">
        <w:rPr>
          <w:rFonts w:ascii="Candara Italic" w:hAnsi="Candara Italic"/>
          <w:sz w:val="20"/>
          <w:lang w:val="pt-PT"/>
        </w:rPr>
        <w:t>falso</w:t>
      </w:r>
      <w:r w:rsidRPr="0096752A">
        <w:rPr>
          <w:rFonts w:ascii="Candara" w:hAnsi="Candara"/>
          <w:sz w:val="20"/>
          <w:lang w:val="pt-PT"/>
        </w:rPr>
        <w:t xml:space="preserve"> efeito (erro do Tipo I) e a probabilidade aceitável de não detetar um efeito (erro do Tipo II; </w:t>
      </w:r>
      <w:proofErr w:type="spellStart"/>
      <w:r w:rsidRPr="0096752A">
        <w:rPr>
          <w:rFonts w:ascii="Candara" w:hAnsi="Candara"/>
          <w:sz w:val="20"/>
          <w:lang w:val="pt-PT"/>
        </w:rPr>
        <w:t>Aguinis</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2010, pp. 520-521). Depois, ao escolher um alfa no nível de 0,05 ou menor, há que ter em conta que a </w:t>
      </w:r>
      <w:r w:rsidRPr="0096752A">
        <w:rPr>
          <w:rFonts w:ascii="Candara Italic" w:hAnsi="Candara Italic"/>
          <w:sz w:val="20"/>
          <w:lang w:val="pt-PT"/>
        </w:rPr>
        <w:t>importância relativa</w:t>
      </w:r>
      <w:r w:rsidRPr="0096752A">
        <w:rPr>
          <w:rFonts w:ascii="Candara" w:hAnsi="Candara"/>
          <w:sz w:val="20"/>
          <w:lang w:val="pt-PT"/>
        </w:rPr>
        <w:t xml:space="preserve"> do erro do Tipo I </w:t>
      </w:r>
      <w:r w:rsidRPr="0096752A">
        <w:rPr>
          <w:rFonts w:ascii="Candara Italic" w:hAnsi="Candara Italic"/>
          <w:sz w:val="20"/>
          <w:lang w:val="pt-PT"/>
        </w:rPr>
        <w:t>versus</w:t>
      </w:r>
      <w:r w:rsidRPr="0096752A">
        <w:rPr>
          <w:rFonts w:ascii="Candara" w:hAnsi="Candara"/>
          <w:sz w:val="20"/>
          <w:lang w:val="pt-PT"/>
        </w:rPr>
        <w:t xml:space="preserve"> o erro do Tipo II varia consoante as áreas de investigação, os resultados e os contextos, podendo ser menos arriscado encontrar um falso efeito do que perder um efeito que existe e que faz a diferença para a sociedade (</w:t>
      </w:r>
      <w:proofErr w:type="spellStart"/>
      <w:r w:rsidRPr="0096752A">
        <w:rPr>
          <w:rFonts w:ascii="Candara" w:hAnsi="Candara"/>
          <w:sz w:val="20"/>
          <w:lang w:val="pt-PT"/>
        </w:rPr>
        <w:t>Aguinis</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2010).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Bold" w:hAnsi="Candara Bold"/>
          <w:sz w:val="22"/>
          <w:lang w:val="pt-PT"/>
        </w:rPr>
        <w:t>Erros comuns.</w:t>
      </w:r>
      <w:r w:rsidRPr="0096752A">
        <w:rPr>
          <w:rFonts w:ascii="Candara" w:hAnsi="Candara"/>
          <w:sz w:val="22"/>
          <w:lang w:val="pt-PT"/>
        </w:rPr>
        <w:t xml:space="preserve"> </w:t>
      </w:r>
      <w:r w:rsidRPr="0096752A">
        <w:rPr>
          <w:rFonts w:ascii="Candara" w:hAnsi="Candara"/>
          <w:sz w:val="20"/>
          <w:lang w:val="pt-PT"/>
        </w:rPr>
        <w:t>Depois, na apresentação do nível de significância há que ter em atenção em não seguir quatro erros comuns. Quando se verifica, por exemplo, que a diferença entre as médias dos dois grupos não é estatisticamente significativa, isto não quer dizer que “não há diferença”, mas sim que não há evidência para</w:t>
      </w:r>
      <w:r w:rsidRPr="0096752A">
        <w:rPr>
          <w:rFonts w:ascii="Candara Italic" w:hAnsi="Candara Italic"/>
          <w:sz w:val="20"/>
          <w:lang w:val="pt-PT"/>
        </w:rPr>
        <w:t xml:space="preserve"> rejeitar a hipótese nula de que não há diferenças</w:t>
      </w:r>
      <w:r w:rsidRPr="0096752A">
        <w:rPr>
          <w:rFonts w:ascii="Candara" w:hAnsi="Candara"/>
          <w:sz w:val="20"/>
          <w:lang w:val="pt-PT"/>
        </w:rPr>
        <w:t xml:space="preserve"> (Cohen, 1988). Na verdade, pode dizer-se que “não há diferença” quando o </w:t>
      </w:r>
      <w:r w:rsidRPr="0096752A">
        <w:rPr>
          <w:rFonts w:ascii="Candara Italic" w:hAnsi="Candara Italic"/>
          <w:sz w:val="20"/>
          <w:lang w:val="pt-PT"/>
        </w:rPr>
        <w:t>poder</w:t>
      </w:r>
      <w:r w:rsidRPr="0096752A">
        <w:rPr>
          <w:rFonts w:ascii="Candara" w:hAnsi="Candara"/>
          <w:sz w:val="20"/>
          <w:lang w:val="pt-PT"/>
        </w:rPr>
        <w:t xml:space="preserve"> do teste é alto</w:t>
      </w:r>
      <w:r w:rsidRPr="0096752A">
        <w:rPr>
          <w:rFonts w:ascii="Candara" w:hAnsi="Candara"/>
          <w:sz w:val="20"/>
          <w:vertAlign w:val="superscript"/>
        </w:rPr>
        <w:endnoteReference w:id="6"/>
      </w:r>
      <w:r w:rsidRPr="0096752A">
        <w:rPr>
          <w:rFonts w:ascii="Candara" w:hAnsi="Candara"/>
          <w:sz w:val="20"/>
          <w:lang w:val="pt-PT"/>
        </w:rPr>
        <w:t xml:space="preserve">. Nas palavras de </w:t>
      </w:r>
      <w:proofErr w:type="spellStart"/>
      <w:r w:rsidRPr="0096752A">
        <w:rPr>
          <w:rFonts w:ascii="Candara" w:hAnsi="Candara"/>
          <w:sz w:val="20"/>
          <w:lang w:val="pt-PT"/>
        </w:rPr>
        <w:t>Ellis</w:t>
      </w:r>
      <w:proofErr w:type="spellEnd"/>
      <w:r w:rsidRPr="0096752A">
        <w:rPr>
          <w:rFonts w:ascii="Candara" w:hAnsi="Candara"/>
          <w:sz w:val="20"/>
          <w:lang w:val="pt-PT"/>
        </w:rPr>
        <w:t xml:space="preserve"> (2010), o mais correto é dizer que o resultado é “inconclusivo” (p. 53).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O segundo erro é acreditar que um valor de</w:t>
      </w:r>
      <w:r w:rsidRPr="0096752A">
        <w:rPr>
          <w:rFonts w:ascii="Candara" w:hAnsi="Candara"/>
          <w:i/>
          <w:sz w:val="20"/>
          <w:u w:color="00B050"/>
          <w:lang w:val="pt-PT"/>
        </w:rPr>
        <w:t xml:space="preserve"> p </w:t>
      </w:r>
      <w:r w:rsidRPr="0096752A">
        <w:rPr>
          <w:rFonts w:ascii="Candara" w:hAnsi="Candara"/>
          <w:sz w:val="20"/>
          <w:lang w:val="pt-PT"/>
        </w:rPr>
        <w:t>igual a, por exemplo, 0,01, significa que se a experiência fosse replicada, obter-se-ia um resultado significativo em 99% das repetições (</w:t>
      </w:r>
      <w:proofErr w:type="spellStart"/>
      <w:r w:rsidRPr="0096752A">
        <w:rPr>
          <w:rFonts w:ascii="Candara" w:hAnsi="Candara"/>
          <w:sz w:val="20"/>
          <w:lang w:val="pt-PT"/>
        </w:rPr>
        <w:t>Carver</w:t>
      </w:r>
      <w:proofErr w:type="spellEnd"/>
      <w:r w:rsidRPr="0096752A">
        <w:rPr>
          <w:rFonts w:ascii="Candara" w:hAnsi="Candara"/>
          <w:sz w:val="20"/>
          <w:lang w:val="pt-PT"/>
        </w:rPr>
        <w:t xml:space="preserve">, 1978, p. 392).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Quanto ao terceiro erro, há que não confundir a significância estatística com a significância clínica ou científica (</w:t>
      </w:r>
      <w:proofErr w:type="spellStart"/>
      <w:r w:rsidRPr="0096752A">
        <w:rPr>
          <w:rFonts w:ascii="Candara" w:hAnsi="Candara"/>
          <w:sz w:val="20"/>
          <w:lang w:val="pt-PT"/>
        </w:rPr>
        <w:t>Berben</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roofErr w:type="spellStart"/>
      <w:r w:rsidRPr="0096752A">
        <w:rPr>
          <w:rFonts w:ascii="Candara" w:hAnsi="Candara"/>
          <w:sz w:val="20"/>
          <w:lang w:val="pt-PT"/>
        </w:rPr>
        <w:t>Durlak</w:t>
      </w:r>
      <w:proofErr w:type="spellEnd"/>
      <w:r w:rsidRPr="0096752A">
        <w:rPr>
          <w:rFonts w:ascii="Candara" w:hAnsi="Candara"/>
          <w:sz w:val="20"/>
          <w:lang w:val="pt-PT"/>
        </w:rPr>
        <w:t xml:space="preserve">, 2009; </w:t>
      </w:r>
      <w:proofErr w:type="spellStart"/>
      <w:r w:rsidRPr="0096752A">
        <w:rPr>
          <w:rFonts w:ascii="Candara" w:hAnsi="Candara"/>
          <w:sz w:val="20"/>
          <w:lang w:val="pt-PT"/>
        </w:rPr>
        <w:t>Jacobson</w:t>
      </w:r>
      <w:proofErr w:type="spellEnd"/>
      <w:r w:rsidRPr="0096752A">
        <w:rPr>
          <w:rFonts w:ascii="Candara" w:hAnsi="Candara"/>
          <w:sz w:val="20"/>
          <w:lang w:val="pt-PT"/>
        </w:rPr>
        <w:t xml:space="preserve"> e </w:t>
      </w:r>
      <w:proofErr w:type="spellStart"/>
      <w:r w:rsidRPr="0096752A">
        <w:rPr>
          <w:rFonts w:ascii="Candara" w:hAnsi="Candara"/>
          <w:sz w:val="20"/>
          <w:lang w:val="pt-PT"/>
        </w:rPr>
        <w:t>Truax</w:t>
      </w:r>
      <w:proofErr w:type="spellEnd"/>
      <w:r w:rsidRPr="0096752A">
        <w:rPr>
          <w:rFonts w:ascii="Candara" w:hAnsi="Candara"/>
          <w:sz w:val="20"/>
          <w:lang w:val="pt-PT"/>
        </w:rPr>
        <w:t>, 1991). Ao ler-se num artigo que “houve uma melhoria significativa no funcionamento cognitivo”, o que quer dizer a palavra “significativa”? Quer dizer que a melhoria foi grande, importante ou que o</w:t>
      </w:r>
      <w:r w:rsidRPr="0096752A">
        <w:rPr>
          <w:rFonts w:ascii="Candara" w:hAnsi="Candara"/>
          <w:i/>
          <w:sz w:val="20"/>
          <w:u w:color="00B050"/>
          <w:lang w:val="pt-PT"/>
        </w:rPr>
        <w:t xml:space="preserve"> p </w:t>
      </w:r>
      <w:r w:rsidRPr="0096752A">
        <w:rPr>
          <w:rFonts w:ascii="Candara" w:hAnsi="Candara"/>
          <w:sz w:val="20"/>
          <w:lang w:val="pt-PT"/>
        </w:rPr>
        <w:t>foi inferior a 0,05? Ora, um pequeno</w:t>
      </w:r>
      <w:r w:rsidRPr="0096752A">
        <w:rPr>
          <w:rFonts w:ascii="Candara" w:hAnsi="Candara"/>
          <w:i/>
          <w:sz w:val="20"/>
          <w:u w:color="00B050"/>
          <w:lang w:val="pt-PT"/>
        </w:rPr>
        <w:t xml:space="preserve"> p </w:t>
      </w:r>
      <w:r w:rsidRPr="0096752A">
        <w:rPr>
          <w:rFonts w:ascii="Candara" w:hAnsi="Candara"/>
          <w:sz w:val="20"/>
          <w:lang w:val="pt-PT"/>
        </w:rPr>
        <w:t xml:space="preserve">não garante que a melhoria seja grande ou importante (ver tópico seguinte). Por isso, </w:t>
      </w:r>
      <w:proofErr w:type="spellStart"/>
      <w:r w:rsidRPr="0096752A">
        <w:rPr>
          <w:rFonts w:ascii="Candara" w:hAnsi="Candara"/>
          <w:sz w:val="20"/>
          <w:lang w:val="pt-PT"/>
        </w:rPr>
        <w:t>Kline</w:t>
      </w:r>
      <w:proofErr w:type="spellEnd"/>
      <w:r w:rsidRPr="0096752A">
        <w:rPr>
          <w:rFonts w:ascii="Candara" w:hAnsi="Candara"/>
          <w:sz w:val="20"/>
          <w:lang w:val="pt-PT"/>
        </w:rPr>
        <w:t xml:space="preserve"> (2004) recomenda que se deixe cair a palavra “significante” e se substitua “por estatística”, devendo então a frase em cima reescrever-se como: “houve uma melhoria estatística no funcionamento cognitivo”.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Finalmente, em relação ao quarto erro, como se terá reparado acima, o valor de</w:t>
      </w:r>
      <w:r w:rsidRPr="0096752A">
        <w:rPr>
          <w:rFonts w:ascii="Candara" w:hAnsi="Candara"/>
          <w:i/>
          <w:sz w:val="20"/>
          <w:u w:color="00B050"/>
          <w:lang w:val="pt-PT"/>
        </w:rPr>
        <w:t xml:space="preserve"> p </w:t>
      </w:r>
      <w:r w:rsidRPr="0096752A">
        <w:rPr>
          <w:rFonts w:ascii="Candara" w:hAnsi="Candara"/>
          <w:sz w:val="20"/>
          <w:lang w:val="pt-PT"/>
        </w:rPr>
        <w:t xml:space="preserve">é </w:t>
      </w:r>
      <w:proofErr w:type="gramStart"/>
      <w:r w:rsidRPr="0096752A">
        <w:rPr>
          <w:rFonts w:ascii="Candara" w:hAnsi="Candara"/>
          <w:i/>
          <w:sz w:val="20"/>
          <w:lang w:val="pt-PT"/>
        </w:rPr>
        <w:t>p</w:t>
      </w:r>
      <w:r w:rsidRPr="0096752A">
        <w:rPr>
          <w:rFonts w:ascii="Candara" w:hAnsi="Candara"/>
          <w:sz w:val="20"/>
          <w:lang w:val="pt-PT"/>
        </w:rPr>
        <w:t>(</w:t>
      </w:r>
      <w:r w:rsidRPr="0096752A">
        <w:rPr>
          <w:rFonts w:ascii="Candara" w:hAnsi="Candara"/>
          <w:i/>
          <w:sz w:val="20"/>
          <w:lang w:val="pt-PT"/>
        </w:rPr>
        <w:t>E|H</w:t>
      </w:r>
      <w:proofErr w:type="gramEnd"/>
      <w:r w:rsidRPr="0096752A">
        <w:rPr>
          <w:rFonts w:ascii="Candara" w:hAnsi="Candara"/>
          <w:sz w:val="20"/>
          <w:lang w:val="pt-PT"/>
        </w:rPr>
        <w:t xml:space="preserve">), no entanto, a maior parte dos investigadores lê o 0,05 como </w:t>
      </w:r>
      <w:r w:rsidRPr="0096752A">
        <w:rPr>
          <w:rFonts w:ascii="Candara" w:hAnsi="Candara"/>
          <w:i/>
          <w:sz w:val="20"/>
          <w:lang w:val="pt-PT"/>
        </w:rPr>
        <w:t>p</w:t>
      </w:r>
      <w:r w:rsidRPr="0096752A">
        <w:rPr>
          <w:rFonts w:ascii="Candara" w:hAnsi="Candara"/>
          <w:sz w:val="20"/>
          <w:lang w:val="pt-PT"/>
        </w:rPr>
        <w:t>(</w:t>
      </w:r>
      <w:r w:rsidRPr="0096752A">
        <w:rPr>
          <w:rFonts w:ascii="Candara" w:hAnsi="Candara"/>
          <w:i/>
          <w:sz w:val="20"/>
          <w:lang w:val="pt-PT"/>
        </w:rPr>
        <w:t>H|E</w:t>
      </w:r>
      <w:r w:rsidRPr="0096752A">
        <w:rPr>
          <w:rFonts w:ascii="Candara" w:hAnsi="Candara"/>
          <w:sz w:val="20"/>
          <w:lang w:val="pt-PT"/>
        </w:rPr>
        <w:t xml:space="preserve">), isto é, como a probabilidade de a Hipótese ser verdadeira, dada a </w:t>
      </w:r>
      <w:r w:rsidRPr="0096752A">
        <w:rPr>
          <w:rFonts w:ascii="Candara" w:hAnsi="Candara"/>
          <w:sz w:val="20"/>
          <w:lang w:val="pt-PT"/>
        </w:rPr>
        <w:lastRenderedPageBreak/>
        <w:t>Evidência (</w:t>
      </w:r>
      <w:proofErr w:type="spellStart"/>
      <w:r w:rsidRPr="0096752A">
        <w:rPr>
          <w:rFonts w:ascii="Candara" w:hAnsi="Candara"/>
          <w:sz w:val="20"/>
          <w:lang w:val="pt-PT"/>
        </w:rPr>
        <w:t>Carver</w:t>
      </w:r>
      <w:proofErr w:type="spellEnd"/>
      <w:r w:rsidRPr="0096752A">
        <w:rPr>
          <w:rFonts w:ascii="Candara" w:hAnsi="Candara"/>
          <w:sz w:val="20"/>
          <w:lang w:val="pt-PT"/>
        </w:rPr>
        <w:t xml:space="preserve">, 1978; </w:t>
      </w:r>
      <w:proofErr w:type="spellStart"/>
      <w:r w:rsidRPr="0096752A">
        <w:rPr>
          <w:rFonts w:ascii="Candara" w:hAnsi="Candara"/>
          <w:sz w:val="20"/>
          <w:lang w:val="pt-PT"/>
        </w:rPr>
        <w:t>Kirk</w:t>
      </w:r>
      <w:proofErr w:type="spellEnd"/>
      <w:r w:rsidRPr="0096752A">
        <w:rPr>
          <w:rFonts w:ascii="Candara" w:hAnsi="Candara"/>
          <w:sz w:val="20"/>
          <w:lang w:val="pt-PT"/>
        </w:rPr>
        <w:t>, 1996). Ora, e dito de outro modo, a probabilidade de que é um falante português ao estar a ler este artigo (próxima de 1) é diferente da probabilidade de ler este artigo por ser um falante de português (adaptado de</w:t>
      </w:r>
      <w:r w:rsidRPr="0096752A">
        <w:rPr>
          <w:sz w:val="22"/>
          <w:lang w:val="pt-PT"/>
        </w:rPr>
        <w:t xml:space="preserve"> </w:t>
      </w:r>
      <w:proofErr w:type="spellStart"/>
      <w:r w:rsidRPr="0096752A">
        <w:rPr>
          <w:rFonts w:ascii="Candara" w:hAnsi="Candara"/>
          <w:sz w:val="20"/>
          <w:lang w:val="pt-PT"/>
        </w:rPr>
        <w:t>Cumming</w:t>
      </w:r>
      <w:proofErr w:type="spellEnd"/>
      <w:r w:rsidRPr="0096752A">
        <w:rPr>
          <w:rFonts w:ascii="Candara" w:hAnsi="Candara"/>
          <w:sz w:val="20"/>
          <w:lang w:val="pt-PT"/>
        </w:rPr>
        <w:t xml:space="preserve">, 2012). </w:t>
      </w:r>
      <w:proofErr w:type="gramStart"/>
      <w:r w:rsidRPr="0096752A">
        <w:rPr>
          <w:rFonts w:ascii="Candara" w:hAnsi="Candara"/>
          <w:sz w:val="20"/>
          <w:lang w:val="pt-PT"/>
        </w:rPr>
        <w:t>O</w:t>
      </w:r>
      <w:proofErr w:type="gramEnd"/>
      <w:r w:rsidRPr="0096752A">
        <w:rPr>
          <w:rFonts w:ascii="Candara" w:hAnsi="Candara"/>
          <w:sz w:val="20"/>
          <w:lang w:val="pt-PT"/>
        </w:rPr>
        <w:t xml:space="preserve"> modo irónico como </w:t>
      </w:r>
      <w:proofErr w:type="spellStart"/>
      <w:r w:rsidRPr="0096752A">
        <w:rPr>
          <w:rFonts w:ascii="Candara" w:hAnsi="Candara"/>
          <w:sz w:val="20"/>
          <w:lang w:val="pt-PT"/>
        </w:rPr>
        <w:t>Carver</w:t>
      </w:r>
      <w:proofErr w:type="spellEnd"/>
      <w:r w:rsidRPr="0096752A">
        <w:rPr>
          <w:rFonts w:ascii="Candara" w:hAnsi="Candara"/>
          <w:sz w:val="20"/>
          <w:lang w:val="pt-PT"/>
        </w:rPr>
        <w:t xml:space="preserve"> (1978) </w:t>
      </w:r>
      <w:proofErr w:type="gramStart"/>
      <w:r w:rsidRPr="0096752A">
        <w:rPr>
          <w:rFonts w:ascii="Candara" w:hAnsi="Candara"/>
          <w:sz w:val="20"/>
          <w:lang w:val="pt-PT"/>
        </w:rPr>
        <w:t>o</w:t>
      </w:r>
      <w:proofErr w:type="gramEnd"/>
      <w:r w:rsidRPr="0096752A">
        <w:rPr>
          <w:rFonts w:ascii="Candara" w:hAnsi="Candara"/>
          <w:sz w:val="20"/>
          <w:lang w:val="pt-PT"/>
        </w:rPr>
        <w:t xml:space="preserve"> expressa é mais ilustrativo:</w:t>
      </w:r>
    </w:p>
    <w:p w:rsidR="00566781" w:rsidRPr="0096752A" w:rsidRDefault="00566781" w:rsidP="00566781">
      <w:pPr>
        <w:pStyle w:val="FormalivreA"/>
        <w:spacing w:after="80" w:line="276" w:lineRule="auto"/>
        <w:ind w:left="425" w:firstLine="425"/>
        <w:jc w:val="both"/>
        <w:rPr>
          <w:rFonts w:ascii="Candara" w:hAnsi="Candara"/>
          <w:sz w:val="20"/>
          <w:lang w:val="pt-PT"/>
        </w:rPr>
      </w:pPr>
      <w:r w:rsidRPr="0096752A">
        <w:rPr>
          <w:rFonts w:ascii="Candara" w:hAnsi="Candara"/>
          <w:sz w:val="20"/>
        </w:rPr>
        <w:t xml:space="preserve">What is the probability of obtaining a dead person (label this part D) given that the person was hanged (label this part H); this is, in symbol form, what is </w:t>
      </w:r>
      <w:proofErr w:type="gramStart"/>
      <w:r w:rsidRPr="0096752A">
        <w:rPr>
          <w:rFonts w:ascii="Candara" w:hAnsi="Candara"/>
          <w:i/>
          <w:sz w:val="20"/>
        </w:rPr>
        <w:t>p</w:t>
      </w:r>
      <w:r w:rsidRPr="0096752A">
        <w:rPr>
          <w:rFonts w:ascii="Candara" w:hAnsi="Candara"/>
          <w:sz w:val="20"/>
        </w:rPr>
        <w:t>(</w:t>
      </w:r>
      <w:proofErr w:type="gramEnd"/>
      <w:r w:rsidRPr="0096752A">
        <w:rPr>
          <w:rFonts w:ascii="Candara" w:hAnsi="Candara"/>
          <w:sz w:val="20"/>
        </w:rPr>
        <w:t xml:space="preserve">D|H)? Obviously, it will be very high, perhaps 0.97 or higher. Now, let us reverse the question. What is the probability that a person has hanged (H), given that the person is dead (D); that is, what is </w:t>
      </w:r>
      <w:proofErr w:type="gramStart"/>
      <w:r w:rsidRPr="0096752A">
        <w:rPr>
          <w:rFonts w:ascii="Candara" w:hAnsi="Candara"/>
          <w:sz w:val="20"/>
        </w:rPr>
        <w:t>p(</w:t>
      </w:r>
      <w:proofErr w:type="gramEnd"/>
      <w:r w:rsidRPr="0096752A">
        <w:rPr>
          <w:rFonts w:ascii="Candara" w:hAnsi="Candara"/>
          <w:sz w:val="20"/>
        </w:rPr>
        <w:t>H|D)? This time the probability will undoubtedly be very low, perhaps 0.01 or lower.</w:t>
      </w:r>
      <w:r w:rsidRPr="0096752A">
        <w:rPr>
          <w:rFonts w:ascii="Candara" w:hAnsi="Candara"/>
          <w:sz w:val="20"/>
          <w:vertAlign w:val="superscript"/>
        </w:rPr>
        <w:endnoteReference w:id="7"/>
      </w:r>
      <w:r w:rsidRPr="0096752A">
        <w:rPr>
          <w:rFonts w:ascii="Candara" w:hAnsi="Candara"/>
          <w:sz w:val="20"/>
        </w:rPr>
        <w:t xml:space="preserve">  </w:t>
      </w:r>
      <w:r w:rsidRPr="0096752A">
        <w:rPr>
          <w:rFonts w:ascii="Candara" w:hAnsi="Candara"/>
          <w:sz w:val="20"/>
          <w:lang w:val="pt-PT"/>
        </w:rPr>
        <w:t>(</w:t>
      </w:r>
      <w:proofErr w:type="spellStart"/>
      <w:r w:rsidRPr="0096752A">
        <w:rPr>
          <w:rFonts w:ascii="Candara" w:hAnsi="Candara"/>
          <w:sz w:val="20"/>
          <w:lang w:val="pt-PT"/>
        </w:rPr>
        <w:t>Carver</w:t>
      </w:r>
      <w:proofErr w:type="spellEnd"/>
      <w:r w:rsidRPr="0096752A">
        <w:rPr>
          <w:rFonts w:ascii="Candara" w:hAnsi="Candara"/>
          <w:sz w:val="20"/>
          <w:lang w:val="pt-PT"/>
        </w:rPr>
        <w:t>, 1978, p. 393).</w:t>
      </w:r>
    </w:p>
    <w:p w:rsidR="00566781" w:rsidRPr="0096752A" w:rsidRDefault="00566781" w:rsidP="00566781">
      <w:pPr>
        <w:pStyle w:val="FormalivreA"/>
        <w:spacing w:after="180" w:line="276" w:lineRule="auto"/>
        <w:ind w:firstLine="426"/>
        <w:jc w:val="both"/>
        <w:rPr>
          <w:rFonts w:ascii="Candara" w:hAnsi="Candara"/>
          <w:sz w:val="20"/>
          <w:lang w:val="pt-PT"/>
        </w:rPr>
      </w:pPr>
      <w:r w:rsidRPr="0096752A">
        <w:rPr>
          <w:rFonts w:ascii="Candara Bold" w:hAnsi="Candara Bold"/>
          <w:sz w:val="22"/>
          <w:lang w:val="pt-PT"/>
        </w:rPr>
        <w:t>Valor de</w:t>
      </w:r>
      <w:r w:rsidRPr="0096752A">
        <w:rPr>
          <w:rFonts w:ascii="Candara Bold" w:hAnsi="Candara Bold"/>
          <w:sz w:val="22"/>
          <w:u w:color="00B050"/>
          <w:lang w:val="pt-PT"/>
        </w:rPr>
        <w:t xml:space="preserve"> </w:t>
      </w:r>
      <w:r w:rsidRPr="0096752A">
        <w:rPr>
          <w:rFonts w:ascii="Candara Bold" w:hAnsi="Candara Bold"/>
          <w:i/>
          <w:sz w:val="22"/>
          <w:u w:color="00B050"/>
          <w:lang w:val="pt-PT"/>
        </w:rPr>
        <w:t>p</w:t>
      </w:r>
      <w:r w:rsidRPr="0096752A">
        <w:rPr>
          <w:rFonts w:ascii="Candara Bold" w:hAnsi="Candara Bold"/>
          <w:sz w:val="22"/>
          <w:u w:color="00B050"/>
          <w:lang w:val="pt-PT"/>
        </w:rPr>
        <w:t xml:space="preserve"> </w:t>
      </w:r>
      <w:r w:rsidRPr="0096752A">
        <w:rPr>
          <w:rFonts w:ascii="Candara Bold" w:hAnsi="Candara Bold"/>
          <w:sz w:val="22"/>
          <w:lang w:val="pt-PT"/>
        </w:rPr>
        <w:t xml:space="preserve">vs. </w:t>
      </w:r>
      <w:proofErr w:type="gramStart"/>
      <w:r w:rsidRPr="0096752A">
        <w:rPr>
          <w:rFonts w:ascii="Candara Bold" w:hAnsi="Candara Bold"/>
          <w:sz w:val="22"/>
          <w:lang w:val="pt-PT"/>
        </w:rPr>
        <w:t>tamanho</w:t>
      </w:r>
      <w:proofErr w:type="gramEnd"/>
      <w:r w:rsidRPr="0096752A">
        <w:rPr>
          <w:rFonts w:ascii="Candara Bold" w:hAnsi="Candara Bold"/>
          <w:sz w:val="22"/>
          <w:lang w:val="pt-PT"/>
        </w:rPr>
        <w:t xml:space="preserve"> do efeito</w:t>
      </w:r>
      <w:r w:rsidRPr="0096752A">
        <w:rPr>
          <w:rFonts w:ascii="Candara Bold" w:hAnsi="Candara Bold"/>
          <w:i/>
          <w:sz w:val="22"/>
          <w:lang w:val="pt-PT"/>
        </w:rPr>
        <w:t>.</w:t>
      </w:r>
      <w:r w:rsidRPr="0096752A">
        <w:rPr>
          <w:rFonts w:ascii="Candara" w:hAnsi="Candara"/>
          <w:sz w:val="22"/>
          <w:lang w:val="pt-PT"/>
        </w:rPr>
        <w:t xml:space="preserve"> </w:t>
      </w:r>
      <w:r w:rsidRPr="0096752A">
        <w:rPr>
          <w:rFonts w:ascii="Candara" w:hAnsi="Candara"/>
          <w:sz w:val="20"/>
          <w:lang w:val="pt-PT"/>
        </w:rPr>
        <w:t xml:space="preserve">O nível de significância é afetado por, pelo menos, sete características dos estudos (Schneider e </w:t>
      </w:r>
      <w:proofErr w:type="spellStart"/>
      <w:r w:rsidRPr="0096752A">
        <w:rPr>
          <w:rFonts w:ascii="Candara" w:hAnsi="Candara"/>
          <w:sz w:val="20"/>
          <w:lang w:val="pt-PT"/>
        </w:rPr>
        <w:t>Darcy</w:t>
      </w:r>
      <w:proofErr w:type="spellEnd"/>
      <w:r w:rsidRPr="0096752A">
        <w:rPr>
          <w:rFonts w:ascii="Candara" w:hAnsi="Candara"/>
          <w:sz w:val="20"/>
          <w:lang w:val="pt-PT"/>
        </w:rPr>
        <w:t>, 1984), sendo o tamanho da amostra a mais determinante (</w:t>
      </w:r>
      <w:proofErr w:type="spellStart"/>
      <w:r w:rsidRPr="0096752A">
        <w:rPr>
          <w:rFonts w:ascii="Candara" w:hAnsi="Candara"/>
          <w:sz w:val="20"/>
          <w:lang w:val="pt-PT"/>
        </w:rPr>
        <w:t>Snyder</w:t>
      </w:r>
      <w:proofErr w:type="spellEnd"/>
      <w:r w:rsidRPr="0096752A">
        <w:rPr>
          <w:rFonts w:ascii="Candara" w:hAnsi="Candara"/>
          <w:sz w:val="20"/>
          <w:lang w:val="pt-PT"/>
        </w:rPr>
        <w:t xml:space="preserve"> e </w:t>
      </w:r>
      <w:proofErr w:type="spellStart"/>
      <w:r w:rsidRPr="0096752A">
        <w:rPr>
          <w:rFonts w:ascii="Candara" w:hAnsi="Candara"/>
          <w:sz w:val="20"/>
          <w:lang w:val="pt-PT"/>
        </w:rPr>
        <w:t>Lawson</w:t>
      </w:r>
      <w:proofErr w:type="spellEnd"/>
      <w:r w:rsidRPr="0096752A">
        <w:rPr>
          <w:rFonts w:ascii="Candara" w:hAnsi="Candara"/>
          <w:sz w:val="20"/>
          <w:lang w:val="pt-PT"/>
        </w:rPr>
        <w:t>, 1993). Assim, é mais provável obter um valor de</w:t>
      </w:r>
      <w:r w:rsidRPr="0096752A">
        <w:rPr>
          <w:rFonts w:ascii="Candara" w:hAnsi="Candara"/>
          <w:i/>
          <w:sz w:val="20"/>
          <w:u w:color="00B050"/>
          <w:lang w:val="pt-PT"/>
        </w:rPr>
        <w:t xml:space="preserve"> p </w:t>
      </w:r>
      <w:r w:rsidRPr="0096752A">
        <w:rPr>
          <w:rFonts w:ascii="Candara" w:hAnsi="Candara"/>
          <w:sz w:val="20"/>
          <w:lang w:val="pt-PT"/>
        </w:rPr>
        <w:t>significativo com tamanhos grandes das amostras e, inversamente, em amostras pequenas, o valor de</w:t>
      </w:r>
      <w:r w:rsidRPr="0096752A">
        <w:rPr>
          <w:rFonts w:ascii="Candara" w:hAnsi="Candara"/>
          <w:i/>
          <w:sz w:val="20"/>
          <w:u w:color="00B050"/>
          <w:lang w:val="pt-PT"/>
        </w:rPr>
        <w:t xml:space="preserve"> p </w:t>
      </w:r>
      <w:r w:rsidRPr="0096752A">
        <w:rPr>
          <w:rFonts w:ascii="Candara" w:hAnsi="Candara"/>
          <w:sz w:val="20"/>
          <w:lang w:val="pt-PT"/>
        </w:rPr>
        <w:t>pode não ser significativo, ainda que o TDE possa ser grande (</w:t>
      </w:r>
      <w:proofErr w:type="spellStart"/>
      <w:r w:rsidRPr="0096752A">
        <w:rPr>
          <w:rFonts w:ascii="Candara" w:hAnsi="Candara"/>
          <w:sz w:val="20"/>
          <w:lang w:val="pt-PT"/>
        </w:rPr>
        <w:t>Berben</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roofErr w:type="spellStart"/>
      <w:r w:rsidRPr="0096752A">
        <w:rPr>
          <w:rFonts w:ascii="Candara" w:hAnsi="Candara"/>
          <w:sz w:val="20"/>
          <w:lang w:val="pt-PT"/>
        </w:rPr>
        <w:t>Durlak</w:t>
      </w:r>
      <w:proofErr w:type="spellEnd"/>
      <w:r w:rsidRPr="0096752A">
        <w:rPr>
          <w:rFonts w:ascii="Candara" w:hAnsi="Candara"/>
          <w:sz w:val="20"/>
          <w:lang w:val="pt-PT"/>
        </w:rPr>
        <w:t xml:space="preserve">, 2009; </w:t>
      </w:r>
      <w:proofErr w:type="spellStart"/>
      <w:r w:rsidRPr="0096752A">
        <w:rPr>
          <w:rFonts w:ascii="Candara" w:hAnsi="Candara"/>
          <w:sz w:val="20"/>
          <w:lang w:val="pt-PT"/>
        </w:rPr>
        <w:t>Snyder</w:t>
      </w:r>
      <w:proofErr w:type="spellEnd"/>
      <w:r w:rsidRPr="0096752A">
        <w:rPr>
          <w:rFonts w:ascii="Candara" w:hAnsi="Candara"/>
          <w:sz w:val="20"/>
          <w:lang w:val="pt-PT"/>
        </w:rPr>
        <w:t xml:space="preserve"> e </w:t>
      </w:r>
      <w:proofErr w:type="spellStart"/>
      <w:r w:rsidRPr="0096752A">
        <w:rPr>
          <w:rFonts w:ascii="Candara" w:hAnsi="Candara"/>
          <w:sz w:val="20"/>
          <w:lang w:val="pt-PT"/>
        </w:rPr>
        <w:t>Lawson</w:t>
      </w:r>
      <w:proofErr w:type="spellEnd"/>
      <w:r w:rsidRPr="0096752A">
        <w:rPr>
          <w:rFonts w:ascii="Candara" w:hAnsi="Candara"/>
          <w:sz w:val="20"/>
          <w:lang w:val="pt-PT"/>
        </w:rPr>
        <w:t xml:space="preserve">, 1993). Na realidade, todo e qualquer teste estatístico </w:t>
      </w:r>
      <w:proofErr w:type="gramStart"/>
      <w:r w:rsidRPr="0096752A">
        <w:rPr>
          <w:rFonts w:ascii="Candara" w:hAnsi="Candara"/>
          <w:sz w:val="20"/>
          <w:lang w:val="pt-PT"/>
        </w:rPr>
        <w:t>pode ser expresso</w:t>
      </w:r>
      <w:proofErr w:type="gramEnd"/>
      <w:r w:rsidRPr="0096752A">
        <w:rPr>
          <w:rFonts w:ascii="Candara" w:hAnsi="Candara"/>
          <w:sz w:val="20"/>
          <w:lang w:val="pt-PT"/>
        </w:rPr>
        <w:t xml:space="preserve"> como o produto (</w:t>
      </w:r>
      <w:proofErr w:type="spellStart"/>
      <w:r w:rsidRPr="0096752A">
        <w:rPr>
          <w:rFonts w:ascii="Candara" w:hAnsi="Candara"/>
          <w:sz w:val="20"/>
          <w:lang w:val="pt-PT"/>
        </w:rPr>
        <w:t>Rosenthal</w:t>
      </w:r>
      <w:proofErr w:type="spellEnd"/>
      <w:r w:rsidRPr="0096752A">
        <w:rPr>
          <w:rFonts w:ascii="Candara" w:hAnsi="Candara"/>
          <w:sz w:val="20"/>
          <w:lang w:val="pt-PT"/>
        </w:rPr>
        <w:t>, 1994):</w:t>
      </w:r>
    </w:p>
    <w:p w:rsidR="00566781" w:rsidRPr="0096752A" w:rsidRDefault="00566781" w:rsidP="00566781">
      <w:pPr>
        <w:pStyle w:val="FormalivreA"/>
        <w:spacing w:after="180"/>
        <w:jc w:val="center"/>
        <w:rPr>
          <w:rFonts w:ascii="Candara" w:hAnsi="Candara"/>
          <w:sz w:val="18"/>
          <w:lang w:val="pt-PT"/>
        </w:rPr>
      </w:pPr>
      <w:r w:rsidRPr="0096752A">
        <w:rPr>
          <w:rFonts w:ascii="Candara" w:hAnsi="Candara"/>
          <w:sz w:val="18"/>
          <w:lang w:val="pt-PT"/>
        </w:rPr>
        <w:t xml:space="preserve">Teste estatístico = TDE x </w:t>
      </w:r>
      <w:r w:rsidRPr="0096752A">
        <w:rPr>
          <w:rFonts w:ascii="Candara Italic" w:hAnsi="Candara Italic"/>
          <w:sz w:val="18"/>
          <w:lang w:val="pt-PT"/>
        </w:rPr>
        <w:t xml:space="preserve">função </w:t>
      </w:r>
      <w:r w:rsidRPr="0096752A">
        <w:rPr>
          <w:rFonts w:ascii="Candara" w:hAnsi="Candara"/>
          <w:sz w:val="18"/>
          <w:lang w:val="pt-PT"/>
        </w:rPr>
        <w:t xml:space="preserve">do tamanho da amostra.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Assim, um desejável valor pequeno de</w:t>
      </w:r>
      <w:r w:rsidRPr="0096752A">
        <w:rPr>
          <w:rFonts w:ascii="Candara" w:hAnsi="Candara"/>
          <w:i/>
          <w:sz w:val="20"/>
          <w:u w:color="00B050"/>
          <w:lang w:val="pt-PT"/>
        </w:rPr>
        <w:t xml:space="preserve"> p </w:t>
      </w:r>
      <w:r w:rsidRPr="0096752A">
        <w:rPr>
          <w:rFonts w:ascii="Candara" w:hAnsi="Candara"/>
          <w:sz w:val="20"/>
          <w:lang w:val="pt-PT"/>
        </w:rPr>
        <w:t>pode associar-se a um TDE pequeno, a um médio e também a um grande (</w:t>
      </w:r>
      <w:proofErr w:type="spellStart"/>
      <w:r w:rsidRPr="0096752A">
        <w:rPr>
          <w:rFonts w:ascii="Candara" w:hAnsi="Candara"/>
          <w:sz w:val="20"/>
          <w:lang w:val="pt-PT"/>
        </w:rPr>
        <w:t>Berben</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roofErr w:type="spellStart"/>
      <w:r w:rsidRPr="0096752A">
        <w:rPr>
          <w:rFonts w:ascii="Candara" w:hAnsi="Candara"/>
          <w:sz w:val="20"/>
          <w:lang w:val="pt-PT"/>
        </w:rPr>
        <w:t>Durlak</w:t>
      </w:r>
      <w:proofErr w:type="spellEnd"/>
      <w:r w:rsidRPr="0096752A">
        <w:rPr>
          <w:rFonts w:ascii="Candara" w:hAnsi="Candara"/>
          <w:sz w:val="20"/>
          <w:lang w:val="pt-PT"/>
        </w:rPr>
        <w:t xml:space="preserve">, 2009; </w:t>
      </w:r>
      <w:proofErr w:type="spellStart"/>
      <w:r w:rsidRPr="0096752A">
        <w:rPr>
          <w:rFonts w:ascii="Candara" w:hAnsi="Candara"/>
          <w:sz w:val="20"/>
          <w:lang w:val="pt-PT"/>
        </w:rPr>
        <w:t>Rosnow</w:t>
      </w:r>
      <w:proofErr w:type="spellEnd"/>
      <w:r w:rsidRPr="0096752A">
        <w:rPr>
          <w:rFonts w:ascii="Candara" w:hAnsi="Candara"/>
          <w:sz w:val="20"/>
          <w:lang w:val="pt-PT"/>
        </w:rPr>
        <w:t xml:space="preserve"> e </w:t>
      </w:r>
      <w:proofErr w:type="spellStart"/>
      <w:r w:rsidRPr="0096752A">
        <w:rPr>
          <w:rFonts w:ascii="Candara" w:hAnsi="Candara"/>
          <w:sz w:val="20"/>
          <w:lang w:val="pt-PT"/>
        </w:rPr>
        <w:t>Rosenthal</w:t>
      </w:r>
      <w:proofErr w:type="spellEnd"/>
      <w:r w:rsidRPr="0096752A">
        <w:rPr>
          <w:rFonts w:ascii="Candara" w:hAnsi="Candara"/>
          <w:sz w:val="20"/>
          <w:lang w:val="pt-PT"/>
        </w:rPr>
        <w:t xml:space="preserve">, 1989). </w:t>
      </w:r>
      <w:proofErr w:type="spellStart"/>
      <w:r w:rsidRPr="0096752A">
        <w:rPr>
          <w:rFonts w:ascii="Candara" w:hAnsi="Candara"/>
          <w:sz w:val="20"/>
          <w:lang w:val="pt-PT"/>
        </w:rPr>
        <w:t>Snyder</w:t>
      </w:r>
      <w:proofErr w:type="spellEnd"/>
      <w:r w:rsidRPr="0096752A">
        <w:rPr>
          <w:rFonts w:ascii="Candara" w:hAnsi="Candara"/>
          <w:sz w:val="20"/>
          <w:lang w:val="pt-PT"/>
        </w:rPr>
        <w:t xml:space="preserve"> e </w:t>
      </w:r>
      <w:proofErr w:type="spellStart"/>
      <w:r w:rsidRPr="0096752A">
        <w:rPr>
          <w:rFonts w:ascii="Candara" w:hAnsi="Candara"/>
          <w:sz w:val="20"/>
          <w:lang w:val="pt-PT"/>
        </w:rPr>
        <w:t>Lawson</w:t>
      </w:r>
      <w:proofErr w:type="spellEnd"/>
      <w:r w:rsidRPr="0096752A">
        <w:rPr>
          <w:rFonts w:ascii="Candara" w:hAnsi="Candara"/>
          <w:sz w:val="20"/>
          <w:lang w:val="pt-PT"/>
        </w:rPr>
        <w:t xml:space="preserve"> (1993) mostraram que o acrescento de um só sujeito, num estudo com uma pequena amostra e com um grande TDE de 0,66, o valor</w:t>
      </w:r>
      <w:r w:rsidRPr="0096752A">
        <w:rPr>
          <w:rFonts w:ascii="Candara" w:hAnsi="Candara"/>
          <w:i/>
          <w:sz w:val="20"/>
          <w:u w:color="00B050"/>
          <w:lang w:val="pt-PT"/>
        </w:rPr>
        <w:t xml:space="preserve"> p </w:t>
      </w:r>
      <w:r w:rsidRPr="0096752A">
        <w:rPr>
          <w:rFonts w:ascii="Candara" w:hAnsi="Candara"/>
          <w:sz w:val="20"/>
          <w:lang w:val="pt-PT"/>
        </w:rPr>
        <w:t xml:space="preserve">descia abaixo de 0,05 sem que a magnitude do TDE se alterasse.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Para melhor compreensão destes aspetos, na Tabela 1, vejam-se quatro estudos hipotéticos com comparações entre as médias de dois grupos e atente-se aos valores de </w:t>
      </w:r>
      <w:r w:rsidRPr="0096752A">
        <w:rPr>
          <w:rFonts w:ascii="Candara Italic" w:hAnsi="Candara Italic"/>
          <w:sz w:val="20"/>
          <w:lang w:val="pt-PT"/>
        </w:rPr>
        <w:t>p</w:t>
      </w:r>
      <w:r w:rsidRPr="0096752A">
        <w:rPr>
          <w:rFonts w:ascii="Candara" w:hAnsi="Candara"/>
          <w:sz w:val="20"/>
          <w:lang w:val="pt-PT"/>
        </w:rPr>
        <w:t>.</w:t>
      </w:r>
    </w:p>
    <w:p w:rsidR="00566781" w:rsidRPr="0096752A" w:rsidRDefault="00566781" w:rsidP="00566781">
      <w:pPr>
        <w:pStyle w:val="FormalivreA"/>
        <w:spacing w:line="276" w:lineRule="auto"/>
        <w:ind w:firstLine="426"/>
        <w:jc w:val="both"/>
        <w:rPr>
          <w:rFonts w:ascii="Candara" w:hAnsi="Candara"/>
          <w:sz w:val="20"/>
          <w:lang w:val="pt-PT"/>
        </w:rPr>
        <w:sectPr w:rsidR="00566781" w:rsidRPr="0096752A" w:rsidSect="00566781">
          <w:type w:val="continuous"/>
          <w:pgSz w:w="11906" w:h="16838"/>
          <w:pgMar w:top="720" w:right="720" w:bottom="720" w:left="720" w:header="708" w:footer="708" w:gutter="0"/>
          <w:pgNumType w:start="4"/>
          <w:cols w:num="2" w:space="566"/>
          <w:docGrid w:linePitch="360"/>
        </w:sectPr>
      </w:pPr>
      <w:r w:rsidRPr="0096752A">
        <w:rPr>
          <w:rFonts w:ascii="Candara" w:hAnsi="Candara"/>
          <w:sz w:val="20"/>
          <w:lang w:val="pt-PT"/>
        </w:rPr>
        <w:t>Como se pode ver, a dimensão da diferença foi muito maior no estudo B do que no estudo A, apesar de ambas as diferenças serem significativas e os graus de liberdade serem os mesmos. Depois, note-se como a dimensão da diferença foi maior no estudo C do que no D, apesar de ambas as diferenças não serem significativas. Repare-se ainda como a magnitu</w:t>
      </w:r>
      <w:r w:rsidR="000D4FCF" w:rsidRPr="0096752A">
        <w:rPr>
          <w:rFonts w:ascii="Candara" w:hAnsi="Candara"/>
          <w:sz w:val="20"/>
          <w:lang w:val="pt-PT"/>
        </w:rPr>
        <w:t>de da diferença no estudo A foi</w:t>
      </w:r>
    </w:p>
    <w:p w:rsidR="000D4FCF" w:rsidRPr="0096752A" w:rsidRDefault="000D4FCF" w:rsidP="00566781">
      <w:pPr>
        <w:pStyle w:val="FormalivreA"/>
        <w:spacing w:line="276" w:lineRule="auto"/>
        <w:jc w:val="both"/>
        <w:rPr>
          <w:rFonts w:ascii="Candara" w:hAnsi="Candara"/>
          <w:sz w:val="20"/>
          <w:lang w:val="pt-PT"/>
        </w:rPr>
        <w:sectPr w:rsidR="000D4FCF" w:rsidRPr="0096752A" w:rsidSect="009C6935">
          <w:type w:val="continuous"/>
          <w:pgSz w:w="11906" w:h="16838"/>
          <w:pgMar w:top="720" w:right="720" w:bottom="720" w:left="720" w:header="708" w:footer="708" w:gutter="0"/>
          <w:cols w:num="2" w:space="566"/>
          <w:docGrid w:linePitch="360"/>
        </w:sectPr>
      </w:pPr>
    </w:p>
    <w:tbl>
      <w:tblPr>
        <w:tblW w:w="0" w:type="auto"/>
        <w:tblLayout w:type="fixed"/>
        <w:tblLook w:val="0000"/>
      </w:tblPr>
      <w:tblGrid>
        <w:gridCol w:w="1034"/>
        <w:gridCol w:w="906"/>
        <w:gridCol w:w="2094"/>
        <w:gridCol w:w="340"/>
        <w:gridCol w:w="2094"/>
        <w:gridCol w:w="1293"/>
        <w:gridCol w:w="1293"/>
        <w:gridCol w:w="1294"/>
      </w:tblGrid>
      <w:tr w:rsidR="000D4FCF" w:rsidRPr="0096752A" w:rsidTr="005671CD">
        <w:trPr>
          <w:cantSplit/>
          <w:trHeight w:val="610"/>
          <w:tblHeader/>
        </w:trPr>
        <w:tc>
          <w:tcPr>
            <w:tcW w:w="10348" w:type="dxa"/>
            <w:gridSpan w:val="8"/>
            <w:tcBorders>
              <w:top w:val="none" w:sz="8" w:space="0" w:color="000000"/>
              <w:left w:val="none" w:sz="8" w:space="0" w:color="000000"/>
              <w:bottom w:val="single" w:sz="12" w:space="0" w:color="7F7F7F" w:themeColor="text1" w:themeTint="80"/>
              <w:right w:val="none" w:sz="8" w:space="0" w:color="000000"/>
            </w:tcBorders>
            <w:shd w:val="clear" w:color="auto" w:fill="auto"/>
            <w:tcMar>
              <w:top w:w="0" w:type="dxa"/>
              <w:left w:w="0" w:type="dxa"/>
              <w:bottom w:w="0" w:type="dxa"/>
              <w:right w:w="0" w:type="dxa"/>
            </w:tcMar>
            <w:vAlign w:val="center"/>
          </w:tcPr>
          <w:p w:rsidR="000D4FCF" w:rsidRPr="0096752A" w:rsidRDefault="000D4FCF" w:rsidP="000D4FCF">
            <w:pPr>
              <w:pStyle w:val="FormalivreA"/>
              <w:jc w:val="both"/>
              <w:rPr>
                <w:rFonts w:ascii="Candara" w:hAnsi="Candara"/>
                <w:b/>
                <w:sz w:val="20"/>
                <w:lang w:val="pt-PT"/>
              </w:rPr>
            </w:pPr>
            <w:r w:rsidRPr="0096752A">
              <w:rPr>
                <w:rFonts w:ascii="Candara" w:hAnsi="Candara"/>
                <w:b/>
                <w:sz w:val="20"/>
                <w:lang w:val="pt-PT"/>
              </w:rPr>
              <w:lastRenderedPageBreak/>
              <w:t>Tabela 1</w:t>
            </w:r>
          </w:p>
          <w:p w:rsidR="000D4FCF" w:rsidRPr="0096752A" w:rsidRDefault="000D4FCF" w:rsidP="000D4FCF">
            <w:pPr>
              <w:pStyle w:val="FormalivreA"/>
              <w:jc w:val="both"/>
              <w:rPr>
                <w:rFonts w:ascii="Candara Italic" w:hAnsi="Candara Italic"/>
                <w:sz w:val="22"/>
                <w:lang w:val="pt-PT"/>
              </w:rPr>
            </w:pPr>
            <w:r w:rsidRPr="0096752A">
              <w:rPr>
                <w:rFonts w:ascii="Candara Italic" w:hAnsi="Candara Italic"/>
                <w:sz w:val="20"/>
                <w:lang w:val="pt-PT"/>
              </w:rPr>
              <w:t>Comparação das Médias de Dois Grupos em Quatro Estudos Hipotéticos</w:t>
            </w:r>
          </w:p>
        </w:tc>
      </w:tr>
      <w:tr w:rsidR="000D4FCF" w:rsidRPr="0096752A" w:rsidTr="000A3665">
        <w:trPr>
          <w:cantSplit/>
          <w:trHeight w:val="409"/>
          <w:tblHeader/>
        </w:trPr>
        <w:tc>
          <w:tcPr>
            <w:tcW w:w="1034" w:type="dxa"/>
            <w:vMerge w:val="restart"/>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rPr>
                <w:rStyle w:val="Unknown3"/>
                <w:rFonts w:ascii="Candara" w:hAnsi="Candara"/>
                <w:b w:val="0"/>
                <w:sz w:val="18"/>
              </w:rPr>
            </w:pPr>
            <w:r w:rsidRPr="0096752A">
              <w:rPr>
                <w:rStyle w:val="Unknown3"/>
                <w:rFonts w:ascii="Candara" w:hAnsi="Candara"/>
                <w:sz w:val="18"/>
              </w:rPr>
              <w:t>Estudo</w:t>
            </w:r>
          </w:p>
        </w:tc>
        <w:tc>
          <w:tcPr>
            <w:tcW w:w="906" w:type="dxa"/>
            <w:vMerge w:val="restart"/>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s>
              <w:jc w:val="center"/>
              <w:rPr>
                <w:rStyle w:val="Unknown3"/>
                <w:rFonts w:ascii="Candara Italic" w:hAnsi="Candara Italic"/>
                <w:b w:val="0"/>
                <w:sz w:val="18"/>
              </w:rPr>
            </w:pPr>
            <w:proofErr w:type="spellStart"/>
            <w:proofErr w:type="gramStart"/>
            <w:r w:rsidRPr="0096752A">
              <w:rPr>
                <w:rStyle w:val="Unknown3"/>
                <w:rFonts w:ascii="Candara Italic" w:hAnsi="Candara Italic"/>
                <w:sz w:val="18"/>
              </w:rPr>
              <w:t>gl</w:t>
            </w:r>
            <w:proofErr w:type="spellEnd"/>
            <w:proofErr w:type="gramEnd"/>
          </w:p>
        </w:tc>
        <w:tc>
          <w:tcPr>
            <w:tcW w:w="2094" w:type="dxa"/>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Style w:val="Unknown3"/>
                <w:rFonts w:ascii="Candara" w:hAnsi="Candara"/>
                <w:b w:val="0"/>
                <w:sz w:val="18"/>
              </w:rPr>
            </w:pPr>
            <w:r w:rsidRPr="0096752A">
              <w:rPr>
                <w:rStyle w:val="Unknown3"/>
                <w:rFonts w:ascii="Candara" w:hAnsi="Candara"/>
                <w:sz w:val="18"/>
              </w:rPr>
              <w:t>Grupo alvo</w:t>
            </w:r>
          </w:p>
        </w:tc>
        <w:tc>
          <w:tcPr>
            <w:tcW w:w="340" w:type="dxa"/>
            <w:tcBorders>
              <w:top w:val="single" w:sz="12" w:space="0" w:color="7F7F7F" w:themeColor="text1" w:themeTint="80"/>
              <w:bottom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s>
              <w:jc w:val="center"/>
              <w:rPr>
                <w:sz w:val="18"/>
              </w:rPr>
            </w:pPr>
          </w:p>
        </w:tc>
        <w:tc>
          <w:tcPr>
            <w:tcW w:w="2094" w:type="dxa"/>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Style w:val="Unknown3"/>
                <w:rFonts w:ascii="Candara" w:hAnsi="Candara"/>
                <w:b w:val="0"/>
                <w:sz w:val="18"/>
              </w:rPr>
            </w:pPr>
            <w:r w:rsidRPr="0096752A">
              <w:rPr>
                <w:rStyle w:val="Unknown3"/>
                <w:rFonts w:ascii="Candara" w:hAnsi="Candara"/>
                <w:sz w:val="18"/>
              </w:rPr>
              <w:t>Grupo de controlo</w:t>
            </w:r>
          </w:p>
        </w:tc>
        <w:tc>
          <w:tcPr>
            <w:tcW w:w="1293" w:type="dxa"/>
            <w:vMerge w:val="restart"/>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jc w:val="center"/>
              <w:rPr>
                <w:rFonts w:ascii="Candara" w:hAnsi="Candara"/>
                <w:sz w:val="18"/>
                <w:vertAlign w:val="subscript"/>
              </w:rPr>
            </w:pPr>
            <w:r w:rsidRPr="0096752A">
              <w:rPr>
                <w:rStyle w:val="Unknown3"/>
                <w:rFonts w:ascii="Candara Italic" w:hAnsi="Candara Italic"/>
                <w:sz w:val="18"/>
              </w:rPr>
              <w:t>M</w:t>
            </w:r>
            <w:r w:rsidRPr="0096752A">
              <w:rPr>
                <w:rFonts w:ascii="Candara" w:hAnsi="Candara"/>
                <w:sz w:val="18"/>
                <w:vertAlign w:val="subscript"/>
              </w:rPr>
              <w:t xml:space="preserve">1 </w:t>
            </w:r>
            <w:r w:rsidRPr="0096752A">
              <w:rPr>
                <w:rStyle w:val="Unknown3"/>
                <w:rFonts w:ascii="Candara Italic" w:hAnsi="Candara Italic"/>
                <w:sz w:val="18"/>
              </w:rPr>
              <w:t>- M</w:t>
            </w:r>
            <w:r w:rsidRPr="0096752A">
              <w:rPr>
                <w:rFonts w:ascii="Candara" w:hAnsi="Candara"/>
                <w:sz w:val="18"/>
                <w:vertAlign w:val="subscript"/>
              </w:rPr>
              <w:t>2</w:t>
            </w:r>
          </w:p>
        </w:tc>
        <w:tc>
          <w:tcPr>
            <w:tcW w:w="1293" w:type="dxa"/>
            <w:vMerge w:val="restart"/>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jc w:val="center"/>
              <w:rPr>
                <w:rStyle w:val="Unknown3"/>
                <w:rFonts w:ascii="Candara Italic" w:hAnsi="Candara Italic"/>
                <w:b w:val="0"/>
                <w:sz w:val="18"/>
              </w:rPr>
            </w:pPr>
            <w:proofErr w:type="gramStart"/>
            <w:r w:rsidRPr="0096752A">
              <w:rPr>
                <w:rStyle w:val="Unknown3"/>
                <w:rFonts w:ascii="Candara Italic" w:hAnsi="Candara Italic"/>
                <w:sz w:val="18"/>
              </w:rPr>
              <w:t>t</w:t>
            </w:r>
            <w:proofErr w:type="gramEnd"/>
          </w:p>
        </w:tc>
        <w:tc>
          <w:tcPr>
            <w:tcW w:w="1294" w:type="dxa"/>
            <w:vMerge w:val="restart"/>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jc w:val="center"/>
              <w:rPr>
                <w:rStyle w:val="Unknown3"/>
                <w:rFonts w:ascii="Candara Italic" w:hAnsi="Candara Italic"/>
                <w:b w:val="0"/>
                <w:sz w:val="18"/>
              </w:rPr>
            </w:pPr>
            <w:proofErr w:type="gramStart"/>
            <w:r w:rsidRPr="0096752A">
              <w:rPr>
                <w:rStyle w:val="Unknown3"/>
                <w:rFonts w:ascii="Candara Italic" w:hAnsi="Candara Italic"/>
                <w:sz w:val="18"/>
              </w:rPr>
              <w:t>p</w:t>
            </w:r>
            <w:proofErr w:type="gramEnd"/>
          </w:p>
        </w:tc>
      </w:tr>
      <w:tr w:rsidR="000D4FCF" w:rsidRPr="0096752A" w:rsidTr="000A3665">
        <w:trPr>
          <w:cantSplit/>
          <w:trHeight w:val="375"/>
          <w:tblHeader/>
        </w:trPr>
        <w:tc>
          <w:tcPr>
            <w:tcW w:w="1034" w:type="dxa"/>
            <w:vMerge/>
            <w:tcBorders>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rPr>
                <w:sz w:val="18"/>
              </w:rPr>
            </w:pPr>
          </w:p>
        </w:tc>
        <w:tc>
          <w:tcPr>
            <w:tcW w:w="906" w:type="dxa"/>
            <w:vMerge/>
            <w:tcBorders>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s>
              <w:jc w:val="center"/>
              <w:rPr>
                <w:sz w:val="18"/>
              </w:rPr>
            </w:pPr>
          </w:p>
        </w:tc>
        <w:tc>
          <w:tcPr>
            <w:tcW w:w="2094" w:type="dxa"/>
            <w:tcBorders>
              <w:top w:val="single" w:sz="4" w:space="0" w:color="00000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Candara" w:hAnsi="Candara"/>
                <w:sz w:val="18"/>
                <w:vertAlign w:val="subscript"/>
              </w:rPr>
            </w:pPr>
            <w:r w:rsidRPr="0096752A">
              <w:rPr>
                <w:rStyle w:val="Unknown3"/>
                <w:rFonts w:ascii="Candara Italic" w:hAnsi="Candara Italic"/>
                <w:sz w:val="18"/>
              </w:rPr>
              <w:t>M</w:t>
            </w:r>
            <w:r w:rsidRPr="0096752A">
              <w:rPr>
                <w:rFonts w:ascii="Candara" w:hAnsi="Candara"/>
                <w:sz w:val="18"/>
                <w:vertAlign w:val="subscript"/>
              </w:rPr>
              <w:t>1</w:t>
            </w:r>
            <w:r w:rsidRPr="0096752A">
              <w:rPr>
                <w:rStyle w:val="Unknown3"/>
                <w:rFonts w:ascii="Candara Italic" w:hAnsi="Candara Italic"/>
                <w:sz w:val="18"/>
              </w:rPr>
              <w:t xml:space="preserve"> ± DP</w:t>
            </w:r>
            <w:r w:rsidRPr="0096752A">
              <w:rPr>
                <w:rFonts w:ascii="Candara" w:hAnsi="Candara"/>
                <w:sz w:val="18"/>
                <w:vertAlign w:val="subscript"/>
              </w:rPr>
              <w:t>1</w:t>
            </w:r>
          </w:p>
        </w:tc>
        <w:tc>
          <w:tcPr>
            <w:tcW w:w="340" w:type="dxa"/>
            <w:tcBorders>
              <w:top w:val="single" w:sz="4" w:space="0" w:color="00000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s>
              <w:jc w:val="center"/>
              <w:rPr>
                <w:sz w:val="18"/>
              </w:rPr>
            </w:pPr>
          </w:p>
        </w:tc>
        <w:tc>
          <w:tcPr>
            <w:tcW w:w="2094" w:type="dxa"/>
            <w:tcBorders>
              <w:top w:val="single" w:sz="4" w:space="0" w:color="000000"/>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Candara" w:hAnsi="Candara"/>
                <w:sz w:val="18"/>
                <w:vertAlign w:val="subscript"/>
              </w:rPr>
            </w:pPr>
            <w:r w:rsidRPr="0096752A">
              <w:rPr>
                <w:rStyle w:val="Unknown3"/>
                <w:rFonts w:ascii="Candara Italic" w:hAnsi="Candara Italic"/>
                <w:sz w:val="18"/>
              </w:rPr>
              <w:t>M</w:t>
            </w:r>
            <w:r w:rsidRPr="0096752A">
              <w:rPr>
                <w:rFonts w:ascii="Candara" w:hAnsi="Candara"/>
                <w:sz w:val="18"/>
                <w:vertAlign w:val="subscript"/>
              </w:rPr>
              <w:t>2</w:t>
            </w:r>
            <w:r w:rsidRPr="0096752A">
              <w:rPr>
                <w:rStyle w:val="Unknown3"/>
                <w:rFonts w:ascii="Candara Italic" w:hAnsi="Candara Italic"/>
                <w:sz w:val="18"/>
              </w:rPr>
              <w:t xml:space="preserve"> ± DP</w:t>
            </w:r>
            <w:r w:rsidRPr="0096752A">
              <w:rPr>
                <w:rFonts w:ascii="Candara" w:hAnsi="Candara"/>
                <w:sz w:val="18"/>
                <w:vertAlign w:val="subscript"/>
              </w:rPr>
              <w:t>2</w:t>
            </w:r>
          </w:p>
        </w:tc>
        <w:tc>
          <w:tcPr>
            <w:tcW w:w="1293" w:type="dxa"/>
            <w:vMerge/>
            <w:tcBorders>
              <w:left w:val="nil"/>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jc w:val="center"/>
              <w:rPr>
                <w:sz w:val="18"/>
              </w:rPr>
            </w:pPr>
          </w:p>
        </w:tc>
        <w:tc>
          <w:tcPr>
            <w:tcW w:w="1293" w:type="dxa"/>
            <w:vMerge/>
            <w:tcBorders>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jc w:val="center"/>
              <w:rPr>
                <w:sz w:val="18"/>
              </w:rPr>
            </w:pPr>
          </w:p>
        </w:tc>
        <w:tc>
          <w:tcPr>
            <w:tcW w:w="1294" w:type="dxa"/>
            <w:vMerge/>
            <w:tcBorders>
              <w:bottom w:val="single" w:sz="4"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jc w:val="center"/>
              <w:rPr>
                <w:sz w:val="18"/>
              </w:rPr>
            </w:pPr>
          </w:p>
        </w:tc>
      </w:tr>
      <w:tr w:rsidR="000D4FCF" w:rsidRPr="0096752A" w:rsidTr="000A3665">
        <w:trPr>
          <w:cantSplit/>
          <w:trHeight w:val="162"/>
        </w:trPr>
        <w:tc>
          <w:tcPr>
            <w:tcW w:w="1034"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rPr>
                <w:rFonts w:ascii="Candara" w:hAnsi="Candara"/>
                <w:sz w:val="18"/>
              </w:rPr>
            </w:pPr>
            <w:r w:rsidRPr="0096752A">
              <w:rPr>
                <w:rFonts w:ascii="Candara" w:hAnsi="Candara"/>
                <w:sz w:val="18"/>
              </w:rPr>
              <w:t>A</w:t>
            </w:r>
          </w:p>
        </w:tc>
        <w:tc>
          <w:tcPr>
            <w:tcW w:w="906"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s>
              <w:spacing w:line="276" w:lineRule="auto"/>
              <w:jc w:val="center"/>
              <w:rPr>
                <w:rFonts w:ascii="Candara" w:hAnsi="Candara"/>
                <w:sz w:val="18"/>
              </w:rPr>
            </w:pPr>
            <w:r w:rsidRPr="0096752A">
              <w:rPr>
                <w:rFonts w:ascii="Candara" w:hAnsi="Candara"/>
                <w:sz w:val="18"/>
              </w:rPr>
              <w:t>34</w:t>
            </w:r>
          </w:p>
        </w:tc>
        <w:tc>
          <w:tcPr>
            <w:tcW w:w="2094"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line="276" w:lineRule="auto"/>
              <w:jc w:val="center"/>
              <w:rPr>
                <w:rFonts w:ascii="Candara" w:hAnsi="Candara"/>
                <w:sz w:val="18"/>
              </w:rPr>
            </w:pPr>
            <w:r w:rsidRPr="0096752A">
              <w:rPr>
                <w:rFonts w:ascii="Candara" w:hAnsi="Candara"/>
                <w:sz w:val="18"/>
              </w:rPr>
              <w:t>6,50 ± 1,27</w:t>
            </w:r>
          </w:p>
        </w:tc>
        <w:tc>
          <w:tcPr>
            <w:tcW w:w="340"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s>
              <w:spacing w:line="276" w:lineRule="auto"/>
              <w:jc w:val="center"/>
              <w:rPr>
                <w:sz w:val="18"/>
              </w:rPr>
            </w:pPr>
          </w:p>
        </w:tc>
        <w:tc>
          <w:tcPr>
            <w:tcW w:w="2094"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line="276" w:lineRule="auto"/>
              <w:jc w:val="center"/>
              <w:rPr>
                <w:rFonts w:ascii="Candara" w:hAnsi="Candara"/>
                <w:sz w:val="18"/>
              </w:rPr>
            </w:pPr>
            <w:r w:rsidRPr="0096752A">
              <w:rPr>
                <w:rFonts w:ascii="Candara" w:hAnsi="Candara"/>
                <w:sz w:val="18"/>
              </w:rPr>
              <w:t>3,70 ± 1,77</w:t>
            </w:r>
          </w:p>
        </w:tc>
        <w:tc>
          <w:tcPr>
            <w:tcW w:w="1293"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AA4AAB"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Pr>
                <w:rFonts w:ascii="Candara" w:hAnsi="Candara"/>
                <w:sz w:val="18"/>
              </w:rPr>
              <w:t>2,80</w:t>
            </w:r>
          </w:p>
        </w:tc>
        <w:tc>
          <w:tcPr>
            <w:tcW w:w="1293"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4</w:t>
            </w:r>
            <w:r w:rsidR="00AA4AAB">
              <w:rPr>
                <w:rFonts w:ascii="Candara" w:hAnsi="Candara"/>
                <w:sz w:val="18"/>
              </w:rPr>
              <w:t>,07</w:t>
            </w:r>
          </w:p>
        </w:tc>
        <w:tc>
          <w:tcPr>
            <w:tcW w:w="1294"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0</w:t>
            </w:r>
            <w:r w:rsidR="00AA4AAB">
              <w:rPr>
                <w:rFonts w:ascii="Candara" w:hAnsi="Candara"/>
                <w:sz w:val="18"/>
              </w:rPr>
              <w:t>,001</w:t>
            </w:r>
          </w:p>
        </w:tc>
      </w:tr>
      <w:tr w:rsidR="000D4FCF" w:rsidRPr="0096752A" w:rsidTr="00432573">
        <w:trPr>
          <w:cantSplit/>
          <w:trHeight w:val="260"/>
        </w:trPr>
        <w:tc>
          <w:tcPr>
            <w:tcW w:w="10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rPr>
                <w:rFonts w:ascii="Candara" w:hAnsi="Candara"/>
                <w:sz w:val="18"/>
              </w:rPr>
            </w:pPr>
            <w:r w:rsidRPr="0096752A">
              <w:rPr>
                <w:rFonts w:ascii="Candara" w:hAnsi="Candara"/>
                <w:sz w:val="18"/>
              </w:rPr>
              <w:t>B</w:t>
            </w:r>
          </w:p>
        </w:tc>
        <w:tc>
          <w:tcPr>
            <w:tcW w:w="90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s>
              <w:spacing w:line="276" w:lineRule="auto"/>
              <w:jc w:val="center"/>
              <w:rPr>
                <w:rFonts w:ascii="Candara" w:hAnsi="Candara"/>
                <w:sz w:val="18"/>
              </w:rPr>
            </w:pPr>
            <w:r w:rsidRPr="0096752A">
              <w:rPr>
                <w:rFonts w:ascii="Candara" w:hAnsi="Candara"/>
                <w:sz w:val="18"/>
              </w:rPr>
              <w:t>34</w:t>
            </w:r>
          </w:p>
        </w:tc>
        <w:tc>
          <w:tcPr>
            <w:tcW w:w="209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line="276" w:lineRule="auto"/>
              <w:jc w:val="center"/>
              <w:rPr>
                <w:rFonts w:ascii="Candara" w:hAnsi="Candara"/>
                <w:sz w:val="18"/>
              </w:rPr>
            </w:pPr>
            <w:r w:rsidRPr="0096752A">
              <w:rPr>
                <w:rFonts w:ascii="Candara" w:hAnsi="Candara"/>
                <w:sz w:val="18"/>
              </w:rPr>
              <w:t>2,00 ± 1,49</w:t>
            </w:r>
          </w:p>
        </w:tc>
        <w:tc>
          <w:tcPr>
            <w:tcW w:w="34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s>
              <w:spacing w:line="276" w:lineRule="auto"/>
              <w:jc w:val="center"/>
              <w:rPr>
                <w:sz w:val="18"/>
              </w:rPr>
            </w:pPr>
          </w:p>
        </w:tc>
        <w:tc>
          <w:tcPr>
            <w:tcW w:w="209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line="276" w:lineRule="auto"/>
              <w:jc w:val="center"/>
              <w:rPr>
                <w:rFonts w:ascii="Candara" w:hAnsi="Candara"/>
                <w:sz w:val="18"/>
              </w:rPr>
            </w:pPr>
            <w:r w:rsidRPr="0096752A">
              <w:rPr>
                <w:rFonts w:ascii="Candara" w:hAnsi="Candara"/>
                <w:sz w:val="18"/>
              </w:rPr>
              <w:t>9,00 ± 1,49</w:t>
            </w:r>
          </w:p>
        </w:tc>
        <w:tc>
          <w:tcPr>
            <w:tcW w:w="129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7,00</w:t>
            </w:r>
          </w:p>
        </w:tc>
        <w:tc>
          <w:tcPr>
            <w:tcW w:w="129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10,50</w:t>
            </w:r>
          </w:p>
        </w:tc>
        <w:tc>
          <w:tcPr>
            <w:tcW w:w="129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&lt; 0,001</w:t>
            </w:r>
          </w:p>
        </w:tc>
      </w:tr>
      <w:tr w:rsidR="000D4FCF" w:rsidRPr="0096752A" w:rsidTr="005671CD">
        <w:trPr>
          <w:cantSplit/>
          <w:trHeight w:val="93"/>
        </w:trPr>
        <w:tc>
          <w:tcPr>
            <w:tcW w:w="1034"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rPr>
                <w:rFonts w:ascii="Candara" w:hAnsi="Candara"/>
                <w:sz w:val="18"/>
              </w:rPr>
            </w:pPr>
            <w:r w:rsidRPr="0096752A">
              <w:rPr>
                <w:rFonts w:ascii="Candara" w:hAnsi="Candara"/>
                <w:sz w:val="18"/>
              </w:rPr>
              <w:t>C</w:t>
            </w:r>
          </w:p>
        </w:tc>
        <w:tc>
          <w:tcPr>
            <w:tcW w:w="906"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s>
              <w:spacing w:line="276" w:lineRule="auto"/>
              <w:jc w:val="center"/>
              <w:rPr>
                <w:rFonts w:ascii="Candara" w:hAnsi="Candara"/>
                <w:sz w:val="18"/>
              </w:rPr>
            </w:pPr>
            <w:r w:rsidRPr="0096752A">
              <w:rPr>
                <w:rFonts w:ascii="Candara" w:hAnsi="Candara"/>
                <w:sz w:val="18"/>
              </w:rPr>
              <w:t>34</w:t>
            </w:r>
          </w:p>
        </w:tc>
        <w:tc>
          <w:tcPr>
            <w:tcW w:w="2094"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line="276" w:lineRule="auto"/>
              <w:jc w:val="center"/>
              <w:rPr>
                <w:rFonts w:ascii="Candara" w:hAnsi="Candara"/>
                <w:sz w:val="18"/>
              </w:rPr>
            </w:pPr>
            <w:r w:rsidRPr="0096752A">
              <w:rPr>
                <w:rFonts w:ascii="Candara" w:hAnsi="Candara"/>
                <w:sz w:val="18"/>
              </w:rPr>
              <w:t>14,78 ± 1,09</w:t>
            </w:r>
          </w:p>
        </w:tc>
        <w:tc>
          <w:tcPr>
            <w:tcW w:w="340"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s>
              <w:spacing w:line="276" w:lineRule="auto"/>
              <w:jc w:val="center"/>
              <w:rPr>
                <w:sz w:val="18"/>
              </w:rPr>
            </w:pPr>
          </w:p>
        </w:tc>
        <w:tc>
          <w:tcPr>
            <w:tcW w:w="2094"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line="276" w:lineRule="auto"/>
              <w:jc w:val="center"/>
              <w:rPr>
                <w:rFonts w:ascii="Candara" w:hAnsi="Candara"/>
                <w:sz w:val="18"/>
              </w:rPr>
            </w:pPr>
            <w:r w:rsidRPr="0096752A">
              <w:rPr>
                <w:rFonts w:ascii="Candara" w:hAnsi="Candara"/>
                <w:sz w:val="18"/>
              </w:rPr>
              <w:t>19,9 ± 8,58</w:t>
            </w:r>
          </w:p>
        </w:tc>
        <w:tc>
          <w:tcPr>
            <w:tcW w:w="1293"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5</w:t>
            </w:r>
            <w:r w:rsidR="00AA4AAB">
              <w:rPr>
                <w:rFonts w:ascii="Candara" w:hAnsi="Candara"/>
                <w:sz w:val="18"/>
              </w:rPr>
              <w:t>,12</w:t>
            </w:r>
          </w:p>
        </w:tc>
        <w:tc>
          <w:tcPr>
            <w:tcW w:w="1293"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AA4AAB"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Pr>
                <w:rFonts w:ascii="Candara" w:hAnsi="Candara"/>
                <w:sz w:val="18"/>
              </w:rPr>
              <w:t>1,87</w:t>
            </w:r>
          </w:p>
        </w:tc>
        <w:tc>
          <w:tcPr>
            <w:tcW w:w="1294"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0</w:t>
            </w:r>
            <w:r w:rsidR="00AA4AAB">
              <w:rPr>
                <w:rFonts w:ascii="Candara" w:hAnsi="Candara"/>
                <w:sz w:val="18"/>
              </w:rPr>
              <w:t>,078</w:t>
            </w:r>
          </w:p>
        </w:tc>
      </w:tr>
      <w:tr w:rsidR="000D4FCF" w:rsidRPr="0096752A" w:rsidTr="005671CD">
        <w:trPr>
          <w:cantSplit/>
          <w:trHeight w:val="152"/>
        </w:trPr>
        <w:tc>
          <w:tcPr>
            <w:tcW w:w="1034" w:type="dxa"/>
            <w:tcBorders>
              <w:bottom w:val="single" w:sz="12" w:space="0" w:color="7F7F7F" w:themeColor="text1" w:themeTint="8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rPr>
                <w:rFonts w:ascii="Candara" w:hAnsi="Candara"/>
                <w:sz w:val="18"/>
              </w:rPr>
            </w:pPr>
            <w:r w:rsidRPr="0096752A">
              <w:rPr>
                <w:rFonts w:ascii="Candara" w:hAnsi="Candara"/>
                <w:sz w:val="18"/>
              </w:rPr>
              <w:t>D</w:t>
            </w:r>
          </w:p>
        </w:tc>
        <w:tc>
          <w:tcPr>
            <w:tcW w:w="906" w:type="dxa"/>
            <w:tcBorders>
              <w:bottom w:val="single" w:sz="12" w:space="0" w:color="7F7F7F" w:themeColor="text1" w:themeTint="8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s>
              <w:spacing w:line="276" w:lineRule="auto"/>
              <w:jc w:val="center"/>
              <w:rPr>
                <w:rFonts w:ascii="Candara" w:hAnsi="Candara"/>
                <w:sz w:val="18"/>
              </w:rPr>
            </w:pPr>
            <w:r w:rsidRPr="0096752A">
              <w:rPr>
                <w:rFonts w:ascii="Candara" w:hAnsi="Candara"/>
                <w:sz w:val="18"/>
              </w:rPr>
              <w:t>34</w:t>
            </w:r>
          </w:p>
        </w:tc>
        <w:tc>
          <w:tcPr>
            <w:tcW w:w="2094" w:type="dxa"/>
            <w:tcBorders>
              <w:bottom w:val="single" w:sz="12" w:space="0" w:color="7F7F7F" w:themeColor="text1" w:themeTint="8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line="276" w:lineRule="auto"/>
              <w:jc w:val="center"/>
              <w:rPr>
                <w:rFonts w:ascii="Candara" w:hAnsi="Candara"/>
                <w:sz w:val="18"/>
              </w:rPr>
            </w:pPr>
            <w:r w:rsidRPr="0096752A">
              <w:rPr>
                <w:rFonts w:ascii="Candara" w:hAnsi="Candara"/>
                <w:sz w:val="18"/>
              </w:rPr>
              <w:t>6,00 ± 1,49</w:t>
            </w:r>
          </w:p>
        </w:tc>
        <w:tc>
          <w:tcPr>
            <w:tcW w:w="340" w:type="dxa"/>
            <w:tcBorders>
              <w:bottom w:val="single" w:sz="12" w:space="0" w:color="7F7F7F" w:themeColor="text1" w:themeTint="8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s>
              <w:spacing w:line="276" w:lineRule="auto"/>
              <w:jc w:val="center"/>
              <w:rPr>
                <w:sz w:val="18"/>
              </w:rPr>
            </w:pPr>
          </w:p>
        </w:tc>
        <w:tc>
          <w:tcPr>
            <w:tcW w:w="2094" w:type="dxa"/>
            <w:tcBorders>
              <w:bottom w:val="single" w:sz="12" w:space="0" w:color="7F7F7F" w:themeColor="text1" w:themeTint="8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line="276" w:lineRule="auto"/>
              <w:jc w:val="center"/>
              <w:rPr>
                <w:rFonts w:ascii="Candara" w:hAnsi="Candara"/>
                <w:sz w:val="18"/>
              </w:rPr>
            </w:pPr>
            <w:r w:rsidRPr="0096752A">
              <w:rPr>
                <w:rFonts w:ascii="Candara" w:hAnsi="Candara"/>
                <w:sz w:val="18"/>
              </w:rPr>
              <w:t>5,00 ± 1,49</w:t>
            </w:r>
          </w:p>
        </w:tc>
        <w:tc>
          <w:tcPr>
            <w:tcW w:w="1293" w:type="dxa"/>
            <w:tcBorders>
              <w:bottom w:val="single" w:sz="12" w:space="0" w:color="7F7F7F" w:themeColor="text1" w:themeTint="8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1,00</w:t>
            </w:r>
          </w:p>
        </w:tc>
        <w:tc>
          <w:tcPr>
            <w:tcW w:w="1293" w:type="dxa"/>
            <w:tcBorders>
              <w:bottom w:val="single" w:sz="12" w:space="0" w:color="7F7F7F" w:themeColor="text1" w:themeTint="8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1,50</w:t>
            </w:r>
          </w:p>
        </w:tc>
        <w:tc>
          <w:tcPr>
            <w:tcW w:w="1294" w:type="dxa"/>
            <w:tcBorders>
              <w:bottom w:val="single" w:sz="12" w:space="0" w:color="7F7F7F" w:themeColor="text1" w:themeTint="8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s>
              <w:spacing w:line="276" w:lineRule="auto"/>
              <w:jc w:val="center"/>
              <w:rPr>
                <w:rFonts w:ascii="Candara" w:hAnsi="Candara"/>
                <w:sz w:val="18"/>
              </w:rPr>
            </w:pPr>
            <w:r w:rsidRPr="0096752A">
              <w:rPr>
                <w:rFonts w:ascii="Candara" w:hAnsi="Candara"/>
                <w:sz w:val="18"/>
              </w:rPr>
              <w:t>0</w:t>
            </w:r>
            <w:r w:rsidR="00AA4AAB">
              <w:rPr>
                <w:rFonts w:ascii="Candara" w:hAnsi="Candara"/>
                <w:sz w:val="18"/>
              </w:rPr>
              <w:t>,151</w:t>
            </w:r>
          </w:p>
        </w:tc>
      </w:tr>
      <w:tr w:rsidR="000D4FCF" w:rsidRPr="0096752A" w:rsidTr="005671CD">
        <w:trPr>
          <w:cantSplit/>
          <w:trHeight w:val="376"/>
        </w:trPr>
        <w:tc>
          <w:tcPr>
            <w:tcW w:w="10348" w:type="dxa"/>
            <w:gridSpan w:val="8"/>
            <w:tcBorders>
              <w:top w:val="single" w:sz="12" w:space="0" w:color="7F7F7F" w:themeColor="text1" w:themeTint="8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D4FCF" w:rsidRPr="0096752A" w:rsidRDefault="000D4FC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after="240"/>
              <w:rPr>
                <w:rFonts w:ascii="Candara" w:hAnsi="Candara"/>
                <w:sz w:val="18"/>
                <w:lang w:val="pt-PT"/>
              </w:rPr>
            </w:pPr>
            <w:r w:rsidRPr="0096752A">
              <w:rPr>
                <w:rFonts w:ascii="Candara" w:hAnsi="Candara"/>
                <w:sz w:val="16"/>
                <w:lang w:val="pt-PT"/>
              </w:rPr>
              <w:t xml:space="preserve">Nota: </w:t>
            </w:r>
            <w:proofErr w:type="spellStart"/>
            <w:r w:rsidRPr="0096752A">
              <w:rPr>
                <w:rFonts w:ascii="Candara" w:hAnsi="Candara"/>
                <w:sz w:val="16"/>
                <w:lang w:val="pt-PT"/>
              </w:rPr>
              <w:t>gl</w:t>
            </w:r>
            <w:proofErr w:type="spellEnd"/>
            <w:r w:rsidRPr="0096752A">
              <w:rPr>
                <w:rFonts w:ascii="Candara" w:hAnsi="Candara"/>
                <w:sz w:val="16"/>
                <w:lang w:val="pt-PT"/>
              </w:rPr>
              <w:t xml:space="preserve"> = graus de liberdade; M = média, DP = desvio-padrão.</w:t>
            </w:r>
          </w:p>
        </w:tc>
      </w:tr>
    </w:tbl>
    <w:p w:rsidR="000D4FCF" w:rsidRPr="0096752A" w:rsidRDefault="000D4FCF" w:rsidP="00566781">
      <w:pPr>
        <w:pStyle w:val="FormalivreA"/>
        <w:spacing w:line="276" w:lineRule="auto"/>
        <w:jc w:val="both"/>
        <w:rPr>
          <w:rFonts w:ascii="Candara" w:hAnsi="Candara"/>
          <w:sz w:val="20"/>
          <w:lang w:val="pt-PT"/>
        </w:rPr>
        <w:sectPr w:rsidR="000D4FCF" w:rsidRPr="0096752A" w:rsidSect="000D4FCF">
          <w:type w:val="continuous"/>
          <w:pgSz w:w="11906" w:h="16838"/>
          <w:pgMar w:top="720" w:right="720" w:bottom="720" w:left="720" w:header="708" w:footer="708" w:gutter="0"/>
          <w:cols w:space="566"/>
          <w:docGrid w:linePitch="360"/>
        </w:sectPr>
      </w:pPr>
    </w:p>
    <w:p w:rsidR="00566781" w:rsidRPr="00691E52" w:rsidRDefault="00566781" w:rsidP="00566781">
      <w:pPr>
        <w:pStyle w:val="FormalivreA"/>
        <w:spacing w:line="276" w:lineRule="auto"/>
        <w:jc w:val="both"/>
        <w:rPr>
          <w:rFonts w:ascii="Candara" w:hAnsi="Candara"/>
          <w:spacing w:val="-2"/>
          <w:sz w:val="20"/>
          <w:lang w:val="pt-PT"/>
        </w:rPr>
      </w:pPr>
      <w:proofErr w:type="gramStart"/>
      <w:r w:rsidRPr="00691E52">
        <w:rPr>
          <w:rFonts w:ascii="Candara" w:hAnsi="Candara"/>
          <w:spacing w:val="-2"/>
          <w:sz w:val="20"/>
          <w:lang w:val="pt-PT"/>
        </w:rPr>
        <w:lastRenderedPageBreak/>
        <w:t>menor</w:t>
      </w:r>
      <w:proofErr w:type="gramEnd"/>
      <w:r w:rsidRPr="00691E52">
        <w:rPr>
          <w:rFonts w:ascii="Candara" w:hAnsi="Candara"/>
          <w:spacing w:val="-2"/>
          <w:sz w:val="20"/>
          <w:lang w:val="pt-PT"/>
        </w:rPr>
        <w:t xml:space="preserve"> do que no estudo C, apesar de a diferença ser significativa no estudo A e não ser significativa no estudo C. </w:t>
      </w:r>
    </w:p>
    <w:p w:rsidR="00566781" w:rsidRPr="0096752A" w:rsidRDefault="00566781" w:rsidP="00566781">
      <w:pPr>
        <w:pStyle w:val="FormalivreA"/>
        <w:spacing w:line="276" w:lineRule="auto"/>
        <w:ind w:firstLine="426"/>
        <w:jc w:val="both"/>
        <w:rPr>
          <w:rFonts w:ascii="Candara" w:hAnsi="Candara"/>
          <w:sz w:val="22"/>
          <w:lang w:val="pt-PT"/>
        </w:rPr>
      </w:pPr>
      <w:r w:rsidRPr="0096752A">
        <w:rPr>
          <w:rFonts w:ascii="Candara" w:hAnsi="Candara"/>
          <w:sz w:val="20"/>
          <w:lang w:val="pt-PT"/>
        </w:rPr>
        <w:t>Em síntese, se um investigador usar somente o nível de significância, o valor da magnitude da diferença pode perder-se, sendo uma perda especialmente grave se a investigação disser respeito à avaliação da eficácia de um programa de intervenção (</w:t>
      </w:r>
      <w:proofErr w:type="spellStart"/>
      <w:r w:rsidRPr="0096752A">
        <w:rPr>
          <w:rFonts w:ascii="Candara" w:hAnsi="Candara"/>
          <w:sz w:val="20"/>
          <w:lang w:val="pt-PT"/>
        </w:rPr>
        <w:t>Rosenthal</w:t>
      </w:r>
      <w:proofErr w:type="spellEnd"/>
      <w:r w:rsidRPr="0096752A">
        <w:rPr>
          <w:rFonts w:ascii="Candara" w:hAnsi="Candara"/>
          <w:sz w:val="20"/>
          <w:lang w:val="pt-PT"/>
        </w:rPr>
        <w:t xml:space="preserve">, 1983). </w:t>
      </w:r>
    </w:p>
    <w:p w:rsidR="00566781" w:rsidRPr="0096752A" w:rsidRDefault="00566781" w:rsidP="00566781">
      <w:pPr>
        <w:pStyle w:val="Ttulo11"/>
        <w:spacing w:before="0" w:line="240" w:lineRule="auto"/>
        <w:rPr>
          <w:rFonts w:ascii="Candara Bold" w:hAnsi="Candara Bold"/>
        </w:rPr>
      </w:pPr>
    </w:p>
    <w:p w:rsidR="00566781" w:rsidRPr="0096752A" w:rsidRDefault="00566781" w:rsidP="00566781">
      <w:pPr>
        <w:pStyle w:val="Ttulo11"/>
        <w:spacing w:before="0" w:line="240" w:lineRule="auto"/>
        <w:rPr>
          <w:rFonts w:ascii="Candara Bold" w:hAnsi="Candara Bold"/>
          <w:sz w:val="22"/>
        </w:rPr>
      </w:pPr>
      <w:r w:rsidRPr="0096752A">
        <w:rPr>
          <w:rFonts w:ascii="Candara Bold" w:hAnsi="Candara Bold"/>
          <w:sz w:val="22"/>
        </w:rPr>
        <w:t>Necessidade e Interesse em Apresentar os Tamanhos do Efeito</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Todos os testes estatísticos têm o seu próprio índice de TDE (Cohen, 1992b). Estes índices do TDE, para além de terem a vantagem de não dependerem do tamanho da amostra</w:t>
      </w:r>
      <w:r w:rsidRPr="0096752A">
        <w:rPr>
          <w:rFonts w:ascii="Candara" w:hAnsi="Candara"/>
          <w:sz w:val="20"/>
          <w:vertAlign w:val="superscript"/>
        </w:rPr>
        <w:endnoteReference w:id="8"/>
      </w:r>
      <w:r w:rsidRPr="0096752A">
        <w:rPr>
          <w:rFonts w:ascii="Candara" w:hAnsi="Candara"/>
          <w:sz w:val="20"/>
          <w:lang w:val="pt-PT"/>
        </w:rPr>
        <w:t>, informam sobre o significado dos resultados e consistem numa métrica comum para comparar resultados de estudos diferentes (</w:t>
      </w:r>
      <w:proofErr w:type="spellStart"/>
      <w:r w:rsidRPr="0096752A">
        <w:rPr>
          <w:rFonts w:ascii="Candara" w:hAnsi="Candara"/>
          <w:sz w:val="20"/>
          <w:lang w:val="pt-PT"/>
        </w:rPr>
        <w:t>Berben</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roofErr w:type="spellStart"/>
      <w:r w:rsidRPr="0096752A">
        <w:rPr>
          <w:rFonts w:ascii="Candara" w:hAnsi="Candara"/>
          <w:sz w:val="20"/>
          <w:lang w:val="pt-PT"/>
        </w:rPr>
        <w:t>Bezeau</w:t>
      </w:r>
      <w:proofErr w:type="spellEnd"/>
      <w:r w:rsidRPr="0096752A">
        <w:rPr>
          <w:rFonts w:ascii="Candara" w:hAnsi="Candara"/>
          <w:sz w:val="20"/>
          <w:lang w:val="pt-PT"/>
        </w:rPr>
        <w:t xml:space="preserve"> e Graves, 2001; </w:t>
      </w:r>
      <w:proofErr w:type="spellStart"/>
      <w:r w:rsidRPr="0096752A">
        <w:rPr>
          <w:rFonts w:ascii="Candara" w:hAnsi="Candara"/>
          <w:sz w:val="20"/>
          <w:lang w:val="pt-PT"/>
        </w:rPr>
        <w:t>Cumming</w:t>
      </w:r>
      <w:proofErr w:type="spellEnd"/>
      <w:r w:rsidRPr="0096752A">
        <w:rPr>
          <w:rFonts w:ascii="Candara" w:hAnsi="Candara"/>
          <w:sz w:val="20"/>
          <w:lang w:val="pt-PT"/>
        </w:rPr>
        <w:t xml:space="preserve">, 2012; </w:t>
      </w:r>
      <w:proofErr w:type="spellStart"/>
      <w:r w:rsidRPr="0096752A">
        <w:rPr>
          <w:rFonts w:ascii="Candara" w:hAnsi="Candara"/>
          <w:sz w:val="20"/>
          <w:lang w:val="pt-PT"/>
        </w:rPr>
        <w:t>Ferguson</w:t>
      </w:r>
      <w:proofErr w:type="spellEnd"/>
      <w:r w:rsidRPr="0096752A">
        <w:rPr>
          <w:rFonts w:ascii="Candara" w:hAnsi="Candara"/>
          <w:sz w:val="20"/>
          <w:lang w:val="pt-PT"/>
        </w:rPr>
        <w:t xml:space="preserve">, 2009; </w:t>
      </w:r>
      <w:proofErr w:type="spellStart"/>
      <w:r w:rsidRPr="0096752A">
        <w:rPr>
          <w:rFonts w:ascii="Candara" w:hAnsi="Candara"/>
          <w:sz w:val="20"/>
          <w:lang w:val="pt-PT"/>
        </w:rPr>
        <w:t>Kline</w:t>
      </w:r>
      <w:proofErr w:type="spellEnd"/>
      <w:r w:rsidRPr="0096752A">
        <w:rPr>
          <w:rFonts w:ascii="Candara" w:hAnsi="Candara"/>
          <w:sz w:val="20"/>
          <w:lang w:val="pt-PT"/>
        </w:rPr>
        <w:t xml:space="preserve">, 2004; </w:t>
      </w:r>
      <w:proofErr w:type="spellStart"/>
      <w:r w:rsidRPr="0096752A">
        <w:rPr>
          <w:rFonts w:ascii="Candara" w:hAnsi="Candara"/>
          <w:sz w:val="20"/>
          <w:lang w:val="pt-PT"/>
        </w:rPr>
        <w:t>Lipsey</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roofErr w:type="spellStart"/>
      <w:r w:rsidRPr="0096752A">
        <w:rPr>
          <w:rFonts w:ascii="Candara" w:hAnsi="Candara"/>
          <w:sz w:val="20"/>
          <w:lang w:val="pt-PT"/>
        </w:rPr>
        <w:t>Olejnik</w:t>
      </w:r>
      <w:proofErr w:type="spellEnd"/>
      <w:r w:rsidRPr="0096752A">
        <w:rPr>
          <w:rFonts w:ascii="Candara" w:hAnsi="Candara"/>
          <w:sz w:val="20"/>
          <w:lang w:val="pt-PT"/>
        </w:rPr>
        <w:t xml:space="preserve"> e Algina, 2000; </w:t>
      </w:r>
      <w:proofErr w:type="spellStart"/>
      <w:r w:rsidRPr="0096752A">
        <w:rPr>
          <w:rFonts w:ascii="Candara" w:hAnsi="Candara"/>
          <w:sz w:val="20"/>
          <w:lang w:val="pt-PT"/>
        </w:rPr>
        <w:t>Snyder</w:t>
      </w:r>
      <w:proofErr w:type="spellEnd"/>
      <w:r w:rsidRPr="0096752A">
        <w:rPr>
          <w:rFonts w:ascii="Candara" w:hAnsi="Candara"/>
          <w:sz w:val="20"/>
          <w:lang w:val="pt-PT"/>
        </w:rPr>
        <w:t xml:space="preserve"> e </w:t>
      </w:r>
      <w:proofErr w:type="spellStart"/>
      <w:r w:rsidRPr="0096752A">
        <w:rPr>
          <w:rFonts w:ascii="Candara" w:hAnsi="Candara"/>
          <w:sz w:val="20"/>
          <w:lang w:val="pt-PT"/>
        </w:rPr>
        <w:t>Lawson</w:t>
      </w:r>
      <w:proofErr w:type="spellEnd"/>
      <w:r w:rsidRPr="0096752A">
        <w:rPr>
          <w:rFonts w:ascii="Candara" w:hAnsi="Candara"/>
          <w:sz w:val="20"/>
          <w:lang w:val="pt-PT"/>
        </w:rPr>
        <w:t xml:space="preserve">, 1993). </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De facto, há mais de 20 anos que na literatura científica se chama repetidamente a atenção para a necessidade de comunicar os tamanhos de efeito (</w:t>
      </w:r>
      <w:r w:rsidR="00494E85">
        <w:rPr>
          <w:rFonts w:ascii="Candara" w:hAnsi="Candara"/>
          <w:sz w:val="20"/>
          <w:lang w:val="pt-PT"/>
        </w:rPr>
        <w:t>p. e.</w:t>
      </w:r>
      <w:r w:rsidRPr="0096752A">
        <w:rPr>
          <w:rFonts w:ascii="Candara" w:hAnsi="Candara"/>
          <w:sz w:val="20"/>
          <w:lang w:val="pt-PT"/>
        </w:rPr>
        <w:t xml:space="preserve">, Cohen, 1990, 1994). </w:t>
      </w:r>
      <w:r w:rsidRPr="0096752A">
        <w:rPr>
          <w:rFonts w:ascii="Candara" w:hAnsi="Candara"/>
          <w:sz w:val="20"/>
        </w:rPr>
        <w:t xml:space="preserve">Wilkinson e a </w:t>
      </w:r>
      <w:r w:rsidRPr="0096752A">
        <w:rPr>
          <w:rFonts w:ascii="Candara Italic" w:hAnsi="Candara Italic"/>
          <w:sz w:val="20"/>
        </w:rPr>
        <w:t>American Psychological Association</w:t>
      </w:r>
      <w:r w:rsidRPr="0096752A">
        <w:rPr>
          <w:rFonts w:ascii="Candara" w:hAnsi="Candara"/>
          <w:sz w:val="20"/>
        </w:rPr>
        <w:t xml:space="preserve"> </w:t>
      </w:r>
      <w:r w:rsidRPr="0096752A">
        <w:rPr>
          <w:rFonts w:ascii="Candara Italic" w:hAnsi="Candara Italic"/>
          <w:sz w:val="20"/>
        </w:rPr>
        <w:t>Task Force on Statistical Inference</w:t>
      </w:r>
      <w:r w:rsidRPr="0096752A">
        <w:rPr>
          <w:rFonts w:ascii="Candara" w:hAnsi="Candara"/>
          <w:sz w:val="20"/>
        </w:rPr>
        <w:t xml:space="preserve">, </w:t>
      </w:r>
      <w:proofErr w:type="spellStart"/>
      <w:r w:rsidRPr="0096752A">
        <w:rPr>
          <w:rFonts w:ascii="Candara" w:hAnsi="Candara"/>
          <w:sz w:val="20"/>
        </w:rPr>
        <w:t>em</w:t>
      </w:r>
      <w:proofErr w:type="spellEnd"/>
      <w:r w:rsidRPr="0096752A">
        <w:rPr>
          <w:rFonts w:ascii="Candara" w:hAnsi="Candara"/>
          <w:sz w:val="20"/>
        </w:rPr>
        <w:t xml:space="preserve"> 1999, </w:t>
      </w:r>
      <w:proofErr w:type="spellStart"/>
      <w:r w:rsidRPr="0096752A">
        <w:rPr>
          <w:rFonts w:ascii="Candara" w:hAnsi="Candara"/>
          <w:sz w:val="20"/>
        </w:rPr>
        <w:t>tinham</w:t>
      </w:r>
      <w:proofErr w:type="spellEnd"/>
      <w:r w:rsidRPr="0096752A">
        <w:rPr>
          <w:rFonts w:ascii="Candara" w:hAnsi="Candara"/>
          <w:sz w:val="20"/>
        </w:rPr>
        <w:t xml:space="preserve"> </w:t>
      </w:r>
      <w:proofErr w:type="spellStart"/>
      <w:r w:rsidRPr="0096752A">
        <w:rPr>
          <w:rFonts w:ascii="Candara" w:hAnsi="Candara"/>
          <w:sz w:val="20"/>
        </w:rPr>
        <w:t>já</w:t>
      </w:r>
      <w:proofErr w:type="spellEnd"/>
      <w:r w:rsidRPr="0096752A">
        <w:rPr>
          <w:rFonts w:ascii="Candara" w:hAnsi="Candara"/>
          <w:sz w:val="20"/>
        </w:rPr>
        <w:t xml:space="preserve"> </w:t>
      </w:r>
      <w:proofErr w:type="spellStart"/>
      <w:r w:rsidRPr="0096752A">
        <w:rPr>
          <w:rFonts w:ascii="Candara" w:hAnsi="Candara"/>
          <w:sz w:val="20"/>
        </w:rPr>
        <w:t>publicado</w:t>
      </w:r>
      <w:proofErr w:type="spellEnd"/>
      <w:r w:rsidRPr="0096752A">
        <w:rPr>
          <w:rFonts w:ascii="Candara" w:hAnsi="Candara"/>
          <w:sz w:val="20"/>
        </w:rPr>
        <w:t xml:space="preserve"> </w:t>
      </w:r>
      <w:proofErr w:type="spellStart"/>
      <w:r w:rsidRPr="0096752A">
        <w:rPr>
          <w:rFonts w:ascii="Candara" w:hAnsi="Candara"/>
          <w:sz w:val="20"/>
        </w:rPr>
        <w:t>diretrizes</w:t>
      </w:r>
      <w:proofErr w:type="spellEnd"/>
      <w:r w:rsidRPr="0096752A">
        <w:rPr>
          <w:rFonts w:ascii="Candara" w:hAnsi="Candara"/>
          <w:sz w:val="20"/>
        </w:rPr>
        <w:t xml:space="preserve"> </w:t>
      </w:r>
      <w:proofErr w:type="spellStart"/>
      <w:r w:rsidRPr="0096752A">
        <w:rPr>
          <w:rFonts w:ascii="Candara" w:hAnsi="Candara"/>
          <w:sz w:val="20"/>
        </w:rPr>
        <w:t>para</w:t>
      </w:r>
      <w:proofErr w:type="spellEnd"/>
      <w:r w:rsidRPr="0096752A">
        <w:rPr>
          <w:rFonts w:ascii="Candara" w:hAnsi="Candara"/>
          <w:sz w:val="20"/>
        </w:rPr>
        <w:t xml:space="preserve"> a </w:t>
      </w:r>
      <w:proofErr w:type="spellStart"/>
      <w:r w:rsidRPr="0096752A">
        <w:rPr>
          <w:rFonts w:ascii="Candara" w:hAnsi="Candara"/>
          <w:sz w:val="20"/>
        </w:rPr>
        <w:t>pesquisa</w:t>
      </w:r>
      <w:proofErr w:type="spellEnd"/>
      <w:r w:rsidRPr="0096752A">
        <w:rPr>
          <w:rFonts w:ascii="Candara" w:hAnsi="Candara"/>
          <w:sz w:val="20"/>
        </w:rPr>
        <w:t xml:space="preserve"> </w:t>
      </w:r>
      <w:proofErr w:type="spellStart"/>
      <w:r w:rsidRPr="0096752A">
        <w:rPr>
          <w:rFonts w:ascii="Candara" w:hAnsi="Candara"/>
          <w:sz w:val="20"/>
        </w:rPr>
        <w:t>publicada</w:t>
      </w:r>
      <w:proofErr w:type="spellEnd"/>
      <w:r w:rsidRPr="0096752A">
        <w:rPr>
          <w:rFonts w:ascii="Candara" w:hAnsi="Candara"/>
          <w:sz w:val="20"/>
        </w:rPr>
        <w:t xml:space="preserve"> </w:t>
      </w:r>
      <w:proofErr w:type="spellStart"/>
      <w:r w:rsidRPr="0096752A">
        <w:rPr>
          <w:rFonts w:ascii="Candara" w:hAnsi="Candara"/>
          <w:sz w:val="20"/>
        </w:rPr>
        <w:t>na</w:t>
      </w:r>
      <w:proofErr w:type="spellEnd"/>
      <w:r w:rsidRPr="0096752A">
        <w:rPr>
          <w:rFonts w:ascii="Candara" w:hAnsi="Candara"/>
          <w:sz w:val="20"/>
        </w:rPr>
        <w:t xml:space="preserve"> </w:t>
      </w:r>
      <w:proofErr w:type="spellStart"/>
      <w:r w:rsidRPr="0096752A">
        <w:rPr>
          <w:rFonts w:ascii="Candara" w:hAnsi="Candara"/>
          <w:sz w:val="20"/>
        </w:rPr>
        <w:t>psicologia</w:t>
      </w:r>
      <w:proofErr w:type="spellEnd"/>
      <w:r w:rsidRPr="0096752A">
        <w:rPr>
          <w:rFonts w:ascii="Candara" w:hAnsi="Candara"/>
          <w:sz w:val="20"/>
        </w:rPr>
        <w:t xml:space="preserve"> </w:t>
      </w:r>
      <w:proofErr w:type="spellStart"/>
      <w:r w:rsidRPr="0096752A">
        <w:rPr>
          <w:rFonts w:ascii="Candara" w:hAnsi="Candara"/>
          <w:sz w:val="20"/>
        </w:rPr>
        <w:t>declarando</w:t>
      </w:r>
      <w:proofErr w:type="spellEnd"/>
      <w:r w:rsidRPr="0096752A">
        <w:rPr>
          <w:rFonts w:ascii="Candara" w:hAnsi="Candara"/>
          <w:sz w:val="20"/>
        </w:rPr>
        <w:t xml:space="preserve"> </w:t>
      </w:r>
      <w:proofErr w:type="spellStart"/>
      <w:r w:rsidRPr="0096752A">
        <w:rPr>
          <w:rFonts w:ascii="Candara" w:hAnsi="Candara"/>
          <w:sz w:val="20"/>
        </w:rPr>
        <w:t>que</w:t>
      </w:r>
      <w:proofErr w:type="spellEnd"/>
      <w:r w:rsidRPr="0096752A">
        <w:rPr>
          <w:rFonts w:ascii="Candara" w:hAnsi="Candara"/>
          <w:sz w:val="20"/>
        </w:rPr>
        <w:t xml:space="preserve"> se </w:t>
      </w:r>
      <w:proofErr w:type="spellStart"/>
      <w:r w:rsidRPr="0096752A">
        <w:rPr>
          <w:rFonts w:ascii="Candara" w:hAnsi="Candara"/>
          <w:sz w:val="20"/>
        </w:rPr>
        <w:t>deve</w:t>
      </w:r>
      <w:proofErr w:type="spellEnd"/>
      <w:r w:rsidRPr="0096752A">
        <w:rPr>
          <w:rFonts w:ascii="Candara" w:hAnsi="Candara"/>
          <w:sz w:val="20"/>
        </w:rPr>
        <w:t xml:space="preserve"> "always present effect sizes for primary outcomes"</w:t>
      </w:r>
      <w:r w:rsidRPr="0096752A">
        <w:rPr>
          <w:rFonts w:ascii="Candara" w:hAnsi="Candara"/>
          <w:sz w:val="20"/>
          <w:vertAlign w:val="superscript"/>
        </w:rPr>
        <w:endnoteReference w:id="9"/>
      </w:r>
      <w:r w:rsidRPr="0096752A">
        <w:rPr>
          <w:rFonts w:ascii="Candara" w:hAnsi="Candara"/>
          <w:sz w:val="20"/>
        </w:rPr>
        <w:t xml:space="preserve">, </w:t>
      </w:r>
      <w:proofErr w:type="spellStart"/>
      <w:r w:rsidRPr="0096752A">
        <w:rPr>
          <w:rFonts w:ascii="Candara" w:hAnsi="Candara"/>
          <w:sz w:val="20"/>
        </w:rPr>
        <w:t>enfatizando</w:t>
      </w:r>
      <w:proofErr w:type="spellEnd"/>
      <w:r w:rsidRPr="0096752A">
        <w:rPr>
          <w:rFonts w:ascii="Candara" w:hAnsi="Candara"/>
          <w:sz w:val="20"/>
        </w:rPr>
        <w:t xml:space="preserve"> </w:t>
      </w:r>
      <w:proofErr w:type="spellStart"/>
      <w:r w:rsidRPr="0096752A">
        <w:rPr>
          <w:rFonts w:ascii="Candara" w:hAnsi="Candara"/>
          <w:sz w:val="20"/>
        </w:rPr>
        <w:t>que</w:t>
      </w:r>
      <w:proofErr w:type="spellEnd"/>
      <w:r w:rsidRPr="0096752A">
        <w:rPr>
          <w:rFonts w:ascii="Candara" w:hAnsi="Candara"/>
          <w:sz w:val="20"/>
        </w:rPr>
        <w:t xml:space="preserve"> “reporting and interpreting ESs [effect sizes] in the context of previously reported effects is essential to good research”</w:t>
      </w:r>
      <w:r w:rsidRPr="0096752A">
        <w:rPr>
          <w:rFonts w:ascii="Candara" w:hAnsi="Candara"/>
          <w:sz w:val="20"/>
          <w:vertAlign w:val="superscript"/>
        </w:rPr>
        <w:endnoteReference w:id="10"/>
      </w:r>
      <w:r w:rsidRPr="0096752A">
        <w:rPr>
          <w:rFonts w:ascii="Candara" w:hAnsi="Candara"/>
          <w:sz w:val="20"/>
        </w:rPr>
        <w:t xml:space="preserve"> (Wilkinson Task Force on Statistical Inference, 1999, p. 599). </w:t>
      </w:r>
      <w:r w:rsidRPr="0096752A">
        <w:rPr>
          <w:rFonts w:ascii="Candara" w:hAnsi="Candara"/>
          <w:sz w:val="20"/>
          <w:lang w:val="pt-PT"/>
        </w:rPr>
        <w:t xml:space="preserve">A sexta edição do </w:t>
      </w:r>
      <w:proofErr w:type="spellStart"/>
      <w:r w:rsidRPr="0096752A">
        <w:rPr>
          <w:rFonts w:ascii="Candara Italic" w:hAnsi="Candara Italic"/>
          <w:sz w:val="20"/>
          <w:lang w:val="pt-PT"/>
        </w:rPr>
        <w:t>Publication</w:t>
      </w:r>
      <w:proofErr w:type="spellEnd"/>
      <w:r w:rsidRPr="0096752A">
        <w:rPr>
          <w:rFonts w:ascii="Candara Italic" w:hAnsi="Candara Italic"/>
          <w:sz w:val="20"/>
          <w:lang w:val="pt-PT"/>
        </w:rPr>
        <w:t xml:space="preserve"> Manual</w:t>
      </w:r>
      <w:r w:rsidRPr="0096752A">
        <w:rPr>
          <w:rFonts w:ascii="Candara" w:hAnsi="Candara"/>
          <w:sz w:val="20"/>
          <w:lang w:val="pt-PT"/>
        </w:rPr>
        <w:t xml:space="preserve"> da APA (</w:t>
      </w:r>
      <w:proofErr w:type="spellStart"/>
      <w:r w:rsidRPr="0096752A">
        <w:rPr>
          <w:rFonts w:ascii="Candara" w:hAnsi="Candara"/>
          <w:sz w:val="20"/>
          <w:lang w:val="pt-PT"/>
        </w:rPr>
        <w:t>Association</w:t>
      </w:r>
      <w:proofErr w:type="spellEnd"/>
      <w:r w:rsidRPr="0096752A">
        <w:rPr>
          <w:rFonts w:ascii="Candara" w:hAnsi="Candara"/>
          <w:sz w:val="20"/>
          <w:lang w:val="pt-PT"/>
        </w:rPr>
        <w:t>, 2010) também destaca a importância de incluir os TDE e os intervalos de confiança quando se aplicam estatísticas inferenciais.</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Apesar das recomendações, o problema encontra-se nas instruções das revistas e na publicação dos artigos. Assim, na nossa revisão contabilizámos 609 publicações nas ciências sociais e comportamentais indexadas no </w:t>
      </w:r>
      <w:proofErr w:type="spellStart"/>
      <w:r w:rsidRPr="0096752A">
        <w:rPr>
          <w:rFonts w:ascii="Candara Italic" w:hAnsi="Candara Italic"/>
          <w:sz w:val="20"/>
          <w:lang w:val="pt-PT"/>
        </w:rPr>
        <w:t>Journal</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Citation</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Reports</w:t>
      </w:r>
      <w:proofErr w:type="spellEnd"/>
      <w:r w:rsidRPr="0096752A">
        <w:rPr>
          <w:rFonts w:ascii="Candara" w:hAnsi="Candara"/>
          <w:sz w:val="20"/>
          <w:lang w:val="pt-PT"/>
        </w:rPr>
        <w:t xml:space="preserve"> do ISI-</w:t>
      </w:r>
      <w:proofErr w:type="spellStart"/>
      <w:r w:rsidRPr="0096752A">
        <w:rPr>
          <w:rFonts w:ascii="Candara" w:hAnsi="Candara"/>
          <w:sz w:val="20"/>
          <w:lang w:val="pt-PT"/>
        </w:rPr>
        <w:t>Thompson</w:t>
      </w:r>
      <w:proofErr w:type="spellEnd"/>
      <w:r w:rsidRPr="0096752A">
        <w:rPr>
          <w:rFonts w:ascii="Candara" w:hAnsi="Candara"/>
          <w:sz w:val="20"/>
          <w:lang w:val="pt-PT"/>
        </w:rPr>
        <w:t xml:space="preserve">, </w:t>
      </w:r>
      <w:proofErr w:type="spellStart"/>
      <w:r w:rsidRPr="0096752A">
        <w:rPr>
          <w:rFonts w:ascii="Candara" w:hAnsi="Candara"/>
          <w:sz w:val="20"/>
          <w:lang w:val="pt-PT"/>
        </w:rPr>
        <w:t>Scielo</w:t>
      </w:r>
      <w:proofErr w:type="spellEnd"/>
      <w:r w:rsidRPr="0096752A">
        <w:rPr>
          <w:rFonts w:ascii="Candara" w:hAnsi="Candara"/>
          <w:sz w:val="20"/>
          <w:lang w:val="pt-PT"/>
        </w:rPr>
        <w:t xml:space="preserve"> e </w:t>
      </w:r>
      <w:proofErr w:type="spellStart"/>
      <w:r w:rsidRPr="0096752A">
        <w:rPr>
          <w:rFonts w:ascii="Candara" w:hAnsi="Candara"/>
          <w:sz w:val="20"/>
          <w:lang w:val="pt-PT"/>
        </w:rPr>
        <w:t>Scopus</w:t>
      </w:r>
      <w:proofErr w:type="spellEnd"/>
      <w:r w:rsidRPr="0096752A">
        <w:rPr>
          <w:rFonts w:ascii="Candara" w:hAnsi="Candara"/>
          <w:sz w:val="20"/>
          <w:lang w:val="pt-PT"/>
        </w:rPr>
        <w:t>, englobando as áreas do desporto (</w:t>
      </w:r>
      <w:r w:rsidRPr="0096752A">
        <w:rPr>
          <w:rFonts w:ascii="Candara Italic" w:hAnsi="Candara Italic"/>
          <w:sz w:val="20"/>
          <w:lang w:val="pt-PT"/>
        </w:rPr>
        <w:t>n</w:t>
      </w:r>
      <w:r w:rsidRPr="0096752A">
        <w:rPr>
          <w:rFonts w:ascii="Candara" w:hAnsi="Candara"/>
          <w:sz w:val="20"/>
          <w:lang w:val="pt-PT"/>
        </w:rPr>
        <w:t xml:space="preserve"> = 11), educação e psicologia educacional (</w:t>
      </w:r>
      <w:r w:rsidRPr="0096752A">
        <w:rPr>
          <w:rFonts w:ascii="Candara Italic" w:hAnsi="Candara Italic"/>
          <w:sz w:val="20"/>
          <w:lang w:val="pt-PT"/>
        </w:rPr>
        <w:t>n</w:t>
      </w:r>
      <w:r w:rsidRPr="0096752A">
        <w:rPr>
          <w:rFonts w:ascii="Candara" w:hAnsi="Candara"/>
          <w:sz w:val="20"/>
          <w:lang w:val="pt-PT"/>
        </w:rPr>
        <w:t xml:space="preserve"> = 20), etologia e ecologia </w:t>
      </w:r>
      <w:r w:rsidRPr="0096752A">
        <w:rPr>
          <w:rFonts w:ascii="Candara" w:hAnsi="Candara"/>
          <w:sz w:val="20"/>
          <w:lang w:val="pt-PT"/>
        </w:rPr>
        <w:lastRenderedPageBreak/>
        <w:t>comportamental (</w:t>
      </w:r>
      <w:r w:rsidRPr="0096752A">
        <w:rPr>
          <w:rFonts w:ascii="Candara Italic" w:hAnsi="Candara Italic"/>
          <w:sz w:val="20"/>
          <w:lang w:val="pt-PT"/>
        </w:rPr>
        <w:t>n</w:t>
      </w:r>
      <w:r w:rsidRPr="0096752A">
        <w:rPr>
          <w:rFonts w:ascii="Candara" w:hAnsi="Candara"/>
          <w:sz w:val="20"/>
          <w:lang w:val="pt-PT"/>
        </w:rPr>
        <w:t xml:space="preserve"> = 16), gerontologia (</w:t>
      </w:r>
      <w:r w:rsidRPr="0096752A">
        <w:rPr>
          <w:rFonts w:ascii="Candara Italic" w:hAnsi="Candara Italic"/>
          <w:sz w:val="20"/>
          <w:lang w:val="pt-PT"/>
        </w:rPr>
        <w:t>n</w:t>
      </w:r>
      <w:r w:rsidRPr="0096752A">
        <w:rPr>
          <w:rFonts w:ascii="Candara" w:hAnsi="Candara"/>
          <w:sz w:val="20"/>
          <w:lang w:val="pt-PT"/>
        </w:rPr>
        <w:t xml:space="preserve"> = 30), neurociências (</w:t>
      </w:r>
      <w:r w:rsidRPr="0096752A">
        <w:rPr>
          <w:rFonts w:ascii="Candara Italic" w:hAnsi="Candara Italic"/>
          <w:sz w:val="20"/>
          <w:lang w:val="pt-PT"/>
        </w:rPr>
        <w:t>n</w:t>
      </w:r>
      <w:r w:rsidRPr="0096752A">
        <w:rPr>
          <w:rFonts w:ascii="Candara" w:hAnsi="Candara"/>
          <w:sz w:val="20"/>
          <w:lang w:val="pt-PT"/>
        </w:rPr>
        <w:t xml:space="preserve"> = 93), neuropsicologia (</w:t>
      </w:r>
      <w:r w:rsidRPr="0096752A">
        <w:rPr>
          <w:rFonts w:ascii="Candara Italic" w:hAnsi="Candara Italic"/>
          <w:sz w:val="20"/>
          <w:lang w:val="pt-PT"/>
        </w:rPr>
        <w:t>n</w:t>
      </w:r>
      <w:r w:rsidRPr="0096752A">
        <w:rPr>
          <w:rFonts w:ascii="Candara" w:hAnsi="Candara"/>
          <w:sz w:val="20"/>
          <w:lang w:val="pt-PT"/>
        </w:rPr>
        <w:t xml:space="preserve"> = 59), psicofarmacologia e comportamentos aditivos (</w:t>
      </w:r>
      <w:r w:rsidRPr="0096752A">
        <w:rPr>
          <w:rFonts w:ascii="Candara Italic" w:hAnsi="Candara Italic"/>
          <w:sz w:val="20"/>
          <w:lang w:val="pt-PT"/>
        </w:rPr>
        <w:t>n</w:t>
      </w:r>
      <w:r w:rsidRPr="0096752A">
        <w:rPr>
          <w:rFonts w:ascii="Candara" w:hAnsi="Candara"/>
          <w:sz w:val="20"/>
          <w:lang w:val="pt-PT"/>
        </w:rPr>
        <w:t xml:space="preserve"> = 28), psicologia (</w:t>
      </w:r>
      <w:r w:rsidRPr="0096752A">
        <w:rPr>
          <w:rFonts w:ascii="Candara Italic" w:hAnsi="Candara Italic"/>
          <w:sz w:val="20"/>
          <w:lang w:val="pt-PT"/>
        </w:rPr>
        <w:t>n</w:t>
      </w:r>
      <w:r w:rsidRPr="0096752A">
        <w:rPr>
          <w:rFonts w:ascii="Candara" w:hAnsi="Candara"/>
          <w:sz w:val="20"/>
          <w:lang w:val="pt-PT"/>
        </w:rPr>
        <w:t xml:space="preserve"> = 130, incluindo, geral, social, forense, organizacional e </w:t>
      </w:r>
      <w:proofErr w:type="spellStart"/>
      <w:r w:rsidRPr="0096752A">
        <w:rPr>
          <w:rFonts w:ascii="Candara" w:hAnsi="Candara"/>
          <w:sz w:val="20"/>
          <w:lang w:val="pt-PT"/>
        </w:rPr>
        <w:t>desenvolvimental</w:t>
      </w:r>
      <w:proofErr w:type="spellEnd"/>
      <w:r w:rsidRPr="0096752A">
        <w:rPr>
          <w:rFonts w:ascii="Candara" w:hAnsi="Candara"/>
          <w:sz w:val="20"/>
          <w:lang w:val="pt-PT"/>
        </w:rPr>
        <w:t>, etc.), psiquiatria e saúde mental, familiar e sexual (</w:t>
      </w:r>
      <w:r w:rsidRPr="0096752A">
        <w:rPr>
          <w:rFonts w:ascii="Candara Italic" w:hAnsi="Candara Italic"/>
          <w:sz w:val="20"/>
          <w:lang w:val="pt-PT"/>
        </w:rPr>
        <w:t>n</w:t>
      </w:r>
      <w:r w:rsidRPr="0096752A">
        <w:rPr>
          <w:rFonts w:ascii="Candara" w:hAnsi="Candara"/>
          <w:sz w:val="20"/>
          <w:lang w:val="pt-PT"/>
        </w:rPr>
        <w:t xml:space="preserve"> = 172), e em outras ciências sociais (</w:t>
      </w:r>
      <w:r w:rsidRPr="0096752A">
        <w:rPr>
          <w:rFonts w:ascii="Candara Italic" w:hAnsi="Candara Italic"/>
          <w:sz w:val="20"/>
          <w:lang w:val="pt-PT"/>
        </w:rPr>
        <w:t>n</w:t>
      </w:r>
      <w:r w:rsidRPr="0096752A">
        <w:rPr>
          <w:rFonts w:ascii="Candara" w:hAnsi="Candara"/>
          <w:sz w:val="20"/>
          <w:lang w:val="pt-PT"/>
        </w:rPr>
        <w:t xml:space="preserve"> = 50, incluindo antropologia, epidemiologia, serviço social e sociologia), e verificámos que somente 58 recomendam explicitamente o cálculo da magnitude do efeito (9,5%).</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Ao nível das publicações de trabalhos, já Cohen (1962), na sua revisão de publicações numa revista de psicologia, mostrou que a omissão na apresentação dos TDE podia conduzir à falha na rejeição da hipótese nula. Outras revisões têm também mostrado a mesma negligência noutras áreas de investigação (</w:t>
      </w:r>
      <w:r w:rsidR="00494E85">
        <w:rPr>
          <w:rFonts w:ascii="Candara" w:hAnsi="Candara"/>
          <w:sz w:val="20"/>
          <w:lang w:val="pt-PT"/>
        </w:rPr>
        <w:t>p. e.</w:t>
      </w:r>
      <w:r w:rsidRPr="0096752A">
        <w:rPr>
          <w:rFonts w:ascii="Candara" w:hAnsi="Candara"/>
          <w:sz w:val="20"/>
          <w:lang w:val="pt-PT"/>
        </w:rPr>
        <w:t xml:space="preserve">, </w:t>
      </w:r>
      <w:proofErr w:type="spellStart"/>
      <w:r w:rsidRPr="0096752A">
        <w:rPr>
          <w:rFonts w:ascii="Candara" w:hAnsi="Candara"/>
          <w:sz w:val="20"/>
          <w:lang w:val="pt-PT"/>
        </w:rPr>
        <w:t>Bezeau</w:t>
      </w:r>
      <w:proofErr w:type="spellEnd"/>
      <w:r w:rsidRPr="0096752A">
        <w:rPr>
          <w:rFonts w:ascii="Candara" w:hAnsi="Candara"/>
          <w:sz w:val="20"/>
          <w:lang w:val="pt-PT"/>
        </w:rPr>
        <w:t xml:space="preserve"> e Graves, 2001; </w:t>
      </w:r>
      <w:proofErr w:type="spellStart"/>
      <w:r w:rsidRPr="0096752A">
        <w:rPr>
          <w:rFonts w:ascii="Candara" w:hAnsi="Candara"/>
          <w:sz w:val="20"/>
          <w:lang w:val="pt-PT"/>
        </w:rPr>
        <w:t>Caperos</w:t>
      </w:r>
      <w:proofErr w:type="spellEnd"/>
      <w:r w:rsidRPr="0096752A">
        <w:rPr>
          <w:rFonts w:ascii="Candara" w:hAnsi="Candara"/>
          <w:sz w:val="20"/>
          <w:lang w:val="pt-PT"/>
        </w:rPr>
        <w:t xml:space="preserve"> e Pardo, 2013; </w:t>
      </w:r>
      <w:proofErr w:type="spellStart"/>
      <w:r w:rsidRPr="0096752A">
        <w:rPr>
          <w:rFonts w:ascii="Candara" w:hAnsi="Candara"/>
          <w:sz w:val="20"/>
          <w:lang w:val="pt-PT"/>
        </w:rPr>
        <w:t>McMillan</w:t>
      </w:r>
      <w:proofErr w:type="spellEnd"/>
      <w:r w:rsidRPr="0096752A">
        <w:rPr>
          <w:rFonts w:ascii="Candara" w:hAnsi="Candara"/>
          <w:sz w:val="20"/>
          <w:lang w:val="pt-PT"/>
        </w:rPr>
        <w:t xml:space="preserve"> e </w:t>
      </w:r>
      <w:proofErr w:type="spellStart"/>
      <w:r w:rsidRPr="0096752A">
        <w:rPr>
          <w:rFonts w:ascii="Candara" w:hAnsi="Candara"/>
          <w:sz w:val="20"/>
          <w:lang w:val="pt-PT"/>
        </w:rPr>
        <w:t>Foley</w:t>
      </w:r>
      <w:proofErr w:type="spellEnd"/>
      <w:r w:rsidRPr="0096752A">
        <w:rPr>
          <w:rFonts w:ascii="Candara" w:hAnsi="Candara"/>
          <w:sz w:val="20"/>
          <w:lang w:val="pt-PT"/>
        </w:rPr>
        <w:t xml:space="preserve">, 2011; </w:t>
      </w:r>
      <w:proofErr w:type="spellStart"/>
      <w:r w:rsidRPr="0096752A">
        <w:rPr>
          <w:rFonts w:ascii="Candara" w:hAnsi="Candara"/>
          <w:sz w:val="20"/>
          <w:lang w:val="pt-PT"/>
        </w:rPr>
        <w:t>Schatz</w:t>
      </w:r>
      <w:proofErr w:type="spellEnd"/>
      <w:r w:rsidRPr="0096752A">
        <w:rPr>
          <w:rFonts w:ascii="Candara" w:hAnsi="Candara"/>
          <w:sz w:val="20"/>
          <w:lang w:val="pt-PT"/>
        </w:rPr>
        <w:t xml:space="preserve">, Jay, </w:t>
      </w:r>
      <w:proofErr w:type="spellStart"/>
      <w:r w:rsidRPr="0096752A">
        <w:rPr>
          <w:rFonts w:ascii="Candara" w:hAnsi="Candara"/>
          <w:sz w:val="20"/>
          <w:lang w:val="pt-PT"/>
        </w:rPr>
        <w:t>McComb</w:t>
      </w:r>
      <w:proofErr w:type="spellEnd"/>
      <w:r w:rsidRPr="0096752A">
        <w:rPr>
          <w:rFonts w:ascii="Candara" w:hAnsi="Candara"/>
          <w:sz w:val="20"/>
          <w:lang w:val="pt-PT"/>
        </w:rPr>
        <w:t xml:space="preserve"> e </w:t>
      </w:r>
      <w:proofErr w:type="spellStart"/>
      <w:r w:rsidRPr="0096752A">
        <w:rPr>
          <w:rFonts w:ascii="Candara" w:hAnsi="Candara"/>
          <w:sz w:val="20"/>
          <w:lang w:val="pt-PT"/>
        </w:rPr>
        <w:t>McLaughlin</w:t>
      </w:r>
      <w:proofErr w:type="spellEnd"/>
      <w:r w:rsidRPr="0096752A">
        <w:rPr>
          <w:rFonts w:ascii="Candara" w:hAnsi="Candara"/>
          <w:sz w:val="20"/>
          <w:lang w:val="pt-PT"/>
        </w:rPr>
        <w:t xml:space="preserve">, 2005; </w:t>
      </w:r>
      <w:proofErr w:type="spellStart"/>
      <w:r w:rsidRPr="0096752A">
        <w:rPr>
          <w:rFonts w:ascii="Candara" w:hAnsi="Candara"/>
          <w:sz w:val="20"/>
          <w:lang w:val="pt-PT"/>
        </w:rPr>
        <w:t>Sedlmeier</w:t>
      </w:r>
      <w:proofErr w:type="spellEnd"/>
      <w:r w:rsidRPr="0096752A">
        <w:rPr>
          <w:rFonts w:ascii="Candara" w:hAnsi="Candara"/>
          <w:sz w:val="20"/>
          <w:lang w:val="pt-PT"/>
        </w:rPr>
        <w:t xml:space="preserve"> e </w:t>
      </w:r>
      <w:proofErr w:type="spellStart"/>
      <w:r w:rsidRPr="0096752A">
        <w:rPr>
          <w:rFonts w:ascii="Candara" w:hAnsi="Candara"/>
          <w:sz w:val="20"/>
          <w:lang w:val="pt-PT"/>
        </w:rPr>
        <w:t>Gigerenzer</w:t>
      </w:r>
      <w:proofErr w:type="spellEnd"/>
      <w:r w:rsidRPr="0096752A">
        <w:rPr>
          <w:rFonts w:ascii="Candara" w:hAnsi="Candara"/>
          <w:sz w:val="20"/>
          <w:lang w:val="pt-PT"/>
        </w:rPr>
        <w:t xml:space="preserve">, 1989; </w:t>
      </w:r>
      <w:proofErr w:type="spellStart"/>
      <w:r w:rsidRPr="0096752A">
        <w:rPr>
          <w:rFonts w:ascii="Candara" w:hAnsi="Candara"/>
          <w:sz w:val="20"/>
          <w:lang w:val="pt-PT"/>
        </w:rPr>
        <w:t>Sun</w:t>
      </w:r>
      <w:proofErr w:type="spellEnd"/>
      <w:r w:rsidRPr="0096752A">
        <w:rPr>
          <w:rFonts w:ascii="Candara" w:hAnsi="Candara"/>
          <w:sz w:val="20"/>
          <w:lang w:val="pt-PT"/>
        </w:rPr>
        <w:t xml:space="preserve">, </w:t>
      </w:r>
      <w:proofErr w:type="spellStart"/>
      <w:r w:rsidRPr="0096752A">
        <w:rPr>
          <w:rFonts w:ascii="Candara" w:hAnsi="Candara"/>
          <w:sz w:val="20"/>
          <w:lang w:val="pt-PT"/>
        </w:rPr>
        <w:t>Pan</w:t>
      </w:r>
      <w:proofErr w:type="spellEnd"/>
      <w:r w:rsidRPr="0096752A">
        <w:rPr>
          <w:rFonts w:ascii="Candara" w:hAnsi="Candara"/>
          <w:sz w:val="20"/>
          <w:lang w:val="pt-PT"/>
        </w:rPr>
        <w:t xml:space="preserve"> e Wang, 2010).</w:t>
      </w:r>
    </w:p>
    <w:p w:rsidR="00566781" w:rsidRPr="0096752A" w:rsidRDefault="00566781" w:rsidP="00566781">
      <w:pPr>
        <w:pStyle w:val="Ttulo1"/>
        <w:spacing w:before="0" w:after="0" w:line="276" w:lineRule="auto"/>
        <w:rPr>
          <w:rFonts w:ascii="Candara" w:eastAsiaTheme="minorEastAsia" w:hAnsi="Candara" w:cs="Mangal"/>
          <w:b/>
          <w:color w:val="0A615E"/>
          <w:sz w:val="24"/>
          <w:szCs w:val="14"/>
        </w:rPr>
      </w:pPr>
    </w:p>
    <w:p w:rsidR="00566781" w:rsidRPr="0096752A" w:rsidRDefault="00566781" w:rsidP="00566781">
      <w:pPr>
        <w:pStyle w:val="Ttulo1"/>
        <w:spacing w:before="0" w:line="276" w:lineRule="auto"/>
        <w:rPr>
          <w:rFonts w:ascii="Candara" w:eastAsiaTheme="minorEastAsia" w:hAnsi="Candara" w:cs="Mangal"/>
          <w:b/>
          <w:color w:val="0A615E"/>
          <w:sz w:val="24"/>
          <w:szCs w:val="14"/>
        </w:rPr>
      </w:pPr>
      <w:r w:rsidRPr="0096752A">
        <w:rPr>
          <w:rFonts w:ascii="Candara" w:eastAsiaTheme="minorEastAsia" w:hAnsi="Candara" w:cs="Mangal"/>
          <w:b/>
          <w:color w:val="0A615E"/>
          <w:sz w:val="24"/>
          <w:szCs w:val="14"/>
        </w:rPr>
        <w:t>DEFINIÇÃO E MÉTODOS DE CÁLCULO DOS TAMANHOS DO EFEITO</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As primeiras e mais citadas definições dos TDE incluem o “grau em que a hipótese nula é falsa” ou, ainda, o “grau em que um fenómeno está presente na população” (Cohen, 1988, pp. 9-10).</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No entanto, na maioria das vezes, os dados relativamente à população não estão disponíveis</w:t>
      </w:r>
      <w:r w:rsidRPr="0096752A">
        <w:rPr>
          <w:rFonts w:ascii="Candara" w:hAnsi="Candara"/>
          <w:sz w:val="20"/>
          <w:vertAlign w:val="superscript"/>
        </w:rPr>
        <w:endnoteReference w:id="11"/>
      </w:r>
      <w:r w:rsidRPr="0096752A">
        <w:rPr>
          <w:rFonts w:ascii="Candara" w:hAnsi="Candara"/>
          <w:sz w:val="20"/>
          <w:lang w:val="pt-PT"/>
        </w:rPr>
        <w:t>, pelo que o TDE se refere à estimativa da magnitude da relação entre variáveis, do efeito de uma variável sobre outra, ou da diferença entre duas amostras (</w:t>
      </w:r>
      <w:proofErr w:type="spellStart"/>
      <w:r w:rsidRPr="0096752A">
        <w:rPr>
          <w:rFonts w:ascii="Candara" w:hAnsi="Candara"/>
          <w:sz w:val="20"/>
          <w:lang w:val="pt-PT"/>
        </w:rPr>
        <w:t>Hedges</w:t>
      </w:r>
      <w:proofErr w:type="spellEnd"/>
      <w:r w:rsidRPr="0096752A">
        <w:rPr>
          <w:rFonts w:ascii="Candara" w:hAnsi="Candara"/>
          <w:sz w:val="20"/>
          <w:lang w:val="pt-PT"/>
        </w:rPr>
        <w:t xml:space="preserve">, 1981; </w:t>
      </w:r>
      <w:proofErr w:type="spellStart"/>
      <w:r w:rsidRPr="0096752A">
        <w:rPr>
          <w:rFonts w:ascii="Candara" w:hAnsi="Candara"/>
          <w:sz w:val="20"/>
          <w:lang w:val="pt-PT"/>
        </w:rPr>
        <w:t>Rosenthal</w:t>
      </w:r>
      <w:proofErr w:type="spellEnd"/>
      <w:r w:rsidRPr="0096752A">
        <w:rPr>
          <w:rFonts w:ascii="Candara" w:hAnsi="Candara"/>
          <w:sz w:val="20"/>
          <w:lang w:val="pt-PT"/>
        </w:rPr>
        <w:t>, 1994).</w:t>
      </w:r>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A este respeito, existem duas famílias principais de TDE, a família dos TDE baseados nas médias e desvios-padrão, em que o TDE é a expressão da magnitude da diferença entre grupos em relação a uma determinada característica; e a família respeitante à magnitude da relação entre duas variáveis. Neste artigo, vamos abordar a primeira família, ficando o TDE das relações para um próximo artigo.</w:t>
      </w:r>
    </w:p>
    <w:p w:rsidR="00566781" w:rsidRPr="0096752A" w:rsidRDefault="00566781" w:rsidP="00A10BA1">
      <w:pPr>
        <w:pStyle w:val="Ttulo11"/>
        <w:spacing w:before="0" w:line="240" w:lineRule="auto"/>
        <w:rPr>
          <w:rFonts w:ascii="Candara Bold" w:hAnsi="Candara Bold"/>
          <w:sz w:val="22"/>
        </w:rPr>
      </w:pPr>
      <w:r w:rsidRPr="0096752A">
        <w:rPr>
          <w:rFonts w:ascii="Candara Bold" w:hAnsi="Candara Bold"/>
          <w:sz w:val="22"/>
        </w:rPr>
        <w:lastRenderedPageBreak/>
        <w:t xml:space="preserve">Tamanhos do efeito baseados nas médias </w:t>
      </w:r>
      <w:proofErr w:type="gramStart"/>
      <w:r w:rsidRPr="0096752A">
        <w:rPr>
          <w:rFonts w:ascii="Candara Bold" w:hAnsi="Candara Bold"/>
          <w:sz w:val="22"/>
        </w:rPr>
        <w:t>e                desvios-padrão</w:t>
      </w:r>
      <w:proofErr w:type="gramEnd"/>
    </w:p>
    <w:p w:rsidR="00566781" w:rsidRPr="0096752A" w:rsidRDefault="00566781" w:rsidP="00566781">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O TDE pode ser não-padronizado ou padronizado. A diferença simples entre duas médias pertence à magnitude </w:t>
      </w:r>
      <w:r w:rsidRPr="0096752A">
        <w:rPr>
          <w:rFonts w:ascii="Candara Italic" w:hAnsi="Candara Italic"/>
          <w:sz w:val="20"/>
          <w:lang w:val="pt-PT"/>
        </w:rPr>
        <w:t>não-padronizada</w:t>
      </w:r>
      <w:r w:rsidRPr="0096752A">
        <w:rPr>
          <w:rFonts w:ascii="Candara" w:hAnsi="Candara"/>
          <w:sz w:val="20"/>
          <w:lang w:val="pt-PT"/>
        </w:rPr>
        <w:t xml:space="preserve">. </w:t>
      </w:r>
      <w:proofErr w:type="gramStart"/>
      <w:r w:rsidRPr="0096752A">
        <w:rPr>
          <w:rFonts w:ascii="Candara" w:hAnsi="Candara"/>
          <w:sz w:val="20"/>
          <w:lang w:val="pt-PT"/>
        </w:rPr>
        <w:t>Este tipo de magnitude mantém-se ligada</w:t>
      </w:r>
      <w:proofErr w:type="gramEnd"/>
      <w:r w:rsidRPr="0096752A">
        <w:rPr>
          <w:rFonts w:ascii="Candara" w:hAnsi="Candara"/>
          <w:sz w:val="20"/>
          <w:lang w:val="pt-PT"/>
        </w:rPr>
        <w:t xml:space="preserve"> à unidade de medida (</w:t>
      </w:r>
      <w:r w:rsidR="00494E85">
        <w:rPr>
          <w:rFonts w:ascii="Candara" w:hAnsi="Candara"/>
          <w:sz w:val="20"/>
          <w:lang w:val="pt-PT"/>
        </w:rPr>
        <w:t>p. e.</w:t>
      </w:r>
      <w:r w:rsidRPr="0096752A">
        <w:rPr>
          <w:rFonts w:ascii="Candara" w:hAnsi="Candara"/>
          <w:sz w:val="20"/>
          <w:lang w:val="pt-PT"/>
        </w:rPr>
        <w:t>, número de experiências traumáticas; pontuação numa escala de solidão) e pode ser preferível se o investigador retirar um significado intuitivo da unidade de medida (</w:t>
      </w:r>
      <w:proofErr w:type="spellStart"/>
      <w:r w:rsidRPr="0096752A">
        <w:rPr>
          <w:rFonts w:ascii="Candara" w:hAnsi="Candara"/>
          <w:sz w:val="20"/>
          <w:lang w:val="pt-PT"/>
        </w:rPr>
        <w:t>Hentschke</w:t>
      </w:r>
      <w:proofErr w:type="spellEnd"/>
      <w:r w:rsidRPr="0096752A">
        <w:rPr>
          <w:rFonts w:ascii="Candara" w:hAnsi="Candara"/>
          <w:sz w:val="20"/>
          <w:lang w:val="pt-PT"/>
        </w:rPr>
        <w:t xml:space="preserve"> e </w:t>
      </w:r>
      <w:proofErr w:type="spellStart"/>
      <w:r w:rsidRPr="0096752A">
        <w:rPr>
          <w:rFonts w:ascii="Candara" w:hAnsi="Candara"/>
          <w:sz w:val="20"/>
          <w:lang w:val="pt-PT"/>
        </w:rPr>
        <w:t>Stüttgen</w:t>
      </w:r>
      <w:proofErr w:type="spellEnd"/>
      <w:r w:rsidRPr="0096752A">
        <w:rPr>
          <w:rFonts w:ascii="Candara" w:hAnsi="Candara"/>
          <w:sz w:val="20"/>
          <w:lang w:val="pt-PT"/>
        </w:rPr>
        <w:t xml:space="preserve">, 2011). </w:t>
      </w:r>
      <w:proofErr w:type="spellStart"/>
      <w:r w:rsidRPr="0096752A">
        <w:rPr>
          <w:rFonts w:ascii="Candara" w:hAnsi="Candara"/>
          <w:sz w:val="20"/>
          <w:lang w:val="pt-PT"/>
        </w:rPr>
        <w:t>Baguley</w:t>
      </w:r>
      <w:proofErr w:type="spellEnd"/>
      <w:r w:rsidRPr="0096752A">
        <w:rPr>
          <w:rFonts w:ascii="Candara" w:hAnsi="Candara"/>
          <w:sz w:val="20"/>
          <w:lang w:val="pt-PT"/>
        </w:rPr>
        <w:t xml:space="preserve"> (2009)</w:t>
      </w:r>
      <w:proofErr w:type="gramStart"/>
      <w:r w:rsidRPr="0096752A">
        <w:rPr>
          <w:rFonts w:ascii="Candara" w:hAnsi="Candara"/>
          <w:sz w:val="20"/>
          <w:lang w:val="pt-PT"/>
        </w:rPr>
        <w:t>,</w:t>
      </w:r>
      <w:proofErr w:type="gramEnd"/>
      <w:r w:rsidRPr="0096752A">
        <w:rPr>
          <w:rFonts w:ascii="Candara" w:hAnsi="Candara"/>
          <w:sz w:val="20"/>
          <w:lang w:val="pt-PT"/>
        </w:rPr>
        <w:t xml:space="preserve"> considera mesmo que a magnitude não-padronizada é mais robusta e versátil do que a padronizada.</w:t>
      </w:r>
    </w:p>
    <w:p w:rsidR="00566781" w:rsidRPr="0096752A" w:rsidRDefault="00566781" w:rsidP="00566781">
      <w:pPr>
        <w:pStyle w:val="FormalivreA"/>
        <w:spacing w:after="80" w:line="276" w:lineRule="auto"/>
        <w:ind w:firstLine="425"/>
        <w:jc w:val="both"/>
        <w:rPr>
          <w:rFonts w:ascii="Candara" w:hAnsi="Candara"/>
          <w:sz w:val="20"/>
          <w:lang w:val="pt-PT"/>
        </w:rPr>
      </w:pPr>
      <w:r w:rsidRPr="0096752A">
        <w:rPr>
          <w:rFonts w:ascii="Candara" w:hAnsi="Candara"/>
          <w:sz w:val="20"/>
          <w:lang w:val="pt-PT"/>
        </w:rPr>
        <w:t xml:space="preserve"> Nos estudos com delineamento por grupos, pode ser adequada a análise da diferença </w:t>
      </w:r>
      <w:r w:rsidRPr="0096752A">
        <w:rPr>
          <w:rFonts w:ascii="Candara Italic" w:hAnsi="Candara Italic"/>
          <w:sz w:val="20"/>
          <w:lang w:val="pt-PT"/>
        </w:rPr>
        <w:t>padronizada</w:t>
      </w:r>
      <w:r w:rsidRPr="0096752A">
        <w:rPr>
          <w:rFonts w:ascii="Candara" w:hAnsi="Candara"/>
          <w:sz w:val="20"/>
          <w:lang w:val="pt-PT"/>
        </w:rPr>
        <w:t xml:space="preserve"> da média, pois é independente da métrica. A magnitude padronizada é dimensionada em termos de variabilidade da amostra ou população de onde a medição foi efetuada (</w:t>
      </w:r>
      <w:proofErr w:type="spellStart"/>
      <w:r w:rsidRPr="0096752A">
        <w:rPr>
          <w:rFonts w:ascii="Candara" w:hAnsi="Candara"/>
          <w:sz w:val="20"/>
          <w:lang w:val="pt-PT"/>
        </w:rPr>
        <w:t>Baguley</w:t>
      </w:r>
      <w:proofErr w:type="spellEnd"/>
      <w:r w:rsidRPr="0096752A">
        <w:rPr>
          <w:rFonts w:ascii="Candara" w:hAnsi="Candara"/>
          <w:sz w:val="20"/>
          <w:lang w:val="pt-PT"/>
        </w:rPr>
        <w:t>, 2009). Consoante se procura a diferença padronizada entre dois grupos ou entre mais do que dois grupos, assim se tem diferentes opções de se efetuar os cálculos. Neste artigo, vamos abordar somente as comparações entre dois grupos.</w:t>
      </w:r>
    </w:p>
    <w:p w:rsidR="00566781" w:rsidRPr="0096752A" w:rsidRDefault="00566781" w:rsidP="00566781">
      <w:pPr>
        <w:pStyle w:val="FormalivreA"/>
        <w:spacing w:after="80" w:line="276" w:lineRule="auto"/>
        <w:ind w:firstLine="425"/>
        <w:jc w:val="both"/>
        <w:rPr>
          <w:rFonts w:ascii="Candara" w:hAnsi="Candara"/>
          <w:sz w:val="20"/>
          <w:lang w:val="pt-PT"/>
        </w:rPr>
      </w:pPr>
      <w:r w:rsidRPr="0096752A">
        <w:rPr>
          <w:rFonts w:ascii="Candara Bold" w:hAnsi="Candara Bold"/>
          <w:sz w:val="22"/>
          <w:lang w:val="pt-PT"/>
        </w:rPr>
        <w:t>Comparações Entre Dois Grupos.</w:t>
      </w:r>
      <w:r w:rsidRPr="0096752A">
        <w:rPr>
          <w:rFonts w:ascii="Candara" w:hAnsi="Candara"/>
          <w:sz w:val="22"/>
          <w:lang w:val="pt-PT"/>
        </w:rPr>
        <w:t xml:space="preserve"> </w:t>
      </w:r>
      <w:r w:rsidRPr="0096752A">
        <w:rPr>
          <w:rFonts w:ascii="Candara" w:hAnsi="Candara"/>
          <w:sz w:val="20"/>
          <w:lang w:val="pt-PT"/>
        </w:rPr>
        <w:t xml:space="preserve">Quando se está perante dois grupos, a análise da diferença padronizada entre médias pertence à família </w:t>
      </w:r>
      <w:r w:rsidRPr="0096752A">
        <w:rPr>
          <w:rFonts w:ascii="Candara Italic" w:hAnsi="Candara Italic"/>
          <w:sz w:val="20"/>
          <w:lang w:val="pt-PT"/>
        </w:rPr>
        <w:t>d</w:t>
      </w:r>
      <w:r w:rsidRPr="0096752A">
        <w:rPr>
          <w:rFonts w:ascii="Candara" w:hAnsi="Candara"/>
          <w:sz w:val="20"/>
          <w:lang w:val="pt-PT"/>
        </w:rPr>
        <w:t xml:space="preserve"> que inclui o </w:t>
      </w:r>
      <w:r w:rsidRPr="0096752A">
        <w:rPr>
          <w:rFonts w:ascii="Candara Italic" w:hAnsi="Candara Italic"/>
          <w:sz w:val="20"/>
          <w:lang w:val="pt-PT"/>
        </w:rPr>
        <w:t>d</w:t>
      </w:r>
      <w:r w:rsidRPr="0096752A">
        <w:rPr>
          <w:rFonts w:ascii="Candara" w:hAnsi="Candara"/>
          <w:sz w:val="20"/>
          <w:lang w:val="pt-PT"/>
        </w:rPr>
        <w:t xml:space="preserve"> de Cohen, o </w:t>
      </w:r>
      <w:r w:rsidRPr="0096752A">
        <w:rPr>
          <w:rFonts w:ascii="Candara Italic" w:hAnsi="Candara Italic"/>
          <w:sz w:val="20"/>
          <w:lang w:val="pt-PT"/>
        </w:rPr>
        <w:t>g</w:t>
      </w:r>
      <w:r w:rsidRPr="0096752A">
        <w:rPr>
          <w:rFonts w:ascii="Candara" w:hAnsi="Candara"/>
          <w:sz w:val="20"/>
          <w:lang w:val="pt-PT"/>
        </w:rPr>
        <w:t xml:space="preserve"> de </w:t>
      </w:r>
      <w:proofErr w:type="spellStart"/>
      <w:r w:rsidRPr="0096752A">
        <w:rPr>
          <w:rFonts w:ascii="Candara" w:hAnsi="Candara"/>
          <w:sz w:val="20"/>
          <w:lang w:val="pt-PT"/>
        </w:rPr>
        <w:t>Hedges</w:t>
      </w:r>
      <w:proofErr w:type="spellEnd"/>
      <w:r w:rsidRPr="0096752A">
        <w:rPr>
          <w:rFonts w:ascii="Candara" w:hAnsi="Candara"/>
          <w:sz w:val="20"/>
          <w:lang w:val="pt-PT"/>
        </w:rPr>
        <w:t xml:space="preserve"> e o delta de </w:t>
      </w:r>
      <w:proofErr w:type="spellStart"/>
      <w:r w:rsidRPr="0096752A">
        <w:rPr>
          <w:rFonts w:ascii="Candara" w:hAnsi="Candara"/>
          <w:sz w:val="20"/>
          <w:lang w:val="pt-PT"/>
        </w:rPr>
        <w:t>Glass</w:t>
      </w:r>
      <w:proofErr w:type="spellEnd"/>
      <w:r w:rsidRPr="0096752A">
        <w:rPr>
          <w:rFonts w:ascii="Candara" w:hAnsi="Candara"/>
          <w:sz w:val="20"/>
          <w:lang w:val="pt-PT"/>
        </w:rPr>
        <w:t>. O numerador é o mesmo nos três (a diferença entre duas médias), variando o denominador para se obter a padronização (cf. equações na Tabela 2). As diretrizes indicam que, depois de se efetuarem os cálculos</w:t>
      </w:r>
      <w:proofErr w:type="gramStart"/>
      <w:r w:rsidRPr="0096752A">
        <w:rPr>
          <w:rFonts w:ascii="Candara" w:hAnsi="Candara"/>
          <w:sz w:val="20"/>
          <w:lang w:val="pt-PT"/>
        </w:rPr>
        <w:t>,</w:t>
      </w:r>
      <w:proofErr w:type="gramEnd"/>
      <w:r w:rsidRPr="0096752A">
        <w:rPr>
          <w:rFonts w:ascii="Candara" w:hAnsi="Candara"/>
          <w:sz w:val="20"/>
          <w:lang w:val="pt-PT"/>
        </w:rPr>
        <w:t xml:space="preserve"> há que explicitar qual o TDE usado; </w:t>
      </w:r>
      <w:r w:rsidRPr="0096752A">
        <w:rPr>
          <w:rFonts w:ascii="Candara" w:hAnsi="Candara"/>
          <w:sz w:val="20"/>
          <w:lang w:val="pt-PT"/>
        </w:rPr>
        <w:lastRenderedPageBreak/>
        <w:t>apresentar os efeitos para todos os resultados, independentemente de serem ou não significativos; e especificar como os TDE foram calculados fornecendo a referência apropriada ou fornecendo a equação usada (</w:t>
      </w:r>
      <w:proofErr w:type="spellStart"/>
      <w:r w:rsidRPr="0096752A">
        <w:rPr>
          <w:rFonts w:ascii="Candara" w:hAnsi="Candara"/>
          <w:sz w:val="20"/>
          <w:lang w:val="pt-PT"/>
        </w:rPr>
        <w:t>Durlak</w:t>
      </w:r>
      <w:proofErr w:type="spellEnd"/>
      <w:r w:rsidRPr="0096752A">
        <w:rPr>
          <w:rFonts w:ascii="Candara" w:hAnsi="Candara"/>
          <w:sz w:val="20"/>
          <w:lang w:val="pt-PT"/>
        </w:rPr>
        <w:t>, 2009).</w:t>
      </w:r>
    </w:p>
    <w:p w:rsidR="00566781" w:rsidRPr="0096752A" w:rsidRDefault="00566781" w:rsidP="00566781">
      <w:pPr>
        <w:pStyle w:val="FormalivreA"/>
        <w:spacing w:line="276" w:lineRule="auto"/>
        <w:ind w:firstLine="426"/>
        <w:jc w:val="both"/>
        <w:rPr>
          <w:rFonts w:ascii="Candara" w:hAnsi="Candara"/>
          <w:sz w:val="20"/>
          <w:lang w:val="pt-PT"/>
        </w:rPr>
      </w:pPr>
      <w:proofErr w:type="gramStart"/>
      <w:r w:rsidRPr="0096752A">
        <w:rPr>
          <w:rFonts w:ascii="Candara Bold" w:hAnsi="Candara Bold"/>
          <w:i/>
          <w:sz w:val="22"/>
          <w:lang w:val="pt-PT"/>
        </w:rPr>
        <w:t>d</w:t>
      </w:r>
      <w:proofErr w:type="gramEnd"/>
      <w:r w:rsidRPr="0096752A">
        <w:rPr>
          <w:rFonts w:ascii="Candara Bold Italic" w:hAnsi="Candara Bold Italic"/>
          <w:sz w:val="22"/>
          <w:lang w:val="pt-PT"/>
        </w:rPr>
        <w:t xml:space="preserve"> de Cohen.</w:t>
      </w:r>
      <w:r w:rsidRPr="0096752A">
        <w:rPr>
          <w:rFonts w:ascii="Candara Italic" w:hAnsi="Candara Italic"/>
          <w:sz w:val="22"/>
          <w:lang w:val="pt-PT"/>
        </w:rPr>
        <w:t xml:space="preserve"> </w:t>
      </w:r>
      <w:r w:rsidRPr="0096752A">
        <w:rPr>
          <w:rFonts w:ascii="Candara" w:hAnsi="Candara"/>
          <w:sz w:val="20"/>
          <w:lang w:val="pt-PT"/>
        </w:rPr>
        <w:t xml:space="preserve">O </w:t>
      </w:r>
      <w:r w:rsidRPr="0096752A">
        <w:rPr>
          <w:rFonts w:ascii="Candara Italic" w:hAnsi="Candara Italic"/>
          <w:sz w:val="20"/>
          <w:lang w:val="pt-PT"/>
        </w:rPr>
        <w:t xml:space="preserve">d </w:t>
      </w:r>
      <w:r w:rsidRPr="0096752A">
        <w:rPr>
          <w:rFonts w:ascii="Candara" w:hAnsi="Candara"/>
          <w:sz w:val="20"/>
          <w:lang w:val="pt-PT"/>
        </w:rPr>
        <w:t xml:space="preserve">de Cohen é uma medida comum do TDE para testes </w:t>
      </w:r>
      <w:r w:rsidRPr="0096752A">
        <w:rPr>
          <w:rFonts w:ascii="Candara Italic" w:hAnsi="Candara Italic"/>
          <w:sz w:val="20"/>
          <w:lang w:val="pt-PT"/>
        </w:rPr>
        <w:t>t</w:t>
      </w:r>
      <w:r w:rsidRPr="0096752A">
        <w:rPr>
          <w:rFonts w:ascii="Candara" w:hAnsi="Candara"/>
          <w:sz w:val="20"/>
          <w:lang w:val="pt-PT"/>
        </w:rPr>
        <w:t xml:space="preserve"> com grupos independentes, ainda que seja comum haver confusão entre o parâmetro populacional proposto por Cohen (Cohen, 1988), ou </w:t>
      </w:r>
      <w:proofErr w:type="gramStart"/>
      <w:r w:rsidRPr="0096752A">
        <w:rPr>
          <w:rFonts w:ascii="Candara" w:hAnsi="Candara"/>
          <w:sz w:val="20"/>
          <w:lang w:val="pt-PT"/>
        </w:rPr>
        <w:t xml:space="preserve">índice </w:t>
      </w:r>
      <w:r w:rsidRPr="0096752A">
        <w:rPr>
          <w:rFonts w:ascii="Candara" w:hAnsi="Candara"/>
          <w:sz w:val="20"/>
        </w:rPr>
        <w:t>δ</w:t>
      </w:r>
      <w:proofErr w:type="gramEnd"/>
      <w:r w:rsidRPr="0096752A">
        <w:rPr>
          <w:rFonts w:ascii="Candara" w:hAnsi="Candara"/>
          <w:sz w:val="20"/>
          <w:lang w:val="pt-PT"/>
        </w:rPr>
        <w:t xml:space="preserve">, e o índice </w:t>
      </w:r>
      <w:r w:rsidRPr="0096752A">
        <w:rPr>
          <w:rFonts w:ascii="Candara Italic" w:hAnsi="Candara Italic"/>
          <w:sz w:val="20"/>
          <w:lang w:val="pt-PT"/>
        </w:rPr>
        <w:t xml:space="preserve">d </w:t>
      </w:r>
      <w:r w:rsidRPr="0096752A">
        <w:rPr>
          <w:rFonts w:ascii="Candara" w:hAnsi="Candara"/>
          <w:sz w:val="20"/>
          <w:lang w:val="pt-PT"/>
        </w:rPr>
        <w:t>propriamente dito que é uma estimativa para amostras (</w:t>
      </w:r>
      <w:proofErr w:type="spellStart"/>
      <w:r w:rsidRPr="0096752A">
        <w:rPr>
          <w:rFonts w:ascii="Candara" w:hAnsi="Candara"/>
          <w:sz w:val="20"/>
          <w:lang w:val="pt-PT"/>
        </w:rPr>
        <w:t>Borenstein</w:t>
      </w:r>
      <w:proofErr w:type="spellEnd"/>
      <w:r w:rsidRPr="0096752A">
        <w:rPr>
          <w:rFonts w:ascii="Candara" w:hAnsi="Candara"/>
          <w:sz w:val="20"/>
          <w:lang w:val="pt-PT"/>
        </w:rPr>
        <w:t xml:space="preserve">, 2009). O índice </w:t>
      </w:r>
      <w:r w:rsidRPr="0096752A">
        <w:rPr>
          <w:rFonts w:ascii="Candara" w:hAnsi="Candara"/>
          <w:sz w:val="20"/>
        </w:rPr>
        <w:t>δ</w:t>
      </w:r>
      <w:r w:rsidRPr="0096752A">
        <w:rPr>
          <w:rFonts w:ascii="Candara" w:hAnsi="Candara"/>
          <w:sz w:val="20"/>
          <w:lang w:val="pt-PT"/>
        </w:rPr>
        <w:t xml:space="preserve"> corresponde à padronização da diferença entre médias verdadeiras (populacionais) de dois grupos e usa-se quando os </w:t>
      </w:r>
      <w:r w:rsidRPr="0096752A">
        <w:rPr>
          <w:rFonts w:ascii="Candara Italic" w:hAnsi="Candara Italic"/>
          <w:sz w:val="20"/>
          <w:lang w:val="pt-PT"/>
        </w:rPr>
        <w:t>n</w:t>
      </w:r>
      <w:r w:rsidRPr="0096752A">
        <w:rPr>
          <w:rFonts w:ascii="Candara" w:hAnsi="Candara"/>
          <w:sz w:val="20"/>
          <w:lang w:val="pt-PT"/>
        </w:rPr>
        <w:t xml:space="preserve"> dos dois grupos são semelhantes e os desvios-padrão verdadeiros (populacionais) são também similares, permitindo-se a suposição de que representam uma estimação de um desvio-padrão populacional comum (Cohen, 1988; 1992a; </w:t>
      </w:r>
      <w:proofErr w:type="spellStart"/>
      <w:r w:rsidRPr="0096752A">
        <w:rPr>
          <w:rFonts w:ascii="Candara" w:hAnsi="Candara"/>
          <w:sz w:val="20"/>
          <w:lang w:val="pt-PT"/>
        </w:rPr>
        <w:t>Ellis</w:t>
      </w:r>
      <w:proofErr w:type="spellEnd"/>
      <w:r w:rsidRPr="0096752A">
        <w:rPr>
          <w:rFonts w:ascii="Candara" w:hAnsi="Candara"/>
          <w:sz w:val="20"/>
          <w:lang w:val="pt-PT"/>
        </w:rPr>
        <w:t xml:space="preserve">, 2010, p. 10; </w:t>
      </w:r>
      <w:proofErr w:type="spellStart"/>
      <w:r w:rsidRPr="0096752A">
        <w:rPr>
          <w:rFonts w:ascii="Candara" w:hAnsi="Candara"/>
          <w:sz w:val="20"/>
          <w:lang w:val="pt-PT"/>
        </w:rPr>
        <w:t>Rosenthal</w:t>
      </w:r>
      <w:proofErr w:type="spellEnd"/>
      <w:r w:rsidRPr="0096752A">
        <w:rPr>
          <w:rFonts w:ascii="Candara" w:hAnsi="Candara"/>
          <w:sz w:val="20"/>
          <w:lang w:val="pt-PT"/>
        </w:rPr>
        <w:t>, 1994), tal como é assumido na maior parte das técnicas paramétricas (</w:t>
      </w:r>
      <w:proofErr w:type="spellStart"/>
      <w:r w:rsidRPr="0096752A">
        <w:rPr>
          <w:rFonts w:ascii="Candara" w:hAnsi="Candara"/>
          <w:sz w:val="20"/>
          <w:lang w:val="pt-PT"/>
        </w:rPr>
        <w:t>Borenstein</w:t>
      </w:r>
      <w:proofErr w:type="spellEnd"/>
      <w:r w:rsidRPr="0096752A">
        <w:rPr>
          <w:rFonts w:ascii="Candara" w:hAnsi="Candara"/>
          <w:sz w:val="20"/>
          <w:lang w:val="pt-PT"/>
        </w:rPr>
        <w:t xml:space="preserve">, 2009; Tabela 2, Equação 2.1). O índice </w:t>
      </w:r>
      <w:r w:rsidRPr="0096752A">
        <w:rPr>
          <w:rFonts w:ascii="Candara Italic" w:hAnsi="Candara Italic"/>
          <w:sz w:val="20"/>
          <w:lang w:val="pt-PT"/>
        </w:rPr>
        <w:t>d</w:t>
      </w:r>
      <w:r w:rsidRPr="0096752A">
        <w:rPr>
          <w:rFonts w:ascii="Candara" w:hAnsi="Candara"/>
          <w:sz w:val="20"/>
          <w:lang w:val="pt-PT"/>
        </w:rPr>
        <w:t xml:space="preserve"> usa-se para o mesmo tipo de situação, mas com duas amostras (Tabela 2, Equação 2.2). </w:t>
      </w:r>
    </w:p>
    <w:p w:rsidR="000B158F" w:rsidRPr="0096752A" w:rsidRDefault="00566781" w:rsidP="000B158F">
      <w:pPr>
        <w:pStyle w:val="FormalivreA"/>
        <w:spacing w:line="276" w:lineRule="auto"/>
        <w:ind w:firstLine="425"/>
        <w:jc w:val="both"/>
        <w:rPr>
          <w:rFonts w:ascii="Candara" w:hAnsi="Candara"/>
          <w:sz w:val="20"/>
          <w:lang w:val="pt-PT"/>
        </w:rPr>
      </w:pPr>
      <w:r w:rsidRPr="0096752A">
        <w:rPr>
          <w:rFonts w:ascii="Candara" w:hAnsi="Candara"/>
          <w:sz w:val="20"/>
          <w:lang w:val="pt-PT"/>
        </w:rPr>
        <w:t xml:space="preserve">O </w:t>
      </w:r>
      <w:r w:rsidRPr="0096752A">
        <w:rPr>
          <w:rFonts w:ascii="Candara Italic" w:hAnsi="Candara Italic"/>
          <w:sz w:val="20"/>
          <w:lang w:val="pt-PT"/>
        </w:rPr>
        <w:t>d</w:t>
      </w:r>
      <w:r w:rsidRPr="0096752A">
        <w:rPr>
          <w:rFonts w:ascii="Candara" w:hAnsi="Candara"/>
          <w:sz w:val="20"/>
          <w:lang w:val="pt-PT"/>
        </w:rPr>
        <w:t xml:space="preserve"> de Cohen é também aplicável a testes </w:t>
      </w:r>
      <w:r w:rsidRPr="0096752A">
        <w:rPr>
          <w:rFonts w:ascii="Candara Italic" w:hAnsi="Candara Italic"/>
          <w:sz w:val="20"/>
          <w:lang w:val="pt-PT"/>
        </w:rPr>
        <w:t xml:space="preserve">t </w:t>
      </w:r>
      <w:r w:rsidRPr="0096752A">
        <w:rPr>
          <w:rFonts w:ascii="Candara" w:hAnsi="Candara"/>
          <w:sz w:val="20"/>
          <w:lang w:val="pt-PT"/>
        </w:rPr>
        <w:t>para amostras emparelhadas (</w:t>
      </w:r>
      <w:r w:rsidR="00494E85">
        <w:rPr>
          <w:rFonts w:ascii="Candara" w:hAnsi="Candara"/>
          <w:sz w:val="20"/>
          <w:lang w:val="pt-PT"/>
        </w:rPr>
        <w:t>p. e.</w:t>
      </w:r>
      <w:r w:rsidRPr="0096752A">
        <w:rPr>
          <w:rFonts w:ascii="Candara" w:hAnsi="Candara"/>
          <w:sz w:val="20"/>
          <w:lang w:val="pt-PT"/>
        </w:rPr>
        <w:t>, pares emparelhados, medidas repetidas, pré e pós intervenção num só grupo). Para o efeito, ou usa-se na mesma a Equação 2.2 (</w:t>
      </w:r>
      <w:proofErr w:type="spellStart"/>
      <w:r w:rsidRPr="0096752A">
        <w:rPr>
          <w:rFonts w:ascii="Candara" w:hAnsi="Candara"/>
          <w:sz w:val="20"/>
          <w:lang w:val="pt-PT"/>
        </w:rPr>
        <w:t>Borenstein</w:t>
      </w:r>
      <w:proofErr w:type="spellEnd"/>
      <w:r w:rsidRPr="0096752A">
        <w:rPr>
          <w:rFonts w:ascii="Candara" w:hAnsi="Candara"/>
          <w:sz w:val="20"/>
          <w:lang w:val="pt-PT"/>
        </w:rPr>
        <w:t xml:space="preserve">, 2009), ou usa-se o desvio-padrão </w:t>
      </w:r>
      <w:r w:rsidRPr="0096752A">
        <w:rPr>
          <w:rFonts w:ascii="Candara Italic" w:hAnsi="Candara Italic"/>
          <w:sz w:val="20"/>
          <w:lang w:val="pt-PT"/>
        </w:rPr>
        <w:t>médio</w:t>
      </w:r>
      <w:r w:rsidRPr="0096752A">
        <w:rPr>
          <w:rFonts w:ascii="Candara" w:hAnsi="Candara"/>
          <w:sz w:val="20"/>
          <w:lang w:val="pt-PT"/>
        </w:rPr>
        <w:t xml:space="preserve"> de ambos os grupos emparelhados (Equação 2.3; </w:t>
      </w:r>
      <w:proofErr w:type="spellStart"/>
      <w:r w:rsidRPr="0096752A">
        <w:rPr>
          <w:rFonts w:ascii="Candara" w:hAnsi="Candara"/>
          <w:sz w:val="20"/>
          <w:lang w:val="pt-PT"/>
        </w:rPr>
        <w:t>Cumming</w:t>
      </w:r>
      <w:proofErr w:type="spellEnd"/>
      <w:r w:rsidRPr="0096752A">
        <w:rPr>
          <w:rFonts w:ascii="Candara" w:hAnsi="Candara"/>
          <w:sz w:val="20"/>
          <w:lang w:val="pt-PT"/>
        </w:rPr>
        <w:t xml:space="preserve">, 2012; </w:t>
      </w:r>
      <w:proofErr w:type="spellStart"/>
      <w:r w:rsidRPr="0096752A">
        <w:rPr>
          <w:rFonts w:ascii="Candara" w:hAnsi="Candara"/>
          <w:sz w:val="20"/>
          <w:lang w:val="pt-PT"/>
        </w:rPr>
        <w:t>Lakens</w:t>
      </w:r>
      <w:proofErr w:type="spellEnd"/>
      <w:r w:rsidRPr="0096752A">
        <w:rPr>
          <w:rFonts w:ascii="Candara" w:hAnsi="Candara"/>
          <w:sz w:val="20"/>
          <w:lang w:val="pt-PT"/>
        </w:rPr>
        <w:t>, 2013). No entanto, para as situações de comparação entre a pré e pós intervenção, de acordo com</w:t>
      </w:r>
      <w:r w:rsidR="00DF5881" w:rsidRPr="0096752A">
        <w:rPr>
          <w:rFonts w:ascii="Candara" w:hAnsi="Candara"/>
          <w:sz w:val="20"/>
          <w:lang w:val="pt-PT"/>
        </w:rPr>
        <w:t xml:space="preserve"> </w:t>
      </w:r>
    </w:p>
    <w:p w:rsidR="000B158F" w:rsidRPr="0096752A" w:rsidRDefault="000B158F" w:rsidP="000B158F">
      <w:pPr>
        <w:pStyle w:val="FormalivreA"/>
        <w:spacing w:line="276" w:lineRule="auto"/>
        <w:jc w:val="both"/>
        <w:rPr>
          <w:rFonts w:ascii="Candara" w:hAnsi="Candara"/>
          <w:sz w:val="20"/>
          <w:lang w:val="pt-PT"/>
        </w:rPr>
        <w:sectPr w:rsidR="000B158F" w:rsidRPr="0096752A" w:rsidSect="009C6935">
          <w:type w:val="continuous"/>
          <w:pgSz w:w="11906" w:h="16838"/>
          <w:pgMar w:top="720" w:right="720" w:bottom="720" w:left="720" w:header="708" w:footer="708" w:gutter="0"/>
          <w:cols w:num="2" w:space="566"/>
          <w:docGrid w:linePitch="360"/>
        </w:sectPr>
      </w:pPr>
    </w:p>
    <w:tbl>
      <w:tblPr>
        <w:tblStyle w:val="Tabelacomgrelha"/>
        <w:tblW w:w="10490" w:type="dxa"/>
        <w:tblInd w:w="108" w:type="dxa"/>
        <w:tblLayout w:type="fixed"/>
        <w:tblLook w:val="04A0"/>
      </w:tblPr>
      <w:tblGrid>
        <w:gridCol w:w="993"/>
        <w:gridCol w:w="1026"/>
        <w:gridCol w:w="2268"/>
        <w:gridCol w:w="1419"/>
        <w:gridCol w:w="2629"/>
        <w:gridCol w:w="1872"/>
        <w:gridCol w:w="283"/>
      </w:tblGrid>
      <w:tr w:rsidR="000B158F" w:rsidRPr="0096752A" w:rsidTr="00A10BA1">
        <w:trPr>
          <w:gridAfter w:val="1"/>
          <w:wAfter w:w="283" w:type="dxa"/>
        </w:trPr>
        <w:tc>
          <w:tcPr>
            <w:tcW w:w="10207" w:type="dxa"/>
            <w:gridSpan w:val="6"/>
            <w:tcBorders>
              <w:top w:val="nil"/>
              <w:left w:val="nil"/>
              <w:bottom w:val="single" w:sz="4" w:space="0" w:color="auto"/>
              <w:right w:val="nil"/>
            </w:tcBorders>
          </w:tcPr>
          <w:p w:rsidR="000B158F" w:rsidRDefault="000B158F" w:rsidP="004325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ndara" w:hAnsi="Candara" w:cs="Candara"/>
                <w:b/>
                <w:bCs/>
                <w:spacing w:val="11"/>
                <w:kern w:val="1"/>
                <w:sz w:val="20"/>
                <w:szCs w:val="20"/>
              </w:rPr>
            </w:pPr>
          </w:p>
          <w:p w:rsidR="00691E52" w:rsidRPr="0096752A" w:rsidRDefault="00691E52" w:rsidP="004325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ndara" w:hAnsi="Candara" w:cs="Candara"/>
                <w:b/>
                <w:bCs/>
                <w:spacing w:val="11"/>
                <w:kern w:val="1"/>
                <w:sz w:val="20"/>
                <w:szCs w:val="20"/>
              </w:rPr>
            </w:pPr>
          </w:p>
          <w:p w:rsidR="000B158F" w:rsidRPr="0096752A" w:rsidRDefault="000B158F" w:rsidP="004325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ndara" w:hAnsi="Candara" w:cs="Candara"/>
                <w:b/>
                <w:bCs/>
                <w:spacing w:val="11"/>
                <w:kern w:val="1"/>
                <w:sz w:val="20"/>
                <w:szCs w:val="20"/>
              </w:rPr>
            </w:pPr>
            <w:r w:rsidRPr="0096752A">
              <w:rPr>
                <w:rFonts w:ascii="Candara" w:hAnsi="Candara" w:cs="Candara"/>
                <w:b/>
                <w:bCs/>
                <w:spacing w:val="11"/>
                <w:kern w:val="1"/>
                <w:sz w:val="20"/>
                <w:szCs w:val="20"/>
              </w:rPr>
              <w:t>Tabela 2</w:t>
            </w:r>
          </w:p>
          <w:p w:rsidR="000B158F" w:rsidRPr="0096752A" w:rsidRDefault="000B158F" w:rsidP="002D302A">
            <w:pPr>
              <w:rPr>
                <w:rFonts w:ascii="Candara" w:hAnsi="Candara"/>
              </w:rPr>
            </w:pPr>
            <w:r w:rsidRPr="0096752A">
              <w:rPr>
                <w:rFonts w:ascii="Candara" w:hAnsi="Candara" w:cs="Candara"/>
                <w:i/>
                <w:iCs/>
                <w:spacing w:val="11"/>
                <w:kern w:val="1"/>
                <w:sz w:val="20"/>
                <w:szCs w:val="20"/>
              </w:rPr>
              <w:t>Equações e Recomendações para o Cálculo dos Tamanhos do Efeito mais Comuns em Diferenças entre Médias de Grupos Independentes</w:t>
            </w:r>
          </w:p>
        </w:tc>
      </w:tr>
      <w:tr w:rsidR="000B158F" w:rsidRPr="0096752A" w:rsidTr="005671CD">
        <w:trPr>
          <w:trHeight w:val="204"/>
        </w:trPr>
        <w:tc>
          <w:tcPr>
            <w:tcW w:w="993" w:type="dxa"/>
            <w:tcBorders>
              <w:top w:val="single" w:sz="12" w:space="0" w:color="7F7F7F" w:themeColor="text1" w:themeTint="80"/>
              <w:left w:val="nil"/>
              <w:right w:val="nil"/>
            </w:tcBorders>
            <w:vAlign w:val="center"/>
          </w:tcPr>
          <w:p w:rsidR="000B158F" w:rsidRPr="0096752A" w:rsidRDefault="000B158F" w:rsidP="00432573">
            <w:pPr>
              <w:ind w:right="-142"/>
              <w:rPr>
                <w:rFonts w:ascii="Candara" w:hAnsi="Candara"/>
                <w:sz w:val="18"/>
                <w:szCs w:val="18"/>
              </w:rPr>
            </w:pPr>
            <w:proofErr w:type="spellStart"/>
            <w:r w:rsidRPr="0096752A">
              <w:rPr>
                <w:rFonts w:ascii="Candara" w:hAnsi="Candara" w:cs="Candara"/>
                <w:spacing w:val="9"/>
                <w:kern w:val="1"/>
                <w:sz w:val="18"/>
                <w:szCs w:val="18"/>
                <w:lang w:val="en-US"/>
              </w:rPr>
              <w:t>Equação</w:t>
            </w:r>
            <w:proofErr w:type="spellEnd"/>
          </w:p>
        </w:tc>
        <w:tc>
          <w:tcPr>
            <w:tcW w:w="1026" w:type="dxa"/>
            <w:tcBorders>
              <w:top w:val="single" w:sz="12" w:space="0" w:color="7F7F7F" w:themeColor="text1" w:themeTint="80"/>
              <w:left w:val="nil"/>
              <w:right w:val="nil"/>
            </w:tcBorders>
            <w:vAlign w:val="center"/>
          </w:tcPr>
          <w:p w:rsidR="000B158F" w:rsidRPr="0096752A" w:rsidRDefault="000B158F" w:rsidP="00432573">
            <w:pPr>
              <w:ind w:right="-108"/>
              <w:jc w:val="center"/>
              <w:rPr>
                <w:rFonts w:ascii="Candara" w:hAnsi="Candara"/>
                <w:sz w:val="18"/>
                <w:szCs w:val="18"/>
              </w:rPr>
            </w:pPr>
            <w:r w:rsidRPr="0096752A">
              <w:rPr>
                <w:rFonts w:ascii="Candara" w:hAnsi="Candara"/>
                <w:sz w:val="18"/>
                <w:szCs w:val="18"/>
              </w:rPr>
              <w:t>Estimativa</w:t>
            </w:r>
          </w:p>
        </w:tc>
        <w:tc>
          <w:tcPr>
            <w:tcW w:w="2268" w:type="dxa"/>
            <w:tcBorders>
              <w:top w:val="single" w:sz="12" w:space="0" w:color="7F7F7F" w:themeColor="text1" w:themeTint="80"/>
              <w:left w:val="nil"/>
              <w:right w:val="nil"/>
            </w:tcBorders>
            <w:vAlign w:val="center"/>
          </w:tcPr>
          <w:p w:rsidR="000B158F" w:rsidRPr="0096752A" w:rsidRDefault="000B158F" w:rsidP="00432573">
            <w:pPr>
              <w:ind w:left="-108" w:right="-46"/>
              <w:jc w:val="center"/>
              <w:rPr>
                <w:rFonts w:ascii="Candara" w:hAnsi="Candara"/>
                <w:sz w:val="18"/>
                <w:szCs w:val="18"/>
              </w:rPr>
            </w:pPr>
            <w:r w:rsidRPr="0096752A">
              <w:rPr>
                <w:rFonts w:ascii="Candara" w:hAnsi="Candara"/>
                <w:sz w:val="18"/>
                <w:szCs w:val="18"/>
              </w:rPr>
              <w:t>Magnitude da diferença</w:t>
            </w:r>
          </w:p>
        </w:tc>
        <w:tc>
          <w:tcPr>
            <w:tcW w:w="4048" w:type="dxa"/>
            <w:gridSpan w:val="2"/>
            <w:tcBorders>
              <w:top w:val="single" w:sz="12" w:space="0" w:color="7F7F7F" w:themeColor="text1" w:themeTint="80"/>
              <w:left w:val="nil"/>
              <w:right w:val="nil"/>
            </w:tcBorders>
            <w:vAlign w:val="center"/>
          </w:tcPr>
          <w:p w:rsidR="000B158F" w:rsidRPr="0096752A" w:rsidRDefault="000B158F" w:rsidP="00432573">
            <w:pPr>
              <w:ind w:right="289"/>
              <w:jc w:val="center"/>
              <w:rPr>
                <w:rFonts w:ascii="Candara" w:hAnsi="Candara"/>
                <w:sz w:val="18"/>
                <w:szCs w:val="18"/>
              </w:rPr>
            </w:pPr>
            <w:r w:rsidRPr="0096752A">
              <w:rPr>
                <w:rFonts w:ascii="Candara" w:hAnsi="Candara"/>
                <w:sz w:val="18"/>
                <w:szCs w:val="18"/>
              </w:rPr>
              <w:t>Desvio-padrão</w:t>
            </w:r>
          </w:p>
        </w:tc>
        <w:tc>
          <w:tcPr>
            <w:tcW w:w="2155" w:type="dxa"/>
            <w:gridSpan w:val="2"/>
            <w:tcBorders>
              <w:top w:val="single" w:sz="12" w:space="0" w:color="7F7F7F" w:themeColor="text1" w:themeTint="80"/>
              <w:left w:val="nil"/>
              <w:right w:val="nil"/>
            </w:tcBorders>
            <w:vAlign w:val="center"/>
          </w:tcPr>
          <w:p w:rsidR="000B158F" w:rsidRPr="0096752A" w:rsidRDefault="000B158F" w:rsidP="00A10BA1">
            <w:pPr>
              <w:tabs>
                <w:tab w:val="left" w:pos="2413"/>
              </w:tabs>
              <w:ind w:right="289"/>
              <w:jc w:val="center"/>
              <w:rPr>
                <w:rFonts w:ascii="Candara" w:hAnsi="Candara"/>
                <w:sz w:val="18"/>
                <w:szCs w:val="18"/>
              </w:rPr>
            </w:pPr>
            <w:r w:rsidRPr="0096752A">
              <w:rPr>
                <w:rFonts w:ascii="Candara" w:hAnsi="Candara"/>
                <w:sz w:val="18"/>
                <w:szCs w:val="18"/>
              </w:rPr>
              <w:t>Uso</w:t>
            </w:r>
          </w:p>
        </w:tc>
      </w:tr>
      <w:tr w:rsidR="000B158F" w:rsidRPr="0096752A" w:rsidTr="00A10BA1">
        <w:trPr>
          <w:trHeight w:val="524"/>
        </w:trPr>
        <w:tc>
          <w:tcPr>
            <w:tcW w:w="993" w:type="dxa"/>
            <w:tcBorders>
              <w:left w:val="nil"/>
              <w:right w:val="nil"/>
            </w:tcBorders>
            <w:vAlign w:val="center"/>
          </w:tcPr>
          <w:p w:rsidR="000B158F" w:rsidRPr="0096752A" w:rsidRDefault="000B158F" w:rsidP="00432573">
            <w:pPr>
              <w:ind w:right="-142"/>
              <w:rPr>
                <w:rFonts w:ascii="Candara" w:hAnsi="Candara"/>
                <w:sz w:val="18"/>
                <w:szCs w:val="18"/>
              </w:rPr>
            </w:pPr>
            <w:r w:rsidRPr="0096752A">
              <w:rPr>
                <w:rFonts w:ascii="Candara" w:hAnsi="Candara"/>
                <w:sz w:val="18"/>
                <w:szCs w:val="18"/>
              </w:rPr>
              <w:t>2.1</w:t>
            </w:r>
          </w:p>
        </w:tc>
        <w:tc>
          <w:tcPr>
            <w:tcW w:w="1026" w:type="dxa"/>
            <w:tcBorders>
              <w:left w:val="nil"/>
              <w:right w:val="nil"/>
            </w:tcBorders>
            <w:vAlign w:val="center"/>
          </w:tcPr>
          <w:p w:rsidR="000B158F" w:rsidRPr="0096752A" w:rsidRDefault="000B158F" w:rsidP="00432573">
            <w:pPr>
              <w:ind w:left="-108" w:right="-108"/>
              <w:jc w:val="center"/>
              <w:rPr>
                <w:rFonts w:ascii="Candara" w:hAnsi="Candara"/>
                <w:sz w:val="18"/>
                <w:szCs w:val="18"/>
              </w:rPr>
            </w:pPr>
            <w:r w:rsidRPr="0096752A">
              <w:rPr>
                <w:rFonts w:ascii="Candara" w:hAnsi="Candara" w:cs="Candara"/>
                <w:spacing w:val="8"/>
                <w:kern w:val="1"/>
                <w:sz w:val="18"/>
                <w:szCs w:val="18"/>
                <w:lang w:val="en-US"/>
              </w:rPr>
              <w:t>δ de Cohen</w:t>
            </w:r>
          </w:p>
        </w:tc>
        <w:tc>
          <w:tcPr>
            <w:tcW w:w="2268" w:type="dxa"/>
            <w:tcBorders>
              <w:left w:val="nil"/>
              <w:right w:val="nil"/>
            </w:tcBorders>
            <w:vAlign w:val="center"/>
          </w:tcPr>
          <w:p w:rsidR="000B158F" w:rsidRPr="0096752A" w:rsidRDefault="00E333CB" w:rsidP="0019685C">
            <w:pPr>
              <w:ind w:left="-108" w:right="-46"/>
              <w:jc w:val="center"/>
              <w:rPr>
                <w:rFonts w:ascii="Candara" w:hAnsi="Candara"/>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num>
                  <m:den>
                    <m:r>
                      <w:rPr>
                        <w:rFonts w:ascii="Cambria Math" w:hAnsi="Cambria Math"/>
                        <w:sz w:val="18"/>
                        <w:szCs w:val="18"/>
                      </w:rPr>
                      <m:t>σ</m:t>
                    </m:r>
                  </m:den>
                </m:f>
              </m:oMath>
            </m:oMathPara>
          </w:p>
        </w:tc>
        <w:tc>
          <w:tcPr>
            <w:tcW w:w="1419" w:type="dxa"/>
            <w:tcBorders>
              <w:left w:val="nil"/>
              <w:right w:val="nil"/>
            </w:tcBorders>
            <w:vAlign w:val="center"/>
          </w:tcPr>
          <w:p w:rsidR="000B158F" w:rsidRPr="0096752A" w:rsidRDefault="000B158F" w:rsidP="00432573">
            <w:pPr>
              <w:ind w:right="-44"/>
              <w:jc w:val="right"/>
              <w:rPr>
                <w:rFonts w:ascii="Candara" w:hAnsi="Candara"/>
                <w:sz w:val="18"/>
                <w:szCs w:val="18"/>
              </w:rPr>
            </w:pPr>
            <w:r w:rsidRPr="0096752A">
              <w:rPr>
                <w:rFonts w:ascii="Candara" w:hAnsi="Candara" w:cs="Candara"/>
                <w:sz w:val="18"/>
                <w:szCs w:val="18"/>
                <w:lang w:val="en-US"/>
              </w:rPr>
              <w:t>σ =</w:t>
            </w:r>
          </w:p>
        </w:tc>
        <w:tc>
          <w:tcPr>
            <w:tcW w:w="2629" w:type="dxa"/>
            <w:tcBorders>
              <w:left w:val="nil"/>
              <w:right w:val="nil"/>
            </w:tcBorders>
            <w:vAlign w:val="center"/>
          </w:tcPr>
          <w:p w:rsidR="000B158F" w:rsidRPr="0096752A" w:rsidRDefault="000B158F" w:rsidP="00432573">
            <w:pPr>
              <w:ind w:right="-161"/>
              <w:rPr>
                <w:rFonts w:ascii="Candara" w:hAnsi="Candara"/>
                <w:sz w:val="18"/>
                <w:szCs w:val="18"/>
              </w:rPr>
            </w:pPr>
            <w:r w:rsidRPr="0096752A">
              <w:rPr>
                <w:rFonts w:ascii="Candara" w:hAnsi="Candara" w:cs="Candara"/>
                <w:sz w:val="18"/>
                <w:szCs w:val="18"/>
              </w:rPr>
              <w:t>Estimativa do desvio-padrão populacional</w:t>
            </w:r>
          </w:p>
        </w:tc>
        <w:tc>
          <w:tcPr>
            <w:tcW w:w="2155" w:type="dxa"/>
            <w:gridSpan w:val="2"/>
            <w:tcBorders>
              <w:left w:val="nil"/>
              <w:right w:val="nil"/>
            </w:tcBorders>
            <w:vAlign w:val="center"/>
          </w:tcPr>
          <w:p w:rsidR="000B158F" w:rsidRPr="0096752A" w:rsidRDefault="000B158F" w:rsidP="00432573">
            <w:pPr>
              <w:tabs>
                <w:tab w:val="left" w:pos="2413"/>
              </w:tabs>
              <w:ind w:right="-161"/>
              <w:rPr>
                <w:rFonts w:ascii="Candara" w:hAnsi="Candara"/>
                <w:sz w:val="18"/>
                <w:szCs w:val="18"/>
              </w:rPr>
            </w:pPr>
            <w:r w:rsidRPr="0096752A">
              <w:rPr>
                <w:rFonts w:ascii="Candara" w:hAnsi="Candara" w:cs="Candara"/>
                <w:i/>
                <w:iCs/>
                <w:sz w:val="18"/>
                <w:szCs w:val="18"/>
                <w:lang w:val="en-US"/>
              </w:rPr>
              <w:t>DP</w:t>
            </w:r>
            <w:r w:rsidRPr="0096752A">
              <w:rPr>
                <w:rFonts w:ascii="Candara" w:hAnsi="Candara" w:cs="Candara"/>
                <w:sz w:val="18"/>
                <w:szCs w:val="18"/>
                <w:lang w:val="en-US"/>
              </w:rPr>
              <w:t xml:space="preserve"> </w:t>
            </w:r>
            <w:proofErr w:type="spellStart"/>
            <w:r w:rsidRPr="0096752A">
              <w:rPr>
                <w:rFonts w:ascii="Candara" w:hAnsi="Candara" w:cs="Candara"/>
                <w:sz w:val="18"/>
                <w:szCs w:val="18"/>
                <w:lang w:val="en-US"/>
              </w:rPr>
              <w:t>populacional</w:t>
            </w:r>
            <w:proofErr w:type="spellEnd"/>
            <w:r w:rsidRPr="0096752A">
              <w:rPr>
                <w:rFonts w:ascii="Candara" w:hAnsi="Candara" w:cs="Candara"/>
                <w:sz w:val="18"/>
                <w:szCs w:val="18"/>
                <w:lang w:val="en-US"/>
              </w:rPr>
              <w:t xml:space="preserve"> </w:t>
            </w:r>
            <w:proofErr w:type="spellStart"/>
            <w:r w:rsidRPr="0096752A">
              <w:rPr>
                <w:rFonts w:ascii="Candara" w:hAnsi="Candara" w:cs="Candara"/>
                <w:sz w:val="18"/>
                <w:szCs w:val="18"/>
                <w:lang w:val="en-US"/>
              </w:rPr>
              <w:t>conhecido</w:t>
            </w:r>
            <w:proofErr w:type="spellEnd"/>
          </w:p>
        </w:tc>
      </w:tr>
      <w:tr w:rsidR="000B158F" w:rsidRPr="0096752A" w:rsidTr="00A10BA1">
        <w:trPr>
          <w:trHeight w:val="504"/>
        </w:trPr>
        <w:tc>
          <w:tcPr>
            <w:tcW w:w="993" w:type="dxa"/>
            <w:tcBorders>
              <w:left w:val="nil"/>
              <w:right w:val="nil"/>
            </w:tcBorders>
            <w:vAlign w:val="center"/>
          </w:tcPr>
          <w:p w:rsidR="000B158F" w:rsidRPr="0096752A" w:rsidRDefault="000B158F" w:rsidP="00432573">
            <w:pPr>
              <w:ind w:right="-142"/>
              <w:rPr>
                <w:rFonts w:ascii="Candara" w:hAnsi="Candara"/>
                <w:sz w:val="18"/>
                <w:szCs w:val="18"/>
              </w:rPr>
            </w:pPr>
            <w:r w:rsidRPr="0096752A">
              <w:rPr>
                <w:rFonts w:ascii="Candara" w:hAnsi="Candara"/>
                <w:sz w:val="18"/>
                <w:szCs w:val="18"/>
              </w:rPr>
              <w:t>2.2</w:t>
            </w:r>
          </w:p>
        </w:tc>
        <w:tc>
          <w:tcPr>
            <w:tcW w:w="1026" w:type="dxa"/>
            <w:tcBorders>
              <w:left w:val="nil"/>
              <w:right w:val="nil"/>
            </w:tcBorders>
            <w:vAlign w:val="center"/>
          </w:tcPr>
          <w:p w:rsidR="000B158F" w:rsidRPr="0096752A" w:rsidRDefault="000B158F" w:rsidP="00432573">
            <w:pPr>
              <w:ind w:left="-108" w:right="-108"/>
              <w:jc w:val="center"/>
              <w:rPr>
                <w:rFonts w:ascii="Candara" w:hAnsi="Candara"/>
                <w:sz w:val="18"/>
                <w:szCs w:val="18"/>
              </w:rPr>
            </w:pPr>
            <w:r w:rsidRPr="0096752A">
              <w:rPr>
                <w:rFonts w:ascii="Candara" w:hAnsi="Candara" w:cs="Candara"/>
                <w:i/>
                <w:iCs/>
                <w:spacing w:val="8"/>
                <w:kern w:val="1"/>
                <w:sz w:val="18"/>
                <w:szCs w:val="18"/>
                <w:lang w:val="en-US"/>
              </w:rPr>
              <w:t>d</w:t>
            </w:r>
            <w:r w:rsidRPr="0096752A">
              <w:rPr>
                <w:rFonts w:ascii="Candara" w:hAnsi="Candara" w:cs="Candara"/>
                <w:spacing w:val="8"/>
                <w:kern w:val="1"/>
                <w:sz w:val="18"/>
                <w:szCs w:val="18"/>
                <w:lang w:val="en-US"/>
              </w:rPr>
              <w:t xml:space="preserve"> de Cohen</w:t>
            </w:r>
          </w:p>
        </w:tc>
        <w:tc>
          <w:tcPr>
            <w:tcW w:w="2268" w:type="dxa"/>
            <w:tcBorders>
              <w:left w:val="nil"/>
              <w:right w:val="nil"/>
            </w:tcBorders>
            <w:vAlign w:val="center"/>
          </w:tcPr>
          <w:p w:rsidR="000B158F" w:rsidRPr="0096752A" w:rsidRDefault="00E333CB" w:rsidP="0019685C">
            <w:pPr>
              <w:ind w:left="-108" w:right="-46"/>
              <w:rPr>
                <w:rFonts w:ascii="Candara" w:hAnsi="Candara"/>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DP</m:t>
                        </m:r>
                      </m:e>
                      <m:sub>
                        <m:r>
                          <w:rPr>
                            <w:rFonts w:ascii="Cambria Math" w:hAnsi="Cambria Math"/>
                            <w:sz w:val="18"/>
                            <w:szCs w:val="18"/>
                          </w:rPr>
                          <m:t>combinado</m:t>
                        </m:r>
                      </m:sub>
                    </m:sSub>
                  </m:den>
                </m:f>
              </m:oMath>
            </m:oMathPara>
          </w:p>
        </w:tc>
        <w:tc>
          <w:tcPr>
            <w:tcW w:w="1419" w:type="dxa"/>
            <w:tcBorders>
              <w:left w:val="nil"/>
              <w:right w:val="nil"/>
            </w:tcBorders>
            <w:vAlign w:val="center"/>
          </w:tcPr>
          <w:p w:rsidR="000B158F" w:rsidRPr="0096752A" w:rsidRDefault="000B158F" w:rsidP="00432573">
            <w:pPr>
              <w:ind w:right="-44"/>
              <w:jc w:val="right"/>
              <w:rPr>
                <w:rFonts w:ascii="Candara" w:hAnsi="Candara"/>
                <w:sz w:val="18"/>
                <w:szCs w:val="18"/>
              </w:rPr>
            </w:pPr>
            <w:proofErr w:type="spellStart"/>
            <w:r w:rsidRPr="0096752A">
              <w:rPr>
                <w:rFonts w:ascii="Candara" w:hAnsi="Candara" w:cs="Candara"/>
                <w:i/>
                <w:iCs/>
                <w:sz w:val="18"/>
                <w:szCs w:val="18"/>
                <w:lang w:val="en-US"/>
              </w:rPr>
              <w:t>DP</w:t>
            </w:r>
            <w:r w:rsidRPr="0096752A">
              <w:rPr>
                <w:rFonts w:ascii="Candara" w:hAnsi="Candara" w:cs="Candara"/>
                <w:sz w:val="18"/>
                <w:szCs w:val="18"/>
                <w:vertAlign w:val="subscript"/>
                <w:lang w:val="en-US"/>
              </w:rPr>
              <w:t>combinado</w:t>
            </w:r>
            <w:proofErr w:type="spellEnd"/>
            <w:r w:rsidRPr="0096752A">
              <w:rPr>
                <w:rFonts w:ascii="Candara" w:hAnsi="Candara" w:cs="Candara"/>
                <w:sz w:val="18"/>
                <w:szCs w:val="18"/>
                <w:vertAlign w:val="subscript"/>
                <w:lang w:val="en-US"/>
              </w:rPr>
              <w:t xml:space="preserve"> </w:t>
            </w:r>
            <w:r w:rsidRPr="0096752A">
              <w:rPr>
                <w:rFonts w:ascii="Candara" w:hAnsi="Candara" w:cs="Candara"/>
                <w:sz w:val="18"/>
                <w:szCs w:val="18"/>
                <w:lang w:val="en-US"/>
              </w:rPr>
              <w:t>=</w:t>
            </w:r>
          </w:p>
        </w:tc>
        <w:tc>
          <w:tcPr>
            <w:tcW w:w="2629" w:type="dxa"/>
            <w:tcBorders>
              <w:left w:val="nil"/>
              <w:right w:val="nil"/>
            </w:tcBorders>
            <w:vAlign w:val="center"/>
          </w:tcPr>
          <w:p w:rsidR="000B158F" w:rsidRPr="0096752A" w:rsidRDefault="00E333CB" w:rsidP="00432573">
            <w:pPr>
              <w:ind w:right="-161"/>
              <w:rPr>
                <w:rFonts w:ascii="Candara" w:hAnsi="Candara"/>
                <w:sz w:val="18"/>
                <w:szCs w:val="18"/>
              </w:rPr>
            </w:pPr>
            <m:oMathPara>
              <m:oMathParaPr>
                <m:jc m:val="left"/>
              </m:oMathParaPr>
              <m:oMath>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-1</m:t>
                        </m:r>
                      </m:e>
                    </m:d>
                    <m:sSubSup>
                      <m:sSubSupPr>
                        <m:ctrlPr>
                          <w:rPr>
                            <w:rFonts w:ascii="Cambria Math" w:hAnsi="Cambria Math"/>
                            <w:i/>
                            <w:sz w:val="18"/>
                            <w:szCs w:val="18"/>
                          </w:rPr>
                        </m:ctrlPr>
                      </m:sSubSupPr>
                      <m:e>
                        <m:r>
                          <w:rPr>
                            <w:rFonts w:ascii="Cambria Math" w:hAnsi="Cambria Math"/>
                            <w:sz w:val="18"/>
                            <w:szCs w:val="18"/>
                          </w:rPr>
                          <m:t>DP</m:t>
                        </m:r>
                      </m:e>
                      <m:sub>
                        <m:r>
                          <w:rPr>
                            <w:rFonts w:ascii="Cambria Math" w:hAnsi="Cambria Math"/>
                            <w:sz w:val="18"/>
                            <w:szCs w:val="18"/>
                          </w:rPr>
                          <m:t>1</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DP</m:t>
                        </m:r>
                      </m:e>
                      <m:sub>
                        <m:r>
                          <w:rPr>
                            <w:rFonts w:ascii="Cambria Math" w:hAnsi="Cambria Math"/>
                            <w:sz w:val="18"/>
                            <w:szCs w:val="18"/>
                          </w:rPr>
                          <m:t>2</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-2</m:t>
                    </m:r>
                  </m:den>
                </m:f>
              </m:oMath>
            </m:oMathPara>
          </w:p>
        </w:tc>
        <w:tc>
          <w:tcPr>
            <w:tcW w:w="2155" w:type="dxa"/>
            <w:gridSpan w:val="2"/>
            <w:tcBorders>
              <w:left w:val="nil"/>
              <w:right w:val="nil"/>
            </w:tcBorders>
            <w:vAlign w:val="center"/>
          </w:tcPr>
          <w:p w:rsidR="000B158F" w:rsidRPr="0096752A" w:rsidRDefault="000B158F" w:rsidP="00432573">
            <w:pPr>
              <w:widowControl w:val="0"/>
              <w:tabs>
                <w:tab w:val="left" w:pos="-31680"/>
                <w:tab w:val="left" w:pos="-31520"/>
                <w:tab w:val="left" w:pos="-30812"/>
                <w:tab w:val="left" w:pos="-30103"/>
                <w:tab w:val="left" w:pos="-29394"/>
                <w:tab w:val="left" w:pos="-28686"/>
                <w:tab w:val="left" w:pos="-27977"/>
                <w:tab w:val="left" w:pos="-27268"/>
                <w:tab w:val="left" w:pos="-26560"/>
                <w:tab w:val="left" w:pos="-25851"/>
                <w:tab w:val="left" w:pos="709"/>
                <w:tab w:val="left" w:pos="1417"/>
                <w:tab w:val="left" w:pos="2126"/>
                <w:tab w:val="left" w:pos="2413"/>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autoSpaceDE w:val="0"/>
              <w:autoSpaceDN w:val="0"/>
              <w:adjustRightInd w:val="0"/>
              <w:ind w:right="-161"/>
              <w:rPr>
                <w:rFonts w:ascii="Candara" w:hAnsi="Candara" w:cs="Candara"/>
                <w:sz w:val="18"/>
                <w:szCs w:val="18"/>
                <w:lang w:val="en-US"/>
              </w:rPr>
            </w:pPr>
            <w:proofErr w:type="spellStart"/>
            <w:r w:rsidRPr="0096752A">
              <w:rPr>
                <w:rFonts w:ascii="Candara" w:hAnsi="Candara" w:cs="Candara"/>
                <w:sz w:val="18"/>
                <w:szCs w:val="18"/>
                <w:lang w:val="en-US"/>
              </w:rPr>
              <w:t>Grupos</w:t>
            </w:r>
            <w:proofErr w:type="spellEnd"/>
            <w:r w:rsidRPr="0096752A">
              <w:rPr>
                <w:rFonts w:ascii="Candara" w:hAnsi="Candara" w:cs="Candara"/>
                <w:sz w:val="18"/>
                <w:szCs w:val="18"/>
                <w:lang w:val="en-US"/>
              </w:rPr>
              <w:t xml:space="preserve"> </w:t>
            </w:r>
            <w:proofErr w:type="spellStart"/>
            <w:r w:rsidRPr="0096752A">
              <w:rPr>
                <w:rFonts w:ascii="Candara" w:hAnsi="Candara" w:cs="Candara"/>
                <w:sz w:val="18"/>
                <w:szCs w:val="18"/>
                <w:lang w:val="en-US"/>
              </w:rPr>
              <w:t>independentes</w:t>
            </w:r>
            <w:proofErr w:type="spellEnd"/>
            <w:r w:rsidRPr="0096752A">
              <w:rPr>
                <w:rFonts w:ascii="Candara" w:hAnsi="Candara" w:cs="Candara"/>
                <w:sz w:val="18"/>
                <w:szCs w:val="18"/>
                <w:lang w:val="en-US"/>
              </w:rPr>
              <w:t xml:space="preserve"> </w:t>
            </w:r>
          </w:p>
          <w:p w:rsidR="000B158F" w:rsidRPr="0096752A" w:rsidRDefault="000B158F" w:rsidP="00432573">
            <w:pPr>
              <w:tabs>
                <w:tab w:val="left" w:pos="2413"/>
              </w:tabs>
              <w:ind w:right="-161"/>
              <w:rPr>
                <w:rFonts w:ascii="Candara" w:hAnsi="Candara"/>
                <w:sz w:val="18"/>
                <w:szCs w:val="18"/>
              </w:rPr>
            </w:pPr>
            <w:r w:rsidRPr="0096752A">
              <w:rPr>
                <w:rFonts w:ascii="Candara" w:hAnsi="Candara" w:cs="Candara"/>
                <w:i/>
                <w:iCs/>
                <w:sz w:val="18"/>
                <w:szCs w:val="18"/>
                <w:lang w:val="en-US"/>
              </w:rPr>
              <w:t>DP</w:t>
            </w:r>
            <w:r w:rsidRPr="0096752A">
              <w:rPr>
                <w:rFonts w:ascii="Candara" w:hAnsi="Candara" w:cs="Candara"/>
                <w:sz w:val="18"/>
                <w:szCs w:val="18"/>
                <w:lang w:val="en-US"/>
              </w:rPr>
              <w:t xml:space="preserve"> </w:t>
            </w:r>
            <w:proofErr w:type="spellStart"/>
            <w:r w:rsidRPr="0096752A">
              <w:rPr>
                <w:rFonts w:ascii="Candara" w:hAnsi="Candara" w:cs="Candara"/>
                <w:sz w:val="18"/>
                <w:szCs w:val="18"/>
                <w:lang w:val="en-US"/>
              </w:rPr>
              <w:t>similares</w:t>
            </w:r>
            <w:proofErr w:type="spellEnd"/>
          </w:p>
        </w:tc>
      </w:tr>
      <w:tr w:rsidR="000B158F" w:rsidRPr="0096752A" w:rsidTr="00A10BA1">
        <w:trPr>
          <w:trHeight w:val="680"/>
        </w:trPr>
        <w:tc>
          <w:tcPr>
            <w:tcW w:w="993" w:type="dxa"/>
            <w:tcBorders>
              <w:left w:val="nil"/>
              <w:right w:val="nil"/>
            </w:tcBorders>
            <w:vAlign w:val="center"/>
          </w:tcPr>
          <w:p w:rsidR="000B158F" w:rsidRPr="0096752A" w:rsidRDefault="000B158F" w:rsidP="00432573">
            <w:pPr>
              <w:ind w:right="-142"/>
              <w:rPr>
                <w:rFonts w:ascii="Candara" w:hAnsi="Candara"/>
                <w:sz w:val="18"/>
                <w:szCs w:val="18"/>
              </w:rPr>
            </w:pPr>
            <w:r w:rsidRPr="0096752A">
              <w:rPr>
                <w:rFonts w:ascii="Candara" w:hAnsi="Candara"/>
                <w:sz w:val="18"/>
                <w:szCs w:val="18"/>
              </w:rPr>
              <w:t>2.3</w:t>
            </w:r>
          </w:p>
        </w:tc>
        <w:tc>
          <w:tcPr>
            <w:tcW w:w="1026" w:type="dxa"/>
            <w:tcBorders>
              <w:left w:val="nil"/>
              <w:right w:val="nil"/>
            </w:tcBorders>
            <w:vAlign w:val="center"/>
          </w:tcPr>
          <w:p w:rsidR="000B158F" w:rsidRPr="0096752A" w:rsidRDefault="000B158F" w:rsidP="00432573">
            <w:pPr>
              <w:ind w:left="-108" w:right="-108"/>
              <w:jc w:val="center"/>
              <w:rPr>
                <w:rFonts w:ascii="Candara" w:hAnsi="Candara"/>
                <w:sz w:val="18"/>
                <w:szCs w:val="18"/>
              </w:rPr>
            </w:pPr>
            <w:r w:rsidRPr="0096752A">
              <w:rPr>
                <w:rFonts w:ascii="Candara" w:hAnsi="Candara" w:cs="Candara"/>
                <w:i/>
                <w:iCs/>
                <w:spacing w:val="8"/>
                <w:kern w:val="1"/>
                <w:sz w:val="18"/>
                <w:szCs w:val="18"/>
                <w:lang w:val="en-US"/>
              </w:rPr>
              <w:t>d</w:t>
            </w:r>
            <w:r w:rsidRPr="0096752A">
              <w:rPr>
                <w:rFonts w:ascii="Candara" w:hAnsi="Candara" w:cs="Candara"/>
                <w:spacing w:val="5"/>
                <w:kern w:val="1"/>
                <w:sz w:val="12"/>
                <w:szCs w:val="12"/>
                <w:vertAlign w:val="subscript"/>
                <w:lang w:val="en-US"/>
              </w:rPr>
              <w:t>m</w:t>
            </w:r>
            <w:r w:rsidRPr="0096752A">
              <w:rPr>
                <w:rFonts w:ascii="Candara" w:hAnsi="Candara" w:cs="Candara"/>
                <w:spacing w:val="8"/>
                <w:kern w:val="1"/>
                <w:sz w:val="18"/>
                <w:szCs w:val="18"/>
                <w:lang w:val="en-US"/>
              </w:rPr>
              <w:t xml:space="preserve"> de Cohen</w:t>
            </w:r>
          </w:p>
        </w:tc>
        <w:tc>
          <w:tcPr>
            <w:tcW w:w="2268" w:type="dxa"/>
            <w:tcBorders>
              <w:left w:val="nil"/>
              <w:right w:val="nil"/>
            </w:tcBorders>
            <w:vAlign w:val="center"/>
          </w:tcPr>
          <w:p w:rsidR="000B158F" w:rsidRPr="0096752A" w:rsidRDefault="00E333CB" w:rsidP="00432573">
            <w:pPr>
              <w:ind w:left="-108" w:right="-46"/>
              <w:jc w:val="center"/>
              <w:rPr>
                <w:rFonts w:ascii="Candara" w:hAnsi="Candara"/>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DP</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DP</m:t>
                            </m:r>
                          </m:e>
                          <m:sub>
                            <m:r>
                              <w:rPr>
                                <w:rFonts w:ascii="Cambria Math" w:hAnsi="Cambria Math"/>
                                <w:sz w:val="18"/>
                                <w:szCs w:val="18"/>
                              </w:rPr>
                              <m:t>2</m:t>
                            </m:r>
                          </m:sub>
                        </m:sSub>
                      </m:num>
                      <m:den>
                        <m:r>
                          <w:rPr>
                            <w:rFonts w:ascii="Cambria Math" w:hAnsi="Cambria Math"/>
                            <w:sz w:val="18"/>
                            <w:szCs w:val="18"/>
                          </w:rPr>
                          <m:t>2</m:t>
                        </m:r>
                      </m:den>
                    </m:f>
                  </m:den>
                </m:f>
              </m:oMath>
            </m:oMathPara>
          </w:p>
        </w:tc>
        <w:tc>
          <w:tcPr>
            <w:tcW w:w="1419" w:type="dxa"/>
            <w:tcBorders>
              <w:left w:val="nil"/>
              <w:right w:val="nil"/>
            </w:tcBorders>
            <w:vAlign w:val="center"/>
          </w:tcPr>
          <w:p w:rsidR="000B158F" w:rsidRPr="0096752A" w:rsidRDefault="00E333CB" w:rsidP="00432573">
            <w:pPr>
              <w:ind w:right="-44"/>
              <w:jc w:val="right"/>
              <w:rPr>
                <w:rFonts w:ascii="Candara" w:hAnsi="Candara"/>
                <w:sz w:val="18"/>
                <w:szCs w:val="18"/>
              </w:rPr>
            </w:pPr>
            <m:oMath>
              <m:f>
                <m:fPr>
                  <m:ctrlPr>
                    <w:rPr>
                      <w:rFonts w:ascii="Cambria Math" w:hAnsi="Cambria Math"/>
                      <w:i/>
                    </w:rPr>
                  </m:ctrlPr>
                </m:fPr>
                <m:num>
                  <m:sSub>
                    <m:sSubPr>
                      <m:ctrlPr>
                        <w:rPr>
                          <w:rFonts w:ascii="Cambria Math" w:hAnsi="Cambria Math"/>
                          <w:i/>
                        </w:rPr>
                      </m:ctrlPr>
                    </m:sSubPr>
                    <m:e>
                      <m:r>
                        <w:rPr>
                          <w:rFonts w:ascii="Cambria Math" w:hAnsi="Cambria Math"/>
                        </w:rPr>
                        <m:t>DP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DP</m:t>
                      </m:r>
                    </m:e>
                    <m:sub>
                      <m:r>
                        <w:rPr>
                          <w:rFonts w:ascii="Cambria Math" w:hAnsi="Cambria Math"/>
                        </w:rPr>
                        <m:t>2</m:t>
                      </m:r>
                    </m:sub>
                  </m:sSub>
                </m:num>
                <m:den>
                  <m:r>
                    <w:rPr>
                      <w:rFonts w:ascii="Cambria Math" w:hAnsi="Cambria Math"/>
                    </w:rPr>
                    <m:t>2</m:t>
                  </m:r>
                </m:den>
              </m:f>
            </m:oMath>
            <w:r w:rsidR="000B158F" w:rsidRPr="0096752A">
              <w:rPr>
                <w:rFonts w:ascii="Candara" w:hAnsi="Candara"/>
              </w:rPr>
              <w:t xml:space="preserve"> </w:t>
            </w:r>
            <w:r w:rsidR="000B158F" w:rsidRPr="0096752A">
              <w:rPr>
                <w:rFonts w:ascii="Candara" w:hAnsi="Candara"/>
                <w:sz w:val="18"/>
                <w:szCs w:val="18"/>
              </w:rPr>
              <w:t>=</w:t>
            </w:r>
          </w:p>
        </w:tc>
        <w:tc>
          <w:tcPr>
            <w:tcW w:w="2629" w:type="dxa"/>
            <w:tcBorders>
              <w:left w:val="nil"/>
              <w:right w:val="nil"/>
            </w:tcBorders>
            <w:vAlign w:val="center"/>
          </w:tcPr>
          <w:p w:rsidR="000B158F" w:rsidRPr="0096752A" w:rsidRDefault="000B158F" w:rsidP="00432573">
            <w:pPr>
              <w:ind w:right="-161"/>
              <w:rPr>
                <w:rFonts w:ascii="Candara" w:hAnsi="Candara"/>
                <w:sz w:val="18"/>
                <w:szCs w:val="18"/>
              </w:rPr>
            </w:pPr>
            <w:r w:rsidRPr="0096752A">
              <w:rPr>
                <w:rFonts w:ascii="Candara" w:hAnsi="Candara" w:cs="Candara"/>
                <w:sz w:val="18"/>
                <w:szCs w:val="18"/>
              </w:rPr>
              <w:t>Média dos desvios-padrão de ambos os grupos</w:t>
            </w:r>
          </w:p>
        </w:tc>
        <w:tc>
          <w:tcPr>
            <w:tcW w:w="2155" w:type="dxa"/>
            <w:gridSpan w:val="2"/>
            <w:tcBorders>
              <w:left w:val="nil"/>
              <w:right w:val="nil"/>
            </w:tcBorders>
            <w:vAlign w:val="center"/>
          </w:tcPr>
          <w:p w:rsidR="000B158F" w:rsidRPr="0096752A" w:rsidRDefault="000B158F" w:rsidP="00432573">
            <w:pPr>
              <w:tabs>
                <w:tab w:val="left" w:pos="2413"/>
              </w:tabs>
              <w:ind w:right="-161"/>
              <w:rPr>
                <w:rFonts w:ascii="Candara" w:hAnsi="Candara"/>
                <w:sz w:val="18"/>
                <w:szCs w:val="18"/>
              </w:rPr>
            </w:pPr>
            <w:proofErr w:type="spellStart"/>
            <w:r w:rsidRPr="0096752A">
              <w:rPr>
                <w:rFonts w:ascii="Candara" w:hAnsi="Candara" w:cs="Candara"/>
                <w:sz w:val="18"/>
                <w:szCs w:val="18"/>
                <w:lang w:val="en-US"/>
              </w:rPr>
              <w:t>Grupos</w:t>
            </w:r>
            <w:proofErr w:type="spellEnd"/>
            <w:r w:rsidRPr="0096752A">
              <w:rPr>
                <w:rFonts w:ascii="Candara" w:hAnsi="Candara" w:cs="Candara"/>
                <w:sz w:val="18"/>
                <w:szCs w:val="18"/>
                <w:lang w:val="en-US"/>
              </w:rPr>
              <w:t xml:space="preserve"> </w:t>
            </w:r>
            <w:proofErr w:type="spellStart"/>
            <w:r w:rsidRPr="0096752A">
              <w:rPr>
                <w:rFonts w:ascii="Candara" w:hAnsi="Candara" w:cs="Candara"/>
                <w:sz w:val="18"/>
                <w:szCs w:val="18"/>
                <w:lang w:val="en-US"/>
              </w:rPr>
              <w:t>emparelhados</w:t>
            </w:r>
            <w:proofErr w:type="spellEnd"/>
          </w:p>
        </w:tc>
      </w:tr>
      <w:tr w:rsidR="000B158F" w:rsidRPr="0096752A" w:rsidTr="005671CD">
        <w:trPr>
          <w:trHeight w:val="562"/>
        </w:trPr>
        <w:tc>
          <w:tcPr>
            <w:tcW w:w="993" w:type="dxa"/>
            <w:tcBorders>
              <w:left w:val="nil"/>
              <w:bottom w:val="single" w:sz="4" w:space="0" w:color="000000" w:themeColor="text1"/>
              <w:right w:val="nil"/>
            </w:tcBorders>
            <w:vAlign w:val="center"/>
          </w:tcPr>
          <w:p w:rsidR="000B158F" w:rsidRPr="0096752A" w:rsidRDefault="000B158F" w:rsidP="00432573">
            <w:pPr>
              <w:ind w:right="-142"/>
              <w:rPr>
                <w:rFonts w:ascii="Candara" w:hAnsi="Candara"/>
                <w:sz w:val="18"/>
                <w:szCs w:val="18"/>
              </w:rPr>
            </w:pPr>
            <w:r w:rsidRPr="0096752A">
              <w:rPr>
                <w:rFonts w:ascii="Candara" w:hAnsi="Candara"/>
                <w:sz w:val="18"/>
                <w:szCs w:val="18"/>
              </w:rPr>
              <w:t>2.4</w:t>
            </w:r>
          </w:p>
        </w:tc>
        <w:tc>
          <w:tcPr>
            <w:tcW w:w="1026" w:type="dxa"/>
            <w:tcBorders>
              <w:left w:val="nil"/>
              <w:bottom w:val="single" w:sz="4" w:space="0" w:color="000000" w:themeColor="text1"/>
              <w:right w:val="nil"/>
            </w:tcBorders>
            <w:vAlign w:val="center"/>
          </w:tcPr>
          <w:p w:rsidR="000B158F" w:rsidRPr="0096752A" w:rsidRDefault="000B158F" w:rsidP="00432573">
            <w:pPr>
              <w:ind w:left="-108" w:right="-108"/>
              <w:jc w:val="center"/>
              <w:rPr>
                <w:rFonts w:ascii="Candara" w:hAnsi="Candara"/>
                <w:sz w:val="18"/>
                <w:szCs w:val="18"/>
              </w:rPr>
            </w:pPr>
            <w:r w:rsidRPr="0096752A">
              <w:rPr>
                <w:rFonts w:ascii="Candara" w:hAnsi="Candara" w:cs="Candara"/>
                <w:i/>
                <w:iCs/>
                <w:sz w:val="18"/>
                <w:szCs w:val="18"/>
                <w:lang w:val="en-US"/>
              </w:rPr>
              <w:t xml:space="preserve">g </w:t>
            </w:r>
            <w:r w:rsidRPr="0096752A">
              <w:rPr>
                <w:rFonts w:ascii="Candara" w:hAnsi="Candara" w:cs="Candara"/>
                <w:sz w:val="18"/>
                <w:szCs w:val="18"/>
                <w:lang w:val="en-US"/>
              </w:rPr>
              <w:t>de Hedges</w:t>
            </w:r>
          </w:p>
        </w:tc>
        <w:tc>
          <w:tcPr>
            <w:tcW w:w="2268" w:type="dxa"/>
            <w:tcBorders>
              <w:left w:val="nil"/>
              <w:bottom w:val="single" w:sz="4" w:space="0" w:color="000000" w:themeColor="text1"/>
              <w:right w:val="nil"/>
            </w:tcBorders>
            <w:vAlign w:val="center"/>
          </w:tcPr>
          <w:p w:rsidR="000B158F" w:rsidRPr="0096752A" w:rsidRDefault="00E333CB" w:rsidP="00432573">
            <w:pPr>
              <w:ind w:left="-108" w:right="-46"/>
              <w:jc w:val="center"/>
              <w:rPr>
                <w:rFonts w:ascii="Candara" w:hAnsi="Candara"/>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DP</m:t>
                        </m:r>
                      </m:e>
                      <m:sub>
                        <m:r>
                          <w:rPr>
                            <w:rFonts w:ascii="Cambria Math" w:hAnsi="Cambria Math"/>
                            <w:sz w:val="18"/>
                            <w:szCs w:val="18"/>
                          </w:rPr>
                          <m:t>combinado</m:t>
                        </m:r>
                      </m:sub>
                    </m:sSub>
                  </m:den>
                </m:f>
                <m:r>
                  <w:rPr>
                    <w:rFonts w:ascii="Cambria Math" w:hAnsi="Cambria Math"/>
                    <w:sz w:val="18"/>
                    <w:szCs w:val="18"/>
                  </w:rPr>
                  <m:t xml:space="preserve">(1- </m:t>
                </m:r>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4gl-1</m:t>
                    </m:r>
                  </m:den>
                </m:f>
                <m:r>
                  <w:rPr>
                    <w:rFonts w:ascii="Cambria Math" w:hAnsi="Cambria Math"/>
                    <w:sz w:val="18"/>
                    <w:szCs w:val="18"/>
                  </w:rPr>
                  <m:t>)</m:t>
                </m:r>
              </m:oMath>
            </m:oMathPara>
          </w:p>
        </w:tc>
        <w:tc>
          <w:tcPr>
            <w:tcW w:w="1419" w:type="dxa"/>
            <w:tcBorders>
              <w:left w:val="nil"/>
              <w:bottom w:val="single" w:sz="4" w:space="0" w:color="000000" w:themeColor="text1"/>
              <w:right w:val="nil"/>
            </w:tcBorders>
            <w:vAlign w:val="center"/>
          </w:tcPr>
          <w:p w:rsidR="000B158F" w:rsidRPr="0096752A" w:rsidRDefault="000B158F" w:rsidP="00432573">
            <w:pPr>
              <w:ind w:right="-44"/>
              <w:jc w:val="right"/>
              <w:rPr>
                <w:rFonts w:ascii="Candara" w:hAnsi="Candara"/>
                <w:sz w:val="18"/>
                <w:szCs w:val="18"/>
              </w:rPr>
            </w:pPr>
            <w:proofErr w:type="spellStart"/>
            <w:r w:rsidRPr="0096752A">
              <w:rPr>
                <w:rFonts w:ascii="Candara" w:hAnsi="Candara" w:cs="Candara"/>
                <w:i/>
                <w:iCs/>
                <w:sz w:val="18"/>
                <w:szCs w:val="18"/>
                <w:lang w:val="en-US"/>
              </w:rPr>
              <w:t>DP</w:t>
            </w:r>
            <w:r w:rsidRPr="0096752A">
              <w:rPr>
                <w:rFonts w:ascii="Candara" w:hAnsi="Candara" w:cs="Candara"/>
                <w:sz w:val="18"/>
                <w:szCs w:val="18"/>
                <w:vertAlign w:val="subscript"/>
                <w:lang w:val="en-US"/>
              </w:rPr>
              <w:t>combinado</w:t>
            </w:r>
            <w:proofErr w:type="spellEnd"/>
            <w:r w:rsidRPr="0096752A">
              <w:rPr>
                <w:rFonts w:ascii="Candara" w:hAnsi="Candara" w:cs="Candara"/>
                <w:sz w:val="18"/>
                <w:szCs w:val="18"/>
                <w:vertAlign w:val="subscript"/>
                <w:lang w:val="en-US"/>
              </w:rPr>
              <w:t xml:space="preserve"> </w:t>
            </w:r>
            <w:r w:rsidRPr="0096752A">
              <w:rPr>
                <w:rFonts w:ascii="Candara" w:hAnsi="Candara" w:cs="Candara"/>
                <w:sz w:val="18"/>
                <w:szCs w:val="18"/>
                <w:lang w:val="en-US"/>
              </w:rPr>
              <w:t>=</w:t>
            </w:r>
          </w:p>
        </w:tc>
        <w:tc>
          <w:tcPr>
            <w:tcW w:w="2629" w:type="dxa"/>
            <w:tcBorders>
              <w:left w:val="nil"/>
              <w:bottom w:val="single" w:sz="4" w:space="0" w:color="000000" w:themeColor="text1"/>
              <w:right w:val="nil"/>
            </w:tcBorders>
            <w:vAlign w:val="center"/>
          </w:tcPr>
          <w:p w:rsidR="000B158F" w:rsidRPr="0096752A" w:rsidRDefault="00E333CB" w:rsidP="00432573">
            <w:pPr>
              <w:ind w:right="-161"/>
              <w:rPr>
                <w:rFonts w:ascii="Candara" w:hAnsi="Candara"/>
                <w:sz w:val="18"/>
                <w:szCs w:val="18"/>
              </w:rPr>
            </w:pPr>
            <m:oMathPara>
              <m:oMath>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-1</m:t>
                        </m:r>
                      </m:e>
                    </m:d>
                    <m:sSubSup>
                      <m:sSubSupPr>
                        <m:ctrlPr>
                          <w:rPr>
                            <w:rFonts w:ascii="Cambria Math" w:hAnsi="Cambria Math"/>
                            <w:i/>
                            <w:sz w:val="18"/>
                            <w:szCs w:val="18"/>
                          </w:rPr>
                        </m:ctrlPr>
                      </m:sSubSupPr>
                      <m:e>
                        <m:r>
                          <w:rPr>
                            <w:rFonts w:ascii="Cambria Math" w:hAnsi="Cambria Math"/>
                            <w:sz w:val="18"/>
                            <w:szCs w:val="18"/>
                          </w:rPr>
                          <m:t>DP</m:t>
                        </m:r>
                      </m:e>
                      <m:sub>
                        <m:r>
                          <w:rPr>
                            <w:rFonts w:ascii="Cambria Math" w:hAnsi="Cambria Math"/>
                            <w:sz w:val="18"/>
                            <w:szCs w:val="18"/>
                          </w:rPr>
                          <m:t>1</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DP</m:t>
                        </m:r>
                      </m:e>
                      <m:sub>
                        <m:r>
                          <w:rPr>
                            <w:rFonts w:ascii="Cambria Math" w:hAnsi="Cambria Math"/>
                            <w:sz w:val="18"/>
                            <w:szCs w:val="18"/>
                          </w:rPr>
                          <m:t>2</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-2</m:t>
                    </m:r>
                  </m:den>
                </m:f>
              </m:oMath>
            </m:oMathPara>
          </w:p>
        </w:tc>
        <w:tc>
          <w:tcPr>
            <w:tcW w:w="2155" w:type="dxa"/>
            <w:gridSpan w:val="2"/>
            <w:tcBorders>
              <w:left w:val="nil"/>
              <w:bottom w:val="single" w:sz="4" w:space="0" w:color="000000" w:themeColor="text1"/>
              <w:right w:val="nil"/>
            </w:tcBorders>
            <w:vAlign w:val="center"/>
          </w:tcPr>
          <w:p w:rsidR="000B158F" w:rsidRPr="0096752A" w:rsidRDefault="000B158F" w:rsidP="00432573">
            <w:pPr>
              <w:tabs>
                <w:tab w:val="left" w:pos="2413"/>
              </w:tabs>
              <w:ind w:right="-161"/>
              <w:rPr>
                <w:rFonts w:ascii="Candara" w:hAnsi="Candara"/>
                <w:sz w:val="18"/>
                <w:szCs w:val="18"/>
              </w:rPr>
            </w:pPr>
            <w:r w:rsidRPr="0096752A">
              <w:rPr>
                <w:rFonts w:ascii="Candara" w:hAnsi="Candara" w:cs="Candara"/>
                <w:sz w:val="18"/>
                <w:szCs w:val="18"/>
              </w:rPr>
              <w:t>Tamanhos dos grupos diferentes; meta-análise</w:t>
            </w:r>
          </w:p>
        </w:tc>
      </w:tr>
      <w:tr w:rsidR="000B158F" w:rsidRPr="0096752A" w:rsidTr="005671CD">
        <w:trPr>
          <w:trHeight w:val="444"/>
        </w:trPr>
        <w:tc>
          <w:tcPr>
            <w:tcW w:w="993" w:type="dxa"/>
            <w:tcBorders>
              <w:left w:val="nil"/>
              <w:bottom w:val="single" w:sz="12" w:space="0" w:color="7F7F7F" w:themeColor="text1" w:themeTint="80"/>
              <w:right w:val="nil"/>
            </w:tcBorders>
            <w:vAlign w:val="center"/>
          </w:tcPr>
          <w:p w:rsidR="000B158F" w:rsidRPr="0096752A" w:rsidRDefault="000B158F" w:rsidP="00432573">
            <w:pPr>
              <w:ind w:right="-142"/>
              <w:rPr>
                <w:rFonts w:ascii="Candara" w:hAnsi="Candara"/>
                <w:sz w:val="18"/>
                <w:szCs w:val="18"/>
              </w:rPr>
            </w:pPr>
            <w:r w:rsidRPr="0096752A">
              <w:rPr>
                <w:rFonts w:ascii="Candara" w:hAnsi="Candara"/>
                <w:sz w:val="18"/>
                <w:szCs w:val="18"/>
              </w:rPr>
              <w:t>2.5</w:t>
            </w:r>
          </w:p>
        </w:tc>
        <w:tc>
          <w:tcPr>
            <w:tcW w:w="1026" w:type="dxa"/>
            <w:tcBorders>
              <w:left w:val="nil"/>
              <w:bottom w:val="single" w:sz="12" w:space="0" w:color="7F7F7F" w:themeColor="text1" w:themeTint="80"/>
              <w:right w:val="nil"/>
            </w:tcBorders>
            <w:vAlign w:val="center"/>
          </w:tcPr>
          <w:p w:rsidR="000B158F" w:rsidRPr="0096752A" w:rsidRDefault="000B158F" w:rsidP="00432573">
            <w:pPr>
              <w:ind w:left="-108" w:right="-108"/>
              <w:jc w:val="center"/>
              <w:rPr>
                <w:rFonts w:ascii="Candara" w:hAnsi="Candara"/>
                <w:sz w:val="18"/>
                <w:szCs w:val="18"/>
              </w:rPr>
            </w:pPr>
            <w:r w:rsidRPr="0096752A">
              <w:rPr>
                <w:rFonts w:ascii="Candara" w:hAnsi="Candara" w:cs="Candara"/>
                <w:spacing w:val="14"/>
                <w:kern w:val="1"/>
                <w:sz w:val="18"/>
                <w:szCs w:val="18"/>
                <w:lang w:val="en-US"/>
              </w:rPr>
              <w:t>Δ de Glass</w:t>
            </w:r>
          </w:p>
        </w:tc>
        <w:tc>
          <w:tcPr>
            <w:tcW w:w="2268" w:type="dxa"/>
            <w:tcBorders>
              <w:left w:val="nil"/>
              <w:bottom w:val="single" w:sz="12" w:space="0" w:color="7F7F7F" w:themeColor="text1" w:themeTint="80"/>
              <w:right w:val="nil"/>
            </w:tcBorders>
            <w:vAlign w:val="center"/>
          </w:tcPr>
          <w:p w:rsidR="000B158F" w:rsidRPr="0096752A" w:rsidRDefault="00E333CB" w:rsidP="00432573">
            <w:pPr>
              <w:ind w:left="-108" w:right="-46"/>
              <w:jc w:val="center"/>
              <w:rPr>
                <w:rFonts w:ascii="Candara" w:hAnsi="Candara"/>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DP</m:t>
                        </m:r>
                      </m:e>
                      <m:sub>
                        <m:r>
                          <w:rPr>
                            <w:rFonts w:ascii="Cambria Math" w:hAnsi="Cambria Math"/>
                            <w:sz w:val="18"/>
                            <w:szCs w:val="18"/>
                          </w:rPr>
                          <m:t>Controlo</m:t>
                        </m:r>
                      </m:sub>
                    </m:sSub>
                  </m:den>
                </m:f>
              </m:oMath>
            </m:oMathPara>
          </w:p>
        </w:tc>
        <w:tc>
          <w:tcPr>
            <w:tcW w:w="1419" w:type="dxa"/>
            <w:tcBorders>
              <w:left w:val="nil"/>
              <w:bottom w:val="single" w:sz="12" w:space="0" w:color="7F7F7F" w:themeColor="text1" w:themeTint="80"/>
              <w:right w:val="nil"/>
            </w:tcBorders>
            <w:vAlign w:val="center"/>
          </w:tcPr>
          <w:p w:rsidR="000B158F" w:rsidRPr="0096752A" w:rsidRDefault="000B158F" w:rsidP="00432573">
            <w:pPr>
              <w:ind w:right="-44"/>
              <w:jc w:val="right"/>
              <w:rPr>
                <w:rFonts w:ascii="Candara" w:hAnsi="Candara"/>
                <w:sz w:val="18"/>
                <w:szCs w:val="18"/>
              </w:rPr>
            </w:pPr>
            <w:proofErr w:type="spellStart"/>
            <w:r w:rsidRPr="0096752A">
              <w:rPr>
                <w:rFonts w:ascii="Candara" w:hAnsi="Candara" w:cs="Candara"/>
                <w:i/>
                <w:iCs/>
                <w:sz w:val="18"/>
                <w:szCs w:val="18"/>
                <w:lang w:val="en-US"/>
              </w:rPr>
              <w:t>DP</w:t>
            </w:r>
            <w:r w:rsidRPr="0096752A">
              <w:rPr>
                <w:rFonts w:ascii="Candara" w:hAnsi="Candara" w:cs="Candara"/>
                <w:sz w:val="18"/>
                <w:szCs w:val="18"/>
                <w:vertAlign w:val="subscript"/>
                <w:lang w:val="en-US"/>
              </w:rPr>
              <w:t>controlo</w:t>
            </w:r>
            <w:proofErr w:type="spellEnd"/>
            <w:r w:rsidRPr="0096752A">
              <w:rPr>
                <w:rFonts w:ascii="Candara" w:hAnsi="Candara" w:cs="Candara"/>
                <w:sz w:val="18"/>
                <w:szCs w:val="18"/>
                <w:vertAlign w:val="subscript"/>
                <w:lang w:val="en-US"/>
              </w:rPr>
              <w:t xml:space="preserve"> </w:t>
            </w:r>
            <w:r w:rsidRPr="0096752A">
              <w:rPr>
                <w:rFonts w:ascii="Candara" w:hAnsi="Candara" w:cs="Candara"/>
                <w:sz w:val="18"/>
                <w:szCs w:val="18"/>
                <w:lang w:val="en-US"/>
              </w:rPr>
              <w:t>=</w:t>
            </w:r>
          </w:p>
        </w:tc>
        <w:tc>
          <w:tcPr>
            <w:tcW w:w="2629" w:type="dxa"/>
            <w:tcBorders>
              <w:left w:val="nil"/>
              <w:bottom w:val="single" w:sz="12" w:space="0" w:color="7F7F7F" w:themeColor="text1" w:themeTint="80"/>
              <w:right w:val="nil"/>
            </w:tcBorders>
            <w:vAlign w:val="center"/>
          </w:tcPr>
          <w:p w:rsidR="000B158F" w:rsidRPr="0096752A" w:rsidRDefault="000B158F" w:rsidP="00432573">
            <w:pPr>
              <w:ind w:right="-161"/>
              <w:rPr>
                <w:rFonts w:ascii="Candara" w:hAnsi="Candara"/>
                <w:sz w:val="18"/>
                <w:szCs w:val="18"/>
              </w:rPr>
            </w:pPr>
            <w:r w:rsidRPr="0096752A">
              <w:rPr>
                <w:rFonts w:ascii="Candara" w:hAnsi="Candara" w:cs="Candara"/>
                <w:i/>
                <w:iCs/>
                <w:sz w:val="18"/>
                <w:szCs w:val="18"/>
              </w:rPr>
              <w:t>DP</w:t>
            </w:r>
            <w:r w:rsidRPr="0096752A">
              <w:rPr>
                <w:rFonts w:ascii="Candara" w:hAnsi="Candara" w:cs="Candara"/>
                <w:sz w:val="18"/>
                <w:szCs w:val="18"/>
              </w:rPr>
              <w:t xml:space="preserve"> do grupo de controlo</w:t>
            </w:r>
          </w:p>
        </w:tc>
        <w:tc>
          <w:tcPr>
            <w:tcW w:w="2155" w:type="dxa"/>
            <w:gridSpan w:val="2"/>
            <w:tcBorders>
              <w:left w:val="nil"/>
              <w:bottom w:val="single" w:sz="12" w:space="0" w:color="7F7F7F" w:themeColor="text1" w:themeTint="80"/>
              <w:right w:val="nil"/>
            </w:tcBorders>
            <w:vAlign w:val="center"/>
          </w:tcPr>
          <w:p w:rsidR="000B158F" w:rsidRPr="0096752A" w:rsidRDefault="000B158F" w:rsidP="00432573">
            <w:pPr>
              <w:tabs>
                <w:tab w:val="left" w:pos="2413"/>
              </w:tabs>
              <w:ind w:right="-161"/>
              <w:rPr>
                <w:rFonts w:ascii="Candara" w:hAnsi="Candara"/>
                <w:sz w:val="18"/>
                <w:szCs w:val="18"/>
              </w:rPr>
            </w:pPr>
            <w:r w:rsidRPr="0096752A">
              <w:rPr>
                <w:rFonts w:ascii="Candara" w:hAnsi="Candara" w:cs="Candara"/>
                <w:i/>
                <w:iCs/>
                <w:sz w:val="18"/>
                <w:szCs w:val="18"/>
              </w:rPr>
              <w:t>DP</w:t>
            </w:r>
            <w:r w:rsidRPr="0096752A">
              <w:rPr>
                <w:rFonts w:ascii="Candara" w:hAnsi="Candara" w:cs="Candara"/>
                <w:sz w:val="18"/>
                <w:szCs w:val="18"/>
              </w:rPr>
              <w:t xml:space="preserve"> diferentes e violação da homogeneidade de variâncias</w:t>
            </w:r>
          </w:p>
        </w:tc>
      </w:tr>
      <w:tr w:rsidR="000B158F" w:rsidRPr="0096752A" w:rsidTr="00A10BA1">
        <w:trPr>
          <w:gridAfter w:val="1"/>
          <w:wAfter w:w="283" w:type="dxa"/>
          <w:trHeight w:val="680"/>
        </w:trPr>
        <w:tc>
          <w:tcPr>
            <w:tcW w:w="10207" w:type="dxa"/>
            <w:gridSpan w:val="6"/>
            <w:tcBorders>
              <w:left w:val="nil"/>
              <w:bottom w:val="nil"/>
              <w:right w:val="nil"/>
            </w:tcBorders>
            <w:vAlign w:val="center"/>
          </w:tcPr>
          <w:p w:rsidR="000B158F" w:rsidRPr="0096752A" w:rsidRDefault="000B158F" w:rsidP="005671CD">
            <w:pPr>
              <w:spacing w:before="60"/>
              <w:jc w:val="both"/>
              <w:rPr>
                <w:rFonts w:ascii="Candara" w:hAnsi="Candara"/>
                <w:sz w:val="18"/>
                <w:szCs w:val="18"/>
              </w:rPr>
            </w:pPr>
            <w:r w:rsidRPr="0096752A">
              <w:rPr>
                <w:rFonts w:ascii="Candara" w:hAnsi="Candara" w:cs="Candara"/>
                <w:i/>
                <w:iCs/>
                <w:sz w:val="14"/>
                <w:szCs w:val="14"/>
              </w:rPr>
              <w:t>Notas</w:t>
            </w:r>
            <w:proofErr w:type="gramStart"/>
            <w:r w:rsidRPr="0096752A">
              <w:rPr>
                <w:rFonts w:ascii="Candara" w:hAnsi="Candara" w:cs="Candara"/>
                <w:sz w:val="14"/>
                <w:szCs w:val="14"/>
              </w:rPr>
              <w:t xml:space="preserve">:  </w:t>
            </w:r>
            <w:r w:rsidRPr="0096752A">
              <w:rPr>
                <w:rFonts w:ascii="Candara" w:hAnsi="Candara" w:cs="Candara"/>
                <w:i/>
                <w:iCs/>
                <w:sz w:val="14"/>
                <w:szCs w:val="14"/>
              </w:rPr>
              <w:t>M</w:t>
            </w:r>
            <w:proofErr w:type="gramEnd"/>
            <w:r w:rsidRPr="0096752A">
              <w:rPr>
                <w:rFonts w:ascii="Candara" w:hAnsi="Candara" w:cs="Candara"/>
                <w:sz w:val="14"/>
                <w:szCs w:val="14"/>
              </w:rPr>
              <w:t xml:space="preserve"> = média de cada grupo; </w:t>
            </w:r>
            <w:r w:rsidRPr="0096752A">
              <w:rPr>
                <w:rFonts w:ascii="Candara" w:hAnsi="Candara" w:cs="Candara"/>
                <w:i/>
                <w:iCs/>
                <w:sz w:val="14"/>
                <w:szCs w:val="14"/>
              </w:rPr>
              <w:t>DP</w:t>
            </w:r>
            <w:r w:rsidRPr="0096752A">
              <w:rPr>
                <w:rFonts w:ascii="Candara" w:hAnsi="Candara" w:cs="Candara"/>
                <w:sz w:val="14"/>
                <w:szCs w:val="14"/>
              </w:rPr>
              <w:t xml:space="preserve"> = desvio-padrão de cada grupo</w:t>
            </w:r>
            <w:proofErr w:type="gramStart"/>
            <w:r w:rsidRPr="0096752A">
              <w:rPr>
                <w:rFonts w:ascii="Candara" w:hAnsi="Candara" w:cs="Candara"/>
                <w:sz w:val="14"/>
                <w:szCs w:val="14"/>
              </w:rPr>
              <w:t xml:space="preserve">;  </w:t>
            </w:r>
            <w:r w:rsidRPr="0096752A">
              <w:rPr>
                <w:rFonts w:ascii="Candara" w:hAnsi="Candara" w:cs="Candara"/>
                <w:i/>
                <w:iCs/>
                <w:sz w:val="14"/>
                <w:szCs w:val="14"/>
              </w:rPr>
              <w:t>n</w:t>
            </w:r>
            <w:proofErr w:type="gramEnd"/>
            <w:r w:rsidRPr="0096752A">
              <w:rPr>
                <w:rFonts w:ascii="Candara" w:hAnsi="Candara" w:cs="Candara"/>
                <w:sz w:val="14"/>
                <w:szCs w:val="14"/>
              </w:rPr>
              <w:t xml:space="preserve"> = número de sujeitos; </w:t>
            </w:r>
            <w:proofErr w:type="spellStart"/>
            <w:r w:rsidRPr="0096752A">
              <w:rPr>
                <w:rFonts w:ascii="Candara" w:hAnsi="Candara" w:cs="Candara"/>
                <w:i/>
                <w:iCs/>
                <w:sz w:val="14"/>
                <w:szCs w:val="14"/>
              </w:rPr>
              <w:t>gl</w:t>
            </w:r>
            <w:proofErr w:type="spellEnd"/>
            <w:r w:rsidRPr="0096752A">
              <w:rPr>
                <w:rFonts w:ascii="Candara" w:hAnsi="Candara" w:cs="Candara"/>
                <w:sz w:val="14"/>
                <w:szCs w:val="14"/>
              </w:rPr>
              <w:t xml:space="preserve"> = graus de liberdade </w:t>
            </w:r>
            <w:r w:rsidRPr="0096752A">
              <w:rPr>
                <w:rFonts w:ascii="Candara" w:hAnsi="Candara" w:cs="Candara"/>
                <w:i/>
                <w:iCs/>
                <w:sz w:val="14"/>
                <w:szCs w:val="14"/>
              </w:rPr>
              <w:t>(n</w:t>
            </w:r>
            <w:r w:rsidRPr="0096752A">
              <w:rPr>
                <w:rFonts w:ascii="Candara" w:hAnsi="Candara" w:cs="Candara"/>
                <w:sz w:val="14"/>
                <w:szCs w:val="14"/>
              </w:rPr>
              <w:t xml:space="preserve"> -1) e </w:t>
            </w:r>
            <w:r w:rsidRPr="0096752A">
              <w:rPr>
                <w:rFonts w:ascii="Candara" w:hAnsi="Candara" w:cs="Candara"/>
                <w:i/>
                <w:iCs/>
                <w:sz w:val="14"/>
                <w:szCs w:val="14"/>
              </w:rPr>
              <w:t>d</w:t>
            </w:r>
            <w:r w:rsidRPr="0096752A">
              <w:rPr>
                <w:rFonts w:ascii="Candara" w:hAnsi="Candara" w:cs="Candara"/>
                <w:i/>
                <w:iCs/>
                <w:sz w:val="9"/>
                <w:szCs w:val="9"/>
                <w:vertAlign w:val="subscript"/>
              </w:rPr>
              <w:t>m</w:t>
            </w:r>
            <w:r w:rsidRPr="0096752A">
              <w:rPr>
                <w:rFonts w:ascii="Candara" w:hAnsi="Candara" w:cs="Candara"/>
                <w:sz w:val="14"/>
                <w:szCs w:val="14"/>
              </w:rPr>
              <w:t xml:space="preserve"> = desvio-padrão médio. Os números 1 e 2 em índice referem-se ao grupo 1 (</w:t>
            </w:r>
            <w:r w:rsidR="00494E85">
              <w:rPr>
                <w:rFonts w:ascii="Candara" w:hAnsi="Candara" w:cs="Candara"/>
                <w:sz w:val="14"/>
                <w:szCs w:val="14"/>
              </w:rPr>
              <w:t>p. e.</w:t>
            </w:r>
            <w:r w:rsidRPr="0096752A">
              <w:rPr>
                <w:rFonts w:ascii="Candara" w:hAnsi="Candara" w:cs="Candara"/>
                <w:sz w:val="14"/>
                <w:szCs w:val="14"/>
              </w:rPr>
              <w:t>, grupo experimental, grupo de tratamento ou grupo alvo) e ao grupo 2 (</w:t>
            </w:r>
            <w:r w:rsidR="00494E85">
              <w:rPr>
                <w:rFonts w:ascii="Candara" w:hAnsi="Candara" w:cs="Candara"/>
                <w:sz w:val="14"/>
                <w:szCs w:val="14"/>
              </w:rPr>
              <w:t>p. e.</w:t>
            </w:r>
            <w:r w:rsidRPr="0096752A">
              <w:rPr>
                <w:rFonts w:ascii="Candara" w:hAnsi="Candara" w:cs="Candara"/>
                <w:sz w:val="14"/>
                <w:szCs w:val="14"/>
              </w:rPr>
              <w:t xml:space="preserve">, controlo ou de comparação). Tabela baseada nas seguintes referências: Cohen (1992); </w:t>
            </w:r>
            <w:proofErr w:type="spellStart"/>
            <w:r w:rsidRPr="0096752A">
              <w:rPr>
                <w:rFonts w:ascii="Candara" w:hAnsi="Candara" w:cs="Candara"/>
                <w:sz w:val="14"/>
                <w:szCs w:val="14"/>
              </w:rPr>
              <w:t>Borenstein</w:t>
            </w:r>
            <w:proofErr w:type="spellEnd"/>
            <w:r w:rsidRPr="0096752A">
              <w:rPr>
                <w:rFonts w:ascii="Candara" w:hAnsi="Candara" w:cs="Candara"/>
                <w:sz w:val="14"/>
                <w:szCs w:val="14"/>
              </w:rPr>
              <w:t xml:space="preserve"> (2009);</w:t>
            </w:r>
            <w:r w:rsidRPr="0096752A">
              <w:rPr>
                <w:rFonts w:ascii="Candara" w:hAnsi="Candara" w:cs="Candara"/>
                <w:color w:val="BE000B"/>
                <w:sz w:val="14"/>
                <w:szCs w:val="14"/>
              </w:rPr>
              <w:t xml:space="preserve"> </w:t>
            </w:r>
            <w:proofErr w:type="spellStart"/>
            <w:r w:rsidRPr="0096752A">
              <w:rPr>
                <w:rFonts w:ascii="Candara" w:hAnsi="Candara" w:cs="Candara"/>
                <w:sz w:val="14"/>
                <w:szCs w:val="14"/>
              </w:rPr>
              <w:t>Cummings</w:t>
            </w:r>
            <w:proofErr w:type="spellEnd"/>
            <w:r w:rsidRPr="0096752A">
              <w:rPr>
                <w:rFonts w:ascii="Candara" w:hAnsi="Candara" w:cs="Candara"/>
                <w:sz w:val="14"/>
                <w:szCs w:val="14"/>
              </w:rPr>
              <w:t xml:space="preserve"> (2012); </w:t>
            </w:r>
            <w:proofErr w:type="spellStart"/>
            <w:r w:rsidRPr="0096752A">
              <w:rPr>
                <w:rFonts w:ascii="Candara" w:hAnsi="Candara" w:cs="Candara"/>
                <w:sz w:val="14"/>
                <w:szCs w:val="14"/>
              </w:rPr>
              <w:t>Hedges</w:t>
            </w:r>
            <w:proofErr w:type="spellEnd"/>
            <w:r w:rsidRPr="0096752A">
              <w:rPr>
                <w:rFonts w:ascii="Candara" w:hAnsi="Candara" w:cs="Candara"/>
                <w:sz w:val="14"/>
                <w:szCs w:val="14"/>
              </w:rPr>
              <w:t xml:space="preserve"> (1981); </w:t>
            </w:r>
            <w:proofErr w:type="spellStart"/>
            <w:r w:rsidRPr="0096752A">
              <w:rPr>
                <w:rFonts w:ascii="Candara" w:hAnsi="Candara" w:cs="Candara"/>
                <w:sz w:val="14"/>
                <w:szCs w:val="14"/>
              </w:rPr>
              <w:t>Lakens</w:t>
            </w:r>
            <w:proofErr w:type="spellEnd"/>
            <w:r w:rsidRPr="0096752A">
              <w:rPr>
                <w:rFonts w:ascii="Candara" w:hAnsi="Candara" w:cs="Candara"/>
                <w:sz w:val="14"/>
                <w:szCs w:val="14"/>
              </w:rPr>
              <w:t xml:space="preserve"> (2013) e </w:t>
            </w:r>
            <w:proofErr w:type="spellStart"/>
            <w:r w:rsidRPr="0096752A">
              <w:rPr>
                <w:rFonts w:ascii="Candara" w:hAnsi="Candara" w:cs="Candara"/>
                <w:sz w:val="14"/>
                <w:szCs w:val="14"/>
              </w:rPr>
              <w:t>Rosenthal</w:t>
            </w:r>
            <w:proofErr w:type="spellEnd"/>
            <w:r w:rsidRPr="0096752A">
              <w:rPr>
                <w:rFonts w:ascii="Candara" w:hAnsi="Candara" w:cs="Candara"/>
                <w:sz w:val="14"/>
                <w:szCs w:val="14"/>
              </w:rPr>
              <w:t xml:space="preserve"> (1994).</w:t>
            </w:r>
          </w:p>
        </w:tc>
      </w:tr>
    </w:tbl>
    <w:p w:rsidR="000B158F" w:rsidRPr="0096752A" w:rsidRDefault="000B158F" w:rsidP="005671CD">
      <w:pPr>
        <w:pStyle w:val="FormalivreA"/>
        <w:spacing w:before="240" w:line="276" w:lineRule="auto"/>
        <w:jc w:val="both"/>
        <w:rPr>
          <w:rFonts w:ascii="Candara" w:hAnsi="Candara"/>
          <w:sz w:val="20"/>
          <w:lang w:val="pt-PT"/>
        </w:rPr>
        <w:sectPr w:rsidR="000B158F" w:rsidRPr="0096752A" w:rsidSect="000B158F">
          <w:type w:val="continuous"/>
          <w:pgSz w:w="11906" w:h="16838"/>
          <w:pgMar w:top="720" w:right="720" w:bottom="720" w:left="720" w:header="708" w:footer="708" w:gutter="0"/>
          <w:cols w:space="566"/>
          <w:docGrid w:linePitch="360"/>
        </w:sectPr>
      </w:pPr>
    </w:p>
    <w:p w:rsidR="00691E52" w:rsidRDefault="00691E52" w:rsidP="000B158F">
      <w:pPr>
        <w:pStyle w:val="FormalivreA"/>
        <w:spacing w:line="276" w:lineRule="auto"/>
        <w:jc w:val="both"/>
        <w:rPr>
          <w:rFonts w:ascii="Candara" w:hAnsi="Candara"/>
          <w:sz w:val="20"/>
          <w:lang w:val="pt-PT"/>
        </w:rPr>
      </w:pPr>
    </w:p>
    <w:p w:rsidR="00691E52" w:rsidRDefault="00691E52" w:rsidP="000B158F">
      <w:pPr>
        <w:pStyle w:val="FormalivreA"/>
        <w:spacing w:line="276" w:lineRule="auto"/>
        <w:jc w:val="both"/>
        <w:rPr>
          <w:rFonts w:ascii="Candara" w:hAnsi="Candara"/>
          <w:sz w:val="20"/>
          <w:lang w:val="pt-PT"/>
        </w:rPr>
      </w:pPr>
    </w:p>
    <w:p w:rsidR="00691E52" w:rsidRDefault="00691E52" w:rsidP="000B158F">
      <w:pPr>
        <w:pStyle w:val="FormalivreA"/>
        <w:spacing w:line="276" w:lineRule="auto"/>
        <w:jc w:val="both"/>
        <w:rPr>
          <w:rFonts w:ascii="Candara" w:hAnsi="Candara"/>
          <w:sz w:val="20"/>
          <w:lang w:val="pt-PT"/>
        </w:rPr>
      </w:pPr>
    </w:p>
    <w:p w:rsidR="00DF5881" w:rsidRPr="0096752A" w:rsidRDefault="00DF5881" w:rsidP="000B158F">
      <w:pPr>
        <w:pStyle w:val="FormalivreA"/>
        <w:spacing w:line="276" w:lineRule="auto"/>
        <w:jc w:val="both"/>
        <w:rPr>
          <w:rFonts w:ascii="Candara" w:hAnsi="Candara"/>
          <w:sz w:val="20"/>
          <w:lang w:val="pt-PT"/>
        </w:rPr>
      </w:pPr>
      <w:proofErr w:type="spellStart"/>
      <w:r w:rsidRPr="0096752A">
        <w:rPr>
          <w:rFonts w:ascii="Candara" w:hAnsi="Candara"/>
          <w:sz w:val="20"/>
          <w:lang w:val="pt-PT"/>
        </w:rPr>
        <w:lastRenderedPageBreak/>
        <w:t>Lipsey</w:t>
      </w:r>
      <w:proofErr w:type="spellEnd"/>
      <w:r w:rsidRPr="0096752A">
        <w:rPr>
          <w:rFonts w:ascii="Candara" w:hAnsi="Candara"/>
          <w:sz w:val="20"/>
          <w:lang w:val="pt-PT"/>
        </w:rPr>
        <w:t xml:space="preserve"> e colaboradores (2012, p. 5), ao incluir as </w:t>
      </w:r>
      <w:proofErr w:type="spellStart"/>
      <w:r w:rsidRPr="0096752A">
        <w:rPr>
          <w:rFonts w:ascii="Candara" w:hAnsi="Candara"/>
          <w:sz w:val="20"/>
          <w:lang w:val="pt-PT"/>
        </w:rPr>
        <w:t>covariáveis</w:t>
      </w:r>
      <w:proofErr w:type="spellEnd"/>
      <w:r w:rsidRPr="0096752A">
        <w:rPr>
          <w:rFonts w:ascii="Candara" w:hAnsi="Candara"/>
          <w:sz w:val="20"/>
          <w:lang w:val="pt-PT"/>
        </w:rPr>
        <w:t xml:space="preserve"> da linha base, a melhor estimativa do efeito da intervenção consiste na diferença das médias ajustadas pelas </w:t>
      </w:r>
      <w:proofErr w:type="spellStart"/>
      <w:r w:rsidRPr="0096752A">
        <w:rPr>
          <w:rFonts w:ascii="Candara" w:hAnsi="Candara"/>
          <w:sz w:val="20"/>
          <w:lang w:val="pt-PT"/>
        </w:rPr>
        <w:t>covariáveis</w:t>
      </w:r>
      <w:proofErr w:type="spellEnd"/>
      <w:r w:rsidRPr="0096752A">
        <w:rPr>
          <w:rFonts w:ascii="Candara" w:hAnsi="Candara"/>
          <w:sz w:val="20"/>
          <w:lang w:val="pt-PT"/>
        </w:rPr>
        <w:t xml:space="preserve"> (médias estimadas marginais), não devendo ajustar-se os desvios-padrão. Nestes casos, sugere-se a análise da covariância (ANCOVA; </w:t>
      </w:r>
      <w:proofErr w:type="spellStart"/>
      <w:r w:rsidRPr="0096752A">
        <w:rPr>
          <w:rFonts w:ascii="Candara" w:hAnsi="Candara"/>
          <w:sz w:val="20"/>
          <w:lang w:val="pt-PT"/>
        </w:rPr>
        <w:t>Tabachnick</w:t>
      </w:r>
      <w:proofErr w:type="spellEnd"/>
      <w:r w:rsidRPr="0096752A">
        <w:rPr>
          <w:rFonts w:ascii="Candara" w:hAnsi="Candara"/>
          <w:sz w:val="20"/>
          <w:lang w:val="pt-PT"/>
        </w:rPr>
        <w:t xml:space="preserve"> e </w:t>
      </w:r>
      <w:proofErr w:type="spellStart"/>
      <w:r w:rsidRPr="0096752A">
        <w:rPr>
          <w:rFonts w:ascii="Candara" w:hAnsi="Candara"/>
          <w:sz w:val="20"/>
          <w:lang w:val="pt-PT"/>
        </w:rPr>
        <w:t>Fidell</w:t>
      </w:r>
      <w:proofErr w:type="spellEnd"/>
      <w:r w:rsidRPr="0096752A">
        <w:rPr>
          <w:rFonts w:ascii="Candara" w:hAnsi="Candara"/>
          <w:sz w:val="20"/>
          <w:lang w:val="pt-PT"/>
        </w:rPr>
        <w:t>, 2007).</w:t>
      </w:r>
    </w:p>
    <w:p w:rsidR="00DF5881" w:rsidRPr="0096752A" w:rsidRDefault="00DF5881" w:rsidP="00DF5881">
      <w:pPr>
        <w:pStyle w:val="FormalivreA"/>
        <w:spacing w:after="80" w:line="276" w:lineRule="auto"/>
        <w:ind w:firstLine="425"/>
        <w:jc w:val="both"/>
        <w:rPr>
          <w:rFonts w:ascii="Candara" w:hAnsi="Candara"/>
          <w:sz w:val="20"/>
          <w:lang w:val="pt-PT"/>
        </w:rPr>
      </w:pPr>
      <w:r w:rsidRPr="0096752A">
        <w:rPr>
          <w:rFonts w:ascii="Candara" w:hAnsi="Candara"/>
          <w:sz w:val="20"/>
          <w:lang w:val="pt-PT"/>
        </w:rPr>
        <w:t>Nas situações em que as amostras são pequenas</w:t>
      </w:r>
      <w:r w:rsidRPr="0096752A">
        <w:rPr>
          <w:rFonts w:ascii="Candara" w:hAnsi="Candara"/>
          <w:sz w:val="20"/>
          <w:vertAlign w:val="superscript"/>
        </w:rPr>
        <w:endnoteReference w:id="12"/>
      </w:r>
      <w:r w:rsidRPr="0096752A">
        <w:rPr>
          <w:rFonts w:ascii="Candara" w:hAnsi="Candara"/>
          <w:sz w:val="20"/>
          <w:lang w:val="pt-PT"/>
        </w:rPr>
        <w:t xml:space="preserve">, como o </w:t>
      </w:r>
      <w:r w:rsidRPr="0096752A">
        <w:rPr>
          <w:rFonts w:ascii="Candara Italic" w:hAnsi="Candara Italic"/>
          <w:sz w:val="20"/>
          <w:lang w:val="pt-PT"/>
        </w:rPr>
        <w:t>d</w:t>
      </w:r>
      <w:r w:rsidRPr="0096752A">
        <w:rPr>
          <w:rFonts w:ascii="Candara" w:hAnsi="Candara"/>
          <w:sz w:val="20"/>
          <w:lang w:val="pt-PT"/>
        </w:rPr>
        <w:t xml:space="preserve"> de Cohen tende a ser sobrestimado, usa-se então o </w:t>
      </w:r>
      <w:r w:rsidRPr="0096752A">
        <w:rPr>
          <w:rFonts w:ascii="Candara Italic" w:hAnsi="Candara Italic"/>
          <w:sz w:val="20"/>
          <w:lang w:val="pt-PT"/>
        </w:rPr>
        <w:t>g</w:t>
      </w:r>
      <w:r w:rsidRPr="0096752A">
        <w:rPr>
          <w:rFonts w:ascii="Candara" w:hAnsi="Candara"/>
          <w:sz w:val="20"/>
          <w:lang w:val="pt-PT"/>
        </w:rPr>
        <w:t xml:space="preserve"> de </w:t>
      </w:r>
      <w:proofErr w:type="spellStart"/>
      <w:r w:rsidRPr="0096752A">
        <w:rPr>
          <w:rFonts w:ascii="Candara" w:hAnsi="Candara"/>
          <w:sz w:val="20"/>
          <w:lang w:val="pt-PT"/>
        </w:rPr>
        <w:t>Hedges</w:t>
      </w:r>
      <w:proofErr w:type="spellEnd"/>
      <w:r w:rsidRPr="0096752A">
        <w:rPr>
          <w:rFonts w:ascii="Candara" w:hAnsi="Candara"/>
          <w:sz w:val="20"/>
          <w:lang w:val="pt-PT"/>
        </w:rPr>
        <w:t xml:space="preserve"> como fator de correção. </w:t>
      </w:r>
    </w:p>
    <w:p w:rsidR="00DF5881" w:rsidRPr="0096752A" w:rsidRDefault="00DF5881" w:rsidP="00DF5881">
      <w:pPr>
        <w:pStyle w:val="FormalivreA"/>
        <w:spacing w:after="80" w:line="276" w:lineRule="auto"/>
        <w:ind w:firstLine="425"/>
        <w:jc w:val="both"/>
        <w:rPr>
          <w:rFonts w:ascii="Candara" w:hAnsi="Candara"/>
          <w:sz w:val="20"/>
          <w:lang w:val="pt-PT"/>
        </w:rPr>
      </w:pPr>
      <w:proofErr w:type="gramStart"/>
      <w:r w:rsidRPr="0096752A">
        <w:rPr>
          <w:rFonts w:ascii="Candara Bold" w:hAnsi="Candara Bold"/>
          <w:i/>
          <w:sz w:val="22"/>
          <w:lang w:val="pt-PT"/>
        </w:rPr>
        <w:t>g</w:t>
      </w:r>
      <w:proofErr w:type="gramEnd"/>
      <w:r w:rsidRPr="0096752A">
        <w:rPr>
          <w:rFonts w:ascii="Candara Bold Italic" w:hAnsi="Candara Bold Italic"/>
          <w:i/>
          <w:sz w:val="22"/>
          <w:lang w:val="pt-PT"/>
        </w:rPr>
        <w:t xml:space="preserve"> </w:t>
      </w:r>
      <w:r w:rsidRPr="0096752A">
        <w:rPr>
          <w:rFonts w:ascii="Candara" w:hAnsi="Candara"/>
          <w:b/>
          <w:i/>
          <w:sz w:val="22"/>
          <w:lang w:val="pt-PT"/>
        </w:rPr>
        <w:t xml:space="preserve">de </w:t>
      </w:r>
      <w:proofErr w:type="spellStart"/>
      <w:r w:rsidRPr="0096752A">
        <w:rPr>
          <w:rFonts w:ascii="Candara Bold Italic" w:hAnsi="Candara Bold Italic"/>
          <w:i/>
          <w:sz w:val="22"/>
          <w:lang w:val="pt-PT"/>
        </w:rPr>
        <w:t>Hedges</w:t>
      </w:r>
      <w:proofErr w:type="spellEnd"/>
      <w:r w:rsidRPr="0096752A">
        <w:rPr>
          <w:rFonts w:ascii="Candara Bold Italic" w:hAnsi="Candara Bold Italic"/>
          <w:i/>
          <w:sz w:val="22"/>
          <w:lang w:val="pt-PT"/>
        </w:rPr>
        <w:t>.</w:t>
      </w:r>
      <w:r w:rsidRPr="0096752A">
        <w:rPr>
          <w:rFonts w:ascii="Candara" w:hAnsi="Candara"/>
          <w:sz w:val="22"/>
          <w:lang w:val="pt-PT"/>
        </w:rPr>
        <w:t xml:space="preserve"> </w:t>
      </w:r>
      <w:r w:rsidRPr="0096752A">
        <w:rPr>
          <w:rFonts w:ascii="Candara" w:hAnsi="Candara"/>
          <w:sz w:val="20"/>
          <w:lang w:val="pt-PT"/>
        </w:rPr>
        <w:t xml:space="preserve">O </w:t>
      </w:r>
      <w:r w:rsidRPr="0096752A">
        <w:rPr>
          <w:rFonts w:ascii="Candara Italic" w:hAnsi="Candara Italic"/>
          <w:sz w:val="20"/>
          <w:lang w:val="pt-PT"/>
        </w:rPr>
        <w:t>g</w:t>
      </w:r>
      <w:r w:rsidRPr="0096752A">
        <w:rPr>
          <w:rFonts w:ascii="Candara" w:hAnsi="Candara"/>
          <w:sz w:val="20"/>
          <w:lang w:val="pt-PT"/>
        </w:rPr>
        <w:t xml:space="preserve"> de </w:t>
      </w:r>
      <w:proofErr w:type="spellStart"/>
      <w:r w:rsidRPr="0096752A">
        <w:rPr>
          <w:rFonts w:ascii="Candara" w:hAnsi="Candara"/>
          <w:sz w:val="20"/>
          <w:lang w:val="pt-PT"/>
        </w:rPr>
        <w:t>Hedges</w:t>
      </w:r>
      <w:proofErr w:type="spellEnd"/>
      <w:r w:rsidRPr="0096752A">
        <w:rPr>
          <w:rFonts w:ascii="Candara" w:hAnsi="Candara"/>
          <w:sz w:val="20"/>
          <w:lang w:val="pt-PT"/>
        </w:rPr>
        <w:t xml:space="preserve"> é assim designado em honra de Gene V. </w:t>
      </w:r>
      <w:proofErr w:type="spellStart"/>
      <w:r w:rsidRPr="0096752A">
        <w:rPr>
          <w:rFonts w:ascii="Candara" w:hAnsi="Candara"/>
          <w:sz w:val="20"/>
          <w:lang w:val="pt-PT"/>
        </w:rPr>
        <w:t>Glass</w:t>
      </w:r>
      <w:proofErr w:type="spellEnd"/>
      <w:r w:rsidRPr="0096752A">
        <w:rPr>
          <w:rFonts w:ascii="Candara" w:hAnsi="Candara"/>
          <w:sz w:val="20"/>
          <w:lang w:val="pt-PT"/>
        </w:rPr>
        <w:t xml:space="preserve"> que foi um dos pioneiros da meta-análise. O </w:t>
      </w:r>
      <w:r w:rsidRPr="0096752A">
        <w:rPr>
          <w:rFonts w:ascii="Candara Italic" w:hAnsi="Candara Italic"/>
          <w:sz w:val="20"/>
          <w:lang w:val="pt-PT"/>
        </w:rPr>
        <w:t>g</w:t>
      </w:r>
      <w:r w:rsidRPr="0096752A">
        <w:rPr>
          <w:rFonts w:ascii="Candara" w:hAnsi="Candara"/>
          <w:sz w:val="20"/>
          <w:lang w:val="pt-PT"/>
        </w:rPr>
        <w:t xml:space="preserve"> de </w:t>
      </w:r>
      <w:proofErr w:type="spellStart"/>
      <w:r w:rsidRPr="0096752A">
        <w:rPr>
          <w:rFonts w:ascii="Candara" w:hAnsi="Candara"/>
          <w:sz w:val="20"/>
          <w:lang w:val="pt-PT"/>
        </w:rPr>
        <w:t>Hedges</w:t>
      </w:r>
      <w:proofErr w:type="spellEnd"/>
      <w:r w:rsidRPr="0096752A">
        <w:rPr>
          <w:rFonts w:ascii="Candara" w:hAnsi="Candara"/>
          <w:sz w:val="20"/>
          <w:lang w:val="pt-PT"/>
        </w:rPr>
        <w:t xml:space="preserve"> é recomendado quando os grupos têm pequena dimensão e são diferentes no tamanho, pelo que os desvios-padrão de cada grupo devem ser ponderados segundo a dimensão da amostra (</w:t>
      </w:r>
      <w:proofErr w:type="spellStart"/>
      <w:r w:rsidRPr="0096752A">
        <w:rPr>
          <w:rFonts w:ascii="Candara" w:hAnsi="Candara"/>
          <w:sz w:val="20"/>
          <w:lang w:val="pt-PT"/>
        </w:rPr>
        <w:t>Ellis</w:t>
      </w:r>
      <w:proofErr w:type="spellEnd"/>
      <w:r w:rsidRPr="0096752A">
        <w:rPr>
          <w:rFonts w:ascii="Candara" w:hAnsi="Candara"/>
          <w:sz w:val="20"/>
          <w:lang w:val="pt-PT"/>
        </w:rPr>
        <w:t xml:space="preserve">, 2010; </w:t>
      </w:r>
      <w:proofErr w:type="spellStart"/>
      <w:r w:rsidRPr="0096752A">
        <w:rPr>
          <w:rFonts w:ascii="Candara" w:hAnsi="Candara"/>
          <w:sz w:val="20"/>
          <w:lang w:val="pt-PT"/>
        </w:rPr>
        <w:t>Hedges</w:t>
      </w:r>
      <w:proofErr w:type="spellEnd"/>
      <w:r w:rsidRPr="0096752A">
        <w:rPr>
          <w:rFonts w:ascii="Candara" w:hAnsi="Candara"/>
          <w:sz w:val="20"/>
          <w:lang w:val="pt-PT"/>
        </w:rPr>
        <w:t xml:space="preserve">, 1981; </w:t>
      </w:r>
      <w:proofErr w:type="spellStart"/>
      <w:r w:rsidRPr="0096752A">
        <w:rPr>
          <w:rFonts w:ascii="Candara" w:hAnsi="Candara"/>
          <w:sz w:val="20"/>
          <w:lang w:val="pt-PT"/>
        </w:rPr>
        <w:t>Rosnow</w:t>
      </w:r>
      <w:proofErr w:type="spellEnd"/>
      <w:r w:rsidRPr="0096752A">
        <w:rPr>
          <w:rFonts w:ascii="Candara" w:hAnsi="Candara"/>
          <w:sz w:val="20"/>
          <w:lang w:val="pt-PT"/>
        </w:rPr>
        <w:t xml:space="preserve">, </w:t>
      </w:r>
      <w:proofErr w:type="spellStart"/>
      <w:r w:rsidRPr="0096752A">
        <w:rPr>
          <w:rFonts w:ascii="Candara" w:hAnsi="Candara"/>
          <w:sz w:val="20"/>
          <w:lang w:val="pt-PT"/>
        </w:rPr>
        <w:t>Rosenthal</w:t>
      </w:r>
      <w:proofErr w:type="spellEnd"/>
      <w:r w:rsidRPr="0096752A">
        <w:rPr>
          <w:rFonts w:ascii="Candara" w:hAnsi="Candara"/>
          <w:sz w:val="20"/>
          <w:lang w:val="pt-PT"/>
        </w:rPr>
        <w:t xml:space="preserve"> e Rubin, 2000). O fator de correção </w:t>
      </w:r>
      <w:r w:rsidRPr="0096752A">
        <w:rPr>
          <w:rFonts w:ascii="Candara Italic" w:hAnsi="Candara Italic"/>
          <w:sz w:val="20"/>
          <w:lang w:val="pt-PT"/>
        </w:rPr>
        <w:t>J</w:t>
      </w:r>
      <w:r w:rsidRPr="0096752A">
        <w:rPr>
          <w:rFonts w:ascii="Candara" w:hAnsi="Candara"/>
          <w:sz w:val="20"/>
          <w:lang w:val="pt-PT"/>
        </w:rPr>
        <w:t xml:space="preserve"> é aplicado na Equação 2.3 (</w:t>
      </w:r>
      <w:r w:rsidRPr="0096752A">
        <w:rPr>
          <w:rFonts w:ascii="Candara Italic" w:hAnsi="Candara Italic"/>
          <w:sz w:val="20"/>
          <w:lang w:val="pt-PT"/>
        </w:rPr>
        <w:t>J</w:t>
      </w:r>
      <w:r w:rsidRPr="0096752A">
        <w:rPr>
          <w:rFonts w:ascii="Candara" w:hAnsi="Candara"/>
          <w:sz w:val="20"/>
          <w:lang w:val="pt-PT"/>
        </w:rPr>
        <w:t xml:space="preserve"> = 1-3/</w:t>
      </w:r>
      <w:proofErr w:type="gramStart"/>
      <w:r w:rsidRPr="0096752A">
        <w:rPr>
          <w:rFonts w:ascii="Candara" w:hAnsi="Candara"/>
          <w:sz w:val="20"/>
          <w:lang w:val="pt-PT"/>
        </w:rPr>
        <w:t>(4</w:t>
      </w:r>
      <w:r w:rsidRPr="0096752A">
        <w:rPr>
          <w:rFonts w:ascii="Candara Italic" w:hAnsi="Candara Italic"/>
          <w:sz w:val="20"/>
          <w:lang w:val="pt-PT"/>
        </w:rPr>
        <w:t>gl</w:t>
      </w:r>
      <w:r w:rsidRPr="0096752A">
        <w:rPr>
          <w:rFonts w:ascii="Candara" w:hAnsi="Candara"/>
          <w:sz w:val="20"/>
          <w:lang w:val="pt-PT"/>
        </w:rPr>
        <w:t>-1</w:t>
      </w:r>
      <w:proofErr w:type="gramEnd"/>
      <w:r w:rsidRPr="0096752A">
        <w:rPr>
          <w:rFonts w:ascii="Candara" w:hAnsi="Candara"/>
          <w:sz w:val="20"/>
          <w:lang w:val="pt-PT"/>
        </w:rPr>
        <w:t xml:space="preserve">); Tabela 2) e deve ser sempre inferior a 1,0, pelo que o </w:t>
      </w:r>
      <w:r w:rsidRPr="0096752A">
        <w:rPr>
          <w:rFonts w:ascii="Candara Italic" w:hAnsi="Candara Italic"/>
          <w:sz w:val="20"/>
          <w:lang w:val="pt-PT"/>
        </w:rPr>
        <w:t>g</w:t>
      </w:r>
      <w:r w:rsidRPr="0096752A">
        <w:rPr>
          <w:rFonts w:ascii="Candara" w:hAnsi="Candara"/>
          <w:sz w:val="20"/>
          <w:lang w:val="pt-PT"/>
        </w:rPr>
        <w:t xml:space="preserve"> será sempre inferior ao </w:t>
      </w:r>
      <w:r w:rsidRPr="0096752A">
        <w:rPr>
          <w:rFonts w:ascii="Candara Italic" w:hAnsi="Candara Italic"/>
          <w:sz w:val="20"/>
          <w:lang w:val="pt-PT"/>
        </w:rPr>
        <w:t>d.</w:t>
      </w:r>
      <w:r w:rsidRPr="0096752A">
        <w:rPr>
          <w:rFonts w:ascii="Candara" w:hAnsi="Candara"/>
          <w:sz w:val="20"/>
          <w:lang w:val="pt-PT"/>
        </w:rPr>
        <w:t xml:space="preserve"> Quando os graus de liberdade são muito pequenos (</w:t>
      </w:r>
      <w:r w:rsidR="00494E85">
        <w:rPr>
          <w:rFonts w:ascii="Candara" w:hAnsi="Candara"/>
          <w:sz w:val="20"/>
          <w:lang w:val="pt-PT"/>
        </w:rPr>
        <w:t>p. e.</w:t>
      </w:r>
      <w:r w:rsidRPr="0096752A">
        <w:rPr>
          <w:rFonts w:ascii="Candara" w:hAnsi="Candara"/>
          <w:sz w:val="20"/>
          <w:lang w:val="pt-PT"/>
        </w:rPr>
        <w:t xml:space="preserve">, </w:t>
      </w:r>
      <w:proofErr w:type="gramStart"/>
      <w:r w:rsidRPr="0096752A">
        <w:rPr>
          <w:rFonts w:ascii="Candara" w:hAnsi="Candara"/>
          <w:sz w:val="20"/>
          <w:lang w:val="pt-PT"/>
        </w:rPr>
        <w:t>&lt; 10</w:t>
      </w:r>
      <w:proofErr w:type="gramEnd"/>
      <w:r w:rsidRPr="0096752A">
        <w:rPr>
          <w:rFonts w:ascii="Candara" w:hAnsi="Candara"/>
          <w:sz w:val="20"/>
          <w:lang w:val="pt-PT"/>
        </w:rPr>
        <w:t>), a diferença entre os dois índices é mínima (</w:t>
      </w:r>
      <w:proofErr w:type="spellStart"/>
      <w:r w:rsidRPr="0096752A">
        <w:rPr>
          <w:rFonts w:ascii="Candara" w:hAnsi="Candara"/>
          <w:sz w:val="20"/>
          <w:lang w:val="pt-PT"/>
        </w:rPr>
        <w:t>Borenstein</w:t>
      </w:r>
      <w:proofErr w:type="spellEnd"/>
      <w:r w:rsidRPr="0096752A">
        <w:rPr>
          <w:rFonts w:ascii="Candara" w:hAnsi="Candara"/>
          <w:sz w:val="20"/>
          <w:lang w:val="pt-PT"/>
        </w:rPr>
        <w:t>, 2009, p. 227), pelo que não é necessário proceder à correção.</w:t>
      </w:r>
    </w:p>
    <w:p w:rsidR="00DF5881" w:rsidRPr="0096752A" w:rsidRDefault="00DF5881" w:rsidP="00DF5881">
      <w:pPr>
        <w:pStyle w:val="FormalivreA"/>
        <w:spacing w:after="80" w:line="276" w:lineRule="auto"/>
        <w:ind w:firstLine="425"/>
        <w:jc w:val="both"/>
        <w:rPr>
          <w:rFonts w:ascii="Candara" w:hAnsi="Candara"/>
          <w:sz w:val="20"/>
          <w:lang w:val="pt-PT"/>
        </w:rPr>
      </w:pPr>
      <w:r w:rsidRPr="0096752A">
        <w:rPr>
          <w:rFonts w:ascii="Candara Bold Italic" w:hAnsi="Candara Bold Italic"/>
          <w:sz w:val="22"/>
          <w:lang w:val="pt-PT"/>
        </w:rPr>
        <w:t xml:space="preserve">Delta </w:t>
      </w:r>
      <w:r w:rsidRPr="0096752A">
        <w:rPr>
          <w:rFonts w:ascii="Candara" w:hAnsi="Candara"/>
          <w:b/>
          <w:sz w:val="22"/>
          <w:lang w:val="pt-PT"/>
        </w:rPr>
        <w:t>de</w:t>
      </w:r>
      <w:r w:rsidRPr="0096752A">
        <w:rPr>
          <w:rFonts w:ascii="Candara Bold Italic" w:hAnsi="Candara Bold Italic"/>
          <w:sz w:val="22"/>
          <w:lang w:val="pt-PT"/>
        </w:rPr>
        <w:t xml:space="preserve"> </w:t>
      </w:r>
      <w:proofErr w:type="spellStart"/>
      <w:r w:rsidRPr="0096752A">
        <w:rPr>
          <w:rFonts w:ascii="Candara Bold Italic" w:hAnsi="Candara Bold Italic"/>
          <w:sz w:val="22"/>
          <w:lang w:val="pt-PT"/>
        </w:rPr>
        <w:t>Glass</w:t>
      </w:r>
      <w:proofErr w:type="spellEnd"/>
      <w:r w:rsidRPr="0096752A">
        <w:rPr>
          <w:rFonts w:ascii="Candara Bold Italic" w:hAnsi="Candara Bold Italic"/>
          <w:sz w:val="22"/>
          <w:lang w:val="pt-PT"/>
        </w:rPr>
        <w:t>.</w:t>
      </w:r>
      <w:r w:rsidRPr="0096752A">
        <w:rPr>
          <w:rFonts w:ascii="Candara" w:hAnsi="Candara"/>
          <w:sz w:val="22"/>
          <w:lang w:val="pt-PT"/>
        </w:rPr>
        <w:t xml:space="preserve"> </w:t>
      </w:r>
      <w:r w:rsidRPr="0096752A">
        <w:rPr>
          <w:rFonts w:ascii="Candara" w:hAnsi="Candara"/>
          <w:sz w:val="20"/>
          <w:lang w:val="pt-PT"/>
        </w:rPr>
        <w:t xml:space="preserve">O delta de </w:t>
      </w:r>
      <w:proofErr w:type="spellStart"/>
      <w:r w:rsidRPr="0096752A">
        <w:rPr>
          <w:rFonts w:ascii="Candara" w:hAnsi="Candara"/>
          <w:sz w:val="20"/>
          <w:lang w:val="pt-PT"/>
        </w:rPr>
        <w:t>Glass</w:t>
      </w:r>
      <w:proofErr w:type="spellEnd"/>
      <w:r w:rsidRPr="0096752A">
        <w:rPr>
          <w:rFonts w:ascii="Candara" w:hAnsi="Candara"/>
          <w:sz w:val="20"/>
          <w:lang w:val="pt-PT"/>
        </w:rPr>
        <w:t xml:space="preserve"> usa-se quando os desvios-padrão dos dois grupos diferem, havendo comprometimento da homogeneidade da variância (</w:t>
      </w:r>
      <w:proofErr w:type="spellStart"/>
      <w:r w:rsidRPr="0096752A">
        <w:rPr>
          <w:rFonts w:ascii="Candara" w:hAnsi="Candara"/>
          <w:sz w:val="20"/>
          <w:lang w:val="pt-PT"/>
        </w:rPr>
        <w:t>Ellis</w:t>
      </w:r>
      <w:proofErr w:type="spellEnd"/>
      <w:r w:rsidRPr="0096752A">
        <w:rPr>
          <w:rFonts w:ascii="Candara" w:hAnsi="Candara"/>
          <w:sz w:val="20"/>
          <w:lang w:val="pt-PT"/>
        </w:rPr>
        <w:t>, 2010). Este índice, usado nos estudos de intervenção (</w:t>
      </w:r>
      <w:proofErr w:type="spellStart"/>
      <w:r w:rsidRPr="0096752A">
        <w:rPr>
          <w:rFonts w:ascii="Candara" w:hAnsi="Candara"/>
          <w:sz w:val="20"/>
          <w:lang w:val="pt-PT"/>
        </w:rPr>
        <w:t>Lipsey</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consiste no valor </w:t>
      </w:r>
      <w:proofErr w:type="spellStart"/>
      <w:r w:rsidRPr="0096752A">
        <w:rPr>
          <w:rFonts w:ascii="Candara" w:hAnsi="Candara"/>
          <w:sz w:val="20"/>
          <w:lang w:val="pt-PT"/>
        </w:rPr>
        <w:t>amostral</w:t>
      </w:r>
      <w:proofErr w:type="spellEnd"/>
      <w:r w:rsidRPr="0096752A">
        <w:rPr>
          <w:rFonts w:ascii="Candara" w:hAnsi="Candara"/>
          <w:sz w:val="20"/>
          <w:lang w:val="pt-PT"/>
        </w:rPr>
        <w:t xml:space="preserve"> da diferença da média padronizada através do desvio-padrão do grupo de controlo (</w:t>
      </w:r>
      <w:proofErr w:type="spellStart"/>
      <w:r w:rsidRPr="0096752A">
        <w:rPr>
          <w:rFonts w:ascii="Candara" w:hAnsi="Candara"/>
          <w:sz w:val="20"/>
          <w:lang w:val="pt-PT"/>
        </w:rPr>
        <w:t>Glass</w:t>
      </w:r>
      <w:proofErr w:type="spellEnd"/>
      <w:r w:rsidRPr="0096752A">
        <w:rPr>
          <w:rFonts w:ascii="Candara" w:hAnsi="Candara"/>
          <w:sz w:val="20"/>
          <w:lang w:val="pt-PT"/>
        </w:rPr>
        <w:t xml:space="preserve">, 1976; </w:t>
      </w:r>
      <w:proofErr w:type="spellStart"/>
      <w:r w:rsidRPr="0096752A">
        <w:rPr>
          <w:rFonts w:ascii="Candara" w:hAnsi="Candara"/>
          <w:sz w:val="20"/>
          <w:lang w:val="pt-PT"/>
        </w:rPr>
        <w:t>Hedges</w:t>
      </w:r>
      <w:proofErr w:type="spellEnd"/>
      <w:r w:rsidRPr="0096752A">
        <w:rPr>
          <w:rFonts w:ascii="Candara" w:hAnsi="Candara"/>
          <w:sz w:val="20"/>
          <w:lang w:val="pt-PT"/>
        </w:rPr>
        <w:t xml:space="preserve">, 1981; </w:t>
      </w:r>
      <w:proofErr w:type="spellStart"/>
      <w:r w:rsidRPr="0096752A">
        <w:rPr>
          <w:rFonts w:ascii="Candara" w:hAnsi="Candara"/>
          <w:sz w:val="20"/>
          <w:lang w:val="pt-PT"/>
        </w:rPr>
        <w:t>Rosenthal</w:t>
      </w:r>
      <w:proofErr w:type="spellEnd"/>
      <w:r w:rsidRPr="0096752A">
        <w:rPr>
          <w:rFonts w:ascii="Candara" w:hAnsi="Candara"/>
          <w:sz w:val="20"/>
          <w:lang w:val="pt-PT"/>
        </w:rPr>
        <w:t xml:space="preserve">, 1994; Tabela 2, Equação 2.4), com o </w:t>
      </w:r>
      <w:proofErr w:type="gramStart"/>
      <w:r w:rsidRPr="0096752A">
        <w:rPr>
          <w:rFonts w:ascii="Candara" w:hAnsi="Candara"/>
          <w:sz w:val="20"/>
          <w:lang w:val="pt-PT"/>
        </w:rPr>
        <w:t>suposto de que</w:t>
      </w:r>
      <w:proofErr w:type="gramEnd"/>
      <w:r w:rsidRPr="0096752A">
        <w:rPr>
          <w:rFonts w:ascii="Candara" w:hAnsi="Candara"/>
          <w:sz w:val="20"/>
          <w:lang w:val="pt-PT"/>
        </w:rPr>
        <w:t xml:space="preserve"> o desvio-padrão do grupo de controlo não é afetado pelos efeitos do tratamento, refletindo mais de perto o desvio-padrão da população (</w:t>
      </w:r>
      <w:proofErr w:type="spellStart"/>
      <w:r w:rsidRPr="0096752A">
        <w:rPr>
          <w:rFonts w:ascii="Candara" w:hAnsi="Candara"/>
          <w:sz w:val="20"/>
          <w:lang w:val="pt-PT"/>
        </w:rPr>
        <w:t>Ellis</w:t>
      </w:r>
      <w:proofErr w:type="spellEnd"/>
      <w:r w:rsidRPr="0096752A">
        <w:rPr>
          <w:rFonts w:ascii="Candara" w:hAnsi="Candara"/>
          <w:sz w:val="20"/>
          <w:lang w:val="pt-PT"/>
        </w:rPr>
        <w:t xml:space="preserve">, 2010; </w:t>
      </w:r>
      <w:proofErr w:type="spellStart"/>
      <w:r w:rsidRPr="0096752A">
        <w:rPr>
          <w:rFonts w:ascii="Candara" w:hAnsi="Candara"/>
          <w:sz w:val="20"/>
          <w:lang w:val="pt-PT"/>
        </w:rPr>
        <w:t>Rosenthal</w:t>
      </w:r>
      <w:proofErr w:type="spellEnd"/>
      <w:r w:rsidRPr="0096752A">
        <w:rPr>
          <w:rFonts w:ascii="Candara" w:hAnsi="Candara"/>
          <w:sz w:val="20"/>
          <w:lang w:val="pt-PT"/>
        </w:rPr>
        <w:t xml:space="preserve">, 1994). Outra alternativa, para quando os desvios-padrão dos dois grupos diferem muito, será transformar os dados por forma a tornar </w:t>
      </w:r>
      <w:proofErr w:type="gramStart"/>
      <w:r w:rsidRPr="0096752A">
        <w:rPr>
          <w:rFonts w:ascii="Candara" w:hAnsi="Candara"/>
          <w:sz w:val="20"/>
          <w:lang w:val="pt-PT"/>
        </w:rPr>
        <w:t>os desvio</w:t>
      </w:r>
      <w:proofErr w:type="gramEnd"/>
      <w:r w:rsidRPr="0096752A">
        <w:rPr>
          <w:rFonts w:ascii="Candara" w:hAnsi="Candara"/>
          <w:sz w:val="20"/>
          <w:lang w:val="pt-PT"/>
        </w:rPr>
        <w:t xml:space="preserve"> padrão mais similares (</w:t>
      </w:r>
      <w:r w:rsidR="00494E85">
        <w:rPr>
          <w:rFonts w:ascii="Candara" w:hAnsi="Candara"/>
          <w:sz w:val="20"/>
          <w:lang w:val="pt-PT"/>
        </w:rPr>
        <w:t>p. e.</w:t>
      </w:r>
      <w:r w:rsidRPr="0096752A">
        <w:rPr>
          <w:rFonts w:ascii="Candara" w:hAnsi="Candara"/>
          <w:sz w:val="20"/>
          <w:lang w:val="pt-PT"/>
        </w:rPr>
        <w:t xml:space="preserve">, transformação logarítmica, raiz quadrada; </w:t>
      </w:r>
      <w:proofErr w:type="spellStart"/>
      <w:r w:rsidRPr="0096752A">
        <w:rPr>
          <w:rFonts w:ascii="Candara" w:hAnsi="Candara"/>
          <w:sz w:val="20"/>
          <w:lang w:val="pt-PT"/>
        </w:rPr>
        <w:t>Rosenthal</w:t>
      </w:r>
      <w:proofErr w:type="spellEnd"/>
      <w:r w:rsidRPr="0096752A">
        <w:rPr>
          <w:rFonts w:ascii="Candara" w:hAnsi="Candara"/>
          <w:sz w:val="20"/>
          <w:lang w:val="pt-PT"/>
        </w:rPr>
        <w:t xml:space="preserve">, 1994, p. 235) e depois proceder ao cálculo do índice </w:t>
      </w:r>
      <w:r w:rsidRPr="0096752A">
        <w:rPr>
          <w:rFonts w:ascii="Candara Italic" w:hAnsi="Candara Italic"/>
          <w:sz w:val="20"/>
          <w:lang w:val="pt-PT"/>
        </w:rPr>
        <w:t>d</w:t>
      </w:r>
      <w:r w:rsidRPr="0096752A">
        <w:rPr>
          <w:rFonts w:ascii="Candara" w:hAnsi="Candara"/>
          <w:sz w:val="20"/>
          <w:lang w:val="pt-PT"/>
        </w:rPr>
        <w:t xml:space="preserve"> ou do índice </w:t>
      </w:r>
      <w:r w:rsidRPr="0096752A">
        <w:rPr>
          <w:rFonts w:ascii="Candara Italic" w:hAnsi="Candara Italic"/>
          <w:sz w:val="20"/>
          <w:lang w:val="pt-PT"/>
        </w:rPr>
        <w:t>g</w:t>
      </w:r>
      <w:r w:rsidRPr="0096752A">
        <w:rPr>
          <w:rFonts w:ascii="Candara" w:hAnsi="Candara"/>
          <w:sz w:val="20"/>
          <w:lang w:val="pt-PT"/>
        </w:rPr>
        <w:t>.</w:t>
      </w:r>
    </w:p>
    <w:p w:rsidR="00DF5881" w:rsidRPr="0096752A" w:rsidRDefault="00DF5881" w:rsidP="00DF5881">
      <w:pPr>
        <w:pStyle w:val="FormalivreA"/>
        <w:spacing w:after="80" w:line="276" w:lineRule="auto"/>
        <w:ind w:firstLine="425"/>
        <w:jc w:val="both"/>
        <w:rPr>
          <w:rFonts w:ascii="Candara" w:hAnsi="Candara"/>
          <w:sz w:val="20"/>
          <w:lang w:val="pt-PT"/>
        </w:rPr>
      </w:pPr>
      <w:r w:rsidRPr="0096752A">
        <w:rPr>
          <w:rFonts w:ascii="Candara Bold" w:hAnsi="Candara Bold"/>
          <w:i/>
          <w:sz w:val="22"/>
          <w:lang w:val="pt-PT"/>
        </w:rPr>
        <w:t>Apresentação dos intervalos de confiança.</w:t>
      </w:r>
      <w:r w:rsidRPr="0096752A">
        <w:rPr>
          <w:rFonts w:ascii="Candara" w:hAnsi="Candara"/>
          <w:sz w:val="22"/>
          <w:lang w:val="pt-PT"/>
        </w:rPr>
        <w:t xml:space="preserve"> </w:t>
      </w:r>
      <w:r w:rsidRPr="0096752A">
        <w:rPr>
          <w:rFonts w:ascii="Candara" w:hAnsi="Candara"/>
          <w:sz w:val="20"/>
          <w:lang w:val="pt-PT"/>
        </w:rPr>
        <w:t>O intervalo de confiança (IC) é o intervalo de valores onde se estima que o parâmetro populacional se situe para uma dada probabilidade. Quanto mais estreito o IC, mais precisa é a e</w:t>
      </w:r>
      <w:r w:rsidR="00074D77">
        <w:rPr>
          <w:rFonts w:ascii="Candara" w:hAnsi="Candara"/>
          <w:sz w:val="20"/>
          <w:lang w:val="pt-PT"/>
        </w:rPr>
        <w:t>stimativa (</w:t>
      </w:r>
      <w:proofErr w:type="spellStart"/>
      <w:r w:rsidR="00074D77">
        <w:rPr>
          <w:rFonts w:ascii="Candara" w:hAnsi="Candara"/>
          <w:sz w:val="20"/>
          <w:lang w:val="pt-PT"/>
        </w:rPr>
        <w:t>Cumming</w:t>
      </w:r>
      <w:proofErr w:type="spellEnd"/>
      <w:r w:rsidR="00074D77">
        <w:rPr>
          <w:rFonts w:ascii="Candara" w:hAnsi="Candara"/>
          <w:sz w:val="20"/>
          <w:lang w:val="pt-PT"/>
        </w:rPr>
        <w:t xml:space="preserve">, 2012). Os </w:t>
      </w:r>
      <w:proofErr w:type="spellStart"/>
      <w:r w:rsidR="00074D77">
        <w:rPr>
          <w:rFonts w:ascii="Candara" w:hAnsi="Candara"/>
          <w:sz w:val="20"/>
          <w:lang w:val="pt-PT"/>
        </w:rPr>
        <w:t>I</w:t>
      </w:r>
      <w:r w:rsidRPr="0096752A">
        <w:rPr>
          <w:rFonts w:ascii="Candara" w:hAnsi="Candara"/>
          <w:sz w:val="20"/>
          <w:lang w:val="pt-PT"/>
        </w:rPr>
        <w:t>C</w:t>
      </w:r>
      <w:r w:rsidR="00074D77">
        <w:rPr>
          <w:rFonts w:ascii="Candara" w:hAnsi="Candara"/>
          <w:sz w:val="20"/>
          <w:lang w:val="pt-PT"/>
        </w:rPr>
        <w:t>s</w:t>
      </w:r>
      <w:proofErr w:type="spellEnd"/>
      <w:r w:rsidRPr="0096752A">
        <w:rPr>
          <w:rFonts w:ascii="Candara" w:hAnsi="Candara"/>
          <w:sz w:val="20"/>
          <w:lang w:val="pt-PT"/>
        </w:rPr>
        <w:t xml:space="preserve"> em relação à média devem ser apresentados por forma a aumentar a precisão de estimativas que se baseiam em amostras (</w:t>
      </w:r>
      <w:proofErr w:type="spellStart"/>
      <w:r w:rsidRPr="0096752A">
        <w:rPr>
          <w:rFonts w:ascii="Candara" w:hAnsi="Candara"/>
          <w:sz w:val="20"/>
          <w:lang w:val="pt-PT"/>
        </w:rPr>
        <w:t>Berben</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ver p. 1041 para a fórmula do seu cálculo) e o mesmo deve ser feito em relação aos TDE (</w:t>
      </w:r>
      <w:proofErr w:type="spellStart"/>
      <w:r w:rsidRPr="0096752A">
        <w:rPr>
          <w:rFonts w:ascii="Candara" w:hAnsi="Candara"/>
          <w:sz w:val="20"/>
          <w:lang w:val="pt-PT"/>
        </w:rPr>
        <w:t>Berben</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roofErr w:type="spellStart"/>
      <w:r w:rsidRPr="0096752A">
        <w:rPr>
          <w:rFonts w:ascii="Candara" w:hAnsi="Candara"/>
          <w:sz w:val="20"/>
          <w:lang w:val="pt-PT"/>
        </w:rPr>
        <w:t>Breaugh</w:t>
      </w:r>
      <w:proofErr w:type="spellEnd"/>
      <w:r w:rsidRPr="0096752A">
        <w:rPr>
          <w:rFonts w:ascii="Candara" w:hAnsi="Candara"/>
          <w:sz w:val="20"/>
          <w:lang w:val="pt-PT"/>
        </w:rPr>
        <w:t xml:space="preserve">, 2003; </w:t>
      </w:r>
      <w:proofErr w:type="spellStart"/>
      <w:r w:rsidRPr="0096752A">
        <w:rPr>
          <w:rFonts w:ascii="Candara" w:hAnsi="Candara"/>
          <w:sz w:val="20"/>
          <w:lang w:val="pt-PT"/>
        </w:rPr>
        <w:t>Durlak</w:t>
      </w:r>
      <w:proofErr w:type="spellEnd"/>
      <w:r w:rsidRPr="0096752A">
        <w:rPr>
          <w:rFonts w:ascii="Candara" w:hAnsi="Candara"/>
          <w:sz w:val="20"/>
          <w:lang w:val="pt-PT"/>
        </w:rPr>
        <w:t xml:space="preserve">, 2009). A </w:t>
      </w:r>
      <w:r w:rsidRPr="0096752A">
        <w:rPr>
          <w:rFonts w:ascii="Candara" w:hAnsi="Candara"/>
          <w:sz w:val="20"/>
          <w:lang w:val="pt-PT"/>
        </w:rPr>
        <w:lastRenderedPageBreak/>
        <w:t xml:space="preserve">equação para o IC a 95% em redor do </w:t>
      </w:r>
      <w:r w:rsidRPr="0096752A">
        <w:rPr>
          <w:rFonts w:ascii="Candara Italic" w:hAnsi="Candara Italic"/>
          <w:sz w:val="20"/>
          <w:lang w:val="pt-PT"/>
        </w:rPr>
        <w:t>d</w:t>
      </w:r>
      <w:r w:rsidRPr="0096752A">
        <w:rPr>
          <w:rFonts w:ascii="Candara" w:hAnsi="Candara"/>
          <w:sz w:val="20"/>
          <w:lang w:val="pt-PT"/>
        </w:rPr>
        <w:t xml:space="preserve"> é a seguinte (</w:t>
      </w:r>
      <w:proofErr w:type="spellStart"/>
      <w:r w:rsidRPr="0096752A">
        <w:rPr>
          <w:rFonts w:ascii="Candara" w:hAnsi="Candara"/>
          <w:sz w:val="20"/>
          <w:lang w:val="pt-PT"/>
        </w:rPr>
        <w:t>Hedges</w:t>
      </w:r>
      <w:proofErr w:type="spellEnd"/>
      <w:r w:rsidRPr="0096752A">
        <w:rPr>
          <w:rFonts w:ascii="Candara" w:hAnsi="Candara"/>
          <w:sz w:val="20"/>
          <w:lang w:val="pt-PT"/>
        </w:rPr>
        <w:t xml:space="preserve"> e </w:t>
      </w:r>
      <w:proofErr w:type="spellStart"/>
      <w:r w:rsidRPr="0096752A">
        <w:rPr>
          <w:rFonts w:ascii="Candara" w:hAnsi="Candara"/>
          <w:sz w:val="20"/>
          <w:lang w:val="pt-PT"/>
        </w:rPr>
        <w:t>Olkin</w:t>
      </w:r>
      <w:proofErr w:type="spellEnd"/>
      <w:r w:rsidRPr="0096752A">
        <w:rPr>
          <w:rFonts w:ascii="Candara" w:hAnsi="Candara"/>
          <w:sz w:val="20"/>
          <w:lang w:val="pt-PT"/>
        </w:rPr>
        <w:t>, 1985, p. 86):</w:t>
      </w:r>
    </w:p>
    <w:tbl>
      <w:tblPr>
        <w:tblW w:w="0" w:type="auto"/>
        <w:jc w:val="center"/>
        <w:tblLayout w:type="fixed"/>
        <w:tblLook w:val="0000"/>
      </w:tblPr>
      <w:tblGrid>
        <w:gridCol w:w="3510"/>
        <w:gridCol w:w="1064"/>
      </w:tblGrid>
      <w:tr w:rsidR="00DF5881" w:rsidRPr="0096752A" w:rsidTr="00432573">
        <w:trPr>
          <w:cantSplit/>
          <w:trHeight w:val="480"/>
          <w:jc w:val="center"/>
        </w:trPr>
        <w:tc>
          <w:tcPr>
            <w:tcW w:w="35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DF5881" w:rsidRPr="0096752A" w:rsidRDefault="00DF5881" w:rsidP="00432573">
            <w:pPr>
              <w:pStyle w:val="FormalivreA"/>
              <w:spacing w:line="276" w:lineRule="auto"/>
              <w:rPr>
                <w:rFonts w:ascii="Candara" w:hAnsi="Candara"/>
                <w:sz w:val="18"/>
                <w:szCs w:val="18"/>
                <w:vertAlign w:val="subscript"/>
                <w:lang w:val="pt-PT"/>
              </w:rPr>
            </w:pPr>
            <w:proofErr w:type="spellStart"/>
            <w:r w:rsidRPr="0096752A">
              <w:rPr>
                <w:rFonts w:ascii="Candara Italic" w:hAnsi="Candara Italic"/>
                <w:sz w:val="18"/>
                <w:szCs w:val="18"/>
                <w:lang w:val="pt-PT"/>
              </w:rPr>
              <w:t>IC</w:t>
            </w:r>
            <w:r w:rsidRPr="0096752A">
              <w:rPr>
                <w:rFonts w:ascii="Candara Italic" w:hAnsi="Candara Italic"/>
                <w:sz w:val="18"/>
                <w:szCs w:val="18"/>
                <w:vertAlign w:val="subscript"/>
                <w:lang w:val="pt-PT"/>
              </w:rPr>
              <w:t>d</w:t>
            </w:r>
            <w:proofErr w:type="spellEnd"/>
            <w:r w:rsidRPr="0096752A">
              <w:rPr>
                <w:rFonts w:ascii="Candara" w:hAnsi="Candara"/>
                <w:sz w:val="18"/>
                <w:szCs w:val="18"/>
                <w:lang w:val="pt-PT"/>
              </w:rPr>
              <w:t xml:space="preserve"> 95% = </w:t>
            </w:r>
            <w:r w:rsidRPr="0096752A">
              <w:rPr>
                <w:rFonts w:ascii="Candara Italic" w:hAnsi="Candara Italic"/>
                <w:sz w:val="18"/>
                <w:szCs w:val="18"/>
                <w:lang w:val="pt-PT"/>
              </w:rPr>
              <w:t xml:space="preserve">d </w:t>
            </w:r>
            <w:r w:rsidRPr="0096752A">
              <w:rPr>
                <w:rFonts w:ascii="Candara" w:hAnsi="Candara"/>
                <w:sz w:val="18"/>
                <w:szCs w:val="18"/>
                <w:lang w:val="pt-PT"/>
              </w:rPr>
              <w:t xml:space="preserve">± 1,96 x </w:t>
            </w:r>
            <w:r w:rsidRPr="0096752A">
              <w:rPr>
                <w:rFonts w:ascii="Candara Italic" w:hAnsi="Candara Italic"/>
                <w:sz w:val="18"/>
                <w:szCs w:val="18"/>
                <w:lang w:val="pt-PT"/>
              </w:rPr>
              <w:t>DP</w:t>
            </w:r>
            <w:r w:rsidRPr="0096752A">
              <w:rPr>
                <w:rFonts w:ascii="Candara" w:hAnsi="Candara"/>
                <w:sz w:val="18"/>
                <w:szCs w:val="18"/>
                <w:lang w:val="pt-PT"/>
              </w:rPr>
              <w:t xml:space="preserve"> de </w:t>
            </w:r>
            <w:proofErr w:type="gramStart"/>
            <w:r w:rsidRPr="0096752A">
              <w:rPr>
                <w:rFonts w:ascii="Candara Italic" w:hAnsi="Candara Italic"/>
                <w:sz w:val="18"/>
                <w:szCs w:val="18"/>
                <w:lang w:val="pt-PT"/>
              </w:rPr>
              <w:t xml:space="preserve">d,  </w:t>
            </w:r>
            <w:r w:rsidRPr="0096752A">
              <w:rPr>
                <w:rFonts w:ascii="Candara" w:hAnsi="Candara"/>
                <w:sz w:val="18"/>
                <w:szCs w:val="18"/>
                <w:lang w:val="pt-PT"/>
              </w:rPr>
              <w:t>em</w:t>
            </w:r>
            <w:proofErr w:type="gramEnd"/>
            <w:r w:rsidRPr="0096752A">
              <w:rPr>
                <w:rFonts w:ascii="Candara" w:hAnsi="Candara"/>
                <w:sz w:val="18"/>
                <w:szCs w:val="18"/>
                <w:lang w:val="pt-PT"/>
              </w:rPr>
              <w:t xml:space="preserve"> que </w:t>
            </w:r>
            <w:r w:rsidRPr="0096752A">
              <w:rPr>
                <w:rFonts w:ascii="Candara Italic" w:hAnsi="Candara Italic"/>
                <w:sz w:val="18"/>
                <w:szCs w:val="18"/>
                <w:lang w:val="pt-PT"/>
              </w:rPr>
              <w:t>DP</w:t>
            </w:r>
            <w:r w:rsidRPr="0096752A">
              <w:rPr>
                <w:rFonts w:ascii="Candara" w:hAnsi="Candara"/>
                <w:sz w:val="18"/>
                <w:szCs w:val="18"/>
                <w:lang w:val="pt-PT"/>
              </w:rPr>
              <w:t xml:space="preserve"> de </w:t>
            </w:r>
            <w:r w:rsidRPr="0096752A">
              <w:rPr>
                <w:rFonts w:ascii="Candara Italic" w:hAnsi="Candara Italic"/>
                <w:sz w:val="18"/>
                <w:szCs w:val="18"/>
                <w:lang w:val="pt-PT"/>
              </w:rPr>
              <w:t>d</w:t>
            </w:r>
            <w:r w:rsidRPr="0096752A">
              <w:rPr>
                <w:rFonts w:ascii="Candara" w:hAnsi="Candara"/>
                <w:sz w:val="18"/>
                <w:szCs w:val="18"/>
                <w:lang w:val="pt-PT"/>
              </w:rPr>
              <w:t xml:space="preserve"> =</w:t>
            </w:r>
            <w:r w:rsidRPr="0096752A">
              <w:rPr>
                <w:rFonts w:ascii="Candara" w:hAnsi="Candara"/>
                <w:sz w:val="18"/>
                <w:szCs w:val="18"/>
                <w:vertAlign w:val="subscript"/>
                <w:lang w:val="pt-PT"/>
              </w:rPr>
              <w:t xml:space="preserve"> </w:t>
            </w:r>
          </w:p>
        </w:tc>
        <w:tc>
          <w:tcPr>
            <w:tcW w:w="106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F5881" w:rsidRPr="0096752A" w:rsidRDefault="00E333CB" w:rsidP="00432573">
            <w:pPr>
              <w:pStyle w:val="FormalivreA"/>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 w:val="left" w:pos="8787"/>
                <w:tab w:val="left" w:pos="9071"/>
                <w:tab w:val="left" w:pos="9354"/>
                <w:tab w:val="left" w:pos="9638"/>
                <w:tab w:val="left" w:pos="9921"/>
                <w:tab w:val="left" w:pos="10205"/>
                <w:tab w:val="left" w:pos="10488"/>
                <w:tab w:val="left" w:pos="10772"/>
                <w:tab w:val="left" w:pos="11055"/>
                <w:tab w:val="left" w:pos="11339"/>
                <w:tab w:val="left" w:pos="11622"/>
                <w:tab w:val="left" w:pos="11906"/>
                <w:tab w:val="left" w:pos="12189"/>
                <w:tab w:val="left" w:pos="12472"/>
                <w:tab w:val="left" w:pos="12756"/>
                <w:tab w:val="left" w:pos="13039"/>
                <w:tab w:val="left" w:pos="13323"/>
                <w:tab w:val="left" w:pos="13606"/>
                <w:tab w:val="left" w:pos="13890"/>
                <w:tab w:val="left" w:pos="14173"/>
                <w:tab w:val="left" w:pos="14457"/>
                <w:tab w:val="left" w:pos="14740"/>
                <w:tab w:val="left" w:pos="15024"/>
                <w:tab w:val="left" w:pos="15307"/>
                <w:tab w:val="left" w:pos="15591"/>
                <w:tab w:val="left" w:pos="15874"/>
                <w:tab w:val="left" w:pos="16157"/>
                <w:tab w:val="left" w:pos="16441"/>
                <w:tab w:val="left" w:pos="16724"/>
                <w:tab w:val="left" w:pos="17008"/>
                <w:tab w:val="left" w:pos="17291"/>
                <w:tab w:val="left" w:pos="17575"/>
                <w:tab w:val="left" w:pos="17858"/>
                <w:tab w:val="left" w:pos="18142"/>
              </w:tabs>
              <w:spacing w:line="276" w:lineRule="auto"/>
              <w:rPr>
                <w:rFonts w:ascii="Candara" w:hAnsi="Candara"/>
                <w:sz w:val="16"/>
                <w:szCs w:val="16"/>
              </w:rPr>
            </w:pPr>
            <m:oMathPara>
              <m:oMath>
                <m:rad>
                  <m:radPr>
                    <m:degHide m:val="on"/>
                    <m:ctrlPr>
                      <w:rPr>
                        <w:rFonts w:ascii="Cambria Math" w:hAnsi="Cambria Math"/>
                        <w:i/>
                        <w:sz w:val="16"/>
                        <w:szCs w:val="16"/>
                      </w:rPr>
                    </m:ctrlPr>
                  </m:radPr>
                  <m:deg/>
                  <m:e>
                    <m:f>
                      <m:fPr>
                        <m:ctrlPr>
                          <w:rPr>
                            <w:rFonts w:ascii="Cambria Math" w:hAnsi="Cambria Math"/>
                            <w:i/>
                            <w:sz w:val="16"/>
                            <w:szCs w:val="16"/>
                          </w:rPr>
                        </m:ctrlPr>
                      </m:fPr>
                      <m:num>
                        <m:r>
                          <w:rPr>
                            <w:rFonts w:ascii="Cambria Math" w:hAnsi="Cambria Math"/>
                            <w:sz w:val="16"/>
                            <w:szCs w:val="16"/>
                          </w:rPr>
                          <m:t>N</m:t>
                        </m:r>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den>
                    </m:f>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2</m:t>
                            </m:r>
                          </m:sup>
                        </m:sSup>
                      </m:num>
                      <m:den>
                        <m:r>
                          <w:rPr>
                            <w:rFonts w:ascii="Cambria Math" w:hAnsi="Cambria Math"/>
                            <w:sz w:val="16"/>
                            <w:szCs w:val="16"/>
                          </w:rPr>
                          <m:t>2N</m:t>
                        </m:r>
                      </m:den>
                    </m:f>
                  </m:e>
                </m:rad>
              </m:oMath>
            </m:oMathPara>
          </w:p>
        </w:tc>
      </w:tr>
    </w:tbl>
    <w:p w:rsidR="00DF5881" w:rsidRPr="0096752A" w:rsidRDefault="00DF5881" w:rsidP="00DF5881">
      <w:pPr>
        <w:pStyle w:val="FormalivreA"/>
        <w:spacing w:before="80" w:line="276" w:lineRule="auto"/>
        <w:jc w:val="both"/>
        <w:rPr>
          <w:rFonts w:ascii="Candara" w:hAnsi="Candara"/>
          <w:sz w:val="20"/>
          <w:lang w:val="pt-PT"/>
        </w:rPr>
      </w:pPr>
      <w:proofErr w:type="gramStart"/>
      <w:r w:rsidRPr="0096752A">
        <w:rPr>
          <w:rFonts w:ascii="Candara" w:hAnsi="Candara"/>
          <w:sz w:val="20"/>
          <w:lang w:val="pt-PT"/>
        </w:rPr>
        <w:t>em</w:t>
      </w:r>
      <w:proofErr w:type="gramEnd"/>
      <w:r w:rsidRPr="0096752A">
        <w:rPr>
          <w:rFonts w:ascii="Candara" w:hAnsi="Candara"/>
          <w:sz w:val="20"/>
          <w:lang w:val="pt-PT"/>
        </w:rPr>
        <w:t xml:space="preserve"> que 1,96 é o valor crítico da distribuição normal padronizada em 0,05 de significância; o </w:t>
      </w:r>
      <w:r w:rsidRPr="0096752A">
        <w:rPr>
          <w:rFonts w:ascii="Candara Italic" w:hAnsi="Candara Italic"/>
          <w:sz w:val="20"/>
          <w:lang w:val="pt-PT"/>
        </w:rPr>
        <w:t>DP</w:t>
      </w:r>
      <w:r w:rsidRPr="0096752A">
        <w:rPr>
          <w:rFonts w:ascii="Candara" w:hAnsi="Candara"/>
          <w:sz w:val="20"/>
          <w:lang w:val="pt-PT"/>
        </w:rPr>
        <w:t xml:space="preserve"> é o desvio-padrão; o </w:t>
      </w:r>
      <w:r w:rsidRPr="0096752A">
        <w:rPr>
          <w:rFonts w:ascii="Candara Italic" w:hAnsi="Candara Italic"/>
          <w:sz w:val="20"/>
          <w:lang w:val="pt-PT"/>
        </w:rPr>
        <w:t>N</w:t>
      </w:r>
      <w:r w:rsidRPr="0096752A">
        <w:rPr>
          <w:rFonts w:ascii="Candara" w:hAnsi="Candara"/>
          <w:sz w:val="20"/>
          <w:lang w:val="pt-PT"/>
        </w:rPr>
        <w:t xml:space="preserve"> representa o número total da amostra; o </w:t>
      </w:r>
      <w:r w:rsidRPr="0096752A">
        <w:rPr>
          <w:rFonts w:ascii="Candara Italic" w:hAnsi="Candara Italic"/>
          <w:sz w:val="20"/>
          <w:lang w:val="pt-PT"/>
        </w:rPr>
        <w:t>n</w:t>
      </w:r>
      <w:r w:rsidRPr="0096752A">
        <w:rPr>
          <w:rFonts w:ascii="Candara" w:hAnsi="Candara"/>
          <w:sz w:val="20"/>
          <w:lang w:val="pt-PT"/>
        </w:rPr>
        <w:t xml:space="preserve"> refere-se ao tamanho da amostra de cada grupo particular (1 = grupo alvo; 2 = grupo de comparação); e o </w:t>
      </w:r>
      <w:r w:rsidRPr="0096752A">
        <w:rPr>
          <w:rFonts w:ascii="Candara Italic" w:hAnsi="Candara Italic"/>
          <w:sz w:val="20"/>
          <w:lang w:val="pt-PT"/>
        </w:rPr>
        <w:t>d</w:t>
      </w:r>
      <w:r w:rsidRPr="0096752A">
        <w:rPr>
          <w:rFonts w:ascii="Candara" w:hAnsi="Candara"/>
          <w:sz w:val="20"/>
          <w:lang w:val="pt-PT"/>
        </w:rPr>
        <w:t xml:space="preserve"> é o valor do </w:t>
      </w:r>
      <w:r w:rsidRPr="0096752A">
        <w:rPr>
          <w:rFonts w:ascii="Candara Italic" w:hAnsi="Candara Italic"/>
          <w:sz w:val="20"/>
          <w:lang w:val="pt-PT"/>
        </w:rPr>
        <w:t>d</w:t>
      </w:r>
      <w:r w:rsidRPr="0096752A">
        <w:rPr>
          <w:rFonts w:ascii="Candara" w:hAnsi="Candara"/>
          <w:sz w:val="20"/>
          <w:lang w:val="pt-PT"/>
        </w:rPr>
        <w:t xml:space="preserve"> de Cohen (nos suplementos, apresentamos uma folha de cálculo para este cálculo). </w:t>
      </w:r>
    </w:p>
    <w:p w:rsidR="00DF5881" w:rsidRPr="0096752A" w:rsidRDefault="00DF5881" w:rsidP="00DF5881">
      <w:pPr>
        <w:pStyle w:val="FormalivreA"/>
        <w:spacing w:after="80" w:line="276" w:lineRule="auto"/>
        <w:ind w:firstLine="425"/>
        <w:jc w:val="both"/>
        <w:rPr>
          <w:rFonts w:ascii="Candara" w:hAnsi="Candara"/>
          <w:sz w:val="20"/>
          <w:lang w:val="pt-PT"/>
        </w:rPr>
      </w:pPr>
      <w:proofErr w:type="gramStart"/>
      <w:r w:rsidRPr="0096752A">
        <w:rPr>
          <w:rFonts w:ascii="Candara" w:hAnsi="Candara"/>
          <w:sz w:val="20"/>
          <w:lang w:val="pt-PT"/>
        </w:rPr>
        <w:t>Enquanto que</w:t>
      </w:r>
      <w:proofErr w:type="gramEnd"/>
      <w:r w:rsidRPr="0096752A">
        <w:rPr>
          <w:rFonts w:ascii="Candara" w:hAnsi="Candara"/>
          <w:sz w:val="20"/>
          <w:lang w:val="pt-PT"/>
        </w:rPr>
        <w:t xml:space="preserve"> o TDE não é afetado pelo tamanho da amostra, a precisão do seu IC 95% é afetada, sendo habitualmente maior a precisão quanto maior for a amostra. Assim, para amostras pequenas há que corrigir o enviesamento através do fator de correção seguinte (</w:t>
      </w:r>
      <w:proofErr w:type="spellStart"/>
      <w:r w:rsidRPr="0096752A">
        <w:rPr>
          <w:rFonts w:ascii="Candara" w:hAnsi="Candara"/>
          <w:sz w:val="20"/>
          <w:lang w:val="pt-PT"/>
        </w:rPr>
        <w:t>Berben</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roofErr w:type="spellStart"/>
      <w:r w:rsidRPr="0096752A">
        <w:rPr>
          <w:rFonts w:ascii="Candara" w:hAnsi="Candara"/>
          <w:sz w:val="20"/>
          <w:lang w:val="pt-PT"/>
        </w:rPr>
        <w:t>Cooper</w:t>
      </w:r>
      <w:proofErr w:type="spellEnd"/>
      <w:r w:rsidRPr="0096752A">
        <w:rPr>
          <w:rFonts w:ascii="Candara" w:hAnsi="Candara"/>
          <w:sz w:val="20"/>
          <w:lang w:val="pt-PT"/>
        </w:rPr>
        <w:t xml:space="preserve">, </w:t>
      </w:r>
      <w:proofErr w:type="spellStart"/>
      <w:r w:rsidRPr="0096752A">
        <w:rPr>
          <w:rFonts w:ascii="Candara" w:hAnsi="Candara"/>
          <w:sz w:val="20"/>
          <w:lang w:val="pt-PT"/>
        </w:rPr>
        <w:t>Hedges</w:t>
      </w:r>
      <w:proofErr w:type="spellEnd"/>
      <w:r w:rsidRPr="0096752A">
        <w:rPr>
          <w:rFonts w:ascii="Candara" w:hAnsi="Candara"/>
          <w:sz w:val="20"/>
          <w:lang w:val="pt-PT"/>
        </w:rPr>
        <w:t xml:space="preserve"> e </w:t>
      </w:r>
      <w:proofErr w:type="spellStart"/>
      <w:r w:rsidRPr="0096752A">
        <w:rPr>
          <w:rFonts w:ascii="Candara" w:hAnsi="Candara"/>
          <w:sz w:val="20"/>
          <w:lang w:val="pt-PT"/>
        </w:rPr>
        <w:t>Valentine</w:t>
      </w:r>
      <w:proofErr w:type="spellEnd"/>
      <w:r w:rsidRPr="0096752A">
        <w:rPr>
          <w:rFonts w:ascii="Candara" w:hAnsi="Candara"/>
          <w:sz w:val="20"/>
          <w:lang w:val="pt-PT"/>
        </w:rPr>
        <w:t>, 2009):</w:t>
      </w:r>
    </w:p>
    <w:tbl>
      <w:tblPr>
        <w:tblW w:w="0" w:type="auto"/>
        <w:jc w:val="center"/>
        <w:tblLayout w:type="fixed"/>
        <w:tblLook w:val="0000"/>
      </w:tblPr>
      <w:tblGrid>
        <w:gridCol w:w="1050"/>
        <w:gridCol w:w="1111"/>
      </w:tblGrid>
      <w:tr w:rsidR="00DF5881" w:rsidRPr="0096752A" w:rsidTr="00432573">
        <w:trPr>
          <w:cantSplit/>
          <w:trHeight w:val="500"/>
          <w:jc w:val="center"/>
        </w:trPr>
        <w:tc>
          <w:tcPr>
            <w:tcW w:w="10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DF5881" w:rsidRPr="0096752A" w:rsidRDefault="00DF5881" w:rsidP="00432573">
            <w:pPr>
              <w:pStyle w:val="FormalivreA"/>
              <w:spacing w:line="276" w:lineRule="auto"/>
              <w:jc w:val="right"/>
              <w:rPr>
                <w:rFonts w:ascii="Candara" w:hAnsi="Candara"/>
                <w:sz w:val="20"/>
              </w:rPr>
            </w:pPr>
            <w:r w:rsidRPr="0096752A">
              <w:rPr>
                <w:rFonts w:ascii="Candara Italic" w:hAnsi="Candara Italic"/>
                <w:sz w:val="20"/>
              </w:rPr>
              <w:t xml:space="preserve">J </w:t>
            </w:r>
            <w:r w:rsidRPr="0096752A">
              <w:rPr>
                <w:rFonts w:ascii="Candara" w:hAnsi="Candara"/>
                <w:sz w:val="20"/>
              </w:rPr>
              <w:t xml:space="preserve">= </w:t>
            </w:r>
          </w:p>
        </w:tc>
        <w:tc>
          <w:tcPr>
            <w:tcW w:w="111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F5881" w:rsidRPr="0096752A" w:rsidRDefault="00DF5881" w:rsidP="00432573">
            <w:pPr>
              <w:pStyle w:val="FormalivreA"/>
              <w:tabs>
                <w:tab w:val="left" w:pos="283"/>
                <w:tab w:val="left" w:pos="567"/>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 w:val="left" w:pos="8787"/>
                <w:tab w:val="left" w:pos="9071"/>
                <w:tab w:val="left" w:pos="9354"/>
                <w:tab w:val="left" w:pos="9638"/>
                <w:tab w:val="left" w:pos="9921"/>
                <w:tab w:val="left" w:pos="10205"/>
                <w:tab w:val="left" w:pos="10488"/>
                <w:tab w:val="left" w:pos="10772"/>
                <w:tab w:val="left" w:pos="11055"/>
                <w:tab w:val="left" w:pos="11339"/>
                <w:tab w:val="left" w:pos="11622"/>
                <w:tab w:val="left" w:pos="11906"/>
                <w:tab w:val="left" w:pos="12189"/>
                <w:tab w:val="left" w:pos="12472"/>
                <w:tab w:val="left" w:pos="12756"/>
                <w:tab w:val="left" w:pos="13039"/>
                <w:tab w:val="left" w:pos="13323"/>
                <w:tab w:val="left" w:pos="13606"/>
                <w:tab w:val="left" w:pos="13890"/>
                <w:tab w:val="left" w:pos="14173"/>
                <w:tab w:val="left" w:pos="14457"/>
                <w:tab w:val="left" w:pos="14740"/>
                <w:tab w:val="left" w:pos="15024"/>
                <w:tab w:val="left" w:pos="15307"/>
                <w:tab w:val="left" w:pos="15591"/>
                <w:tab w:val="left" w:pos="15874"/>
                <w:tab w:val="left" w:pos="16157"/>
                <w:tab w:val="left" w:pos="16441"/>
                <w:tab w:val="left" w:pos="16724"/>
              </w:tabs>
              <w:spacing w:line="276" w:lineRule="auto"/>
              <w:rPr>
                <w:rFonts w:ascii="Candara" w:hAnsi="Candara"/>
                <w:sz w:val="18"/>
                <w:szCs w:val="18"/>
              </w:rPr>
            </w:pPr>
            <m:oMathPara>
              <m:oMath>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4gl-1</m:t>
                    </m:r>
                  </m:den>
                </m:f>
              </m:oMath>
            </m:oMathPara>
          </w:p>
        </w:tc>
      </w:tr>
    </w:tbl>
    <w:p w:rsidR="00DF5881" w:rsidRPr="0096752A" w:rsidRDefault="00DF5881" w:rsidP="00DF5881">
      <w:pPr>
        <w:pStyle w:val="FormalivreA"/>
        <w:spacing w:before="80" w:after="80" w:line="276" w:lineRule="auto"/>
        <w:jc w:val="both"/>
        <w:rPr>
          <w:rFonts w:ascii="Candara" w:hAnsi="Candara"/>
          <w:sz w:val="20"/>
          <w:lang w:val="pt-PT"/>
        </w:rPr>
      </w:pPr>
      <w:proofErr w:type="gramStart"/>
      <w:r w:rsidRPr="0096752A">
        <w:rPr>
          <w:rFonts w:ascii="Candara" w:hAnsi="Candara"/>
          <w:sz w:val="20"/>
          <w:lang w:val="pt-PT"/>
        </w:rPr>
        <w:t>em</w:t>
      </w:r>
      <w:proofErr w:type="gramEnd"/>
      <w:r w:rsidRPr="0096752A">
        <w:rPr>
          <w:rFonts w:ascii="Candara" w:hAnsi="Candara"/>
          <w:sz w:val="20"/>
          <w:lang w:val="pt-PT"/>
        </w:rPr>
        <w:t xml:space="preserve"> que </w:t>
      </w:r>
      <w:proofErr w:type="spellStart"/>
      <w:r w:rsidRPr="0096752A">
        <w:rPr>
          <w:rFonts w:ascii="Candara Italic" w:hAnsi="Candara Italic"/>
          <w:sz w:val="20"/>
          <w:lang w:val="pt-PT"/>
        </w:rPr>
        <w:t>gl</w:t>
      </w:r>
      <w:proofErr w:type="spellEnd"/>
      <w:r w:rsidRPr="0096752A">
        <w:rPr>
          <w:rFonts w:ascii="Candara" w:hAnsi="Candara"/>
          <w:sz w:val="20"/>
          <w:lang w:val="pt-PT"/>
        </w:rPr>
        <w:t xml:space="preserve"> são os graus de liberdade. Depois multiplica-se </w:t>
      </w:r>
      <w:proofErr w:type="spellStart"/>
      <w:r w:rsidRPr="0096752A">
        <w:rPr>
          <w:rFonts w:ascii="Candara Italic" w:hAnsi="Candara Italic"/>
          <w:sz w:val="20"/>
          <w:lang w:val="pt-PT"/>
        </w:rPr>
        <w:t>IC</w:t>
      </w:r>
      <w:r w:rsidRPr="0096752A">
        <w:rPr>
          <w:rFonts w:ascii="Candara Italic" w:hAnsi="Candara Italic"/>
          <w:sz w:val="20"/>
          <w:vertAlign w:val="subscript"/>
          <w:lang w:val="pt-PT"/>
        </w:rPr>
        <w:t>d</w:t>
      </w:r>
      <w:proofErr w:type="spellEnd"/>
      <w:r w:rsidRPr="0096752A">
        <w:rPr>
          <w:rFonts w:ascii="Candara" w:hAnsi="Candara"/>
          <w:sz w:val="20"/>
          <w:lang w:val="pt-PT"/>
        </w:rPr>
        <w:t xml:space="preserve"> 95% por </w:t>
      </w:r>
      <w:r w:rsidRPr="0096752A">
        <w:rPr>
          <w:rFonts w:ascii="Candara Italic" w:hAnsi="Candara Italic"/>
          <w:sz w:val="20"/>
          <w:lang w:val="pt-PT"/>
        </w:rPr>
        <w:t>J</w:t>
      </w:r>
      <w:r w:rsidRPr="0096752A">
        <w:rPr>
          <w:rFonts w:ascii="Candara" w:hAnsi="Candara"/>
          <w:sz w:val="20"/>
          <w:lang w:val="pt-PT"/>
        </w:rPr>
        <w:t>.</w:t>
      </w:r>
    </w:p>
    <w:p w:rsidR="00DF5881" w:rsidRPr="0096752A" w:rsidRDefault="00DF5881" w:rsidP="00DF5881">
      <w:pPr>
        <w:pStyle w:val="FormalivreA"/>
        <w:spacing w:after="80" w:line="276" w:lineRule="auto"/>
        <w:ind w:firstLine="425"/>
        <w:jc w:val="both"/>
        <w:rPr>
          <w:rFonts w:ascii="Candara" w:hAnsi="Candara"/>
          <w:sz w:val="20"/>
          <w:lang w:val="pt-PT"/>
        </w:rPr>
      </w:pPr>
      <w:r w:rsidRPr="0096752A">
        <w:rPr>
          <w:rFonts w:ascii="Candara" w:hAnsi="Candara"/>
          <w:b/>
          <w:i/>
          <w:sz w:val="22"/>
          <w:lang w:val="pt-PT"/>
        </w:rPr>
        <w:t>Computação rápida.</w:t>
      </w:r>
      <w:r w:rsidRPr="0096752A">
        <w:rPr>
          <w:rFonts w:ascii="Candara Italic" w:hAnsi="Candara Italic"/>
          <w:sz w:val="22"/>
          <w:lang w:val="pt-PT"/>
        </w:rPr>
        <w:t xml:space="preserve"> </w:t>
      </w:r>
      <w:r w:rsidRPr="0096752A">
        <w:rPr>
          <w:rFonts w:ascii="Candara" w:hAnsi="Candara"/>
          <w:sz w:val="20"/>
          <w:lang w:val="pt-PT"/>
        </w:rPr>
        <w:t>Uma das razões para o nível de significância continuar a ser reportado e o TDE não, pode estar relacionado com o facto de muitos programas de análise estatística, como o SPSS, não efetuarem esse cálculo (</w:t>
      </w:r>
      <w:proofErr w:type="spellStart"/>
      <w:r w:rsidRPr="0096752A">
        <w:rPr>
          <w:rFonts w:ascii="Candara" w:hAnsi="Candara"/>
          <w:sz w:val="20"/>
          <w:lang w:val="pt-PT"/>
        </w:rPr>
        <w:t>Hentschke</w:t>
      </w:r>
      <w:proofErr w:type="spellEnd"/>
      <w:r w:rsidRPr="0096752A">
        <w:rPr>
          <w:rFonts w:ascii="Candara" w:hAnsi="Candara"/>
          <w:sz w:val="20"/>
          <w:lang w:val="pt-PT"/>
        </w:rPr>
        <w:t xml:space="preserve"> e </w:t>
      </w:r>
      <w:proofErr w:type="spellStart"/>
      <w:r w:rsidRPr="0096752A">
        <w:rPr>
          <w:rFonts w:ascii="Candara" w:hAnsi="Candara"/>
          <w:sz w:val="20"/>
          <w:lang w:val="pt-PT"/>
        </w:rPr>
        <w:t>Stüttgen</w:t>
      </w:r>
      <w:proofErr w:type="spellEnd"/>
      <w:r w:rsidRPr="0096752A">
        <w:rPr>
          <w:rFonts w:ascii="Candara" w:hAnsi="Candara"/>
          <w:sz w:val="20"/>
          <w:lang w:val="pt-PT"/>
        </w:rPr>
        <w:t xml:space="preserve">, 2011). Este artigo, nos seus suplementos, é acompanhado por uma folha de cálculo em Excel para computação rápida desligada da Internet. A nossa folha de cálculo inclui os cálculos para o </w:t>
      </w:r>
      <w:r w:rsidRPr="0096752A">
        <w:rPr>
          <w:rFonts w:ascii="Candara Italic" w:hAnsi="Candara Italic"/>
          <w:sz w:val="20"/>
          <w:lang w:val="pt-PT"/>
        </w:rPr>
        <w:t>d</w:t>
      </w:r>
      <w:r w:rsidRPr="0096752A">
        <w:rPr>
          <w:rFonts w:ascii="Candara" w:hAnsi="Candara"/>
          <w:sz w:val="20"/>
          <w:lang w:val="pt-PT"/>
        </w:rPr>
        <w:t xml:space="preserve">, </w:t>
      </w:r>
      <w:r w:rsidRPr="0096752A">
        <w:rPr>
          <w:rFonts w:ascii="Candara Italic" w:hAnsi="Candara Italic"/>
          <w:sz w:val="20"/>
          <w:lang w:val="pt-PT"/>
        </w:rPr>
        <w:t>g</w:t>
      </w:r>
      <w:r w:rsidRPr="0096752A">
        <w:rPr>
          <w:rFonts w:ascii="Candara" w:hAnsi="Candara"/>
          <w:sz w:val="20"/>
          <w:lang w:val="pt-PT"/>
        </w:rPr>
        <w:t xml:space="preserve"> e </w:t>
      </w:r>
      <w:r w:rsidRPr="0096752A">
        <w:rPr>
          <w:rFonts w:ascii="Candara Italic" w:hAnsi="Candara Italic"/>
          <w:sz w:val="20"/>
          <w:lang w:val="pt-PT"/>
        </w:rPr>
        <w:t>Delta</w:t>
      </w:r>
      <w:r w:rsidRPr="0096752A">
        <w:rPr>
          <w:rFonts w:ascii="Candara" w:hAnsi="Candara"/>
          <w:sz w:val="20"/>
          <w:lang w:val="pt-PT"/>
        </w:rPr>
        <w:t xml:space="preserve"> e ainda a equivalência em percentis. Na nossa folha de cálculo fornecemos também a computação dos </w:t>
      </w:r>
      <w:proofErr w:type="spellStart"/>
      <w:r w:rsidRPr="0096752A">
        <w:rPr>
          <w:rFonts w:ascii="Candara" w:hAnsi="Candara"/>
          <w:sz w:val="20"/>
          <w:lang w:val="pt-PT"/>
        </w:rPr>
        <w:t>ICs</w:t>
      </w:r>
      <w:proofErr w:type="spellEnd"/>
      <w:r w:rsidRPr="0096752A">
        <w:rPr>
          <w:rFonts w:ascii="Candara" w:hAnsi="Candara"/>
          <w:sz w:val="20"/>
          <w:lang w:val="pt-PT"/>
        </w:rPr>
        <w:t>.</w:t>
      </w:r>
    </w:p>
    <w:p w:rsidR="00DF5881" w:rsidRPr="0096752A" w:rsidRDefault="00DF5881" w:rsidP="00DF5881">
      <w:pPr>
        <w:pStyle w:val="FormalivreA"/>
        <w:spacing w:line="276" w:lineRule="auto"/>
        <w:ind w:firstLine="426"/>
        <w:jc w:val="both"/>
        <w:rPr>
          <w:rFonts w:ascii="Candara" w:hAnsi="Candara"/>
          <w:sz w:val="20"/>
          <w:lang w:val="pt-PT"/>
        </w:rPr>
      </w:pPr>
      <w:proofErr w:type="gramStart"/>
      <w:r w:rsidRPr="0096752A">
        <w:rPr>
          <w:rFonts w:ascii="Candara" w:hAnsi="Candara"/>
          <w:b/>
          <w:i/>
          <w:sz w:val="22"/>
          <w:lang w:val="pt-PT"/>
        </w:rPr>
        <w:t>Conversões para</w:t>
      </w:r>
      <w:proofErr w:type="gramEnd"/>
      <w:r w:rsidRPr="0096752A">
        <w:rPr>
          <w:rFonts w:ascii="Candara" w:hAnsi="Candara"/>
          <w:b/>
          <w:i/>
          <w:sz w:val="22"/>
          <w:lang w:val="pt-PT"/>
        </w:rPr>
        <w:t xml:space="preserve"> revisão da literatura</w:t>
      </w:r>
      <w:r w:rsidRPr="0096752A">
        <w:rPr>
          <w:rFonts w:ascii="Candara" w:hAnsi="Candara"/>
          <w:b/>
          <w:sz w:val="22"/>
          <w:lang w:val="pt-PT"/>
        </w:rPr>
        <w:t>.</w:t>
      </w:r>
      <w:r w:rsidRPr="0096752A">
        <w:rPr>
          <w:rFonts w:ascii="Candara" w:hAnsi="Candara"/>
          <w:sz w:val="20"/>
          <w:lang w:val="pt-PT"/>
        </w:rPr>
        <w:t xml:space="preserve"> Um dos usos da magnitude do efeito aplica-se à revisão da literatura. No entanto, como já referimos, raramente os TDE são indicados na literatura. No entanto, desde que os dados básicos sejam apresentados (</w:t>
      </w:r>
      <w:r w:rsidR="00494E85">
        <w:rPr>
          <w:rFonts w:ascii="Candara" w:hAnsi="Candara"/>
          <w:sz w:val="20"/>
          <w:lang w:val="pt-PT"/>
        </w:rPr>
        <w:t>p. e.</w:t>
      </w:r>
      <w:r w:rsidRPr="0096752A">
        <w:rPr>
          <w:rFonts w:ascii="Candara" w:hAnsi="Candara"/>
          <w:sz w:val="20"/>
          <w:lang w:val="pt-PT"/>
        </w:rPr>
        <w:t xml:space="preserve">, </w:t>
      </w:r>
      <w:r w:rsidRPr="0096752A">
        <w:rPr>
          <w:rFonts w:ascii="Candara Italic" w:hAnsi="Candara Italic"/>
          <w:sz w:val="20"/>
          <w:lang w:val="pt-PT"/>
        </w:rPr>
        <w:t>n</w:t>
      </w:r>
      <w:r w:rsidRPr="0096752A">
        <w:rPr>
          <w:rFonts w:ascii="Candara" w:hAnsi="Candara"/>
          <w:sz w:val="20"/>
          <w:lang w:val="pt-PT"/>
        </w:rPr>
        <w:t xml:space="preserve">, média e </w:t>
      </w:r>
      <w:r w:rsidRPr="0096752A">
        <w:rPr>
          <w:rFonts w:ascii="Candara Italic" w:hAnsi="Candara Italic"/>
          <w:sz w:val="20"/>
          <w:lang w:val="pt-PT"/>
        </w:rPr>
        <w:t>DP</w:t>
      </w:r>
      <w:r w:rsidRPr="0096752A">
        <w:rPr>
          <w:rFonts w:ascii="Candara" w:hAnsi="Candara"/>
          <w:sz w:val="20"/>
          <w:lang w:val="pt-PT"/>
        </w:rPr>
        <w:t>), o autor pode calcular facilmente os TDE da literatura para comparação. Se esses valores estiverem em falta, os TDE ainda podem ser calculados com base noutras estimativas (</w:t>
      </w:r>
      <w:proofErr w:type="spellStart"/>
      <w:r w:rsidRPr="0096752A">
        <w:rPr>
          <w:rFonts w:ascii="Candara" w:hAnsi="Candara"/>
          <w:sz w:val="20"/>
          <w:lang w:val="pt-PT"/>
        </w:rPr>
        <w:t>Durlak</w:t>
      </w:r>
      <w:proofErr w:type="spellEnd"/>
      <w:r w:rsidRPr="0096752A">
        <w:rPr>
          <w:rFonts w:ascii="Candara" w:hAnsi="Candara"/>
          <w:sz w:val="20"/>
          <w:lang w:val="pt-PT"/>
        </w:rPr>
        <w:t xml:space="preserve">, 2009). Para esse efeito, existem fórmulas de conversão de testes estatísticos comuns em </w:t>
      </w:r>
      <w:r w:rsidRPr="0096752A">
        <w:rPr>
          <w:rFonts w:ascii="Candara Italic" w:hAnsi="Candara Italic"/>
          <w:sz w:val="20"/>
          <w:lang w:val="pt-PT"/>
        </w:rPr>
        <w:t>d</w:t>
      </w:r>
      <w:r w:rsidRPr="0096752A">
        <w:rPr>
          <w:rFonts w:ascii="Candara" w:hAnsi="Candara"/>
          <w:sz w:val="20"/>
          <w:lang w:val="pt-PT"/>
        </w:rPr>
        <w:t xml:space="preserve"> de Cohen. Para os objetivos deste artigo, interessa aqui somente apresentar a conversão do teste</w:t>
      </w:r>
      <w:r w:rsidRPr="0096752A">
        <w:rPr>
          <w:rFonts w:ascii="Candara Italic" w:hAnsi="Candara Italic"/>
          <w:sz w:val="20"/>
          <w:lang w:val="pt-PT"/>
        </w:rPr>
        <w:t xml:space="preserve"> t </w:t>
      </w:r>
      <w:r w:rsidRPr="0096752A">
        <w:rPr>
          <w:rFonts w:ascii="Candara" w:hAnsi="Candara"/>
          <w:sz w:val="20"/>
          <w:lang w:val="pt-PT"/>
        </w:rPr>
        <w:t xml:space="preserve">em </w:t>
      </w:r>
      <w:r w:rsidRPr="0096752A">
        <w:rPr>
          <w:rFonts w:ascii="Candara Italic" w:hAnsi="Candara Italic"/>
          <w:sz w:val="20"/>
          <w:lang w:val="pt-PT"/>
        </w:rPr>
        <w:t xml:space="preserve">d </w:t>
      </w:r>
      <w:r w:rsidRPr="0096752A">
        <w:rPr>
          <w:rFonts w:ascii="Candara" w:hAnsi="Candara"/>
          <w:sz w:val="20"/>
          <w:lang w:val="pt-PT"/>
        </w:rPr>
        <w:t>de Cohen (</w:t>
      </w:r>
      <w:proofErr w:type="spellStart"/>
      <w:r w:rsidRPr="0096752A">
        <w:rPr>
          <w:rFonts w:ascii="Candara" w:hAnsi="Candara"/>
          <w:sz w:val="20"/>
          <w:lang w:val="pt-PT"/>
        </w:rPr>
        <w:t>Rosenthal</w:t>
      </w:r>
      <w:proofErr w:type="spellEnd"/>
      <w:r w:rsidRPr="0096752A">
        <w:rPr>
          <w:rFonts w:ascii="Candara" w:hAnsi="Candara"/>
          <w:sz w:val="20"/>
          <w:lang w:val="pt-PT"/>
        </w:rPr>
        <w:t>, 1994):</w:t>
      </w:r>
    </w:p>
    <w:tbl>
      <w:tblPr>
        <w:tblW w:w="0" w:type="auto"/>
        <w:jc w:val="center"/>
        <w:tblLayout w:type="fixed"/>
        <w:tblLook w:val="0000"/>
      </w:tblPr>
      <w:tblGrid>
        <w:gridCol w:w="481"/>
        <w:gridCol w:w="1138"/>
      </w:tblGrid>
      <w:tr w:rsidR="00DF5881" w:rsidRPr="0096752A" w:rsidTr="00432573">
        <w:trPr>
          <w:cantSplit/>
          <w:trHeight w:val="700"/>
          <w:jc w:val="center"/>
        </w:trPr>
        <w:tc>
          <w:tcPr>
            <w:tcW w:w="48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DF5881" w:rsidRPr="0096752A" w:rsidRDefault="00DF5881" w:rsidP="00432573">
            <w:pPr>
              <w:pStyle w:val="FormalivreA"/>
              <w:spacing w:line="276" w:lineRule="auto"/>
              <w:jc w:val="right"/>
              <w:rPr>
                <w:rFonts w:ascii="Candara" w:hAnsi="Candara"/>
                <w:sz w:val="20"/>
              </w:rPr>
            </w:pPr>
            <w:r w:rsidRPr="0096752A">
              <w:rPr>
                <w:rFonts w:ascii="Candara Italic" w:hAnsi="Candara Italic"/>
                <w:sz w:val="20"/>
              </w:rPr>
              <w:t xml:space="preserve">d </w:t>
            </w:r>
            <w:r w:rsidRPr="0096752A">
              <w:rPr>
                <w:rFonts w:ascii="Candara" w:hAnsi="Candara"/>
                <w:sz w:val="20"/>
              </w:rPr>
              <w:t xml:space="preserve">=   </w:t>
            </w:r>
          </w:p>
        </w:tc>
        <w:tc>
          <w:tcPr>
            <w:tcW w:w="11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F5881" w:rsidRPr="0096752A" w:rsidRDefault="00E333CB" w:rsidP="00432573">
            <w:pPr>
              <w:pStyle w:val="FormalivreA"/>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 w:val="left" w:pos="8787"/>
                <w:tab w:val="left" w:pos="9071"/>
                <w:tab w:val="left" w:pos="9354"/>
                <w:tab w:val="left" w:pos="9638"/>
                <w:tab w:val="left" w:pos="9921"/>
                <w:tab w:val="left" w:pos="10205"/>
                <w:tab w:val="left" w:pos="10488"/>
                <w:tab w:val="left" w:pos="10772"/>
                <w:tab w:val="left" w:pos="11055"/>
                <w:tab w:val="left" w:pos="11339"/>
                <w:tab w:val="left" w:pos="11622"/>
                <w:tab w:val="left" w:pos="11906"/>
                <w:tab w:val="left" w:pos="12189"/>
                <w:tab w:val="left" w:pos="12472"/>
                <w:tab w:val="left" w:pos="12756"/>
                <w:tab w:val="left" w:pos="13039"/>
                <w:tab w:val="left" w:pos="13323"/>
                <w:tab w:val="left" w:pos="13606"/>
                <w:tab w:val="left" w:pos="13890"/>
                <w:tab w:val="left" w:pos="14173"/>
                <w:tab w:val="left" w:pos="14457"/>
                <w:tab w:val="left" w:pos="14740"/>
                <w:tab w:val="left" w:pos="15024"/>
                <w:tab w:val="left" w:pos="15307"/>
                <w:tab w:val="left" w:pos="15591"/>
                <w:tab w:val="left" w:pos="15874"/>
                <w:tab w:val="left" w:pos="16157"/>
                <w:tab w:val="left" w:pos="16441"/>
                <w:tab w:val="left" w:pos="16724"/>
                <w:tab w:val="left" w:pos="17008"/>
                <w:tab w:val="left" w:pos="17291"/>
                <w:tab w:val="left" w:pos="17575"/>
                <w:tab w:val="left" w:pos="17858"/>
                <w:tab w:val="left" w:pos="18142"/>
              </w:tabs>
              <w:spacing w:line="276" w:lineRule="auto"/>
              <w:rPr>
                <w:sz w:val="20"/>
              </w:rPr>
            </w:pPr>
            <m:oMathPara>
              <m:oMath>
                <m:f>
                  <m:fPr>
                    <m:ctrlPr>
                      <w:rPr>
                        <w:rFonts w:ascii="Cambria Math" w:hAnsi="Cambria Math"/>
                        <w:i/>
                        <w:sz w:val="20"/>
                      </w:rPr>
                    </m:ctrlPr>
                  </m:fPr>
                  <m:num>
                    <m:r>
                      <w:rPr>
                        <w:rFonts w:ascii="Cambria Math" w:hAnsi="Cambria Math"/>
                        <w:sz w:val="20"/>
                      </w:rPr>
                      <m:t>t (</m:t>
                    </m:r>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m:t>
                    </m:r>
                  </m:num>
                  <m:den>
                    <m:rad>
                      <m:radPr>
                        <m:degHide m:val="on"/>
                        <m:ctrlPr>
                          <w:rPr>
                            <w:rFonts w:ascii="Cambria Math" w:hAnsi="Cambria Math"/>
                            <w:i/>
                            <w:sz w:val="20"/>
                          </w:rPr>
                        </m:ctrlPr>
                      </m:radPr>
                      <m:deg/>
                      <m:e>
                        <m:r>
                          <w:rPr>
                            <w:rFonts w:ascii="Cambria Math" w:hAnsi="Cambria Math"/>
                            <w:sz w:val="20"/>
                          </w:rPr>
                          <m:t>gl</m:t>
                        </m:r>
                      </m:e>
                    </m:rad>
                    <m:rad>
                      <m:radPr>
                        <m:degHide m:val="on"/>
                        <m:ctrlPr>
                          <w:rPr>
                            <w:rFonts w:ascii="Cambria Math" w:hAnsi="Cambria Math"/>
                            <w:i/>
                            <w:sz w:val="20"/>
                          </w:rPr>
                        </m:ctrlPr>
                      </m:radPr>
                      <m:deg/>
                      <m:e>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e>
                    </m:rad>
                  </m:den>
                </m:f>
              </m:oMath>
            </m:oMathPara>
          </w:p>
        </w:tc>
      </w:tr>
    </w:tbl>
    <w:p w:rsidR="00DF5881" w:rsidRPr="0096752A" w:rsidRDefault="00DF5881" w:rsidP="00DF5881">
      <w:pPr>
        <w:pStyle w:val="FormalivreA"/>
        <w:spacing w:after="80" w:line="276" w:lineRule="auto"/>
        <w:ind w:firstLine="567"/>
        <w:jc w:val="both"/>
        <w:rPr>
          <w:rFonts w:ascii="Candara" w:hAnsi="Candara"/>
          <w:sz w:val="20"/>
          <w:lang w:val="pt-PT"/>
        </w:rPr>
      </w:pPr>
      <w:r w:rsidRPr="0096752A">
        <w:rPr>
          <w:rFonts w:ascii="Candara" w:hAnsi="Candara"/>
          <w:sz w:val="20"/>
          <w:lang w:val="pt-PT"/>
        </w:rPr>
        <w:t xml:space="preserve">No caso de se poder considerar o tamanho das duas amostras igual ou quando não existe informação, então a equação é simplificada </w:t>
      </w:r>
      <w:proofErr w:type="gramStart"/>
      <w:r w:rsidRPr="0096752A">
        <w:rPr>
          <w:rFonts w:ascii="Candara" w:hAnsi="Candara"/>
          <w:sz w:val="20"/>
          <w:lang w:val="pt-PT"/>
        </w:rPr>
        <w:t>para</w:t>
      </w:r>
      <w:proofErr w:type="gramEnd"/>
      <w:r w:rsidRPr="0096752A">
        <w:rPr>
          <w:rFonts w:ascii="Candara" w:hAnsi="Candara"/>
          <w:sz w:val="20"/>
          <w:lang w:val="pt-PT"/>
        </w:rPr>
        <w:t xml:space="preserve"> (</w:t>
      </w:r>
      <w:proofErr w:type="spellStart"/>
      <w:r w:rsidRPr="0096752A">
        <w:rPr>
          <w:rFonts w:ascii="Candara" w:hAnsi="Candara"/>
          <w:sz w:val="20"/>
          <w:lang w:val="pt-PT"/>
        </w:rPr>
        <w:t>Rosenthal</w:t>
      </w:r>
      <w:proofErr w:type="spellEnd"/>
      <w:r w:rsidRPr="0096752A">
        <w:rPr>
          <w:rFonts w:ascii="Candara" w:hAnsi="Candara"/>
          <w:sz w:val="20"/>
          <w:lang w:val="pt-PT"/>
        </w:rPr>
        <w:t>, 1994):</w:t>
      </w:r>
    </w:p>
    <w:tbl>
      <w:tblPr>
        <w:tblW w:w="0" w:type="auto"/>
        <w:jc w:val="center"/>
        <w:tblLayout w:type="fixed"/>
        <w:tblLook w:val="0000"/>
      </w:tblPr>
      <w:tblGrid>
        <w:gridCol w:w="415"/>
        <w:gridCol w:w="624"/>
      </w:tblGrid>
      <w:tr w:rsidR="00DF5881" w:rsidRPr="0096752A" w:rsidTr="00432573">
        <w:trPr>
          <w:cantSplit/>
          <w:trHeight w:val="540"/>
          <w:jc w:val="center"/>
        </w:trPr>
        <w:tc>
          <w:tcPr>
            <w:tcW w:w="41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DF5881" w:rsidRPr="0096752A" w:rsidRDefault="00DF5881" w:rsidP="00432573">
            <w:pPr>
              <w:pStyle w:val="FormalivreA"/>
              <w:spacing w:line="276" w:lineRule="auto"/>
              <w:jc w:val="right"/>
              <w:rPr>
                <w:rFonts w:ascii="Candara" w:hAnsi="Candara"/>
                <w:sz w:val="20"/>
              </w:rPr>
            </w:pPr>
            <w:r w:rsidRPr="0096752A">
              <w:rPr>
                <w:rFonts w:ascii="Candara Italic" w:hAnsi="Candara Italic"/>
                <w:sz w:val="20"/>
              </w:rPr>
              <w:lastRenderedPageBreak/>
              <w:t xml:space="preserve">d </w:t>
            </w:r>
            <w:r w:rsidRPr="0096752A">
              <w:rPr>
                <w:rFonts w:ascii="Candara" w:hAnsi="Candara"/>
                <w:sz w:val="20"/>
              </w:rPr>
              <w:t xml:space="preserve">=   </w:t>
            </w:r>
          </w:p>
        </w:tc>
        <w:tc>
          <w:tcPr>
            <w:tcW w:w="62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F5881" w:rsidRPr="0096752A" w:rsidRDefault="00E333CB" w:rsidP="00432573">
            <w:pPr>
              <w:pStyle w:val="FormalivreA"/>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 w:val="left" w:pos="8787"/>
                <w:tab w:val="left" w:pos="9071"/>
                <w:tab w:val="left" w:pos="9354"/>
                <w:tab w:val="left" w:pos="9638"/>
                <w:tab w:val="left" w:pos="9921"/>
                <w:tab w:val="left" w:pos="10205"/>
                <w:tab w:val="left" w:pos="10488"/>
                <w:tab w:val="left" w:pos="10772"/>
                <w:tab w:val="left" w:pos="11055"/>
                <w:tab w:val="left" w:pos="11339"/>
                <w:tab w:val="left" w:pos="11622"/>
                <w:tab w:val="left" w:pos="11906"/>
                <w:tab w:val="left" w:pos="12189"/>
                <w:tab w:val="left" w:pos="12472"/>
                <w:tab w:val="left" w:pos="12756"/>
                <w:tab w:val="left" w:pos="13039"/>
                <w:tab w:val="left" w:pos="13323"/>
              </w:tabs>
              <w:spacing w:line="276" w:lineRule="auto"/>
              <w:rPr>
                <w:sz w:val="20"/>
              </w:rPr>
            </w:pPr>
            <m:oMathPara>
              <m:oMath>
                <m:f>
                  <m:fPr>
                    <m:ctrlPr>
                      <w:rPr>
                        <w:rFonts w:ascii="Cambria Math" w:hAnsi="Cambria Math"/>
                        <w:i/>
                        <w:sz w:val="20"/>
                      </w:rPr>
                    </m:ctrlPr>
                  </m:fPr>
                  <m:num>
                    <m:r>
                      <w:rPr>
                        <w:rFonts w:ascii="Cambria Math" w:hAnsi="Cambria Math"/>
                        <w:sz w:val="20"/>
                      </w:rPr>
                      <m:t>2t</m:t>
                    </m:r>
                  </m:num>
                  <m:den>
                    <m:rad>
                      <m:radPr>
                        <m:degHide m:val="on"/>
                        <m:ctrlPr>
                          <w:rPr>
                            <w:rFonts w:ascii="Cambria Math" w:hAnsi="Cambria Math"/>
                            <w:i/>
                            <w:sz w:val="20"/>
                          </w:rPr>
                        </m:ctrlPr>
                      </m:radPr>
                      <m:deg/>
                      <m:e>
                        <m:r>
                          <w:rPr>
                            <w:rFonts w:ascii="Cambria Math" w:hAnsi="Cambria Math"/>
                            <w:sz w:val="20"/>
                          </w:rPr>
                          <m:t>gl</m:t>
                        </m:r>
                      </m:e>
                    </m:rad>
                  </m:den>
                </m:f>
              </m:oMath>
            </m:oMathPara>
          </w:p>
        </w:tc>
      </w:tr>
    </w:tbl>
    <w:p w:rsidR="00DF5881" w:rsidRPr="0096752A" w:rsidRDefault="00DF5881" w:rsidP="00DF5881">
      <w:pPr>
        <w:pStyle w:val="Formalivre"/>
        <w:spacing w:line="276" w:lineRule="auto"/>
        <w:jc w:val="center"/>
        <w:rPr>
          <w:rFonts w:ascii="Candara" w:hAnsi="Candara"/>
          <w:sz w:val="20"/>
        </w:rPr>
      </w:pPr>
    </w:p>
    <w:p w:rsidR="00DF5881" w:rsidRPr="0096752A" w:rsidRDefault="00DF5881" w:rsidP="00691E52">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O </w:t>
      </w:r>
      <w:r w:rsidRPr="0096752A">
        <w:rPr>
          <w:rFonts w:ascii="Candara Italic" w:hAnsi="Candara Italic"/>
          <w:sz w:val="20"/>
          <w:lang w:val="pt-PT"/>
        </w:rPr>
        <w:t>g</w:t>
      </w:r>
      <w:r w:rsidRPr="0096752A">
        <w:rPr>
          <w:rFonts w:ascii="Candara" w:hAnsi="Candara"/>
          <w:sz w:val="20"/>
          <w:lang w:val="pt-PT"/>
        </w:rPr>
        <w:t xml:space="preserve"> de </w:t>
      </w:r>
      <w:proofErr w:type="spellStart"/>
      <w:r w:rsidRPr="0096752A">
        <w:rPr>
          <w:rFonts w:ascii="Candara" w:hAnsi="Candara"/>
          <w:sz w:val="20"/>
          <w:lang w:val="pt-PT"/>
        </w:rPr>
        <w:t>Hedges</w:t>
      </w:r>
      <w:proofErr w:type="spellEnd"/>
      <w:r w:rsidRPr="0096752A">
        <w:rPr>
          <w:rFonts w:ascii="Candara" w:hAnsi="Candara"/>
          <w:sz w:val="20"/>
          <w:lang w:val="pt-PT"/>
        </w:rPr>
        <w:t>, quando se assume que as duas amostras têm tamanho igual corresponde a (</w:t>
      </w:r>
      <w:proofErr w:type="spellStart"/>
      <w:r w:rsidRPr="0096752A">
        <w:rPr>
          <w:rFonts w:ascii="Candara" w:hAnsi="Candara"/>
          <w:sz w:val="20"/>
          <w:lang w:val="pt-PT"/>
        </w:rPr>
        <w:t>Rosenthal</w:t>
      </w:r>
      <w:proofErr w:type="spellEnd"/>
      <w:r w:rsidRPr="0096752A">
        <w:rPr>
          <w:rFonts w:ascii="Candara" w:hAnsi="Candara"/>
          <w:sz w:val="20"/>
          <w:lang w:val="pt-PT"/>
        </w:rPr>
        <w:t>, 1994):</w:t>
      </w:r>
    </w:p>
    <w:tbl>
      <w:tblPr>
        <w:tblW w:w="0" w:type="auto"/>
        <w:jc w:val="center"/>
        <w:tblLayout w:type="fixed"/>
        <w:tblLook w:val="0000"/>
      </w:tblPr>
      <w:tblGrid>
        <w:gridCol w:w="267"/>
        <w:gridCol w:w="1032"/>
      </w:tblGrid>
      <w:tr w:rsidR="00DF5881" w:rsidRPr="0096752A" w:rsidTr="00432573">
        <w:trPr>
          <w:cantSplit/>
          <w:trHeight w:val="640"/>
          <w:jc w:val="center"/>
        </w:trPr>
        <w:tc>
          <w:tcPr>
            <w:tcW w:w="2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DF5881" w:rsidRPr="0096752A" w:rsidRDefault="00DF5881" w:rsidP="00691E52">
            <w:pPr>
              <w:pStyle w:val="FormalivreA"/>
              <w:spacing w:line="276" w:lineRule="auto"/>
              <w:ind w:firstLine="426"/>
              <w:jc w:val="right"/>
              <w:rPr>
                <w:rFonts w:ascii="Candara" w:hAnsi="Candara"/>
                <w:sz w:val="20"/>
              </w:rPr>
            </w:pPr>
            <w:r w:rsidRPr="0096752A">
              <w:rPr>
                <w:rFonts w:ascii="Candara Italic" w:hAnsi="Candara Italic"/>
                <w:sz w:val="20"/>
              </w:rPr>
              <w:t xml:space="preserve">g </w:t>
            </w:r>
            <w:r w:rsidRPr="0096752A">
              <w:rPr>
                <w:rFonts w:ascii="Candara" w:hAnsi="Candara"/>
                <w:sz w:val="20"/>
              </w:rPr>
              <w:t xml:space="preserve">=   </w:t>
            </w:r>
          </w:p>
        </w:tc>
        <w:tc>
          <w:tcPr>
            <w:tcW w:w="10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F5881" w:rsidRPr="0096752A" w:rsidRDefault="00E333CB" w:rsidP="00691E52">
            <w:pPr>
              <w:pStyle w:val="FormalivreA"/>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 w:val="left" w:pos="8787"/>
                <w:tab w:val="left" w:pos="9071"/>
                <w:tab w:val="left" w:pos="9354"/>
                <w:tab w:val="left" w:pos="9638"/>
                <w:tab w:val="left" w:pos="9921"/>
                <w:tab w:val="left" w:pos="10205"/>
                <w:tab w:val="left" w:pos="10488"/>
                <w:tab w:val="left" w:pos="10772"/>
                <w:tab w:val="left" w:pos="11055"/>
                <w:tab w:val="left" w:pos="11339"/>
                <w:tab w:val="left" w:pos="11622"/>
                <w:tab w:val="left" w:pos="11906"/>
                <w:tab w:val="left" w:pos="12189"/>
                <w:tab w:val="left" w:pos="12472"/>
                <w:tab w:val="left" w:pos="12756"/>
                <w:tab w:val="left" w:pos="13039"/>
                <w:tab w:val="left" w:pos="13323"/>
                <w:tab w:val="left" w:pos="13606"/>
                <w:tab w:val="left" w:pos="13890"/>
                <w:tab w:val="left" w:pos="14173"/>
                <w:tab w:val="left" w:pos="14457"/>
                <w:tab w:val="left" w:pos="14740"/>
                <w:tab w:val="left" w:pos="15024"/>
                <w:tab w:val="left" w:pos="15307"/>
                <w:tab w:val="left" w:pos="15591"/>
                <w:tab w:val="left" w:pos="15874"/>
                <w:tab w:val="left" w:pos="16157"/>
                <w:tab w:val="left" w:pos="16441"/>
                <w:tab w:val="left" w:pos="16724"/>
                <w:tab w:val="left" w:pos="17008"/>
                <w:tab w:val="left" w:pos="17291"/>
                <w:tab w:val="left" w:pos="17575"/>
                <w:tab w:val="left" w:pos="17858"/>
                <w:tab w:val="left" w:pos="18142"/>
              </w:tabs>
              <w:spacing w:line="276" w:lineRule="auto"/>
              <w:ind w:firstLine="426"/>
              <w:rPr>
                <w:sz w:val="20"/>
              </w:rPr>
            </w:pPr>
            <m:oMathPara>
              <m:oMath>
                <m:f>
                  <m:fPr>
                    <m:ctrlPr>
                      <w:rPr>
                        <w:rFonts w:ascii="Cambria Math" w:hAnsi="Cambria Math"/>
                        <w:i/>
                        <w:sz w:val="20"/>
                      </w:rPr>
                    </m:ctrlPr>
                  </m:fPr>
                  <m:num>
                    <m:r>
                      <w:rPr>
                        <w:rFonts w:ascii="Cambria Math" w:hAnsi="Cambria Math"/>
                        <w:sz w:val="20"/>
                      </w:rPr>
                      <m:t>2t</m:t>
                    </m:r>
                  </m:num>
                  <m:den>
                    <m:rad>
                      <m:radPr>
                        <m:degHide m:val="on"/>
                        <m:ctrlPr>
                          <w:rPr>
                            <w:rFonts w:ascii="Cambria Math" w:hAnsi="Cambria Math"/>
                            <w:i/>
                            <w:sz w:val="20"/>
                          </w:rPr>
                        </m:ctrlPr>
                      </m:radPr>
                      <m:deg/>
                      <m:e>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e>
                    </m:rad>
                  </m:den>
                </m:f>
              </m:oMath>
            </m:oMathPara>
          </w:p>
        </w:tc>
      </w:tr>
    </w:tbl>
    <w:p w:rsidR="00DF5881" w:rsidRPr="0096752A" w:rsidRDefault="00DF5881" w:rsidP="00691E52">
      <w:pPr>
        <w:pStyle w:val="FormalivreA"/>
        <w:spacing w:after="80" w:line="276" w:lineRule="auto"/>
        <w:ind w:firstLine="426"/>
        <w:jc w:val="both"/>
        <w:rPr>
          <w:rFonts w:ascii="Candara" w:hAnsi="Candara"/>
          <w:sz w:val="20"/>
          <w:lang w:val="pt-PT"/>
        </w:rPr>
      </w:pPr>
      <w:r w:rsidRPr="0096752A">
        <w:rPr>
          <w:rFonts w:ascii="Candara" w:hAnsi="Candara"/>
          <w:sz w:val="20"/>
          <w:lang w:val="pt-PT"/>
        </w:rPr>
        <w:t xml:space="preserve">Nestas três fórmulas, o </w:t>
      </w:r>
      <w:r w:rsidRPr="0096752A">
        <w:rPr>
          <w:rFonts w:ascii="Candara Italic" w:hAnsi="Candara Italic"/>
          <w:sz w:val="20"/>
          <w:lang w:val="pt-PT"/>
        </w:rPr>
        <w:t>t</w:t>
      </w:r>
      <w:r w:rsidRPr="0096752A">
        <w:rPr>
          <w:rFonts w:ascii="Candara" w:hAnsi="Candara"/>
          <w:sz w:val="20"/>
          <w:lang w:val="pt-PT"/>
        </w:rPr>
        <w:t xml:space="preserve"> corresponde ao teste t de </w:t>
      </w:r>
      <w:proofErr w:type="spellStart"/>
      <w:r w:rsidRPr="0096752A">
        <w:rPr>
          <w:rFonts w:ascii="Candara" w:hAnsi="Candara"/>
          <w:sz w:val="20"/>
          <w:lang w:val="pt-PT"/>
        </w:rPr>
        <w:t>Student</w:t>
      </w:r>
      <w:proofErr w:type="spellEnd"/>
      <w:r w:rsidRPr="0096752A">
        <w:rPr>
          <w:rFonts w:ascii="Candara" w:hAnsi="Candara"/>
          <w:sz w:val="20"/>
          <w:lang w:val="pt-PT"/>
        </w:rPr>
        <w:t xml:space="preserve">, o </w:t>
      </w:r>
      <w:r w:rsidRPr="0096752A">
        <w:rPr>
          <w:rFonts w:ascii="Candara Italic" w:hAnsi="Candara Italic"/>
          <w:sz w:val="20"/>
          <w:lang w:val="pt-PT"/>
        </w:rPr>
        <w:t>n</w:t>
      </w:r>
      <w:r w:rsidRPr="0096752A">
        <w:rPr>
          <w:rFonts w:ascii="Candara" w:hAnsi="Candara"/>
          <w:sz w:val="20"/>
          <w:lang w:val="pt-PT"/>
        </w:rPr>
        <w:t xml:space="preserve"> equivale ao tamanho da amostra de cada grupo e o </w:t>
      </w:r>
      <w:proofErr w:type="spellStart"/>
      <w:r w:rsidRPr="0096752A">
        <w:rPr>
          <w:rFonts w:ascii="Candara Italic" w:hAnsi="Candara Italic"/>
          <w:sz w:val="20"/>
          <w:lang w:val="pt-PT"/>
        </w:rPr>
        <w:t>gl</w:t>
      </w:r>
      <w:proofErr w:type="spellEnd"/>
      <w:r w:rsidRPr="0096752A">
        <w:rPr>
          <w:rFonts w:ascii="Candara" w:hAnsi="Candara"/>
          <w:sz w:val="20"/>
          <w:lang w:val="pt-PT"/>
        </w:rPr>
        <w:t xml:space="preserve"> aos graus de liberdade.</w:t>
      </w:r>
    </w:p>
    <w:p w:rsidR="00DF5881" w:rsidRPr="0096752A" w:rsidRDefault="00DF5881" w:rsidP="00691E52">
      <w:pPr>
        <w:pStyle w:val="FormalivreA"/>
        <w:spacing w:line="276" w:lineRule="auto"/>
        <w:ind w:firstLine="426"/>
        <w:jc w:val="both"/>
        <w:rPr>
          <w:rFonts w:ascii="Candara" w:hAnsi="Candara"/>
          <w:sz w:val="20"/>
          <w:lang w:val="pt-PT"/>
        </w:rPr>
      </w:pPr>
      <w:r w:rsidRPr="0096752A">
        <w:rPr>
          <w:rFonts w:ascii="Candara Bold" w:hAnsi="Candara Bold"/>
          <w:sz w:val="22"/>
          <w:lang w:val="pt-PT"/>
        </w:rPr>
        <w:t>Interpretação dos Tamanhos do Efeito</w:t>
      </w:r>
      <w:r w:rsidRPr="0096752A">
        <w:rPr>
          <w:rFonts w:ascii="Candara Bold" w:hAnsi="Candara Bold"/>
          <w:i/>
          <w:sz w:val="22"/>
          <w:lang w:val="pt-PT"/>
        </w:rPr>
        <w:t>.</w:t>
      </w:r>
      <w:r w:rsidRPr="0096752A">
        <w:rPr>
          <w:rFonts w:ascii="Candara" w:hAnsi="Candara"/>
          <w:sz w:val="22"/>
          <w:lang w:val="pt-PT"/>
        </w:rPr>
        <w:t xml:space="preserve"> </w:t>
      </w:r>
      <w:r w:rsidRPr="0096752A">
        <w:rPr>
          <w:rFonts w:ascii="Candara" w:hAnsi="Candara"/>
          <w:sz w:val="20"/>
        </w:rPr>
        <w:t xml:space="preserve">Cohen (1988), </w:t>
      </w:r>
      <w:proofErr w:type="spellStart"/>
      <w:r w:rsidRPr="0096752A">
        <w:rPr>
          <w:rFonts w:ascii="Candara" w:hAnsi="Candara"/>
          <w:sz w:val="20"/>
        </w:rPr>
        <w:t>hesitantemente</w:t>
      </w:r>
      <w:proofErr w:type="spellEnd"/>
      <w:r w:rsidRPr="0096752A">
        <w:rPr>
          <w:rFonts w:ascii="Candara" w:hAnsi="Candara"/>
          <w:sz w:val="20"/>
        </w:rPr>
        <w:t xml:space="preserve">, </w:t>
      </w:r>
      <w:proofErr w:type="spellStart"/>
      <w:r w:rsidRPr="0096752A">
        <w:rPr>
          <w:rFonts w:ascii="Candara" w:hAnsi="Candara"/>
          <w:sz w:val="20"/>
        </w:rPr>
        <w:t>classificou</w:t>
      </w:r>
      <w:proofErr w:type="spellEnd"/>
      <w:r w:rsidRPr="0096752A">
        <w:rPr>
          <w:rFonts w:ascii="Candara" w:hAnsi="Candara"/>
          <w:sz w:val="20"/>
        </w:rPr>
        <w:t xml:space="preserve"> </w:t>
      </w:r>
      <w:proofErr w:type="spellStart"/>
      <w:r w:rsidRPr="0096752A">
        <w:rPr>
          <w:rFonts w:ascii="Candara" w:hAnsi="Candara"/>
          <w:sz w:val="20"/>
        </w:rPr>
        <w:t>os</w:t>
      </w:r>
      <w:proofErr w:type="spellEnd"/>
      <w:r w:rsidRPr="0096752A">
        <w:rPr>
          <w:rFonts w:ascii="Candara" w:hAnsi="Candara"/>
          <w:sz w:val="20"/>
        </w:rPr>
        <w:t xml:space="preserve"> TDE </w:t>
      </w:r>
      <w:proofErr w:type="spellStart"/>
      <w:r w:rsidRPr="0096752A">
        <w:rPr>
          <w:rFonts w:ascii="Candara" w:hAnsi="Candara"/>
          <w:sz w:val="20"/>
        </w:rPr>
        <w:t>em</w:t>
      </w:r>
      <w:proofErr w:type="spellEnd"/>
      <w:r w:rsidRPr="0096752A">
        <w:rPr>
          <w:rFonts w:ascii="Candara" w:hAnsi="Candara"/>
          <w:sz w:val="20"/>
        </w:rPr>
        <w:t xml:space="preserve"> </w:t>
      </w:r>
      <w:proofErr w:type="spellStart"/>
      <w:r w:rsidRPr="0096752A">
        <w:rPr>
          <w:rFonts w:ascii="Candara Italic" w:hAnsi="Candara Italic"/>
          <w:sz w:val="20"/>
        </w:rPr>
        <w:t>pequeno</w:t>
      </w:r>
      <w:proofErr w:type="spellEnd"/>
      <w:r w:rsidRPr="0096752A">
        <w:rPr>
          <w:rFonts w:ascii="Candara" w:hAnsi="Candara"/>
          <w:sz w:val="20"/>
        </w:rPr>
        <w:t xml:space="preserve">, </w:t>
      </w:r>
      <w:proofErr w:type="spellStart"/>
      <w:r w:rsidRPr="0096752A">
        <w:rPr>
          <w:rFonts w:ascii="Candara Italic" w:hAnsi="Candara Italic"/>
          <w:sz w:val="20"/>
        </w:rPr>
        <w:t>moderado</w:t>
      </w:r>
      <w:proofErr w:type="spellEnd"/>
      <w:r w:rsidRPr="0096752A">
        <w:rPr>
          <w:rFonts w:ascii="Candara" w:hAnsi="Candara"/>
          <w:sz w:val="20"/>
        </w:rPr>
        <w:t xml:space="preserve"> e </w:t>
      </w:r>
      <w:proofErr w:type="spellStart"/>
      <w:r w:rsidRPr="0096752A">
        <w:rPr>
          <w:rFonts w:ascii="Candara Italic" w:hAnsi="Candara Italic"/>
          <w:sz w:val="20"/>
        </w:rPr>
        <w:t>grande</w:t>
      </w:r>
      <w:proofErr w:type="spellEnd"/>
      <w:r w:rsidRPr="0096752A">
        <w:rPr>
          <w:rFonts w:ascii="Candara" w:hAnsi="Candara"/>
          <w:sz w:val="20"/>
        </w:rPr>
        <w:t xml:space="preserve"> (</w:t>
      </w:r>
      <w:proofErr w:type="spellStart"/>
      <w:r w:rsidRPr="0096752A">
        <w:rPr>
          <w:rFonts w:ascii="Candara" w:hAnsi="Candara"/>
          <w:sz w:val="20"/>
        </w:rPr>
        <w:t>Tabela</w:t>
      </w:r>
      <w:proofErr w:type="spellEnd"/>
      <w:r w:rsidRPr="0096752A">
        <w:rPr>
          <w:rFonts w:ascii="Candara" w:hAnsi="Candara"/>
          <w:sz w:val="20"/>
        </w:rPr>
        <w:t xml:space="preserve"> 3), </w:t>
      </w:r>
      <w:proofErr w:type="spellStart"/>
      <w:r w:rsidRPr="0096752A">
        <w:rPr>
          <w:rFonts w:ascii="Candara" w:hAnsi="Candara"/>
          <w:sz w:val="20"/>
        </w:rPr>
        <w:t>escrevendo</w:t>
      </w:r>
      <w:proofErr w:type="spellEnd"/>
      <w:r w:rsidRPr="0096752A">
        <w:rPr>
          <w:rFonts w:ascii="Candara" w:hAnsi="Candara"/>
          <w:sz w:val="20"/>
        </w:rPr>
        <w:t xml:space="preserve"> </w:t>
      </w:r>
      <w:proofErr w:type="spellStart"/>
      <w:r w:rsidRPr="0096752A">
        <w:rPr>
          <w:rFonts w:ascii="Candara" w:hAnsi="Candara"/>
          <w:sz w:val="20"/>
        </w:rPr>
        <w:t>que</w:t>
      </w:r>
      <w:proofErr w:type="spellEnd"/>
      <w:r w:rsidRPr="0096752A">
        <w:rPr>
          <w:rFonts w:ascii="Candara" w:hAnsi="Candara"/>
          <w:sz w:val="20"/>
        </w:rPr>
        <w:t xml:space="preserve"> "there is a certain risk in inherent in offering conventional operational definitions for those terms for use in power analysis in as diverse a field of inquiry as behavioral Science”</w:t>
      </w:r>
      <w:r w:rsidRPr="0096752A">
        <w:rPr>
          <w:rFonts w:ascii="Candara" w:hAnsi="Candara"/>
          <w:sz w:val="20"/>
          <w:vertAlign w:val="superscript"/>
        </w:rPr>
        <w:endnoteReference w:id="13"/>
      </w:r>
      <w:r w:rsidRPr="0096752A">
        <w:rPr>
          <w:rFonts w:ascii="Candara" w:hAnsi="Candara"/>
          <w:sz w:val="20"/>
        </w:rPr>
        <w:t xml:space="preserve"> (p. 25). </w:t>
      </w:r>
      <w:r w:rsidRPr="0096752A">
        <w:rPr>
          <w:rFonts w:ascii="Candara" w:hAnsi="Candara"/>
          <w:sz w:val="20"/>
          <w:lang w:val="pt-PT"/>
        </w:rPr>
        <w:t xml:space="preserve">Posteriormente, Cohen (Cohen, 1992b), p. 99) explanou que um TDE </w:t>
      </w:r>
      <w:r w:rsidRPr="0096752A">
        <w:rPr>
          <w:rFonts w:ascii="Candara Italic" w:hAnsi="Candara Italic"/>
          <w:sz w:val="20"/>
          <w:lang w:val="pt-PT"/>
        </w:rPr>
        <w:t>moderado</w:t>
      </w:r>
      <w:r w:rsidRPr="0096752A">
        <w:rPr>
          <w:rFonts w:ascii="Candara" w:hAnsi="Candara"/>
          <w:sz w:val="20"/>
          <w:lang w:val="pt-PT"/>
        </w:rPr>
        <w:t xml:space="preserve"> representa uma magnitude evidente a olho nu para um investigador cuidadoso, um </w:t>
      </w:r>
      <w:r w:rsidRPr="0096752A">
        <w:rPr>
          <w:rFonts w:ascii="Candara Italic" w:hAnsi="Candara Italic"/>
          <w:sz w:val="20"/>
          <w:lang w:val="pt-PT"/>
        </w:rPr>
        <w:t>pequeno</w:t>
      </w:r>
      <w:r w:rsidRPr="0096752A">
        <w:rPr>
          <w:rFonts w:ascii="Candara" w:hAnsi="Candara"/>
          <w:sz w:val="20"/>
          <w:lang w:val="pt-PT"/>
        </w:rPr>
        <w:t xml:space="preserve"> é claramente menor, e um </w:t>
      </w:r>
      <w:r w:rsidRPr="0096752A">
        <w:rPr>
          <w:rFonts w:ascii="Candara Italic" w:hAnsi="Candara Italic"/>
          <w:sz w:val="20"/>
          <w:lang w:val="pt-PT"/>
        </w:rPr>
        <w:t>grande</w:t>
      </w:r>
      <w:r w:rsidRPr="0096752A">
        <w:rPr>
          <w:rFonts w:ascii="Candara" w:hAnsi="Candara"/>
          <w:sz w:val="20"/>
          <w:lang w:val="pt-PT"/>
        </w:rPr>
        <w:t xml:space="preserve"> é claramente </w:t>
      </w:r>
      <w:proofErr w:type="gramStart"/>
      <w:r w:rsidRPr="0096752A">
        <w:rPr>
          <w:rFonts w:ascii="Candara" w:hAnsi="Candara"/>
          <w:sz w:val="20"/>
          <w:lang w:val="pt-PT"/>
        </w:rPr>
        <w:t xml:space="preserve">maior.  </w:t>
      </w:r>
      <w:proofErr w:type="gramEnd"/>
      <w:r w:rsidRPr="0096752A">
        <w:rPr>
          <w:rFonts w:ascii="Candara" w:hAnsi="Candara"/>
          <w:sz w:val="20"/>
          <w:lang w:val="pt-PT"/>
        </w:rPr>
        <w:t xml:space="preserve">Uma leitura cuidadosa dos textos de Cohen mostra que, de facto, o estatístico nunca pretendeu que a sua classificação fosse aplicada de forma rígida, mas somente fornecer “some </w:t>
      </w:r>
      <w:proofErr w:type="spellStart"/>
      <w:r w:rsidRPr="0096752A">
        <w:rPr>
          <w:rFonts w:ascii="Candara" w:hAnsi="Candara"/>
          <w:sz w:val="20"/>
          <w:lang w:val="pt-PT"/>
        </w:rPr>
        <w:t>sense</w:t>
      </w:r>
      <w:proofErr w:type="spellEnd"/>
      <w:r w:rsidRPr="0096752A">
        <w:rPr>
          <w:rFonts w:ascii="Candara" w:hAnsi="Candara"/>
          <w:sz w:val="20"/>
          <w:lang w:val="pt-PT"/>
        </w:rPr>
        <w:t xml:space="preserve"> </w:t>
      </w:r>
      <w:proofErr w:type="spellStart"/>
      <w:r w:rsidRPr="0096752A">
        <w:rPr>
          <w:rFonts w:ascii="Candara" w:hAnsi="Candara"/>
          <w:sz w:val="20"/>
          <w:lang w:val="pt-PT"/>
        </w:rPr>
        <w:t>of</w:t>
      </w:r>
      <w:proofErr w:type="spellEnd"/>
      <w:r w:rsidRPr="0096752A">
        <w:rPr>
          <w:rFonts w:ascii="Candara" w:hAnsi="Candara"/>
          <w:sz w:val="20"/>
          <w:lang w:val="pt-PT"/>
        </w:rPr>
        <w:t xml:space="preserve"> </w:t>
      </w:r>
      <w:proofErr w:type="spellStart"/>
      <w:r w:rsidRPr="0096752A">
        <w:rPr>
          <w:rFonts w:ascii="Candara" w:hAnsi="Candara"/>
          <w:sz w:val="20"/>
          <w:lang w:val="pt-PT"/>
        </w:rPr>
        <w:t>its</w:t>
      </w:r>
      <w:proofErr w:type="spellEnd"/>
      <w:r w:rsidRPr="0096752A">
        <w:rPr>
          <w:rFonts w:ascii="Candara" w:hAnsi="Candara"/>
          <w:sz w:val="20"/>
          <w:lang w:val="pt-PT"/>
        </w:rPr>
        <w:t xml:space="preserve"> [TDE] </w:t>
      </w:r>
      <w:proofErr w:type="spellStart"/>
      <w:r w:rsidRPr="0096752A">
        <w:rPr>
          <w:rFonts w:ascii="Candara" w:hAnsi="Candara"/>
          <w:sz w:val="20"/>
          <w:lang w:val="pt-PT"/>
        </w:rPr>
        <w:t>scale</w:t>
      </w:r>
      <w:proofErr w:type="spellEnd"/>
      <w:r w:rsidRPr="0096752A">
        <w:rPr>
          <w:rFonts w:ascii="Candara" w:hAnsi="Candara"/>
          <w:sz w:val="20"/>
          <w:lang w:val="pt-PT"/>
        </w:rPr>
        <w:t>”</w:t>
      </w:r>
      <w:r w:rsidRPr="0096752A">
        <w:rPr>
          <w:rFonts w:ascii="Candara" w:hAnsi="Candara"/>
          <w:sz w:val="20"/>
          <w:vertAlign w:val="superscript"/>
        </w:rPr>
        <w:endnoteReference w:id="14"/>
      </w:r>
      <w:r w:rsidRPr="0096752A">
        <w:rPr>
          <w:rFonts w:ascii="Candara" w:hAnsi="Candara"/>
          <w:sz w:val="20"/>
          <w:lang w:val="pt-PT"/>
        </w:rPr>
        <w:t xml:space="preserve"> (Cohen, 1992b, p. 99). A folha de Excel, nos suplementos, fornece esta interpretação facilmente.</w:t>
      </w:r>
    </w:p>
    <w:p w:rsidR="000B158F" w:rsidRPr="0096752A" w:rsidRDefault="000B158F" w:rsidP="00DF5881">
      <w:pPr>
        <w:pStyle w:val="FormalivreA"/>
        <w:spacing w:line="276" w:lineRule="auto"/>
        <w:ind w:firstLine="567"/>
        <w:jc w:val="both"/>
        <w:rPr>
          <w:rFonts w:ascii="Candara" w:hAnsi="Candara"/>
          <w:sz w:val="20"/>
          <w:lang w:val="pt-PT"/>
        </w:rPr>
      </w:pPr>
    </w:p>
    <w:tbl>
      <w:tblPr>
        <w:tblW w:w="4962" w:type="dxa"/>
        <w:tblLayout w:type="fixed"/>
        <w:tblLook w:val="0000"/>
      </w:tblPr>
      <w:tblGrid>
        <w:gridCol w:w="1067"/>
        <w:gridCol w:w="876"/>
        <w:gridCol w:w="876"/>
        <w:gridCol w:w="876"/>
        <w:gridCol w:w="880"/>
        <w:gridCol w:w="387"/>
      </w:tblGrid>
      <w:tr w:rsidR="000B158F" w:rsidRPr="0096752A" w:rsidTr="00432573">
        <w:trPr>
          <w:gridAfter w:val="1"/>
          <w:wAfter w:w="387" w:type="dxa"/>
          <w:cantSplit/>
          <w:trHeight w:val="887"/>
        </w:trPr>
        <w:tc>
          <w:tcPr>
            <w:tcW w:w="4575" w:type="dxa"/>
            <w:gridSpan w:val="5"/>
            <w:tcBorders>
              <w:top w:val="non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0B158F" w:rsidRPr="0096752A" w:rsidRDefault="000B158F" w:rsidP="00432573">
            <w:pPr>
              <w:pStyle w:val="FormalivreA"/>
              <w:jc w:val="both"/>
              <w:rPr>
                <w:rFonts w:ascii="Candara" w:hAnsi="Candara"/>
                <w:b/>
                <w:spacing w:val="11"/>
                <w:sz w:val="20"/>
                <w:lang w:val="pt-PT"/>
              </w:rPr>
            </w:pPr>
            <w:r w:rsidRPr="0096752A">
              <w:rPr>
                <w:rFonts w:ascii="Candara" w:hAnsi="Candara"/>
                <w:b/>
                <w:spacing w:val="11"/>
                <w:sz w:val="20"/>
                <w:lang w:val="pt-PT"/>
              </w:rPr>
              <w:t>Tabela 3</w:t>
            </w:r>
          </w:p>
          <w:p w:rsidR="000B158F" w:rsidRPr="0096752A" w:rsidRDefault="000B158F" w:rsidP="00432573">
            <w:pPr>
              <w:pStyle w:val="FormalivreA"/>
              <w:jc w:val="both"/>
              <w:rPr>
                <w:rFonts w:ascii="Candara Italic" w:hAnsi="Candara Italic"/>
                <w:spacing w:val="11"/>
                <w:sz w:val="22"/>
                <w:lang w:val="pt-PT"/>
              </w:rPr>
            </w:pPr>
            <w:proofErr w:type="gramStart"/>
            <w:r w:rsidRPr="0096752A">
              <w:rPr>
                <w:rFonts w:ascii="Candara Italic" w:hAnsi="Candara Italic"/>
                <w:spacing w:val="11"/>
                <w:sz w:val="20"/>
                <w:lang w:val="pt-PT"/>
              </w:rPr>
              <w:t>Valores para</w:t>
            </w:r>
            <w:proofErr w:type="gramEnd"/>
            <w:r w:rsidRPr="0096752A">
              <w:rPr>
                <w:rFonts w:ascii="Candara Italic" w:hAnsi="Candara Italic"/>
                <w:spacing w:val="11"/>
                <w:sz w:val="20"/>
                <w:lang w:val="pt-PT"/>
              </w:rPr>
              <w:t xml:space="preserve"> Interpretação dos Tamanhos do Efeito</w:t>
            </w:r>
          </w:p>
        </w:tc>
      </w:tr>
      <w:tr w:rsidR="000B158F" w:rsidRPr="0096752A" w:rsidTr="000A3665">
        <w:trPr>
          <w:cantSplit/>
          <w:trHeight w:val="560"/>
        </w:trPr>
        <w:tc>
          <w:tcPr>
            <w:tcW w:w="1067" w:type="dxa"/>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B158F" w:rsidRPr="0096752A" w:rsidRDefault="000B158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Candara" w:hAnsi="Candara"/>
                <w:sz w:val="18"/>
              </w:rPr>
            </w:pPr>
            <w:proofErr w:type="spellStart"/>
            <w:r w:rsidRPr="0096752A">
              <w:rPr>
                <w:rFonts w:ascii="Candara" w:hAnsi="Candara"/>
                <w:sz w:val="18"/>
              </w:rPr>
              <w:t>Insignificante</w:t>
            </w:r>
            <w:proofErr w:type="spellEnd"/>
          </w:p>
        </w:tc>
        <w:tc>
          <w:tcPr>
            <w:tcW w:w="876" w:type="dxa"/>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B158F" w:rsidRPr="0096752A" w:rsidRDefault="000B158F" w:rsidP="00432573">
            <w:pPr>
              <w:pStyle w:val="FormalivreA"/>
              <w:jc w:val="center"/>
              <w:rPr>
                <w:rFonts w:ascii="Candara" w:hAnsi="Candara"/>
                <w:sz w:val="18"/>
              </w:rPr>
            </w:pPr>
            <w:proofErr w:type="spellStart"/>
            <w:r w:rsidRPr="0096752A">
              <w:rPr>
                <w:rFonts w:ascii="Candara" w:hAnsi="Candara"/>
                <w:sz w:val="18"/>
              </w:rPr>
              <w:t>Pequeno</w:t>
            </w:r>
            <w:proofErr w:type="spellEnd"/>
          </w:p>
        </w:tc>
        <w:tc>
          <w:tcPr>
            <w:tcW w:w="876" w:type="dxa"/>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B158F" w:rsidRPr="0096752A" w:rsidRDefault="000B158F" w:rsidP="00432573">
            <w:pPr>
              <w:pStyle w:val="FormalivreA"/>
              <w:jc w:val="center"/>
              <w:rPr>
                <w:rFonts w:ascii="Candara" w:hAnsi="Candara"/>
                <w:sz w:val="18"/>
              </w:rPr>
            </w:pPr>
            <w:proofErr w:type="spellStart"/>
            <w:r w:rsidRPr="0096752A">
              <w:rPr>
                <w:rFonts w:ascii="Candara" w:hAnsi="Candara"/>
                <w:sz w:val="18"/>
              </w:rPr>
              <w:t>Médio</w:t>
            </w:r>
            <w:proofErr w:type="spellEnd"/>
          </w:p>
        </w:tc>
        <w:tc>
          <w:tcPr>
            <w:tcW w:w="876" w:type="dxa"/>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B158F" w:rsidRPr="0096752A" w:rsidRDefault="000B158F" w:rsidP="00432573">
            <w:pPr>
              <w:pStyle w:val="FormalivreA"/>
              <w:jc w:val="center"/>
              <w:rPr>
                <w:rFonts w:ascii="Candara" w:hAnsi="Candara"/>
                <w:sz w:val="18"/>
              </w:rPr>
            </w:pPr>
            <w:r w:rsidRPr="0096752A">
              <w:rPr>
                <w:rFonts w:ascii="Candara" w:hAnsi="Candara"/>
                <w:sz w:val="18"/>
              </w:rPr>
              <w:t>Grande</w:t>
            </w:r>
          </w:p>
        </w:tc>
        <w:tc>
          <w:tcPr>
            <w:tcW w:w="1267" w:type="dxa"/>
            <w:gridSpan w:val="2"/>
            <w:tcBorders>
              <w:top w:val="single" w:sz="12" w:space="0" w:color="7F7F7F" w:themeColor="text1" w:themeTint="80"/>
              <w:bottom w:val="single" w:sz="4" w:space="0" w:color="000000"/>
            </w:tcBorders>
            <w:shd w:val="clear" w:color="auto" w:fill="auto"/>
            <w:tcMar>
              <w:top w:w="0" w:type="dxa"/>
              <w:left w:w="0" w:type="dxa"/>
              <w:bottom w:w="0" w:type="dxa"/>
              <w:right w:w="0" w:type="dxa"/>
            </w:tcMar>
            <w:vAlign w:val="center"/>
          </w:tcPr>
          <w:p w:rsidR="000B158F" w:rsidRPr="0096752A" w:rsidRDefault="000B158F" w:rsidP="00432573">
            <w:pPr>
              <w:pStyle w:val="FormalivreA"/>
              <w:jc w:val="center"/>
              <w:rPr>
                <w:rFonts w:ascii="Candara" w:hAnsi="Candara"/>
                <w:sz w:val="18"/>
              </w:rPr>
            </w:pPr>
            <w:proofErr w:type="spellStart"/>
            <w:r w:rsidRPr="0096752A">
              <w:rPr>
                <w:rFonts w:ascii="Candara" w:hAnsi="Candara"/>
                <w:sz w:val="18"/>
              </w:rPr>
              <w:t>Muito</w:t>
            </w:r>
            <w:proofErr w:type="spellEnd"/>
            <w:r w:rsidRPr="0096752A">
              <w:rPr>
                <w:rFonts w:ascii="Candara" w:hAnsi="Candara"/>
                <w:sz w:val="18"/>
              </w:rPr>
              <w:t xml:space="preserve"> </w:t>
            </w:r>
            <w:proofErr w:type="spellStart"/>
            <w:r w:rsidRPr="0096752A">
              <w:rPr>
                <w:rFonts w:ascii="Candara" w:hAnsi="Candara"/>
                <w:sz w:val="18"/>
              </w:rPr>
              <w:t>grande</w:t>
            </w:r>
            <w:proofErr w:type="spellEnd"/>
          </w:p>
        </w:tc>
      </w:tr>
      <w:tr w:rsidR="000B158F" w:rsidRPr="0096752A" w:rsidTr="000A3665">
        <w:trPr>
          <w:cantSplit/>
          <w:trHeight w:val="440"/>
        </w:trPr>
        <w:tc>
          <w:tcPr>
            <w:tcW w:w="1067" w:type="dxa"/>
            <w:tcBorders>
              <w:top w:val="single" w:sz="4" w:space="0" w:color="000000"/>
              <w:bottom w:val="single" w:sz="12" w:space="0" w:color="7F7F7F" w:themeColor="text1" w:themeTint="80"/>
            </w:tcBorders>
            <w:shd w:val="clear" w:color="auto" w:fill="auto"/>
            <w:tcMar>
              <w:top w:w="0" w:type="dxa"/>
              <w:left w:w="0" w:type="dxa"/>
              <w:bottom w:w="0" w:type="dxa"/>
              <w:right w:w="0" w:type="dxa"/>
            </w:tcMar>
            <w:vAlign w:val="center"/>
          </w:tcPr>
          <w:p w:rsidR="000B158F" w:rsidRPr="0096752A" w:rsidRDefault="000B158F" w:rsidP="00432573">
            <w:pPr>
              <w:pStyle w:val="FormalivreA"/>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Candara" w:hAnsi="Candara"/>
                <w:sz w:val="18"/>
              </w:rPr>
            </w:pPr>
            <w:r w:rsidRPr="0096752A">
              <w:rPr>
                <w:rFonts w:ascii="Candara" w:hAnsi="Candara"/>
                <w:sz w:val="18"/>
              </w:rPr>
              <w:t>&lt; 0,19</w:t>
            </w:r>
          </w:p>
        </w:tc>
        <w:tc>
          <w:tcPr>
            <w:tcW w:w="876" w:type="dxa"/>
            <w:tcBorders>
              <w:top w:val="single" w:sz="4" w:space="0" w:color="000000"/>
              <w:bottom w:val="single" w:sz="12" w:space="0" w:color="7F7F7F" w:themeColor="text1" w:themeTint="80"/>
            </w:tcBorders>
            <w:shd w:val="clear" w:color="auto" w:fill="auto"/>
            <w:tcMar>
              <w:top w:w="0" w:type="dxa"/>
              <w:left w:w="0" w:type="dxa"/>
              <w:bottom w:w="0" w:type="dxa"/>
              <w:right w:w="0" w:type="dxa"/>
            </w:tcMar>
            <w:vAlign w:val="center"/>
          </w:tcPr>
          <w:p w:rsidR="000B158F" w:rsidRPr="0096752A" w:rsidRDefault="000B158F" w:rsidP="00432573">
            <w:pPr>
              <w:pStyle w:val="FormalivreA"/>
              <w:tabs>
                <w:tab w:val="left" w:pos="-31680"/>
                <w:tab w:val="left" w:pos="-31520"/>
                <w:tab w:val="left" w:pos="-30812"/>
                <w:tab w:val="left" w:pos="-30103"/>
                <w:tab w:val="left" w:pos="-29394"/>
                <w:tab w:val="left" w:pos="-2868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Candara" w:hAnsi="Candara"/>
                <w:sz w:val="18"/>
              </w:rPr>
            </w:pPr>
            <w:r w:rsidRPr="0096752A">
              <w:rPr>
                <w:rFonts w:ascii="Candara" w:hAnsi="Candara"/>
                <w:sz w:val="18"/>
              </w:rPr>
              <w:t>0,20 - 0,49</w:t>
            </w:r>
          </w:p>
        </w:tc>
        <w:tc>
          <w:tcPr>
            <w:tcW w:w="876" w:type="dxa"/>
            <w:tcBorders>
              <w:top w:val="single" w:sz="4" w:space="0" w:color="000000"/>
              <w:bottom w:val="single" w:sz="12" w:space="0" w:color="7F7F7F" w:themeColor="text1" w:themeTint="80"/>
            </w:tcBorders>
            <w:shd w:val="clear" w:color="auto" w:fill="auto"/>
            <w:tcMar>
              <w:top w:w="0" w:type="dxa"/>
              <w:left w:w="0" w:type="dxa"/>
              <w:bottom w:w="0" w:type="dxa"/>
              <w:right w:w="0" w:type="dxa"/>
            </w:tcMar>
            <w:vAlign w:val="center"/>
          </w:tcPr>
          <w:p w:rsidR="000B158F" w:rsidRPr="0096752A" w:rsidRDefault="000B158F" w:rsidP="00432573">
            <w:pPr>
              <w:pStyle w:val="FormalivreA"/>
              <w:tabs>
                <w:tab w:val="left" w:pos="-31680"/>
                <w:tab w:val="left" w:pos="-31520"/>
                <w:tab w:val="left" w:pos="-30812"/>
                <w:tab w:val="left" w:pos="-30103"/>
                <w:tab w:val="left" w:pos="-29394"/>
                <w:tab w:val="left" w:pos="-2868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Candara" w:hAnsi="Candara"/>
                <w:sz w:val="18"/>
              </w:rPr>
            </w:pPr>
            <w:r w:rsidRPr="0096752A">
              <w:rPr>
                <w:rFonts w:ascii="Candara" w:hAnsi="Candara"/>
                <w:sz w:val="18"/>
              </w:rPr>
              <w:t>0,50 - 0,79</w:t>
            </w:r>
          </w:p>
        </w:tc>
        <w:tc>
          <w:tcPr>
            <w:tcW w:w="876" w:type="dxa"/>
            <w:tcBorders>
              <w:top w:val="single" w:sz="4" w:space="0" w:color="000000"/>
              <w:bottom w:val="single" w:sz="12" w:space="0" w:color="7F7F7F" w:themeColor="text1" w:themeTint="80"/>
            </w:tcBorders>
            <w:shd w:val="clear" w:color="auto" w:fill="auto"/>
            <w:tcMar>
              <w:top w:w="0" w:type="dxa"/>
              <w:left w:w="0" w:type="dxa"/>
              <w:bottom w:w="0" w:type="dxa"/>
              <w:right w:w="0" w:type="dxa"/>
            </w:tcMar>
            <w:vAlign w:val="center"/>
          </w:tcPr>
          <w:p w:rsidR="000B158F" w:rsidRPr="0096752A" w:rsidRDefault="000B158F" w:rsidP="00432573">
            <w:pPr>
              <w:pStyle w:val="FormalivreA"/>
              <w:tabs>
                <w:tab w:val="left" w:pos="-31680"/>
                <w:tab w:val="left" w:pos="-31520"/>
                <w:tab w:val="left" w:pos="-30812"/>
                <w:tab w:val="left" w:pos="-30103"/>
                <w:tab w:val="left" w:pos="-29394"/>
                <w:tab w:val="left" w:pos="-2868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Candara" w:hAnsi="Candara"/>
                <w:sz w:val="18"/>
              </w:rPr>
            </w:pPr>
            <w:r w:rsidRPr="0096752A">
              <w:rPr>
                <w:rFonts w:ascii="Candara" w:hAnsi="Candara"/>
                <w:sz w:val="18"/>
              </w:rPr>
              <w:t>0,80 - 1,29</w:t>
            </w:r>
          </w:p>
        </w:tc>
        <w:tc>
          <w:tcPr>
            <w:tcW w:w="1267" w:type="dxa"/>
            <w:gridSpan w:val="2"/>
            <w:tcBorders>
              <w:top w:val="single" w:sz="4" w:space="0" w:color="000000"/>
              <w:bottom w:val="single" w:sz="12" w:space="0" w:color="7F7F7F" w:themeColor="text1" w:themeTint="80"/>
            </w:tcBorders>
            <w:shd w:val="clear" w:color="auto" w:fill="auto"/>
            <w:tcMar>
              <w:top w:w="0" w:type="dxa"/>
              <w:left w:w="0" w:type="dxa"/>
              <w:bottom w:w="0" w:type="dxa"/>
              <w:right w:w="0" w:type="dxa"/>
            </w:tcMar>
            <w:vAlign w:val="center"/>
          </w:tcPr>
          <w:p w:rsidR="000B158F" w:rsidRPr="0096752A" w:rsidRDefault="000B158F" w:rsidP="00432573">
            <w:pPr>
              <w:pStyle w:val="FormalivreA"/>
              <w:tabs>
                <w:tab w:val="left" w:pos="-31680"/>
                <w:tab w:val="left" w:pos="-31520"/>
                <w:tab w:val="left" w:pos="-30812"/>
                <w:tab w:val="left" w:pos="-30103"/>
                <w:tab w:val="left" w:pos="-29394"/>
                <w:tab w:val="left" w:pos="-2868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Candara" w:hAnsi="Candara"/>
                <w:sz w:val="18"/>
              </w:rPr>
            </w:pPr>
            <w:r w:rsidRPr="0096752A">
              <w:rPr>
                <w:rFonts w:ascii="Candara" w:hAnsi="Candara"/>
                <w:sz w:val="18"/>
              </w:rPr>
              <w:t>&gt; 1,30</w:t>
            </w:r>
          </w:p>
        </w:tc>
      </w:tr>
      <w:tr w:rsidR="000B158F" w:rsidRPr="0096752A" w:rsidTr="009B08D4">
        <w:trPr>
          <w:cantSplit/>
          <w:trHeight w:val="490"/>
        </w:trPr>
        <w:tc>
          <w:tcPr>
            <w:tcW w:w="4962" w:type="dxa"/>
            <w:gridSpan w:val="6"/>
            <w:tcBorders>
              <w:top w:val="single" w:sz="12" w:space="0" w:color="7F7F7F" w:themeColor="text1" w:themeTint="8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0B158F" w:rsidRPr="0096752A" w:rsidRDefault="000B158F" w:rsidP="00432573">
            <w:pPr>
              <w:pStyle w:val="FormalivreA"/>
              <w:spacing w:before="60" w:line="276" w:lineRule="auto"/>
              <w:jc w:val="both"/>
              <w:rPr>
                <w:rFonts w:ascii="Candara" w:hAnsi="Candara"/>
                <w:sz w:val="16"/>
              </w:rPr>
            </w:pPr>
            <w:r w:rsidRPr="0096752A">
              <w:rPr>
                <w:rFonts w:ascii="Candara Italic" w:hAnsi="Candara Italic"/>
                <w:sz w:val="16"/>
                <w:lang w:val="pt-PT"/>
              </w:rPr>
              <w:t>Notas</w:t>
            </w:r>
            <w:proofErr w:type="gramStart"/>
            <w:r w:rsidRPr="0096752A">
              <w:rPr>
                <w:rFonts w:ascii="Candara" w:hAnsi="Candara"/>
                <w:sz w:val="16"/>
                <w:lang w:val="pt-PT"/>
              </w:rPr>
              <w:t>:  Estes</w:t>
            </w:r>
            <w:proofErr w:type="gramEnd"/>
            <w:r w:rsidRPr="0096752A">
              <w:rPr>
                <w:rFonts w:ascii="Candara" w:hAnsi="Candara"/>
                <w:sz w:val="16"/>
                <w:lang w:val="pt-PT"/>
              </w:rPr>
              <w:t xml:space="preserve"> valores foram apresentados por Cohen (1988, p. 40). </w:t>
            </w:r>
            <w:r w:rsidRPr="0096752A">
              <w:rPr>
                <w:rFonts w:ascii="Candara" w:hAnsi="Candara"/>
                <w:sz w:val="16"/>
              </w:rPr>
              <w:t xml:space="preserve">Rosenthal (1996) </w:t>
            </w:r>
            <w:proofErr w:type="spellStart"/>
            <w:r w:rsidRPr="0096752A">
              <w:rPr>
                <w:rFonts w:ascii="Candara" w:hAnsi="Candara"/>
                <w:sz w:val="16"/>
              </w:rPr>
              <w:t>acrescentou</w:t>
            </w:r>
            <w:proofErr w:type="spellEnd"/>
            <w:r w:rsidRPr="0096752A">
              <w:rPr>
                <w:rFonts w:ascii="Candara" w:hAnsi="Candara"/>
                <w:sz w:val="16"/>
              </w:rPr>
              <w:t xml:space="preserve"> a </w:t>
            </w:r>
            <w:proofErr w:type="spellStart"/>
            <w:r w:rsidRPr="0096752A">
              <w:rPr>
                <w:rFonts w:ascii="Candara" w:hAnsi="Candara"/>
                <w:sz w:val="16"/>
              </w:rPr>
              <w:t>classificação</w:t>
            </w:r>
            <w:proofErr w:type="spellEnd"/>
            <w:r w:rsidRPr="0096752A">
              <w:rPr>
                <w:rFonts w:ascii="Candara" w:hAnsi="Candara"/>
                <w:sz w:val="16"/>
              </w:rPr>
              <w:t xml:space="preserve"> de “</w:t>
            </w:r>
            <w:proofErr w:type="spellStart"/>
            <w:r w:rsidRPr="0096752A">
              <w:rPr>
                <w:rFonts w:ascii="Candara" w:hAnsi="Candara"/>
                <w:sz w:val="16"/>
              </w:rPr>
              <w:t>muito</w:t>
            </w:r>
            <w:proofErr w:type="spellEnd"/>
            <w:r w:rsidRPr="0096752A">
              <w:rPr>
                <w:rFonts w:ascii="Candara" w:hAnsi="Candara"/>
                <w:sz w:val="16"/>
              </w:rPr>
              <w:t xml:space="preserve"> </w:t>
            </w:r>
            <w:proofErr w:type="spellStart"/>
            <w:r w:rsidRPr="0096752A">
              <w:rPr>
                <w:rFonts w:ascii="Candara" w:hAnsi="Candara"/>
                <w:sz w:val="16"/>
              </w:rPr>
              <w:t>grande</w:t>
            </w:r>
            <w:proofErr w:type="spellEnd"/>
            <w:r w:rsidRPr="0096752A">
              <w:rPr>
                <w:rFonts w:ascii="Candara" w:hAnsi="Candara"/>
                <w:sz w:val="16"/>
              </w:rPr>
              <w:t>”.</w:t>
            </w:r>
          </w:p>
        </w:tc>
      </w:tr>
    </w:tbl>
    <w:p w:rsidR="000B158F" w:rsidRPr="0096752A" w:rsidRDefault="000B158F" w:rsidP="000B158F">
      <w:pPr>
        <w:pStyle w:val="FormalivreA"/>
        <w:spacing w:line="276" w:lineRule="auto"/>
        <w:jc w:val="both"/>
        <w:rPr>
          <w:rFonts w:ascii="Candara" w:hAnsi="Candara"/>
          <w:sz w:val="20"/>
          <w:lang w:val="pt-PT"/>
        </w:rPr>
      </w:pPr>
    </w:p>
    <w:p w:rsidR="00DF5881" w:rsidRPr="0096752A" w:rsidRDefault="00DF5881" w:rsidP="00DF5881">
      <w:pPr>
        <w:pStyle w:val="FormalivreA"/>
        <w:spacing w:line="276" w:lineRule="auto"/>
        <w:ind w:firstLine="426"/>
        <w:jc w:val="both"/>
        <w:rPr>
          <w:rFonts w:ascii="Candara" w:hAnsi="Candara"/>
          <w:sz w:val="20"/>
          <w:lang w:val="pt-PT"/>
        </w:rPr>
      </w:pPr>
      <w:r w:rsidRPr="0096752A">
        <w:rPr>
          <w:rFonts w:ascii="Candara" w:hAnsi="Candara"/>
          <w:b/>
          <w:i/>
          <w:sz w:val="22"/>
          <w:lang w:val="pt-PT"/>
        </w:rPr>
        <w:t>Críticas e sugestões.</w:t>
      </w:r>
      <w:r w:rsidRPr="0096752A">
        <w:rPr>
          <w:rFonts w:ascii="Candara" w:hAnsi="Candara"/>
          <w:sz w:val="22"/>
          <w:lang w:val="pt-PT"/>
        </w:rPr>
        <w:t xml:space="preserve"> </w:t>
      </w:r>
      <w:r w:rsidRPr="0096752A">
        <w:rPr>
          <w:rFonts w:ascii="Candara" w:hAnsi="Candara"/>
          <w:sz w:val="20"/>
          <w:lang w:val="pt-PT"/>
        </w:rPr>
        <w:t xml:space="preserve">Se Cohen hesitou, </w:t>
      </w:r>
      <w:proofErr w:type="spellStart"/>
      <w:r w:rsidRPr="0096752A">
        <w:rPr>
          <w:rFonts w:ascii="Candara" w:hAnsi="Candara"/>
          <w:sz w:val="20"/>
          <w:lang w:val="pt-PT"/>
        </w:rPr>
        <w:t>Glass</w:t>
      </w:r>
      <w:proofErr w:type="spellEnd"/>
      <w:r w:rsidRPr="0096752A">
        <w:rPr>
          <w:rFonts w:ascii="Candara" w:hAnsi="Candara"/>
          <w:sz w:val="20"/>
          <w:lang w:val="pt-PT"/>
        </w:rPr>
        <w:t xml:space="preserve"> e seus colegas (1981, p. 104) opuseram-se veementemente à adjetivação dos efeitos, considerando que estes não têm nenhum valor inerente se forem separados do contexto e de valores comparativos. Acrescente-se que um TDE maior num estudo A do que num estudo B não significa que a teoria seja mais apoiada pelo estudo A (</w:t>
      </w:r>
      <w:proofErr w:type="spellStart"/>
      <w:r w:rsidRPr="0096752A">
        <w:rPr>
          <w:rFonts w:ascii="Candara" w:hAnsi="Candara"/>
          <w:sz w:val="20"/>
          <w:lang w:val="pt-PT"/>
        </w:rPr>
        <w:t>Chow</w:t>
      </w:r>
      <w:proofErr w:type="spellEnd"/>
      <w:r w:rsidRPr="0096752A">
        <w:rPr>
          <w:rFonts w:ascii="Candara" w:hAnsi="Candara"/>
          <w:sz w:val="20"/>
          <w:lang w:val="pt-PT"/>
        </w:rPr>
        <w:t>, 1988). Para além de que estas categorias não se aplicam a todas as áreas de investigação (</w:t>
      </w:r>
      <w:proofErr w:type="spellStart"/>
      <w:r w:rsidRPr="0096752A">
        <w:rPr>
          <w:rFonts w:ascii="Candara" w:hAnsi="Candara"/>
          <w:sz w:val="20"/>
          <w:lang w:val="pt-PT"/>
        </w:rPr>
        <w:t>Olejnik</w:t>
      </w:r>
      <w:proofErr w:type="spellEnd"/>
      <w:r w:rsidRPr="0096752A">
        <w:rPr>
          <w:rFonts w:ascii="Candara" w:hAnsi="Candara"/>
          <w:sz w:val="20"/>
          <w:lang w:val="pt-PT"/>
        </w:rPr>
        <w:t xml:space="preserve"> e Algina, 2000), podendo uma magnitude do efeito ser relevante numa área e insignificante noutra (</w:t>
      </w:r>
      <w:proofErr w:type="spellStart"/>
      <w:r w:rsidRPr="0096752A">
        <w:rPr>
          <w:rFonts w:ascii="Candara" w:hAnsi="Candara"/>
          <w:sz w:val="20"/>
          <w:lang w:val="pt-PT"/>
        </w:rPr>
        <w:t>Lipsey</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
    <w:p w:rsidR="00DF5881" w:rsidRPr="0096752A" w:rsidRDefault="00DF5881" w:rsidP="00DF5881">
      <w:pPr>
        <w:pStyle w:val="FormalivreA"/>
        <w:spacing w:after="80" w:line="276" w:lineRule="auto"/>
        <w:ind w:firstLine="425"/>
        <w:jc w:val="both"/>
        <w:rPr>
          <w:rFonts w:ascii="Candara" w:hAnsi="Candara"/>
          <w:sz w:val="20"/>
          <w:lang w:val="pt-PT"/>
        </w:rPr>
      </w:pPr>
      <w:r w:rsidRPr="0096752A">
        <w:rPr>
          <w:rFonts w:ascii="Candara" w:hAnsi="Candara"/>
          <w:sz w:val="20"/>
          <w:lang w:val="pt-PT"/>
        </w:rPr>
        <w:t xml:space="preserve">As classificações, ainda assim, poderão ser usadas especialmente para resultados totalmente novos e que </w:t>
      </w:r>
      <w:r w:rsidRPr="0096752A">
        <w:rPr>
          <w:rFonts w:ascii="Candara" w:hAnsi="Candara"/>
          <w:sz w:val="20"/>
          <w:lang w:val="pt-PT"/>
        </w:rPr>
        <w:lastRenderedPageBreak/>
        <w:t>não podem ser comparados com outros achados na literatura (Cohen, 1988), tendo sempre em consideração que quanto maior a pontuação maior o efeito. Assim, um valor de 0,05 significa que a diferença das médias dos dois grupos corresponde a metade de um desvio-padrão e um valor de 1,00 significa que a diferença das médias dos dois grupos corresponde a um desvio-padrão (</w:t>
      </w:r>
      <w:proofErr w:type="spellStart"/>
      <w:r w:rsidRPr="0096752A">
        <w:rPr>
          <w:rFonts w:ascii="Candara" w:hAnsi="Candara"/>
          <w:sz w:val="20"/>
          <w:lang w:val="pt-PT"/>
        </w:rPr>
        <w:t>Ellis</w:t>
      </w:r>
      <w:proofErr w:type="spellEnd"/>
      <w:r w:rsidRPr="0096752A">
        <w:rPr>
          <w:rFonts w:ascii="Candara" w:hAnsi="Candara"/>
          <w:sz w:val="20"/>
          <w:lang w:val="pt-PT"/>
        </w:rPr>
        <w:t xml:space="preserve">, 2010, pp. 10-11).  </w:t>
      </w:r>
    </w:p>
    <w:p w:rsidR="00DF5881" w:rsidRPr="0096752A" w:rsidRDefault="00DF5881" w:rsidP="00DF5881">
      <w:pPr>
        <w:pStyle w:val="FormalivreA"/>
        <w:spacing w:after="80" w:line="276" w:lineRule="auto"/>
        <w:ind w:firstLine="425"/>
        <w:jc w:val="both"/>
        <w:rPr>
          <w:rFonts w:ascii="Candara" w:hAnsi="Candara"/>
          <w:sz w:val="20"/>
          <w:lang w:val="pt-PT"/>
        </w:rPr>
      </w:pPr>
      <w:r w:rsidRPr="0096752A">
        <w:rPr>
          <w:rFonts w:ascii="Candara" w:hAnsi="Candara"/>
          <w:b/>
          <w:i/>
          <w:sz w:val="22"/>
          <w:lang w:val="pt-PT"/>
        </w:rPr>
        <w:t>Tamanho do efeito em linguagem comum.</w:t>
      </w:r>
      <w:r w:rsidRPr="0096752A">
        <w:rPr>
          <w:rFonts w:ascii="Candara" w:hAnsi="Candara"/>
          <w:sz w:val="22"/>
          <w:lang w:val="pt-PT"/>
        </w:rPr>
        <w:t xml:space="preserve"> </w:t>
      </w:r>
      <w:r w:rsidRPr="0096752A">
        <w:rPr>
          <w:rFonts w:ascii="Candara" w:hAnsi="Candara"/>
          <w:sz w:val="20"/>
          <w:lang w:val="pt-PT"/>
        </w:rPr>
        <w:t xml:space="preserve">Outra interpretação dos TDE, menos usada, e designada por </w:t>
      </w:r>
      <w:r w:rsidRPr="0096752A">
        <w:rPr>
          <w:rFonts w:ascii="Candara Italic" w:hAnsi="Candara Italic"/>
          <w:sz w:val="20"/>
          <w:lang w:val="pt-PT"/>
        </w:rPr>
        <w:t>TDE em linguagem comum</w:t>
      </w:r>
      <w:r w:rsidRPr="0096752A">
        <w:rPr>
          <w:rFonts w:ascii="Candara" w:hAnsi="Candara"/>
          <w:sz w:val="20"/>
          <w:lang w:val="pt-PT"/>
        </w:rPr>
        <w:t xml:space="preserve"> </w:t>
      </w:r>
      <w:proofErr w:type="gramStart"/>
      <w:r w:rsidR="00511A01">
        <w:rPr>
          <w:rFonts w:ascii="Candara" w:hAnsi="Candara"/>
          <w:sz w:val="20"/>
          <w:lang w:val="pt-PT"/>
        </w:rPr>
        <w:t>[</w:t>
      </w:r>
      <w:r w:rsidRPr="0096752A">
        <w:rPr>
          <w:rFonts w:ascii="Candara" w:hAnsi="Candara"/>
          <w:sz w:val="20"/>
          <w:lang w:val="pt-PT"/>
        </w:rPr>
        <w:t>(TDE-LC</w:t>
      </w:r>
      <w:proofErr w:type="gramEnd"/>
      <w:r w:rsidRPr="0096752A">
        <w:rPr>
          <w:rFonts w:ascii="Candara" w:hAnsi="Candara"/>
          <w:sz w:val="20"/>
          <w:lang w:val="pt-PT"/>
        </w:rPr>
        <w:t xml:space="preserve">; </w:t>
      </w:r>
      <w:proofErr w:type="spellStart"/>
      <w:r w:rsidRPr="0096752A">
        <w:rPr>
          <w:rFonts w:ascii="Candara Italic" w:hAnsi="Candara Italic"/>
          <w:sz w:val="20"/>
          <w:lang w:val="pt-PT"/>
        </w:rPr>
        <w:t>common</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language</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effect</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size</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statistic</w:t>
      </w:r>
      <w:proofErr w:type="spellEnd"/>
      <w:r w:rsidR="00511A01">
        <w:rPr>
          <w:rFonts w:ascii="Candara" w:hAnsi="Candara"/>
          <w:sz w:val="20"/>
          <w:lang w:val="pt-PT"/>
        </w:rPr>
        <w:t xml:space="preserve">; </w:t>
      </w:r>
      <w:proofErr w:type="spellStart"/>
      <w:r w:rsidR="00511A01">
        <w:rPr>
          <w:rFonts w:ascii="Candara" w:hAnsi="Candara"/>
          <w:sz w:val="20"/>
          <w:lang w:val="pt-PT"/>
        </w:rPr>
        <w:t>McGraw</w:t>
      </w:r>
      <w:proofErr w:type="spellEnd"/>
      <w:r w:rsidR="00511A01">
        <w:rPr>
          <w:rFonts w:ascii="Candara" w:hAnsi="Candara"/>
          <w:sz w:val="20"/>
          <w:lang w:val="pt-PT"/>
        </w:rPr>
        <w:t xml:space="preserve"> e </w:t>
      </w:r>
      <w:proofErr w:type="spellStart"/>
      <w:r w:rsidR="00511A01">
        <w:rPr>
          <w:rFonts w:ascii="Candara" w:hAnsi="Candara"/>
          <w:sz w:val="20"/>
          <w:lang w:val="pt-PT"/>
        </w:rPr>
        <w:t>Wong</w:t>
      </w:r>
      <w:proofErr w:type="spellEnd"/>
      <w:r w:rsidR="00511A01">
        <w:rPr>
          <w:rFonts w:ascii="Candara" w:hAnsi="Candara"/>
          <w:sz w:val="20"/>
          <w:lang w:val="pt-PT"/>
        </w:rPr>
        <w:t xml:space="preserve"> (</w:t>
      </w:r>
      <w:r w:rsidRPr="0096752A">
        <w:rPr>
          <w:rFonts w:ascii="Candara" w:hAnsi="Candara"/>
          <w:sz w:val="20"/>
          <w:lang w:val="pt-PT"/>
        </w:rPr>
        <w:t>1992)</w:t>
      </w:r>
      <w:r w:rsidR="00511A01">
        <w:rPr>
          <w:rFonts w:ascii="Candara" w:hAnsi="Candara"/>
          <w:sz w:val="20"/>
          <w:lang w:val="pt-PT"/>
        </w:rPr>
        <w:t>]</w:t>
      </w:r>
      <w:r w:rsidRPr="0096752A">
        <w:rPr>
          <w:rFonts w:ascii="Candara" w:hAnsi="Candara"/>
          <w:sz w:val="20"/>
          <w:lang w:val="pt-PT"/>
        </w:rPr>
        <w:t xml:space="preserve"> ou por </w:t>
      </w:r>
      <w:r w:rsidRPr="0096752A">
        <w:rPr>
          <w:rFonts w:ascii="Candara Italic" w:hAnsi="Candara Italic"/>
          <w:sz w:val="20"/>
          <w:lang w:val="pt-PT"/>
        </w:rPr>
        <w:t>probabilidade de superioridade</w:t>
      </w:r>
      <w:r w:rsidRPr="0096752A">
        <w:rPr>
          <w:rFonts w:ascii="Candara" w:hAnsi="Candara"/>
          <w:sz w:val="20"/>
          <w:lang w:val="pt-PT"/>
        </w:rPr>
        <w:t xml:space="preserve"> (</w:t>
      </w:r>
      <w:proofErr w:type="spellStart"/>
      <w:r w:rsidRPr="0096752A">
        <w:rPr>
          <w:rFonts w:ascii="Candara" w:hAnsi="Candara"/>
          <w:sz w:val="20"/>
          <w:lang w:val="pt-PT"/>
        </w:rPr>
        <w:t>Grissom</w:t>
      </w:r>
      <w:proofErr w:type="spellEnd"/>
      <w:r w:rsidRPr="0096752A">
        <w:rPr>
          <w:rFonts w:ascii="Candara" w:hAnsi="Candara"/>
          <w:sz w:val="20"/>
          <w:lang w:val="pt-PT"/>
        </w:rPr>
        <w:t xml:space="preserve"> e Kim, 2005), é mais intuitiva, pois converte o efeito numa percentagem, podendo ser calculada a partir do </w:t>
      </w:r>
      <w:r w:rsidRPr="0096752A">
        <w:rPr>
          <w:rFonts w:ascii="Candara Italic" w:hAnsi="Candara Italic"/>
          <w:sz w:val="20"/>
          <w:lang w:val="pt-PT"/>
        </w:rPr>
        <w:t>d</w:t>
      </w:r>
      <w:r w:rsidRPr="0096752A">
        <w:rPr>
          <w:rFonts w:ascii="Candara" w:hAnsi="Candara"/>
          <w:sz w:val="20"/>
          <w:lang w:val="pt-PT"/>
        </w:rPr>
        <w:t xml:space="preserve"> de Cohen (</w:t>
      </w:r>
      <w:proofErr w:type="spellStart"/>
      <w:r w:rsidRPr="0096752A">
        <w:rPr>
          <w:rFonts w:ascii="Candara" w:hAnsi="Candara"/>
          <w:sz w:val="20"/>
          <w:lang w:val="pt-PT"/>
        </w:rPr>
        <w:t>Lakens</w:t>
      </w:r>
      <w:proofErr w:type="spellEnd"/>
      <w:r w:rsidRPr="0096752A">
        <w:rPr>
          <w:rFonts w:ascii="Candara" w:hAnsi="Candara"/>
          <w:sz w:val="20"/>
          <w:lang w:val="pt-PT"/>
        </w:rPr>
        <w:t xml:space="preserve">, 2013). Esta percentagem associa-se à probabilidade no extremo superior do valor de </w:t>
      </w:r>
      <w:r w:rsidRPr="0096752A">
        <w:rPr>
          <w:rFonts w:ascii="Candara Italic" w:hAnsi="Candara Italic"/>
          <w:sz w:val="20"/>
          <w:lang w:val="pt-PT"/>
        </w:rPr>
        <w:t>Z</w:t>
      </w:r>
      <w:r w:rsidRPr="0096752A">
        <w:rPr>
          <w:rFonts w:ascii="Candara" w:hAnsi="Candara"/>
          <w:sz w:val="20"/>
          <w:lang w:val="pt-PT"/>
        </w:rPr>
        <w:t xml:space="preserve"> da equação seguinte:</w:t>
      </w:r>
    </w:p>
    <w:p w:rsidR="00DF5881" w:rsidRPr="0096752A" w:rsidRDefault="00DF5881" w:rsidP="00DF5881">
      <w:pPr>
        <w:pStyle w:val="Formalivre"/>
        <w:spacing w:line="276" w:lineRule="auto"/>
        <w:ind w:firstLine="426"/>
        <w:jc w:val="center"/>
        <w:rPr>
          <w:rFonts w:ascii="Candara" w:hAnsi="Candara"/>
          <w:sz w:val="20"/>
        </w:rPr>
      </w:pPr>
      <w:r w:rsidRPr="0096752A">
        <w:rPr>
          <w:rFonts w:ascii="Candara" w:hAnsi="Candara"/>
          <w:i/>
          <w:sz w:val="20"/>
        </w:rPr>
        <w:t>Z</w:t>
      </w:r>
      <w:r w:rsidRPr="0096752A">
        <w:rPr>
          <w:rFonts w:ascii="Candara" w:hAnsi="Candara"/>
          <w:sz w:val="20"/>
        </w:rPr>
        <w:t xml:space="preserve"> = </w:t>
      </w:r>
      <m:oMath>
        <m:f>
          <m:fPr>
            <m:ctrlPr>
              <w:rPr>
                <w:rFonts w:ascii="Cambria Math" w:hAnsi="Cambria Math"/>
                <w:i/>
                <w:sz w:val="22"/>
                <w:szCs w:val="22"/>
                <w:lang w:val="en-US" w:eastAsia="pt-PT"/>
              </w:rPr>
            </m:ctrlPr>
          </m:fPr>
          <m:num>
            <m:r>
              <w:rPr>
                <w:rFonts w:ascii="Cambria Math" w:hAnsi="Cambria Math"/>
                <w:sz w:val="22"/>
                <w:szCs w:val="22"/>
              </w:rPr>
              <m:t>|</m:t>
            </m:r>
            <m:sSub>
              <m:sSubPr>
                <m:ctrlPr>
                  <w:rPr>
                    <w:rFonts w:ascii="Cambria Math" w:hAnsi="Cambria Math"/>
                    <w:i/>
                    <w:sz w:val="22"/>
                    <w:szCs w:val="22"/>
                    <w:lang w:val="en-US" w:eastAsia="pt-PT"/>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en-US" w:eastAsia="pt-PT"/>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m:t>
            </m:r>
          </m:num>
          <m:den>
            <m:rad>
              <m:radPr>
                <m:degHide m:val="on"/>
                <m:ctrlPr>
                  <w:rPr>
                    <w:rFonts w:ascii="Cambria Math" w:hAnsi="Cambria Math"/>
                    <w:i/>
                    <w:sz w:val="22"/>
                    <w:szCs w:val="22"/>
                    <w:lang w:val="en-US" w:eastAsia="pt-PT"/>
                  </w:rPr>
                </m:ctrlPr>
              </m:radPr>
              <m:deg/>
              <m:e>
                <m:f>
                  <m:fPr>
                    <m:ctrlPr>
                      <w:rPr>
                        <w:rFonts w:ascii="Cambria Math" w:hAnsi="Cambria Math"/>
                        <w:i/>
                        <w:sz w:val="22"/>
                        <w:szCs w:val="22"/>
                        <w:lang w:val="en-US" w:eastAsia="pt-PT"/>
                      </w:rPr>
                    </m:ctrlPr>
                  </m:fPr>
                  <m:num>
                    <m:sSubSup>
                      <m:sSubSupPr>
                        <m:ctrlPr>
                          <w:rPr>
                            <w:rFonts w:ascii="Cambria Math" w:hAnsi="Cambria Math"/>
                            <w:i/>
                            <w:sz w:val="22"/>
                            <w:szCs w:val="22"/>
                            <w:lang w:val="en-US" w:eastAsia="pt-PT"/>
                          </w:rPr>
                        </m:ctrlPr>
                      </m:sSubSupPr>
                      <m:e>
                        <m:r>
                          <w:rPr>
                            <w:rFonts w:ascii="Cambria Math" w:hAnsi="Cambria Math"/>
                            <w:sz w:val="22"/>
                            <w:szCs w:val="22"/>
                          </w:rPr>
                          <m:t>DP</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lang w:val="en-US" w:eastAsia="pt-PT"/>
                          </w:rPr>
                        </m:ctrlPr>
                      </m:sSubSupPr>
                      <m:e>
                        <m:r>
                          <w:rPr>
                            <w:rFonts w:ascii="Cambria Math" w:hAnsi="Cambria Math"/>
                            <w:sz w:val="22"/>
                            <w:szCs w:val="22"/>
                          </w:rPr>
                          <m:t>DP</m:t>
                        </m:r>
                      </m:e>
                      <m:sub>
                        <m:r>
                          <w:rPr>
                            <w:rFonts w:ascii="Cambria Math" w:hAnsi="Cambria Math"/>
                            <w:sz w:val="22"/>
                            <w:szCs w:val="22"/>
                          </w:rPr>
                          <m:t>2</m:t>
                        </m:r>
                      </m:sub>
                      <m:sup>
                        <m:r>
                          <w:rPr>
                            <w:rFonts w:ascii="Cambria Math" w:hAnsi="Cambria Math"/>
                            <w:sz w:val="22"/>
                            <w:szCs w:val="22"/>
                          </w:rPr>
                          <m:t>2</m:t>
                        </m:r>
                      </m:sup>
                    </m:sSubSup>
                  </m:num>
                  <m:den>
                    <m:r>
                      <w:rPr>
                        <w:rFonts w:ascii="Cambria Math" w:hAnsi="Cambria Math"/>
                        <w:sz w:val="22"/>
                        <w:szCs w:val="22"/>
                      </w:rPr>
                      <m:t>2</m:t>
                    </m:r>
                  </m:den>
                </m:f>
              </m:e>
            </m:rad>
          </m:den>
        </m:f>
      </m:oMath>
    </w:p>
    <w:p w:rsidR="00DF5881" w:rsidRPr="0096752A" w:rsidRDefault="00DF5881" w:rsidP="009A0387">
      <w:pPr>
        <w:pStyle w:val="FormalivreA"/>
        <w:spacing w:line="276" w:lineRule="auto"/>
        <w:jc w:val="both"/>
        <w:rPr>
          <w:rFonts w:ascii="Candara" w:hAnsi="Candara"/>
          <w:sz w:val="20"/>
          <w:lang w:val="pt-PT"/>
        </w:rPr>
      </w:pPr>
      <w:r w:rsidRPr="0096752A">
        <w:rPr>
          <w:rFonts w:ascii="Candara" w:hAnsi="Candara"/>
          <w:sz w:val="20"/>
          <w:lang w:val="pt-PT"/>
        </w:rPr>
        <w:t xml:space="preserve">Nesta equação, o </w:t>
      </w:r>
      <w:r w:rsidRPr="0096752A">
        <w:rPr>
          <w:rFonts w:ascii="Candara Italic" w:hAnsi="Candara Italic"/>
          <w:sz w:val="20"/>
          <w:lang w:val="pt-PT"/>
        </w:rPr>
        <w:t>M</w:t>
      </w:r>
      <w:r w:rsidRPr="0096752A">
        <w:rPr>
          <w:rFonts w:ascii="Candara" w:hAnsi="Candara"/>
          <w:sz w:val="20"/>
          <w:lang w:val="pt-PT"/>
        </w:rPr>
        <w:t xml:space="preserve"> corresponde às médias de cada grupo e o </w:t>
      </w:r>
      <w:r w:rsidRPr="0096752A">
        <w:rPr>
          <w:rFonts w:ascii="Candara Italic" w:hAnsi="Candara Italic"/>
          <w:sz w:val="20"/>
          <w:lang w:val="pt-PT"/>
        </w:rPr>
        <w:t>DP</w:t>
      </w:r>
      <w:r w:rsidRPr="0096752A">
        <w:rPr>
          <w:rFonts w:ascii="Candara" w:hAnsi="Candara"/>
          <w:sz w:val="20"/>
          <w:lang w:val="pt-PT"/>
        </w:rPr>
        <w:t xml:space="preserve"> aos desvios-padrão também de cada grupo.</w:t>
      </w:r>
    </w:p>
    <w:p w:rsidR="00DF5881" w:rsidRPr="0096752A" w:rsidRDefault="00DF5881" w:rsidP="00DF5881">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O TDE-LC corresponde à probabilidade de um valor de </w:t>
      </w:r>
      <w:r w:rsidRPr="0096752A">
        <w:rPr>
          <w:rFonts w:ascii="Candara Italic" w:hAnsi="Candara Italic"/>
          <w:sz w:val="20"/>
          <w:lang w:val="pt-PT"/>
        </w:rPr>
        <w:t>Z</w:t>
      </w:r>
      <w:r w:rsidRPr="0096752A">
        <w:rPr>
          <w:rFonts w:ascii="Candara" w:hAnsi="Candara"/>
          <w:sz w:val="20"/>
          <w:lang w:val="pt-PT"/>
        </w:rPr>
        <w:t xml:space="preserve"> ser maior do que o valor que corresponde a uma diferença de zero entre os grupos numa distribuição normal. Dito de uma maneira mais simples para o leigo em estatística: o TDE-LC corresponde à probabilidade de uma pessoa retirada ao acaso do grupo alvo ter uma pontuação superior a uma pessoa retirada ao acaso do grupo de comparação. Para demonstrar o valor do TDE-LC, </w:t>
      </w:r>
      <w:proofErr w:type="spellStart"/>
      <w:r w:rsidRPr="0096752A">
        <w:rPr>
          <w:rFonts w:ascii="Candara" w:hAnsi="Candara"/>
          <w:sz w:val="20"/>
          <w:lang w:val="pt-PT"/>
        </w:rPr>
        <w:t>McGraw</w:t>
      </w:r>
      <w:proofErr w:type="spellEnd"/>
      <w:r w:rsidRPr="0096752A">
        <w:rPr>
          <w:rFonts w:ascii="Candara" w:hAnsi="Candara"/>
          <w:sz w:val="20"/>
          <w:lang w:val="pt-PT"/>
        </w:rPr>
        <w:t xml:space="preserve"> e </w:t>
      </w:r>
      <w:proofErr w:type="spellStart"/>
      <w:r w:rsidRPr="0096752A">
        <w:rPr>
          <w:rFonts w:ascii="Candara" w:hAnsi="Candara"/>
          <w:sz w:val="20"/>
          <w:lang w:val="pt-PT"/>
        </w:rPr>
        <w:t>Wong</w:t>
      </w:r>
      <w:proofErr w:type="spellEnd"/>
      <w:r w:rsidRPr="0096752A">
        <w:rPr>
          <w:rFonts w:ascii="Candara" w:hAnsi="Candara"/>
          <w:sz w:val="20"/>
          <w:lang w:val="pt-PT"/>
        </w:rPr>
        <w:t xml:space="preserve"> (1992) exemplificaram com as alturas de homens e mulheres que, em média, correspondiam respetivamente a 1,77 m (</w:t>
      </w:r>
      <w:r w:rsidRPr="0096752A">
        <w:rPr>
          <w:rFonts w:ascii="Candara Italic" w:hAnsi="Candara Italic"/>
          <w:sz w:val="20"/>
          <w:lang w:val="pt-PT"/>
        </w:rPr>
        <w:t>DP</w:t>
      </w:r>
      <w:r w:rsidRPr="0096752A">
        <w:rPr>
          <w:rFonts w:ascii="Candara" w:hAnsi="Candara"/>
          <w:sz w:val="20"/>
          <w:lang w:val="pt-PT"/>
        </w:rPr>
        <w:t xml:space="preserve"> = 7,11 cm) e 1,63 m (</w:t>
      </w:r>
      <w:r w:rsidRPr="0096752A">
        <w:rPr>
          <w:rFonts w:ascii="Candara Italic" w:hAnsi="Candara Italic"/>
          <w:sz w:val="20"/>
          <w:lang w:val="pt-PT"/>
        </w:rPr>
        <w:t>DP</w:t>
      </w:r>
      <w:r w:rsidRPr="0096752A">
        <w:rPr>
          <w:rFonts w:ascii="Candara" w:hAnsi="Candara"/>
          <w:sz w:val="20"/>
          <w:lang w:val="pt-PT"/>
        </w:rPr>
        <w:t xml:space="preserve"> = 6,60 cm). O </w:t>
      </w:r>
      <w:r w:rsidRPr="0096752A">
        <w:rPr>
          <w:rFonts w:ascii="Candara Italic" w:hAnsi="Candara Italic"/>
          <w:sz w:val="20"/>
          <w:lang w:val="pt-PT"/>
        </w:rPr>
        <w:t>d</w:t>
      </w:r>
      <w:r w:rsidRPr="0096752A">
        <w:rPr>
          <w:rFonts w:ascii="Candara" w:hAnsi="Candara"/>
          <w:sz w:val="20"/>
          <w:lang w:val="pt-PT"/>
        </w:rPr>
        <w:t xml:space="preserve"> de Cohen é igual a 2,00 e o TDE-LC é de 0,92; ou seja, a probabilidade de um homem ser mais alto do que uma mulher é de 92%, o que é mais intuitivo de que dizer que o TDE é muito grande. </w:t>
      </w:r>
      <w:r w:rsidRPr="0096752A">
        <w:rPr>
          <w:rFonts w:ascii="Candara" w:hAnsi="Candara"/>
          <w:sz w:val="20"/>
        </w:rPr>
        <w:t>Dunlap (</w:t>
      </w:r>
      <w:r w:rsidR="00080884">
        <w:rPr>
          <w:rFonts w:ascii="Candara" w:hAnsi="Candara"/>
          <w:sz w:val="20"/>
        </w:rPr>
        <w:t>1994</w:t>
      </w:r>
      <w:r w:rsidRPr="0096752A">
        <w:rPr>
          <w:rFonts w:ascii="Candara" w:hAnsi="Candara"/>
          <w:sz w:val="20"/>
        </w:rPr>
        <w:t xml:space="preserve">, p. 509), </w:t>
      </w:r>
      <w:proofErr w:type="spellStart"/>
      <w:r w:rsidRPr="0096752A">
        <w:rPr>
          <w:rFonts w:ascii="Candara" w:hAnsi="Candara"/>
          <w:sz w:val="20"/>
        </w:rPr>
        <w:t>considerou</w:t>
      </w:r>
      <w:proofErr w:type="spellEnd"/>
      <w:r w:rsidRPr="0096752A">
        <w:rPr>
          <w:rFonts w:ascii="Candara" w:hAnsi="Candara"/>
          <w:sz w:val="20"/>
        </w:rPr>
        <w:t xml:space="preserve"> </w:t>
      </w:r>
      <w:proofErr w:type="spellStart"/>
      <w:proofErr w:type="gramStart"/>
      <w:r w:rsidRPr="0096752A">
        <w:rPr>
          <w:rFonts w:ascii="Candara" w:hAnsi="Candara"/>
          <w:sz w:val="20"/>
        </w:rPr>
        <w:t>este</w:t>
      </w:r>
      <w:proofErr w:type="spellEnd"/>
      <w:proofErr w:type="gramEnd"/>
      <w:r w:rsidRPr="0096752A">
        <w:rPr>
          <w:rFonts w:ascii="Candara" w:hAnsi="Candara"/>
          <w:sz w:val="20"/>
        </w:rPr>
        <w:t xml:space="preserve"> TDE-LC “an appealing index of effect size that requires no prior knowledge of statistics to understand”</w:t>
      </w:r>
      <w:r w:rsidRPr="0096752A">
        <w:rPr>
          <w:rFonts w:ascii="Candara" w:hAnsi="Candara"/>
          <w:sz w:val="20"/>
          <w:vertAlign w:val="superscript"/>
        </w:rPr>
        <w:endnoteReference w:id="15"/>
      </w:r>
      <w:r w:rsidRPr="0096752A">
        <w:rPr>
          <w:rFonts w:ascii="Candara" w:hAnsi="Candara"/>
          <w:sz w:val="20"/>
        </w:rPr>
        <w:t xml:space="preserve">. </w:t>
      </w:r>
      <w:r w:rsidRPr="0096752A">
        <w:rPr>
          <w:rFonts w:ascii="Candara" w:hAnsi="Candara"/>
          <w:sz w:val="20"/>
          <w:lang w:val="pt-PT"/>
        </w:rPr>
        <w:t xml:space="preserve">Na Tabela 4, apresentamos a conversão dos TDE em probabilidades de superioridade (na folha Excel, nos suplementos, fornecemos também uma computação rápida). </w:t>
      </w:r>
    </w:p>
    <w:p w:rsidR="00DF5881" w:rsidRPr="0096752A" w:rsidRDefault="00DF5881" w:rsidP="00DF5881">
      <w:pPr>
        <w:pStyle w:val="FormalivreA"/>
        <w:spacing w:after="80" w:line="276" w:lineRule="auto"/>
        <w:ind w:firstLine="425"/>
        <w:jc w:val="both"/>
        <w:rPr>
          <w:rFonts w:ascii="Candara" w:hAnsi="Candara"/>
          <w:sz w:val="20"/>
          <w:lang w:val="pt-PT"/>
        </w:rPr>
      </w:pPr>
      <w:r w:rsidRPr="0096752A">
        <w:rPr>
          <w:rFonts w:ascii="Candara" w:hAnsi="Candara"/>
          <w:sz w:val="20"/>
          <w:lang w:val="pt-PT"/>
        </w:rPr>
        <w:t xml:space="preserve">O TDE-LC é também facilmente calculado através do SPSS. Primeiro computa-se o teste </w:t>
      </w:r>
      <w:r w:rsidRPr="0096752A">
        <w:rPr>
          <w:rFonts w:ascii="Candara Italic" w:hAnsi="Candara Italic"/>
          <w:sz w:val="20"/>
          <w:lang w:val="pt-PT"/>
        </w:rPr>
        <w:t>U</w:t>
      </w:r>
      <w:r w:rsidRPr="0096752A">
        <w:rPr>
          <w:rFonts w:ascii="Candara" w:hAnsi="Candara"/>
          <w:sz w:val="20"/>
          <w:lang w:val="pt-PT"/>
        </w:rPr>
        <w:t xml:space="preserve"> de Mann-</w:t>
      </w:r>
      <w:proofErr w:type="spellStart"/>
      <w:r w:rsidRPr="0096752A">
        <w:rPr>
          <w:rFonts w:ascii="Candara" w:hAnsi="Candara"/>
          <w:sz w:val="20"/>
          <w:lang w:val="pt-PT"/>
        </w:rPr>
        <w:t>Whitney</w:t>
      </w:r>
      <w:proofErr w:type="spellEnd"/>
      <w:r w:rsidRPr="0096752A">
        <w:rPr>
          <w:rFonts w:ascii="Candara" w:hAnsi="Candara"/>
          <w:sz w:val="20"/>
          <w:lang w:val="pt-PT"/>
        </w:rPr>
        <w:t xml:space="preserve"> (</w:t>
      </w:r>
      <w:r w:rsidRPr="0096752A">
        <w:rPr>
          <w:rFonts w:ascii="Candara Italic" w:hAnsi="Candara Italic"/>
          <w:sz w:val="20"/>
          <w:lang w:val="pt-PT"/>
        </w:rPr>
        <w:t xml:space="preserve">Analise: </w:t>
      </w:r>
      <w:proofErr w:type="spellStart"/>
      <w:r w:rsidRPr="0096752A">
        <w:rPr>
          <w:rFonts w:ascii="Candara Italic" w:hAnsi="Candara Italic"/>
          <w:sz w:val="20"/>
          <w:lang w:val="pt-PT"/>
        </w:rPr>
        <w:t>Nonparametric</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Tests</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Two</w:t>
      </w:r>
      <w:proofErr w:type="spellEnd"/>
      <w:r w:rsidRPr="0096752A">
        <w:rPr>
          <w:rFonts w:ascii="Candara Italic" w:hAnsi="Candara Italic"/>
          <w:sz w:val="20"/>
          <w:lang w:val="pt-PT"/>
        </w:rPr>
        <w:t xml:space="preserve"> Independente Samples</w:t>
      </w:r>
      <w:r w:rsidRPr="0096752A">
        <w:rPr>
          <w:rFonts w:ascii="Candara" w:hAnsi="Candara"/>
          <w:sz w:val="20"/>
          <w:lang w:val="pt-PT"/>
        </w:rPr>
        <w:t xml:space="preserve">) e obtém-se o valor de </w:t>
      </w:r>
      <w:r w:rsidRPr="0096752A">
        <w:rPr>
          <w:rFonts w:ascii="Candara Italic" w:hAnsi="Candara Italic"/>
          <w:sz w:val="20"/>
          <w:lang w:val="pt-PT"/>
        </w:rPr>
        <w:t>U</w:t>
      </w:r>
      <w:r w:rsidRPr="0096752A">
        <w:rPr>
          <w:rFonts w:ascii="Candara" w:hAnsi="Candara"/>
          <w:sz w:val="20"/>
          <w:lang w:val="pt-PT"/>
        </w:rPr>
        <w:t>. O TDE-LC calcula-se:</w:t>
      </w:r>
    </w:p>
    <w:p w:rsidR="00DF5881" w:rsidRPr="0096752A" w:rsidRDefault="00DF5881" w:rsidP="00DF5881">
      <w:pPr>
        <w:pStyle w:val="FormalivreA"/>
        <w:spacing w:line="276" w:lineRule="auto"/>
        <w:ind w:firstLine="426"/>
        <w:jc w:val="center"/>
        <w:rPr>
          <w:rFonts w:ascii="Candara Italic" w:hAnsi="Candara Italic"/>
          <w:sz w:val="20"/>
          <w:lang w:val="pt-PT"/>
        </w:rPr>
      </w:pPr>
      <w:r w:rsidRPr="0096752A">
        <w:rPr>
          <w:rFonts w:ascii="Candara" w:hAnsi="Candara"/>
          <w:sz w:val="20"/>
          <w:lang w:val="pt-PT"/>
        </w:rPr>
        <w:t xml:space="preserve">TDE-LC </w:t>
      </w:r>
      <w:r w:rsidRPr="0096752A">
        <w:rPr>
          <w:rFonts w:ascii="Candara" w:hAnsi="Candara"/>
          <w:szCs w:val="24"/>
          <w:lang w:val="pt-PT"/>
        </w:rPr>
        <w:t xml:space="preserve">= </w:t>
      </w:r>
      <m:oMath>
        <m:f>
          <m:fPr>
            <m:ctrlPr>
              <w:rPr>
                <w:rFonts w:ascii="Cambria Math" w:hAnsi="Cambria Math"/>
                <w:i/>
                <w:szCs w:val="24"/>
                <w:lang w:val="pt-PT"/>
              </w:rPr>
            </m:ctrlPr>
          </m:fPr>
          <m:num>
            <m:r>
              <w:rPr>
                <w:rFonts w:ascii="Cambria Math" w:hAnsi="Cambria Math"/>
                <w:szCs w:val="24"/>
                <w:lang w:val="pt-PT"/>
              </w:rPr>
              <m:t>U</m:t>
            </m:r>
          </m:num>
          <m:den>
            <m:r>
              <w:rPr>
                <w:rFonts w:ascii="Cambria Math" w:hAnsi="Cambria Math"/>
                <w:szCs w:val="24"/>
                <w:lang w:val="pt-PT"/>
              </w:rPr>
              <m:t>mn</m:t>
            </m:r>
          </m:den>
        </m:f>
      </m:oMath>
    </w:p>
    <w:p w:rsidR="00566781" w:rsidRPr="0096752A" w:rsidRDefault="00DF5881" w:rsidP="009A0387">
      <w:pPr>
        <w:pStyle w:val="FormalivreA"/>
        <w:spacing w:before="80" w:after="80" w:line="276" w:lineRule="auto"/>
        <w:jc w:val="both"/>
        <w:rPr>
          <w:rFonts w:ascii="Candara" w:hAnsi="Candara"/>
          <w:sz w:val="20"/>
          <w:lang w:val="pt-PT"/>
        </w:rPr>
      </w:pPr>
      <w:proofErr w:type="gramStart"/>
      <w:r w:rsidRPr="0096752A">
        <w:rPr>
          <w:rFonts w:ascii="Candara" w:hAnsi="Candara"/>
          <w:sz w:val="20"/>
          <w:lang w:val="pt-PT"/>
        </w:rPr>
        <w:t>em</w:t>
      </w:r>
      <w:proofErr w:type="gramEnd"/>
      <w:r w:rsidRPr="0096752A">
        <w:rPr>
          <w:rFonts w:ascii="Candara" w:hAnsi="Candara"/>
          <w:sz w:val="20"/>
          <w:lang w:val="pt-PT"/>
        </w:rPr>
        <w:t xml:space="preserve"> que </w:t>
      </w:r>
      <w:r w:rsidRPr="0096752A">
        <w:rPr>
          <w:rFonts w:ascii="Candara Italic" w:hAnsi="Candara Italic"/>
          <w:sz w:val="20"/>
          <w:lang w:val="pt-PT"/>
        </w:rPr>
        <w:t>U</w:t>
      </w:r>
      <w:r w:rsidRPr="0096752A">
        <w:rPr>
          <w:rFonts w:ascii="Candara" w:hAnsi="Candara"/>
          <w:sz w:val="20"/>
          <w:lang w:val="pt-PT"/>
        </w:rPr>
        <w:t xml:space="preserve"> é a estatística </w:t>
      </w:r>
      <w:r w:rsidRPr="0096752A">
        <w:rPr>
          <w:rFonts w:ascii="Candara Italic" w:hAnsi="Candara Italic"/>
          <w:sz w:val="20"/>
          <w:lang w:val="pt-PT"/>
        </w:rPr>
        <w:t>U</w:t>
      </w:r>
      <w:r w:rsidRPr="0096752A">
        <w:rPr>
          <w:rFonts w:ascii="Candara" w:hAnsi="Candara"/>
          <w:sz w:val="20"/>
          <w:lang w:val="pt-PT"/>
        </w:rPr>
        <w:t xml:space="preserve"> de Mann-</w:t>
      </w:r>
      <w:proofErr w:type="spellStart"/>
      <w:r w:rsidRPr="0096752A">
        <w:rPr>
          <w:rFonts w:ascii="Candara" w:hAnsi="Candara"/>
          <w:sz w:val="20"/>
          <w:lang w:val="pt-PT"/>
        </w:rPr>
        <w:t>Whitney</w:t>
      </w:r>
      <w:proofErr w:type="spellEnd"/>
      <w:r w:rsidRPr="0096752A">
        <w:rPr>
          <w:rFonts w:ascii="Candara" w:hAnsi="Candara"/>
          <w:sz w:val="20"/>
          <w:lang w:val="pt-PT"/>
        </w:rPr>
        <w:t>,</w:t>
      </w:r>
      <w:r w:rsidRPr="0096752A">
        <w:rPr>
          <w:rFonts w:ascii="Candara Italic" w:hAnsi="Candara Italic"/>
          <w:sz w:val="20"/>
          <w:lang w:val="pt-PT"/>
        </w:rPr>
        <w:t xml:space="preserve"> m</w:t>
      </w:r>
      <w:r w:rsidRPr="0096752A">
        <w:rPr>
          <w:rFonts w:ascii="Candara" w:hAnsi="Candara"/>
          <w:sz w:val="20"/>
          <w:lang w:val="pt-PT"/>
        </w:rPr>
        <w:t xml:space="preserve"> é o número de participantes na primeira amostra e </w:t>
      </w:r>
      <w:r w:rsidRPr="0096752A">
        <w:rPr>
          <w:rFonts w:ascii="Candara Italic" w:hAnsi="Candara Italic"/>
          <w:sz w:val="20"/>
          <w:lang w:val="pt-PT"/>
        </w:rPr>
        <w:t>n</w:t>
      </w:r>
      <w:r w:rsidRPr="0096752A">
        <w:rPr>
          <w:rFonts w:ascii="Candara" w:hAnsi="Candara"/>
          <w:sz w:val="20"/>
          <w:lang w:val="pt-PT"/>
        </w:rPr>
        <w:t xml:space="preserve"> o </w:t>
      </w:r>
      <w:r w:rsidRPr="0096752A">
        <w:rPr>
          <w:rFonts w:ascii="Candara" w:hAnsi="Candara"/>
          <w:sz w:val="20"/>
          <w:lang w:val="pt-PT"/>
        </w:rPr>
        <w:lastRenderedPageBreak/>
        <w:t>número de pessoas na segunda amostra (</w:t>
      </w:r>
      <w:proofErr w:type="spellStart"/>
      <w:r w:rsidRPr="0096752A">
        <w:rPr>
          <w:rFonts w:ascii="Candara" w:hAnsi="Candara"/>
          <w:sz w:val="20"/>
          <w:lang w:val="pt-PT"/>
        </w:rPr>
        <w:t>Acion</w:t>
      </w:r>
      <w:proofErr w:type="spellEnd"/>
      <w:r w:rsidRPr="0096752A">
        <w:rPr>
          <w:rFonts w:ascii="Candara" w:hAnsi="Candara"/>
          <w:sz w:val="20"/>
          <w:lang w:val="pt-PT"/>
        </w:rPr>
        <w:t xml:space="preserve">, Peterson, </w:t>
      </w:r>
      <w:proofErr w:type="spellStart"/>
      <w:r w:rsidRPr="0096752A">
        <w:rPr>
          <w:rFonts w:ascii="Candara" w:hAnsi="Candara"/>
          <w:sz w:val="20"/>
          <w:lang w:val="pt-PT"/>
        </w:rPr>
        <w:t>Temple</w:t>
      </w:r>
      <w:proofErr w:type="spellEnd"/>
      <w:r w:rsidRPr="0096752A">
        <w:rPr>
          <w:rFonts w:ascii="Candara" w:hAnsi="Candara"/>
          <w:sz w:val="20"/>
          <w:lang w:val="pt-PT"/>
        </w:rPr>
        <w:t xml:space="preserve"> e </w:t>
      </w:r>
      <w:proofErr w:type="spellStart"/>
      <w:r w:rsidRPr="0096752A">
        <w:rPr>
          <w:rFonts w:ascii="Candara" w:hAnsi="Candara"/>
          <w:sz w:val="20"/>
          <w:lang w:val="pt-PT"/>
        </w:rPr>
        <w:t>Arndt</w:t>
      </w:r>
      <w:proofErr w:type="spellEnd"/>
      <w:r w:rsidRPr="0096752A">
        <w:rPr>
          <w:rFonts w:ascii="Candara" w:hAnsi="Candara"/>
          <w:sz w:val="20"/>
          <w:lang w:val="pt-PT"/>
        </w:rPr>
        <w:t xml:space="preserve">, 2006; </w:t>
      </w:r>
      <w:proofErr w:type="spellStart"/>
      <w:r w:rsidRPr="0096752A">
        <w:rPr>
          <w:rFonts w:ascii="Candara" w:hAnsi="Candara"/>
          <w:sz w:val="20"/>
          <w:lang w:val="pt-PT"/>
        </w:rPr>
        <w:t>Furukawa</w:t>
      </w:r>
      <w:proofErr w:type="spellEnd"/>
      <w:r w:rsidRPr="0096752A">
        <w:rPr>
          <w:rFonts w:ascii="Candara" w:hAnsi="Candara"/>
          <w:sz w:val="20"/>
          <w:lang w:val="pt-PT"/>
        </w:rPr>
        <w:t xml:space="preserve"> e </w:t>
      </w:r>
      <w:proofErr w:type="spellStart"/>
      <w:r w:rsidRPr="0096752A">
        <w:rPr>
          <w:rFonts w:ascii="Candara" w:hAnsi="Candara"/>
          <w:sz w:val="20"/>
          <w:lang w:val="pt-PT"/>
        </w:rPr>
        <w:t>Leucht</w:t>
      </w:r>
      <w:proofErr w:type="spellEnd"/>
      <w:r w:rsidRPr="0096752A">
        <w:rPr>
          <w:rFonts w:ascii="Candara" w:hAnsi="Candara"/>
          <w:sz w:val="20"/>
          <w:lang w:val="pt-PT"/>
        </w:rPr>
        <w:t>, 2011).</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Bold" w:hAnsi="Candara Bold"/>
          <w:i/>
          <w:sz w:val="22"/>
          <w:lang w:val="pt-PT"/>
        </w:rPr>
        <w:t xml:space="preserve">Equivalência </w:t>
      </w:r>
      <w:proofErr w:type="spellStart"/>
      <w:r w:rsidRPr="0096752A">
        <w:rPr>
          <w:rFonts w:ascii="Candara Bold" w:hAnsi="Candara Bold"/>
          <w:i/>
          <w:sz w:val="22"/>
          <w:lang w:val="pt-PT"/>
        </w:rPr>
        <w:t>percentílica</w:t>
      </w:r>
      <w:proofErr w:type="spellEnd"/>
      <w:r w:rsidRPr="0096752A">
        <w:rPr>
          <w:rFonts w:ascii="Candara Bold" w:hAnsi="Candara Bold"/>
          <w:i/>
          <w:sz w:val="22"/>
          <w:lang w:val="pt-PT"/>
        </w:rPr>
        <w:t xml:space="preserve"> e de não sobreposição.</w:t>
      </w:r>
      <w:r w:rsidRPr="0096752A">
        <w:rPr>
          <w:rFonts w:ascii="Candara" w:hAnsi="Candara"/>
          <w:sz w:val="22"/>
          <w:lang w:val="pt-PT"/>
        </w:rPr>
        <w:t xml:space="preserve"> </w:t>
      </w:r>
      <w:r w:rsidRPr="0096752A">
        <w:rPr>
          <w:rFonts w:ascii="Candara" w:hAnsi="Candara"/>
          <w:sz w:val="20"/>
          <w:lang w:val="pt-PT"/>
        </w:rPr>
        <w:t>De forma semelhante, os TDE podem ser convertidos em percentis através de uma tabela de áreas sob a curva normal. A média de uma amostra de controlo com distribuição normal está no percentil 50 com uma pontuação</w:t>
      </w:r>
      <w:r w:rsidRPr="0096752A">
        <w:rPr>
          <w:rFonts w:ascii="Candara Italic" w:hAnsi="Candara Italic"/>
          <w:sz w:val="20"/>
          <w:lang w:val="pt-PT"/>
        </w:rPr>
        <w:t xml:space="preserve"> Z</w:t>
      </w:r>
      <w:r w:rsidRPr="0096752A">
        <w:rPr>
          <w:rFonts w:ascii="Candara" w:hAnsi="Candara"/>
          <w:sz w:val="20"/>
          <w:lang w:val="pt-PT"/>
        </w:rPr>
        <w:t xml:space="preserve"> de zero, depois adiciona-se o TDE à pontuação</w:t>
      </w:r>
      <w:r w:rsidRPr="0096752A">
        <w:rPr>
          <w:rFonts w:ascii="Candara Italic" w:hAnsi="Candara Italic"/>
          <w:sz w:val="20"/>
          <w:lang w:val="pt-PT"/>
        </w:rPr>
        <w:t xml:space="preserve"> Z,</w:t>
      </w:r>
      <w:r w:rsidRPr="0096752A">
        <w:rPr>
          <w:rFonts w:ascii="Candara" w:hAnsi="Candara"/>
          <w:sz w:val="20"/>
          <w:lang w:val="pt-PT"/>
        </w:rPr>
        <w:t xml:space="preserve"> segue-se a sua conversão no percentil equivalente através da tabela de áreas sob a curva normal, obtendo-se ass</w:t>
      </w:r>
      <w:r w:rsidR="002D302A">
        <w:rPr>
          <w:rFonts w:ascii="Candara" w:hAnsi="Candara"/>
          <w:sz w:val="20"/>
          <w:lang w:val="pt-PT"/>
        </w:rPr>
        <w:t xml:space="preserve">im o índice U3 de Cohen (Cohen, </w:t>
      </w:r>
      <w:r w:rsidRPr="0096752A">
        <w:rPr>
          <w:rFonts w:ascii="Candara" w:hAnsi="Candara"/>
          <w:sz w:val="20"/>
          <w:lang w:val="pt-PT"/>
        </w:rPr>
        <w:t xml:space="preserve">1988; </w:t>
      </w:r>
      <w:proofErr w:type="spellStart"/>
      <w:r w:rsidRPr="0096752A">
        <w:rPr>
          <w:rFonts w:ascii="Candara" w:hAnsi="Candara"/>
          <w:sz w:val="20"/>
          <w:lang w:val="pt-PT"/>
        </w:rPr>
        <w:t>Lipsey</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Na Tabela 4 podem observar-se as percentagens de casos do grupo experimental ou de intervenção acima da média do grupo de controlo, assumindo-se uma distribuição normal. Assim, por exemplo, um TDE de 1,20 indica que a média do grupo alvo se situa no percentil 88 do grupo de comparação. Se não existir nenhum efeito, então, quer o grupo alvo, quer o grupo de comparação situam-se no percentil 50; isto é, a média do grupo alvo situa-se no percentil 50 do grupo de comparação (</w:t>
      </w:r>
      <w:proofErr w:type="spellStart"/>
      <w:r w:rsidRPr="0096752A">
        <w:rPr>
          <w:rFonts w:ascii="Candara" w:hAnsi="Candara"/>
          <w:sz w:val="20"/>
          <w:lang w:val="pt-PT"/>
        </w:rPr>
        <w:t>Durlak</w:t>
      </w:r>
      <w:proofErr w:type="spellEnd"/>
      <w:r w:rsidRPr="0096752A">
        <w:rPr>
          <w:rFonts w:ascii="Candara" w:hAnsi="Candara"/>
          <w:sz w:val="20"/>
          <w:lang w:val="pt-PT"/>
        </w:rPr>
        <w:t xml:space="preserve">, 2009). Note-se que não se devem interpretar os TDE em termos de percentis quando o pressuposto da distribuição normal for infringido (Coe, 2002). </w:t>
      </w:r>
    </w:p>
    <w:p w:rsidR="00691E52" w:rsidRPr="00691E52" w:rsidRDefault="00D9179F" w:rsidP="00691E52">
      <w:pPr>
        <w:pStyle w:val="FormalivreA"/>
        <w:spacing w:after="80" w:line="276" w:lineRule="auto"/>
        <w:ind w:firstLine="425"/>
        <w:jc w:val="both"/>
        <w:rPr>
          <w:rFonts w:ascii="Candara" w:hAnsi="Candara"/>
          <w:spacing w:val="2"/>
          <w:sz w:val="20"/>
          <w:lang w:val="pt-PT"/>
        </w:rPr>
      </w:pPr>
      <w:r w:rsidRPr="00691E52">
        <w:rPr>
          <w:rFonts w:ascii="Candara" w:hAnsi="Candara"/>
          <w:spacing w:val="2"/>
          <w:sz w:val="18"/>
          <w:lang w:val="pt-PT"/>
        </w:rPr>
        <w:t xml:space="preserve">Os TDE podem também ser interpretados </w:t>
      </w:r>
      <w:proofErr w:type="gramStart"/>
      <w:r w:rsidRPr="00691E52">
        <w:rPr>
          <w:rFonts w:ascii="Candara" w:hAnsi="Candara"/>
          <w:spacing w:val="2"/>
          <w:sz w:val="18"/>
          <w:lang w:val="pt-PT"/>
        </w:rPr>
        <w:t xml:space="preserve">em </w:t>
      </w:r>
      <w:r w:rsidR="00691E52">
        <w:rPr>
          <w:rFonts w:ascii="Candara" w:hAnsi="Candara"/>
          <w:spacing w:val="2"/>
          <w:sz w:val="18"/>
          <w:lang w:val="pt-PT"/>
        </w:rPr>
        <w:t xml:space="preserve"> </w:t>
      </w:r>
      <w:r w:rsidRPr="00691E52">
        <w:rPr>
          <w:rFonts w:ascii="Candara" w:hAnsi="Candara"/>
          <w:spacing w:val="2"/>
          <w:sz w:val="20"/>
          <w:lang w:val="pt-PT"/>
        </w:rPr>
        <w:t>termos</w:t>
      </w:r>
      <w:proofErr w:type="gramEnd"/>
      <w:r w:rsidRPr="00691E52">
        <w:rPr>
          <w:rFonts w:ascii="Candara" w:hAnsi="Candara"/>
          <w:spacing w:val="2"/>
          <w:sz w:val="20"/>
          <w:lang w:val="pt-PT"/>
        </w:rPr>
        <w:t xml:space="preserve"> </w:t>
      </w:r>
      <w:r w:rsidR="00691E52">
        <w:rPr>
          <w:rFonts w:ascii="Candara" w:hAnsi="Candara"/>
          <w:spacing w:val="2"/>
          <w:sz w:val="20"/>
          <w:lang w:val="pt-PT"/>
        </w:rPr>
        <w:t xml:space="preserve"> </w:t>
      </w:r>
      <w:r w:rsidRPr="00691E52">
        <w:rPr>
          <w:rFonts w:ascii="Candara" w:hAnsi="Candara"/>
          <w:spacing w:val="2"/>
          <w:sz w:val="20"/>
          <w:lang w:val="pt-PT"/>
        </w:rPr>
        <w:t xml:space="preserve">de </w:t>
      </w:r>
      <w:r w:rsidR="00691E52" w:rsidRPr="00691E52">
        <w:rPr>
          <w:rFonts w:ascii="Candara" w:hAnsi="Candara"/>
          <w:spacing w:val="2"/>
          <w:sz w:val="20"/>
          <w:lang w:val="pt-PT"/>
        </w:rPr>
        <w:t xml:space="preserve"> </w:t>
      </w:r>
    </w:p>
    <w:p w:rsidR="00D9179F" w:rsidRPr="0096752A" w:rsidRDefault="00D9179F" w:rsidP="00691E52">
      <w:pPr>
        <w:pStyle w:val="FormalivreA"/>
        <w:spacing w:after="80" w:line="276" w:lineRule="auto"/>
        <w:jc w:val="both"/>
        <w:rPr>
          <w:rFonts w:ascii="Candara" w:hAnsi="Candara"/>
          <w:sz w:val="20"/>
          <w:lang w:val="pt-PT"/>
        </w:rPr>
      </w:pPr>
      <w:proofErr w:type="gramStart"/>
      <w:r w:rsidRPr="0096752A">
        <w:rPr>
          <w:rFonts w:ascii="Candara" w:hAnsi="Candara"/>
          <w:sz w:val="20"/>
          <w:lang w:val="pt-PT"/>
        </w:rPr>
        <w:lastRenderedPageBreak/>
        <w:t>percentagem</w:t>
      </w:r>
      <w:proofErr w:type="gramEnd"/>
      <w:r w:rsidRPr="0096752A">
        <w:rPr>
          <w:rFonts w:ascii="Candara" w:hAnsi="Candara"/>
          <w:sz w:val="20"/>
          <w:lang w:val="pt-PT"/>
        </w:rPr>
        <w:t xml:space="preserve"> de não-sobreposição entre o grupo alvo e o grupo de comparação (Cohen, 1988). Um TDE de zero significa que a distribuição de pontuações no grupo alvo se sobrepõe totalmente à distribuição de pontuações do grupo de comparação; ou seja, há 0% de não-sobreposição. Por ser mais compreensível, recorremos ao conceito de percentagem de sobreposição (</w:t>
      </w:r>
      <w:proofErr w:type="spellStart"/>
      <w:r w:rsidRPr="0096752A">
        <w:rPr>
          <w:rFonts w:ascii="Candara" w:hAnsi="Candara"/>
          <w:sz w:val="20"/>
          <w:lang w:val="pt-PT"/>
        </w:rPr>
        <w:t>Reiser</w:t>
      </w:r>
      <w:proofErr w:type="spellEnd"/>
      <w:r w:rsidRPr="0096752A">
        <w:rPr>
          <w:rFonts w:ascii="Candara" w:hAnsi="Candara"/>
          <w:sz w:val="20"/>
          <w:lang w:val="pt-PT"/>
        </w:rPr>
        <w:t xml:space="preserve"> e </w:t>
      </w:r>
      <w:proofErr w:type="spellStart"/>
      <w:r w:rsidRPr="0096752A">
        <w:rPr>
          <w:rFonts w:ascii="Candara" w:hAnsi="Candara"/>
          <w:sz w:val="20"/>
          <w:lang w:val="pt-PT"/>
        </w:rPr>
        <w:t>Faraggi</w:t>
      </w:r>
      <w:proofErr w:type="spellEnd"/>
      <w:r w:rsidRPr="0096752A">
        <w:rPr>
          <w:rFonts w:ascii="Candara" w:hAnsi="Candara"/>
          <w:sz w:val="20"/>
          <w:lang w:val="pt-PT"/>
        </w:rPr>
        <w:t>, 1999) que apresentamos também na Tabela 4.</w:t>
      </w:r>
    </w:p>
    <w:p w:rsidR="00691E52" w:rsidRDefault="00D9179F" w:rsidP="00691E52">
      <w:pPr>
        <w:pStyle w:val="FormalivreA"/>
        <w:spacing w:line="276" w:lineRule="auto"/>
        <w:ind w:firstLine="425"/>
        <w:jc w:val="both"/>
        <w:rPr>
          <w:rFonts w:ascii="Candara" w:hAnsi="Candara"/>
          <w:sz w:val="20"/>
          <w:lang w:val="pt-PT"/>
        </w:rPr>
      </w:pPr>
      <w:r w:rsidRPr="0096752A">
        <w:rPr>
          <w:rFonts w:ascii="Candara" w:hAnsi="Candara"/>
          <w:b/>
          <w:i/>
          <w:sz w:val="22"/>
          <w:lang w:val="pt-PT"/>
        </w:rPr>
        <w:t>Número dos que necessitam de ser tratados</w:t>
      </w:r>
      <w:r w:rsidRPr="0096752A">
        <w:rPr>
          <w:rFonts w:ascii="Candara" w:hAnsi="Candara"/>
          <w:i/>
          <w:sz w:val="22"/>
          <w:lang w:val="pt-PT"/>
        </w:rPr>
        <w:t>.</w:t>
      </w:r>
      <w:r w:rsidRPr="0096752A">
        <w:rPr>
          <w:rFonts w:ascii="Candara" w:hAnsi="Candara"/>
          <w:sz w:val="22"/>
          <w:lang w:val="pt-PT"/>
        </w:rPr>
        <w:t xml:space="preserve"> </w:t>
      </w:r>
      <w:r w:rsidRPr="0096752A">
        <w:rPr>
          <w:rFonts w:ascii="Candara" w:hAnsi="Candara"/>
          <w:sz w:val="20"/>
          <w:lang w:val="pt-PT"/>
        </w:rPr>
        <w:t xml:space="preserve">Finalmente, quando se trata da comparação de um grupo de tratamento com um grupo de comparação usa-se o </w:t>
      </w:r>
      <w:proofErr w:type="spellStart"/>
      <w:r w:rsidRPr="0096752A">
        <w:rPr>
          <w:rFonts w:ascii="Candara Italic" w:hAnsi="Candara Italic"/>
          <w:sz w:val="20"/>
          <w:lang w:val="pt-PT"/>
        </w:rPr>
        <w:t>number</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needed</w:t>
      </w:r>
      <w:proofErr w:type="spellEnd"/>
      <w:r w:rsidRPr="0096752A">
        <w:rPr>
          <w:rFonts w:ascii="Candara Italic" w:hAnsi="Candara Italic"/>
          <w:sz w:val="20"/>
          <w:lang w:val="pt-PT"/>
        </w:rPr>
        <w:t xml:space="preserve"> to </w:t>
      </w:r>
      <w:proofErr w:type="spellStart"/>
      <w:r w:rsidRPr="0096752A">
        <w:rPr>
          <w:rFonts w:ascii="Candara Italic" w:hAnsi="Candara Italic"/>
          <w:sz w:val="20"/>
          <w:lang w:val="pt-PT"/>
        </w:rPr>
        <w:t>treat</w:t>
      </w:r>
      <w:proofErr w:type="spellEnd"/>
      <w:r w:rsidRPr="0096752A">
        <w:rPr>
          <w:rFonts w:ascii="Candara" w:hAnsi="Candara"/>
          <w:sz w:val="20"/>
          <w:lang w:val="pt-PT"/>
        </w:rPr>
        <w:t xml:space="preserve"> (NNT, Cook e </w:t>
      </w:r>
      <w:proofErr w:type="spellStart"/>
      <w:r w:rsidRPr="0096752A">
        <w:rPr>
          <w:rFonts w:ascii="Candara" w:hAnsi="Candara"/>
          <w:sz w:val="20"/>
          <w:lang w:val="pt-PT"/>
        </w:rPr>
        <w:t>Sackett</w:t>
      </w:r>
      <w:proofErr w:type="spellEnd"/>
      <w:r w:rsidRPr="0096752A">
        <w:rPr>
          <w:rFonts w:ascii="Candara" w:hAnsi="Candara"/>
          <w:sz w:val="20"/>
          <w:lang w:val="pt-PT"/>
        </w:rPr>
        <w:t xml:space="preserve">, 1995) que corresponde ao número de pacientes/utentes, por exemplo, que é necessário tratar por forma a alcançar, em média, um paciente/utente com melhoria franca (Tabela 4). Ou seja, é uma forma de apresentar valores </w:t>
      </w:r>
      <w:proofErr w:type="gramStart"/>
      <w:r w:rsidRPr="0096752A">
        <w:rPr>
          <w:rFonts w:ascii="Candara" w:hAnsi="Candara"/>
          <w:sz w:val="20"/>
          <w:lang w:val="pt-PT"/>
        </w:rPr>
        <w:t xml:space="preserve">absolutos. </w:t>
      </w:r>
      <w:r w:rsidR="008C630D" w:rsidRPr="0096752A">
        <w:rPr>
          <w:rFonts w:ascii="Candara" w:hAnsi="Candara"/>
          <w:sz w:val="20"/>
          <w:lang w:val="pt-PT"/>
        </w:rPr>
        <w:t xml:space="preserve"> </w:t>
      </w:r>
      <w:proofErr w:type="gramEnd"/>
      <w:r w:rsidR="008C630D" w:rsidRPr="0096752A">
        <w:rPr>
          <w:rFonts w:ascii="Candara" w:hAnsi="Candara"/>
          <w:sz w:val="20"/>
          <w:lang w:val="pt-PT"/>
        </w:rPr>
        <w:t>Para alguns (</w:t>
      </w:r>
      <w:proofErr w:type="spellStart"/>
      <w:r w:rsidR="008C630D" w:rsidRPr="0096752A">
        <w:rPr>
          <w:rFonts w:ascii="Candara" w:hAnsi="Candara"/>
          <w:sz w:val="20"/>
          <w:lang w:val="pt-PT"/>
        </w:rPr>
        <w:t>Kraemer</w:t>
      </w:r>
      <w:proofErr w:type="spellEnd"/>
      <w:r w:rsidR="008C630D" w:rsidRPr="0096752A">
        <w:rPr>
          <w:rFonts w:ascii="Candara" w:hAnsi="Candara"/>
          <w:sz w:val="20"/>
          <w:lang w:val="pt-PT"/>
        </w:rPr>
        <w:t xml:space="preserve"> e </w:t>
      </w:r>
      <w:proofErr w:type="spellStart"/>
      <w:r w:rsidR="008C630D" w:rsidRPr="0096752A">
        <w:rPr>
          <w:rFonts w:ascii="Candara" w:hAnsi="Candara"/>
          <w:sz w:val="20"/>
          <w:lang w:val="pt-PT"/>
        </w:rPr>
        <w:t>Kupfer</w:t>
      </w:r>
      <w:proofErr w:type="spellEnd"/>
      <w:r w:rsidR="008C630D" w:rsidRPr="0096752A">
        <w:rPr>
          <w:rFonts w:ascii="Candara" w:hAnsi="Candara"/>
          <w:sz w:val="20"/>
          <w:lang w:val="pt-PT"/>
        </w:rPr>
        <w:t>, 2006), este índice é o que melhor reflete a significânc</w:t>
      </w:r>
      <w:r w:rsidR="009A0387">
        <w:rPr>
          <w:rFonts w:ascii="Candara" w:hAnsi="Candara"/>
          <w:sz w:val="20"/>
          <w:lang w:val="pt-PT"/>
        </w:rPr>
        <w:t>ia clínica em termos binários (s</w:t>
      </w:r>
      <w:r w:rsidR="008C630D" w:rsidRPr="0096752A">
        <w:rPr>
          <w:rFonts w:ascii="Candara" w:hAnsi="Candara"/>
          <w:sz w:val="20"/>
          <w:lang w:val="pt-PT"/>
        </w:rPr>
        <w:t>ucesso/falhanço).</w:t>
      </w:r>
    </w:p>
    <w:p w:rsidR="00691E52" w:rsidRPr="0096752A" w:rsidRDefault="00691E52" w:rsidP="00691E52">
      <w:pPr>
        <w:pStyle w:val="FormalivreA"/>
        <w:spacing w:line="276" w:lineRule="auto"/>
        <w:ind w:firstLine="425"/>
        <w:jc w:val="both"/>
        <w:rPr>
          <w:rFonts w:ascii="Candara" w:hAnsi="Candara"/>
          <w:sz w:val="20"/>
          <w:lang w:val="pt-PT"/>
        </w:rPr>
        <w:sectPr w:rsidR="00691E52" w:rsidRPr="0096752A" w:rsidSect="009C6935">
          <w:type w:val="continuous"/>
          <w:pgSz w:w="11906" w:h="16838"/>
          <w:pgMar w:top="720" w:right="720" w:bottom="720" w:left="720" w:header="708" w:footer="708" w:gutter="0"/>
          <w:cols w:num="2" w:space="566"/>
          <w:docGrid w:linePitch="360"/>
        </w:sectPr>
      </w:pPr>
      <w:r w:rsidRPr="0096752A">
        <w:rPr>
          <w:rFonts w:ascii="Candara" w:hAnsi="Candara"/>
          <w:sz w:val="20"/>
          <w:lang w:val="pt-PT"/>
        </w:rPr>
        <w:t>Este cálculo implica identificar as pessoas que alcançaram ou excederam o limiar de mudança importante (</w:t>
      </w:r>
      <w:proofErr w:type="spellStart"/>
      <w:r w:rsidRPr="0096752A">
        <w:rPr>
          <w:rFonts w:ascii="Candara Italic" w:hAnsi="Candara Italic"/>
          <w:sz w:val="20"/>
          <w:lang w:val="pt-PT"/>
        </w:rPr>
        <w:t>important</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change</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threshold</w:t>
      </w:r>
      <w:proofErr w:type="spellEnd"/>
      <w:r w:rsidRPr="0096752A">
        <w:rPr>
          <w:rFonts w:ascii="Candara" w:hAnsi="Candara"/>
          <w:sz w:val="20"/>
          <w:lang w:val="pt-PT"/>
        </w:rPr>
        <w:t>), quer no grupo de experimental, quer no grupo de comparação (</w:t>
      </w:r>
      <w:proofErr w:type="spellStart"/>
      <w:r w:rsidRPr="0096752A">
        <w:rPr>
          <w:rFonts w:ascii="Candara" w:hAnsi="Candara"/>
          <w:sz w:val="20"/>
          <w:lang w:val="pt-PT"/>
        </w:rPr>
        <w:t>Kraemer</w:t>
      </w:r>
      <w:proofErr w:type="spellEnd"/>
      <w:r w:rsidRPr="0096752A">
        <w:rPr>
          <w:rFonts w:ascii="Candara" w:hAnsi="Candara"/>
          <w:sz w:val="20"/>
          <w:lang w:val="pt-PT"/>
        </w:rPr>
        <w:t xml:space="preserve"> e </w:t>
      </w:r>
      <w:proofErr w:type="spellStart"/>
      <w:r w:rsidRPr="0096752A">
        <w:rPr>
          <w:rFonts w:ascii="Candara" w:hAnsi="Candara"/>
          <w:sz w:val="20"/>
          <w:lang w:val="pt-PT"/>
        </w:rPr>
        <w:t>Kupfer</w:t>
      </w:r>
      <w:proofErr w:type="spellEnd"/>
      <w:r w:rsidRPr="0096752A">
        <w:rPr>
          <w:rFonts w:ascii="Candara" w:hAnsi="Candara"/>
          <w:sz w:val="20"/>
          <w:lang w:val="pt-PT"/>
        </w:rPr>
        <w:t xml:space="preserve">, 2006; </w:t>
      </w:r>
      <w:proofErr w:type="spellStart"/>
      <w:r w:rsidRPr="0096752A">
        <w:rPr>
          <w:rFonts w:ascii="Candara" w:hAnsi="Candara"/>
          <w:sz w:val="20"/>
          <w:lang w:val="pt-PT"/>
        </w:rPr>
        <w:t>Schünemann</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w:t>
      </w:r>
      <w:r>
        <w:rPr>
          <w:rFonts w:ascii="Candara" w:hAnsi="Candara"/>
          <w:sz w:val="20"/>
          <w:lang w:val="pt-PT"/>
        </w:rPr>
        <w:t xml:space="preserve">l., 2008; </w:t>
      </w:r>
      <w:proofErr w:type="spellStart"/>
      <w:r>
        <w:rPr>
          <w:rFonts w:ascii="Candara" w:hAnsi="Candara"/>
          <w:sz w:val="20"/>
          <w:lang w:val="pt-PT"/>
        </w:rPr>
        <w:t>Wyrwich</w:t>
      </w:r>
      <w:proofErr w:type="spellEnd"/>
      <w:r>
        <w:rPr>
          <w:rFonts w:ascii="Candara" w:hAnsi="Candara"/>
          <w:sz w:val="20"/>
          <w:lang w:val="pt-PT"/>
        </w:rPr>
        <w:t xml:space="preserve"> </w:t>
      </w:r>
      <w:proofErr w:type="spellStart"/>
      <w:r>
        <w:rPr>
          <w:rFonts w:ascii="Candara" w:hAnsi="Candara"/>
          <w:sz w:val="20"/>
          <w:lang w:val="pt-PT"/>
        </w:rPr>
        <w:t>et</w:t>
      </w:r>
      <w:proofErr w:type="spellEnd"/>
      <w:r>
        <w:rPr>
          <w:rFonts w:ascii="Candara" w:hAnsi="Candara"/>
          <w:sz w:val="20"/>
          <w:lang w:val="pt-PT"/>
        </w:rPr>
        <w:t xml:space="preserve"> al., 2005).</w:t>
      </w:r>
    </w:p>
    <w:tbl>
      <w:tblPr>
        <w:tblW w:w="10490" w:type="dxa"/>
        <w:tblLayout w:type="fixed"/>
        <w:tblLook w:val="0000"/>
      </w:tblPr>
      <w:tblGrid>
        <w:gridCol w:w="938"/>
        <w:gridCol w:w="905"/>
        <w:gridCol w:w="1203"/>
        <w:gridCol w:w="1349"/>
        <w:gridCol w:w="567"/>
        <w:gridCol w:w="850"/>
        <w:gridCol w:w="1276"/>
        <w:gridCol w:w="1134"/>
        <w:gridCol w:w="1701"/>
        <w:gridCol w:w="567"/>
      </w:tblGrid>
      <w:tr w:rsidR="008C630D" w:rsidRPr="0096752A" w:rsidTr="00691E52">
        <w:trPr>
          <w:cantSplit/>
          <w:trHeight w:val="855"/>
        </w:trPr>
        <w:tc>
          <w:tcPr>
            <w:tcW w:w="10490" w:type="dxa"/>
            <w:gridSpan w:val="10"/>
            <w:tcBorders>
              <w:top w:val="none" w:sz="8" w:space="0" w:color="000000"/>
              <w:left w:val="none" w:sz="8" w:space="0" w:color="000000"/>
              <w:bottom w:val="single" w:sz="12" w:space="0" w:color="7F7F7F" w:themeColor="text1" w:themeTint="80"/>
              <w:right w:val="none" w:sz="8" w:space="0" w:color="000000"/>
            </w:tcBorders>
            <w:shd w:val="clear" w:color="auto" w:fill="auto"/>
            <w:tcMar>
              <w:top w:w="0" w:type="dxa"/>
              <w:left w:w="0" w:type="dxa"/>
              <w:bottom w:w="0" w:type="dxa"/>
              <w:right w:w="0" w:type="dxa"/>
            </w:tcMar>
            <w:vAlign w:val="center"/>
          </w:tcPr>
          <w:p w:rsidR="0019297E" w:rsidRDefault="0019297E" w:rsidP="00432573">
            <w:pPr>
              <w:pStyle w:val="FormalivreA"/>
              <w:jc w:val="both"/>
              <w:rPr>
                <w:rFonts w:ascii="Candara" w:hAnsi="Candara"/>
                <w:b/>
                <w:spacing w:val="11"/>
                <w:sz w:val="20"/>
                <w:lang w:val="pt-PT"/>
              </w:rPr>
            </w:pPr>
          </w:p>
          <w:p w:rsidR="008C630D" w:rsidRPr="0096752A" w:rsidRDefault="008C630D" w:rsidP="00432573">
            <w:pPr>
              <w:pStyle w:val="FormalivreA"/>
              <w:jc w:val="both"/>
              <w:rPr>
                <w:rFonts w:ascii="Candara" w:hAnsi="Candara"/>
                <w:b/>
                <w:spacing w:val="11"/>
                <w:sz w:val="20"/>
                <w:lang w:val="pt-PT"/>
              </w:rPr>
            </w:pPr>
            <w:r w:rsidRPr="0096752A">
              <w:rPr>
                <w:rFonts w:ascii="Candara" w:hAnsi="Candara"/>
                <w:b/>
                <w:spacing w:val="11"/>
                <w:sz w:val="20"/>
                <w:lang w:val="pt-PT"/>
              </w:rPr>
              <w:t>Tabela 4</w:t>
            </w:r>
          </w:p>
          <w:p w:rsidR="008C630D" w:rsidRPr="002D302A" w:rsidRDefault="008C630D" w:rsidP="00432573">
            <w:pPr>
              <w:pStyle w:val="FormalivreA"/>
              <w:jc w:val="both"/>
              <w:rPr>
                <w:rFonts w:ascii="Candara Italic" w:hAnsi="Candara Italic"/>
                <w:spacing w:val="11"/>
                <w:sz w:val="22"/>
                <w:lang w:val="pt-PT"/>
              </w:rPr>
            </w:pPr>
            <w:r w:rsidRPr="0096752A">
              <w:rPr>
                <w:rFonts w:ascii="Candara Italic" w:hAnsi="Candara Italic"/>
                <w:spacing w:val="11"/>
                <w:sz w:val="20"/>
                <w:lang w:val="pt-PT"/>
              </w:rPr>
              <w:t xml:space="preserve">Interpretação dos Tamanhos do Efeito através do </w:t>
            </w:r>
            <w:r w:rsidRPr="0096752A">
              <w:rPr>
                <w:rFonts w:ascii="Candara" w:hAnsi="Candara"/>
                <w:spacing w:val="11"/>
                <w:sz w:val="20"/>
                <w:lang w:val="pt-PT"/>
              </w:rPr>
              <w:t>U</w:t>
            </w:r>
            <w:r w:rsidRPr="0096752A">
              <w:rPr>
                <w:rFonts w:ascii="Candara" w:hAnsi="Candara"/>
                <w:spacing w:val="11"/>
                <w:sz w:val="20"/>
                <w:vertAlign w:val="subscript"/>
                <w:lang w:val="pt-PT"/>
              </w:rPr>
              <w:t>3</w:t>
            </w:r>
            <w:r w:rsidRPr="0096752A">
              <w:rPr>
                <w:rFonts w:ascii="Candara Italic" w:hAnsi="Candara Italic"/>
                <w:spacing w:val="11"/>
                <w:sz w:val="20"/>
                <w:lang w:val="pt-PT"/>
              </w:rPr>
              <w:t xml:space="preserve"> de Cohen, Percentagem de Sobreposição e Probabilidade de Superioridade </w:t>
            </w:r>
            <w:r w:rsidR="002D302A" w:rsidRPr="002D302A">
              <w:rPr>
                <w:rFonts w:ascii="Candara" w:hAnsi="Candara" w:cs="Candara"/>
                <w:i/>
                <w:iCs/>
                <w:spacing w:val="11"/>
                <w:kern w:val="1"/>
                <w:sz w:val="20"/>
                <w:lang w:val="pt-PT"/>
              </w:rPr>
              <w:t>e dos Números dos que Necessitam de Ser Tratados</w:t>
            </w:r>
          </w:p>
        </w:tc>
      </w:tr>
      <w:tr w:rsidR="008C630D" w:rsidRPr="0096752A" w:rsidTr="00691E52">
        <w:trPr>
          <w:cantSplit/>
          <w:trHeight w:val="834"/>
        </w:trPr>
        <w:tc>
          <w:tcPr>
            <w:tcW w:w="938"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spacing w:line="216" w:lineRule="auto"/>
              <w:jc w:val="center"/>
              <w:rPr>
                <w:rFonts w:ascii="Candara" w:hAnsi="Candara"/>
                <w:sz w:val="18"/>
              </w:rPr>
            </w:pPr>
            <w:proofErr w:type="spellStart"/>
            <w:r w:rsidRPr="0096752A">
              <w:rPr>
                <w:rFonts w:ascii="Candara" w:hAnsi="Candara"/>
                <w:sz w:val="18"/>
              </w:rPr>
              <w:t>Tamanho</w:t>
            </w:r>
            <w:proofErr w:type="spellEnd"/>
            <w:r w:rsidRPr="0096752A">
              <w:rPr>
                <w:rFonts w:ascii="Candara" w:hAnsi="Candara"/>
                <w:sz w:val="18"/>
              </w:rPr>
              <w:t xml:space="preserve"> do </w:t>
            </w:r>
            <w:proofErr w:type="spellStart"/>
            <w:r w:rsidRPr="0096752A">
              <w:rPr>
                <w:rFonts w:ascii="Candara" w:hAnsi="Candara"/>
                <w:sz w:val="18"/>
              </w:rPr>
              <w:t>efeito</w:t>
            </w:r>
            <w:proofErr w:type="spellEnd"/>
          </w:p>
        </w:tc>
        <w:tc>
          <w:tcPr>
            <w:tcW w:w="905"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spacing w:line="216" w:lineRule="auto"/>
              <w:jc w:val="center"/>
              <w:rPr>
                <w:rFonts w:ascii="Candara" w:hAnsi="Candara"/>
                <w:sz w:val="18"/>
              </w:rPr>
            </w:pPr>
            <w:proofErr w:type="spellStart"/>
            <w:r w:rsidRPr="0096752A">
              <w:rPr>
                <w:rFonts w:ascii="Candara" w:hAnsi="Candara"/>
                <w:sz w:val="18"/>
              </w:rPr>
              <w:t>Percentis</w:t>
            </w:r>
            <w:proofErr w:type="spellEnd"/>
            <w:r w:rsidRPr="0096752A">
              <w:rPr>
                <w:rFonts w:ascii="Candara" w:hAnsi="Candara"/>
                <w:sz w:val="18"/>
              </w:rPr>
              <w:t>/</w:t>
            </w:r>
          </w:p>
          <w:p w:rsidR="008C630D" w:rsidRPr="0096752A" w:rsidRDefault="008C630D" w:rsidP="00432573">
            <w:pPr>
              <w:pStyle w:val="FormalivreA"/>
              <w:spacing w:line="216" w:lineRule="auto"/>
              <w:jc w:val="center"/>
              <w:rPr>
                <w:rFonts w:ascii="Candara" w:hAnsi="Candara"/>
                <w:sz w:val="18"/>
              </w:rPr>
            </w:pPr>
            <w:r w:rsidRPr="0096752A">
              <w:rPr>
                <w:rFonts w:ascii="Candara" w:hAnsi="Candara"/>
                <w:sz w:val="18"/>
              </w:rPr>
              <w:t xml:space="preserve"> U</w:t>
            </w:r>
            <w:r w:rsidRPr="0096752A">
              <w:rPr>
                <w:rFonts w:ascii="Candara" w:hAnsi="Candara"/>
                <w:sz w:val="18"/>
                <w:vertAlign w:val="subscript"/>
              </w:rPr>
              <w:t>3</w:t>
            </w:r>
            <w:r w:rsidRPr="0096752A">
              <w:rPr>
                <w:rFonts w:ascii="Candara" w:hAnsi="Candara"/>
                <w:sz w:val="18"/>
              </w:rPr>
              <w:t xml:space="preserve"> de Cohen</w:t>
            </w:r>
          </w:p>
        </w:tc>
        <w:tc>
          <w:tcPr>
            <w:tcW w:w="1203"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spacing w:line="216" w:lineRule="auto"/>
              <w:jc w:val="center"/>
              <w:rPr>
                <w:rFonts w:ascii="Candara" w:hAnsi="Candara"/>
                <w:sz w:val="18"/>
              </w:rPr>
            </w:pPr>
            <w:r w:rsidRPr="0096752A">
              <w:rPr>
                <w:rFonts w:ascii="Candara" w:hAnsi="Candara"/>
                <w:sz w:val="18"/>
              </w:rPr>
              <w:t xml:space="preserve">% de </w:t>
            </w:r>
            <w:proofErr w:type="spellStart"/>
            <w:r w:rsidRPr="0096752A">
              <w:rPr>
                <w:rFonts w:ascii="Candara" w:hAnsi="Candara"/>
                <w:sz w:val="18"/>
              </w:rPr>
              <w:t>sobreposição</w:t>
            </w:r>
            <w:proofErr w:type="spellEnd"/>
          </w:p>
        </w:tc>
        <w:tc>
          <w:tcPr>
            <w:tcW w:w="1349"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spacing w:line="216" w:lineRule="auto"/>
              <w:jc w:val="center"/>
              <w:rPr>
                <w:rFonts w:ascii="Candara" w:hAnsi="Candara"/>
                <w:sz w:val="18"/>
                <w:lang w:val="pt-PT"/>
              </w:rPr>
            </w:pPr>
            <w:proofErr w:type="gramStart"/>
            <w:r w:rsidRPr="0096752A">
              <w:rPr>
                <w:rFonts w:ascii="Candara" w:hAnsi="Candara"/>
                <w:sz w:val="18"/>
                <w:lang w:val="pt-PT"/>
              </w:rPr>
              <w:t>Probabilidade  de</w:t>
            </w:r>
            <w:proofErr w:type="gramEnd"/>
            <w:r w:rsidRPr="0096752A">
              <w:rPr>
                <w:rFonts w:ascii="Candara" w:hAnsi="Candara"/>
                <w:sz w:val="18"/>
                <w:lang w:val="pt-PT"/>
              </w:rPr>
              <w:t xml:space="preserve"> superioridade</w:t>
            </w:r>
          </w:p>
          <w:p w:rsidR="008C630D" w:rsidRPr="0096752A" w:rsidRDefault="008C630D" w:rsidP="00432573">
            <w:pPr>
              <w:pStyle w:val="FormalivreA"/>
              <w:spacing w:line="216" w:lineRule="auto"/>
              <w:jc w:val="center"/>
              <w:rPr>
                <w:rFonts w:ascii="Candara" w:hAnsi="Candara"/>
                <w:sz w:val="18"/>
                <w:lang w:val="pt-PT"/>
              </w:rPr>
            </w:pPr>
            <w:r w:rsidRPr="0096752A">
              <w:rPr>
                <w:rFonts w:ascii="Candara" w:hAnsi="Candara"/>
                <w:sz w:val="18"/>
                <w:lang w:val="pt-PT"/>
              </w:rPr>
              <w:t>(TDE-LC)</w:t>
            </w:r>
          </w:p>
        </w:tc>
        <w:tc>
          <w:tcPr>
            <w:tcW w:w="567"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spacing w:line="216" w:lineRule="auto"/>
              <w:jc w:val="center"/>
              <w:rPr>
                <w:rFonts w:ascii="Candara" w:hAnsi="Candara"/>
                <w:sz w:val="18"/>
              </w:rPr>
            </w:pPr>
            <w:r w:rsidRPr="0096752A">
              <w:rPr>
                <w:rFonts w:ascii="Candara" w:hAnsi="Candara"/>
                <w:sz w:val="18"/>
              </w:rPr>
              <w:t>NNT</w:t>
            </w:r>
          </w:p>
        </w:tc>
        <w:tc>
          <w:tcPr>
            <w:tcW w:w="850"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spacing w:line="216" w:lineRule="auto"/>
              <w:jc w:val="center"/>
              <w:rPr>
                <w:rFonts w:ascii="Candara" w:hAnsi="Candara"/>
                <w:sz w:val="18"/>
              </w:rPr>
            </w:pPr>
            <w:proofErr w:type="spellStart"/>
            <w:r w:rsidRPr="0096752A">
              <w:rPr>
                <w:rFonts w:ascii="Candara" w:hAnsi="Candara"/>
                <w:sz w:val="18"/>
              </w:rPr>
              <w:t>Tamanho</w:t>
            </w:r>
            <w:proofErr w:type="spellEnd"/>
            <w:r w:rsidRPr="0096752A">
              <w:rPr>
                <w:rFonts w:ascii="Candara" w:hAnsi="Candara"/>
                <w:sz w:val="18"/>
              </w:rPr>
              <w:t xml:space="preserve"> do </w:t>
            </w:r>
            <w:proofErr w:type="spellStart"/>
            <w:r w:rsidRPr="0096752A">
              <w:rPr>
                <w:rFonts w:ascii="Candara" w:hAnsi="Candara"/>
                <w:sz w:val="18"/>
              </w:rPr>
              <w:t>efeito</w:t>
            </w:r>
            <w:proofErr w:type="spellEnd"/>
          </w:p>
        </w:tc>
        <w:tc>
          <w:tcPr>
            <w:tcW w:w="1276"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spacing w:line="216" w:lineRule="auto"/>
              <w:jc w:val="center"/>
              <w:rPr>
                <w:rFonts w:ascii="Candara" w:hAnsi="Candara"/>
                <w:sz w:val="18"/>
              </w:rPr>
            </w:pPr>
            <w:proofErr w:type="spellStart"/>
            <w:r w:rsidRPr="0096752A">
              <w:rPr>
                <w:rFonts w:ascii="Candara" w:hAnsi="Candara"/>
                <w:sz w:val="18"/>
              </w:rPr>
              <w:t>Percentis</w:t>
            </w:r>
            <w:proofErr w:type="spellEnd"/>
            <w:r w:rsidRPr="0096752A">
              <w:rPr>
                <w:rFonts w:ascii="Candara" w:hAnsi="Candara"/>
                <w:sz w:val="18"/>
              </w:rPr>
              <w:t>/</w:t>
            </w:r>
          </w:p>
          <w:p w:rsidR="008C630D" w:rsidRPr="0096752A" w:rsidRDefault="008C630D" w:rsidP="00432573">
            <w:pPr>
              <w:pStyle w:val="FormalivreA"/>
              <w:spacing w:line="216" w:lineRule="auto"/>
              <w:jc w:val="center"/>
              <w:rPr>
                <w:rFonts w:ascii="Candara" w:hAnsi="Candara"/>
                <w:sz w:val="18"/>
              </w:rPr>
            </w:pPr>
            <w:r w:rsidRPr="0096752A">
              <w:rPr>
                <w:rFonts w:ascii="Candara" w:hAnsi="Candara"/>
                <w:sz w:val="18"/>
              </w:rPr>
              <w:t xml:space="preserve"> U</w:t>
            </w:r>
            <w:r w:rsidRPr="0096752A">
              <w:rPr>
                <w:rFonts w:ascii="Candara" w:hAnsi="Candara"/>
                <w:sz w:val="18"/>
                <w:vertAlign w:val="subscript"/>
              </w:rPr>
              <w:t>3</w:t>
            </w:r>
            <w:r w:rsidRPr="0096752A">
              <w:rPr>
                <w:rFonts w:ascii="Candara" w:hAnsi="Candara"/>
                <w:sz w:val="18"/>
              </w:rPr>
              <w:t xml:space="preserve"> de Cohen</w:t>
            </w:r>
          </w:p>
        </w:tc>
        <w:tc>
          <w:tcPr>
            <w:tcW w:w="1134"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spacing w:line="216" w:lineRule="auto"/>
              <w:jc w:val="center"/>
              <w:rPr>
                <w:rFonts w:ascii="Candara" w:hAnsi="Candara"/>
                <w:sz w:val="18"/>
              </w:rPr>
            </w:pPr>
            <w:r w:rsidRPr="0096752A">
              <w:rPr>
                <w:rFonts w:ascii="Candara" w:hAnsi="Candara"/>
                <w:sz w:val="18"/>
              </w:rPr>
              <w:t xml:space="preserve">% de </w:t>
            </w:r>
            <w:proofErr w:type="spellStart"/>
            <w:r w:rsidRPr="0096752A">
              <w:rPr>
                <w:rFonts w:ascii="Candara" w:hAnsi="Candara"/>
                <w:sz w:val="18"/>
              </w:rPr>
              <w:t>sobreposição</w:t>
            </w:r>
            <w:proofErr w:type="spellEnd"/>
          </w:p>
        </w:tc>
        <w:tc>
          <w:tcPr>
            <w:tcW w:w="1701"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spacing w:line="216" w:lineRule="auto"/>
              <w:jc w:val="center"/>
              <w:rPr>
                <w:rFonts w:ascii="Candara" w:hAnsi="Candara"/>
                <w:sz w:val="18"/>
                <w:lang w:val="pt-PT"/>
              </w:rPr>
            </w:pPr>
            <w:proofErr w:type="gramStart"/>
            <w:r w:rsidRPr="0096752A">
              <w:rPr>
                <w:rFonts w:ascii="Candara" w:hAnsi="Candara"/>
                <w:sz w:val="18"/>
                <w:lang w:val="pt-PT"/>
              </w:rPr>
              <w:t>Probabilidade  de</w:t>
            </w:r>
            <w:proofErr w:type="gramEnd"/>
            <w:r w:rsidRPr="0096752A">
              <w:rPr>
                <w:rFonts w:ascii="Candara" w:hAnsi="Candara"/>
                <w:sz w:val="18"/>
                <w:lang w:val="pt-PT"/>
              </w:rPr>
              <w:t xml:space="preserve"> superioridade</w:t>
            </w:r>
          </w:p>
          <w:p w:rsidR="008C630D" w:rsidRPr="0096752A" w:rsidRDefault="008C630D" w:rsidP="00432573">
            <w:pPr>
              <w:pStyle w:val="FormalivreA"/>
              <w:spacing w:line="216" w:lineRule="auto"/>
              <w:jc w:val="center"/>
              <w:rPr>
                <w:rFonts w:ascii="Candara" w:hAnsi="Candara"/>
                <w:sz w:val="18"/>
                <w:lang w:val="pt-PT"/>
              </w:rPr>
            </w:pPr>
            <w:r w:rsidRPr="0096752A">
              <w:rPr>
                <w:rFonts w:ascii="Candara" w:hAnsi="Candara"/>
                <w:sz w:val="18"/>
                <w:lang w:val="pt-PT"/>
              </w:rPr>
              <w:t>(TDE-LC)</w:t>
            </w:r>
          </w:p>
        </w:tc>
        <w:tc>
          <w:tcPr>
            <w:tcW w:w="567" w:type="dxa"/>
            <w:tcBorders>
              <w:top w:val="single" w:sz="12" w:space="0" w:color="7F7F7F" w:themeColor="text1" w:themeTint="80"/>
              <w:bottom w:val="singl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spacing w:line="216" w:lineRule="auto"/>
              <w:jc w:val="center"/>
              <w:rPr>
                <w:rFonts w:ascii="Candara" w:hAnsi="Candara"/>
                <w:sz w:val="18"/>
              </w:rPr>
            </w:pPr>
            <w:r w:rsidRPr="0096752A">
              <w:rPr>
                <w:rFonts w:ascii="Candara" w:hAnsi="Candara"/>
                <w:sz w:val="18"/>
              </w:rPr>
              <w:t>NNT</w:t>
            </w:r>
          </w:p>
        </w:tc>
      </w:tr>
      <w:tr w:rsidR="008C630D" w:rsidRPr="0096752A" w:rsidTr="00691E52">
        <w:trPr>
          <w:cantSplit/>
          <w:trHeight w:val="263"/>
        </w:trPr>
        <w:tc>
          <w:tcPr>
            <w:tcW w:w="938"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w:t>
            </w:r>
          </w:p>
        </w:tc>
        <w:tc>
          <w:tcPr>
            <w:tcW w:w="905"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50,0</w:t>
            </w:r>
          </w:p>
        </w:tc>
        <w:tc>
          <w:tcPr>
            <w:tcW w:w="1203"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100,0</w:t>
            </w:r>
          </w:p>
        </w:tc>
        <w:tc>
          <w:tcPr>
            <w:tcW w:w="1349"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50,0</w:t>
            </w:r>
          </w:p>
        </w:tc>
        <w:tc>
          <w:tcPr>
            <w:tcW w:w="567"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w:t>
            </w:r>
          </w:p>
        </w:tc>
        <w:tc>
          <w:tcPr>
            <w:tcW w:w="850"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1,6</w:t>
            </w:r>
          </w:p>
        </w:tc>
        <w:tc>
          <w:tcPr>
            <w:tcW w:w="1276"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94,5</w:t>
            </w:r>
          </w:p>
        </w:tc>
        <w:tc>
          <w:tcPr>
            <w:tcW w:w="1134"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42,4</w:t>
            </w:r>
          </w:p>
        </w:tc>
        <w:tc>
          <w:tcPr>
            <w:tcW w:w="1701"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87,1</w:t>
            </w:r>
          </w:p>
        </w:tc>
        <w:tc>
          <w:tcPr>
            <w:tcW w:w="567" w:type="dxa"/>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1,7</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0,1</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54,0</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96,0</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52,8</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34,3</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1,7</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95,5</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39,5</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88,5</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1,7</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0,2</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57,9</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92,0</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55,6</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16,5</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1,8</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96,4</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36,8</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89,9</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1,6</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0,3</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61,8</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88,1</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58,4</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10,6</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1,9</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97,1</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34,2</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91,0</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1,5</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0,4</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65,5</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84,2</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61,1</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7,7</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2,0</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97,7</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31,7</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92,1</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1,5</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0,5</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69,2</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80,3</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63,8</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6,0</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2,1</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98,2</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29,4</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93,1</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1,4</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0,6</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72,6</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76,4</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66,4</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4,9</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2,2</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98,6</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27,1</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94,0</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1,4</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0,7</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75,8</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72,6</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69,0</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4,1</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2,3</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98,9</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25,0</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94,8</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1,4</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0,8</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78,8</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68,9</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71,4</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3,5</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2,4</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99,2</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23,0</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95,5</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1,4</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0,9</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82,6</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65,3</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73,8</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3,1</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2,5</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99,4</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21,1</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96,2</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1,3</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1,0</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84,1</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61,7</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76,0</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2,8</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2,6</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99,5</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19,4</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96,7</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1,3</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1,1</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86,4</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58,2</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78,2</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2,5</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2,7</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99,7</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17,7</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97,2</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1,3</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1,2</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88,5</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54,9</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80,2</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2,3</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2,8</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99,7</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16,2</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97,6</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1,3</w:t>
            </w:r>
          </w:p>
        </w:tc>
      </w:tr>
      <w:tr w:rsidR="008C630D" w:rsidRPr="0096752A" w:rsidTr="00691E52">
        <w:trPr>
          <w:cantSplit/>
          <w:trHeight w:val="263"/>
        </w:trPr>
        <w:tc>
          <w:tcPr>
            <w:tcW w:w="93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1,3</w:t>
            </w:r>
          </w:p>
        </w:tc>
        <w:tc>
          <w:tcPr>
            <w:tcW w:w="90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90,3</w:t>
            </w:r>
          </w:p>
        </w:tc>
        <w:tc>
          <w:tcPr>
            <w:tcW w:w="120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51,6</w:t>
            </w:r>
          </w:p>
        </w:tc>
        <w:tc>
          <w:tcPr>
            <w:tcW w:w="134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82,1</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2,1</w:t>
            </w:r>
          </w:p>
        </w:tc>
        <w:tc>
          <w:tcPr>
            <w:tcW w:w="8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2,9</w:t>
            </w:r>
          </w:p>
        </w:tc>
        <w:tc>
          <w:tcPr>
            <w:tcW w:w="1276"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99,8</w:t>
            </w:r>
          </w:p>
        </w:tc>
        <w:tc>
          <w:tcPr>
            <w:tcW w:w="113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14,7</w:t>
            </w:r>
          </w:p>
        </w:tc>
        <w:tc>
          <w:tcPr>
            <w:tcW w:w="170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98,0</w:t>
            </w:r>
          </w:p>
        </w:tc>
        <w:tc>
          <w:tcPr>
            <w:tcW w:w="56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1,3</w:t>
            </w:r>
          </w:p>
        </w:tc>
      </w:tr>
      <w:tr w:rsidR="008C630D" w:rsidRPr="0096752A" w:rsidTr="00691E52">
        <w:trPr>
          <w:cantSplit/>
          <w:trHeight w:val="263"/>
        </w:trPr>
        <w:tc>
          <w:tcPr>
            <w:tcW w:w="938"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1,4</w:t>
            </w:r>
          </w:p>
        </w:tc>
        <w:tc>
          <w:tcPr>
            <w:tcW w:w="905"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91,9</w:t>
            </w:r>
          </w:p>
        </w:tc>
        <w:tc>
          <w:tcPr>
            <w:tcW w:w="1203"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48,4</w:t>
            </w:r>
          </w:p>
        </w:tc>
        <w:tc>
          <w:tcPr>
            <w:tcW w:w="1349"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83,9</w:t>
            </w:r>
          </w:p>
        </w:tc>
        <w:tc>
          <w:tcPr>
            <w:tcW w:w="567"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2,0</w:t>
            </w:r>
          </w:p>
        </w:tc>
        <w:tc>
          <w:tcPr>
            <w:tcW w:w="850"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3,0</w:t>
            </w:r>
          </w:p>
        </w:tc>
        <w:tc>
          <w:tcPr>
            <w:tcW w:w="1276"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99,9</w:t>
            </w:r>
          </w:p>
        </w:tc>
        <w:tc>
          <w:tcPr>
            <w:tcW w:w="1134"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13,4</w:t>
            </w:r>
          </w:p>
        </w:tc>
        <w:tc>
          <w:tcPr>
            <w:tcW w:w="1701"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98,3</w:t>
            </w:r>
          </w:p>
        </w:tc>
        <w:tc>
          <w:tcPr>
            <w:tcW w:w="567" w:type="dxa"/>
            <w:tcBorders>
              <w:top w:val="none" w:sz="8" w:space="0" w:color="000000"/>
              <w:left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1,3</w:t>
            </w:r>
          </w:p>
        </w:tc>
      </w:tr>
      <w:tr w:rsidR="008C630D" w:rsidRPr="0096752A" w:rsidTr="00691E52">
        <w:trPr>
          <w:cantSplit/>
          <w:trHeight w:val="320"/>
        </w:trPr>
        <w:tc>
          <w:tcPr>
            <w:tcW w:w="938"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1,5</w:t>
            </w:r>
          </w:p>
        </w:tc>
        <w:tc>
          <w:tcPr>
            <w:tcW w:w="905"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93,3</w:t>
            </w:r>
          </w:p>
        </w:tc>
        <w:tc>
          <w:tcPr>
            <w:tcW w:w="1203"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45,3</w:t>
            </w:r>
          </w:p>
        </w:tc>
        <w:tc>
          <w:tcPr>
            <w:tcW w:w="1349"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85,6</w:t>
            </w:r>
          </w:p>
        </w:tc>
        <w:tc>
          <w:tcPr>
            <w:tcW w:w="567"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1,8</w:t>
            </w:r>
          </w:p>
        </w:tc>
        <w:tc>
          <w:tcPr>
            <w:tcW w:w="850"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s>
              <w:jc w:val="center"/>
              <w:rPr>
                <w:rFonts w:ascii="Candara" w:hAnsi="Candara"/>
                <w:sz w:val="18"/>
              </w:rPr>
            </w:pPr>
            <w:r w:rsidRPr="0096752A">
              <w:rPr>
                <w:rFonts w:ascii="Candara" w:hAnsi="Candara"/>
                <w:sz w:val="18"/>
              </w:rPr>
              <w:t>3,1</w:t>
            </w:r>
          </w:p>
        </w:tc>
        <w:tc>
          <w:tcPr>
            <w:tcW w:w="1276"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99,9</w:t>
            </w:r>
          </w:p>
        </w:tc>
        <w:tc>
          <w:tcPr>
            <w:tcW w:w="1134"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s>
              <w:jc w:val="center"/>
              <w:rPr>
                <w:rFonts w:ascii="Candara" w:hAnsi="Candara"/>
                <w:sz w:val="18"/>
              </w:rPr>
            </w:pPr>
            <w:r w:rsidRPr="0096752A">
              <w:rPr>
                <w:rFonts w:ascii="Candara" w:hAnsi="Candara"/>
                <w:sz w:val="18"/>
              </w:rPr>
              <w:t>12,1</w:t>
            </w:r>
          </w:p>
        </w:tc>
        <w:tc>
          <w:tcPr>
            <w:tcW w:w="1701"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98,6</w:t>
            </w:r>
          </w:p>
        </w:tc>
        <w:tc>
          <w:tcPr>
            <w:tcW w:w="567" w:type="dxa"/>
            <w:tcBorders>
              <w:bottom w:val="single" w:sz="12" w:space="0" w:color="7F7F7F" w:themeColor="text1" w:themeTint="80"/>
            </w:tcBorders>
            <w:shd w:val="clear" w:color="auto" w:fill="auto"/>
            <w:tcMar>
              <w:top w:w="0" w:type="dxa"/>
              <w:left w:w="0" w:type="dxa"/>
              <w:bottom w:w="0" w:type="dxa"/>
              <w:right w:w="0" w:type="dxa"/>
            </w:tcMar>
            <w:vAlign w:val="center"/>
          </w:tcPr>
          <w:p w:rsidR="008C630D" w:rsidRPr="0096752A" w:rsidRDefault="008C630D" w:rsidP="00432573">
            <w:pPr>
              <w:pStyle w:val="Formalivre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s>
              <w:jc w:val="center"/>
              <w:rPr>
                <w:rFonts w:ascii="Candara" w:hAnsi="Candara"/>
                <w:sz w:val="18"/>
              </w:rPr>
            </w:pPr>
            <w:r w:rsidRPr="0096752A">
              <w:rPr>
                <w:rFonts w:ascii="Candara" w:hAnsi="Candara"/>
                <w:sz w:val="18"/>
              </w:rPr>
              <w:t>1,3</w:t>
            </w:r>
          </w:p>
        </w:tc>
      </w:tr>
      <w:tr w:rsidR="008C630D" w:rsidRPr="0096752A" w:rsidTr="00691E52">
        <w:trPr>
          <w:cantSplit/>
          <w:trHeight w:val="790"/>
        </w:trPr>
        <w:tc>
          <w:tcPr>
            <w:tcW w:w="10490" w:type="dxa"/>
            <w:gridSpan w:val="10"/>
            <w:tcBorders>
              <w:top w:val="single" w:sz="12" w:space="0" w:color="7F7F7F" w:themeColor="text1" w:themeTint="8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C630D" w:rsidRPr="0096752A" w:rsidRDefault="008C630D" w:rsidP="00432573">
            <w:pPr>
              <w:pStyle w:val="FormalivreA"/>
              <w:jc w:val="both"/>
              <w:rPr>
                <w:rFonts w:ascii="Candara" w:hAnsi="Candara"/>
                <w:sz w:val="16"/>
                <w:lang w:val="pt-PT"/>
              </w:rPr>
            </w:pPr>
            <w:r w:rsidRPr="0096752A">
              <w:rPr>
                <w:rFonts w:ascii="Candara Italic" w:hAnsi="Candara Italic"/>
                <w:sz w:val="16"/>
                <w:lang w:val="pt-PT"/>
              </w:rPr>
              <w:t>Notas</w:t>
            </w:r>
            <w:proofErr w:type="gramStart"/>
            <w:r w:rsidRPr="0096752A">
              <w:rPr>
                <w:rFonts w:ascii="Candara" w:hAnsi="Candara"/>
                <w:sz w:val="16"/>
                <w:lang w:val="pt-PT"/>
              </w:rPr>
              <w:t>:  Baseado</w:t>
            </w:r>
            <w:proofErr w:type="gramEnd"/>
            <w:r w:rsidRPr="0096752A">
              <w:rPr>
                <w:rFonts w:ascii="Candara" w:hAnsi="Candara"/>
                <w:sz w:val="16"/>
                <w:lang w:val="pt-PT"/>
              </w:rPr>
              <w:t xml:space="preserve"> em Coe (2007), Cohen (1988), </w:t>
            </w:r>
            <w:proofErr w:type="spellStart"/>
            <w:r w:rsidRPr="0096752A">
              <w:rPr>
                <w:rFonts w:ascii="Candara" w:hAnsi="Candara"/>
                <w:sz w:val="16"/>
                <w:lang w:val="pt-PT"/>
              </w:rPr>
              <w:t>Kraemer</w:t>
            </w:r>
            <w:proofErr w:type="spellEnd"/>
            <w:r w:rsidRPr="0096752A">
              <w:rPr>
                <w:rFonts w:ascii="Candara" w:hAnsi="Candara"/>
                <w:sz w:val="16"/>
                <w:lang w:val="pt-PT"/>
              </w:rPr>
              <w:t xml:space="preserve"> (2006), </w:t>
            </w:r>
            <w:proofErr w:type="spellStart"/>
            <w:r w:rsidRPr="0096752A">
              <w:rPr>
                <w:rFonts w:ascii="Candara" w:hAnsi="Candara"/>
                <w:sz w:val="16"/>
                <w:lang w:val="pt-PT"/>
              </w:rPr>
              <w:t>Durlak</w:t>
            </w:r>
            <w:proofErr w:type="spellEnd"/>
            <w:r w:rsidRPr="0096752A">
              <w:rPr>
                <w:rFonts w:ascii="Candara" w:hAnsi="Candara"/>
                <w:sz w:val="16"/>
                <w:lang w:val="pt-PT"/>
              </w:rPr>
              <w:t xml:space="preserve"> (2009), </w:t>
            </w:r>
            <w:proofErr w:type="spellStart"/>
            <w:r w:rsidRPr="0096752A">
              <w:rPr>
                <w:rFonts w:ascii="Candara" w:hAnsi="Candara"/>
                <w:sz w:val="16"/>
                <w:lang w:val="pt-PT"/>
              </w:rPr>
              <w:t>Kraemer</w:t>
            </w:r>
            <w:proofErr w:type="spellEnd"/>
            <w:r w:rsidRPr="0096752A">
              <w:rPr>
                <w:rFonts w:ascii="Candara" w:hAnsi="Candara"/>
                <w:sz w:val="16"/>
                <w:lang w:val="pt-PT"/>
              </w:rPr>
              <w:t xml:space="preserve"> e </w:t>
            </w:r>
            <w:proofErr w:type="spellStart"/>
            <w:r w:rsidRPr="0096752A">
              <w:rPr>
                <w:rFonts w:ascii="Candara" w:hAnsi="Candara"/>
                <w:sz w:val="16"/>
                <w:lang w:val="pt-PT"/>
              </w:rPr>
              <w:t>Kupfer</w:t>
            </w:r>
            <w:proofErr w:type="spellEnd"/>
            <w:r w:rsidRPr="0096752A">
              <w:rPr>
                <w:rFonts w:ascii="Candara" w:hAnsi="Candara"/>
                <w:sz w:val="16"/>
                <w:lang w:val="pt-PT"/>
              </w:rPr>
              <w:t xml:space="preserve"> (2006), </w:t>
            </w:r>
            <w:proofErr w:type="spellStart"/>
            <w:r w:rsidRPr="0096752A">
              <w:rPr>
                <w:rFonts w:ascii="Candara" w:hAnsi="Candara"/>
                <w:sz w:val="16"/>
                <w:lang w:val="pt-PT"/>
              </w:rPr>
              <w:t>Lipsey</w:t>
            </w:r>
            <w:proofErr w:type="spellEnd"/>
            <w:r w:rsidRPr="0096752A">
              <w:rPr>
                <w:rFonts w:ascii="Candara" w:hAnsi="Candara"/>
                <w:sz w:val="16"/>
                <w:lang w:val="pt-PT"/>
              </w:rPr>
              <w:t xml:space="preserve"> (2012), </w:t>
            </w:r>
            <w:proofErr w:type="spellStart"/>
            <w:r w:rsidRPr="0096752A">
              <w:rPr>
                <w:rFonts w:ascii="Candara" w:hAnsi="Candara"/>
                <w:sz w:val="16"/>
                <w:lang w:val="pt-PT"/>
              </w:rPr>
              <w:t>Schünemann</w:t>
            </w:r>
            <w:proofErr w:type="spellEnd"/>
            <w:r w:rsidRPr="0096752A">
              <w:rPr>
                <w:rFonts w:ascii="Candara" w:hAnsi="Candara"/>
                <w:sz w:val="16"/>
                <w:lang w:val="pt-PT"/>
              </w:rPr>
              <w:t xml:space="preserve"> </w:t>
            </w:r>
            <w:proofErr w:type="spellStart"/>
            <w:r w:rsidRPr="0096752A">
              <w:rPr>
                <w:rFonts w:ascii="Candara" w:hAnsi="Candara"/>
                <w:sz w:val="16"/>
                <w:lang w:val="pt-PT"/>
              </w:rPr>
              <w:t>et</w:t>
            </w:r>
            <w:proofErr w:type="spellEnd"/>
            <w:r w:rsidRPr="0096752A">
              <w:rPr>
                <w:rFonts w:ascii="Candara" w:hAnsi="Candara"/>
                <w:sz w:val="16"/>
                <w:lang w:val="pt-PT"/>
              </w:rPr>
              <w:t xml:space="preserve"> al. (2008) e </w:t>
            </w:r>
            <w:proofErr w:type="spellStart"/>
            <w:r w:rsidRPr="0096752A">
              <w:rPr>
                <w:rFonts w:ascii="Candara" w:hAnsi="Candara"/>
                <w:sz w:val="16"/>
                <w:lang w:val="pt-PT"/>
              </w:rPr>
              <w:t>Wyrwich</w:t>
            </w:r>
            <w:proofErr w:type="spellEnd"/>
            <w:r w:rsidRPr="0096752A">
              <w:rPr>
                <w:rFonts w:ascii="Candara" w:hAnsi="Candara"/>
                <w:sz w:val="16"/>
                <w:lang w:val="pt-PT"/>
              </w:rPr>
              <w:t xml:space="preserve"> </w:t>
            </w:r>
            <w:proofErr w:type="spellStart"/>
            <w:r w:rsidRPr="0096752A">
              <w:rPr>
                <w:rFonts w:ascii="Candara" w:hAnsi="Candara"/>
                <w:sz w:val="16"/>
                <w:lang w:val="pt-PT"/>
              </w:rPr>
              <w:t>et</w:t>
            </w:r>
            <w:proofErr w:type="spellEnd"/>
            <w:r w:rsidRPr="0096752A">
              <w:rPr>
                <w:rFonts w:ascii="Candara" w:hAnsi="Candara"/>
                <w:sz w:val="16"/>
                <w:lang w:val="pt-PT"/>
              </w:rPr>
              <w:t xml:space="preserve"> al. (2005). Os percentis correspondem ao U</w:t>
            </w:r>
            <w:r w:rsidRPr="0096752A">
              <w:rPr>
                <w:rFonts w:ascii="Candara" w:hAnsi="Candara"/>
                <w:sz w:val="16"/>
                <w:vertAlign w:val="subscript"/>
                <w:lang w:val="pt-PT"/>
              </w:rPr>
              <w:t>3</w:t>
            </w:r>
            <w:r w:rsidRPr="0096752A">
              <w:rPr>
                <w:rFonts w:ascii="Candara" w:hAnsi="Candara"/>
                <w:sz w:val="16"/>
                <w:lang w:val="pt-PT"/>
              </w:rPr>
              <w:t xml:space="preserve"> de Cohen. TDE-LC = tamanho do </w:t>
            </w:r>
            <w:proofErr w:type="gramStart"/>
            <w:r w:rsidRPr="0096752A">
              <w:rPr>
                <w:rFonts w:ascii="Candara" w:hAnsi="Candara"/>
                <w:sz w:val="16"/>
                <w:lang w:val="pt-PT"/>
              </w:rPr>
              <w:t>efeito  em</w:t>
            </w:r>
            <w:proofErr w:type="gramEnd"/>
            <w:r w:rsidRPr="0096752A">
              <w:rPr>
                <w:rFonts w:ascii="Candara" w:hAnsi="Candara"/>
                <w:sz w:val="16"/>
                <w:lang w:val="pt-PT"/>
              </w:rPr>
              <w:t xml:space="preserve"> linguagem comum. NNT = número de pessoas que necessita de tratamento (assume-se que 20% do grupo de controlo tenha “resultados favoráveis”, melhorando acima ou abaixo de um determinado ponto de corte.</w:t>
            </w:r>
          </w:p>
        </w:tc>
      </w:tr>
    </w:tbl>
    <w:p w:rsidR="008C630D" w:rsidRPr="0096752A" w:rsidRDefault="008C630D" w:rsidP="008C630D">
      <w:pPr>
        <w:pStyle w:val="FormalivreA"/>
        <w:spacing w:after="120" w:line="276" w:lineRule="auto"/>
        <w:jc w:val="both"/>
        <w:rPr>
          <w:rFonts w:ascii="Candara" w:hAnsi="Candara"/>
          <w:sz w:val="20"/>
          <w:lang w:val="pt-PT"/>
        </w:rPr>
      </w:pPr>
    </w:p>
    <w:p w:rsidR="008C630D" w:rsidRPr="0096752A" w:rsidRDefault="008C630D" w:rsidP="008C630D">
      <w:pPr>
        <w:pStyle w:val="FormalivreA"/>
        <w:spacing w:after="120" w:line="276" w:lineRule="auto"/>
        <w:jc w:val="both"/>
        <w:rPr>
          <w:rFonts w:ascii="Candara" w:hAnsi="Candara"/>
          <w:sz w:val="20"/>
          <w:lang w:val="pt-PT"/>
        </w:rPr>
        <w:sectPr w:rsidR="008C630D" w:rsidRPr="0096752A" w:rsidSect="008C630D">
          <w:type w:val="continuous"/>
          <w:pgSz w:w="11906" w:h="16838"/>
          <w:pgMar w:top="720" w:right="720" w:bottom="720" w:left="720" w:header="708" w:footer="708" w:gutter="0"/>
          <w:cols w:space="566"/>
          <w:docGrid w:linePitch="360"/>
        </w:sectPr>
      </w:pPr>
    </w:p>
    <w:p w:rsidR="00D9179F" w:rsidRPr="0096752A" w:rsidRDefault="00D9179F" w:rsidP="008C630D">
      <w:pPr>
        <w:pStyle w:val="FormalivreA"/>
        <w:spacing w:after="120" w:line="276" w:lineRule="auto"/>
        <w:jc w:val="both"/>
        <w:rPr>
          <w:rFonts w:ascii="Candara" w:hAnsi="Candara"/>
          <w:sz w:val="20"/>
          <w:lang w:val="pt-PT"/>
        </w:rPr>
      </w:pPr>
      <w:r w:rsidRPr="0096752A">
        <w:rPr>
          <w:rFonts w:ascii="Candara" w:hAnsi="Candara"/>
          <w:sz w:val="20"/>
          <w:lang w:val="pt-PT"/>
        </w:rPr>
        <w:lastRenderedPageBreak/>
        <w:t>O número que necessita tratamento define-se como o número de pacientes que se espera tratar com T (S</w:t>
      </w:r>
      <w:r w:rsidRPr="0096752A">
        <w:rPr>
          <w:rFonts w:ascii="Candara" w:hAnsi="Candara"/>
          <w:sz w:val="20"/>
          <w:vertAlign w:val="subscript"/>
          <w:lang w:val="pt-PT"/>
        </w:rPr>
        <w:t>T</w:t>
      </w:r>
      <w:r w:rsidRPr="0096752A">
        <w:rPr>
          <w:rFonts w:ascii="Candara" w:hAnsi="Candara"/>
          <w:sz w:val="20"/>
          <w:lang w:val="pt-PT"/>
        </w:rPr>
        <w:t>) para ter mais sucesso (e menos falhanço) do que o número tratado com C (S</w:t>
      </w:r>
      <w:r w:rsidRPr="0096752A">
        <w:rPr>
          <w:rFonts w:ascii="Candara" w:hAnsi="Candara"/>
          <w:sz w:val="20"/>
          <w:vertAlign w:val="subscript"/>
          <w:lang w:val="pt-PT"/>
        </w:rPr>
        <w:t>C</w:t>
      </w:r>
      <w:r w:rsidRPr="0096752A">
        <w:rPr>
          <w:rFonts w:ascii="Candara" w:hAnsi="Candara"/>
          <w:sz w:val="20"/>
          <w:lang w:val="pt-PT"/>
        </w:rPr>
        <w:t>), onde NNT = S</w:t>
      </w:r>
      <w:r w:rsidRPr="0096752A">
        <w:rPr>
          <w:rFonts w:ascii="Candara" w:hAnsi="Candara"/>
          <w:sz w:val="20"/>
          <w:vertAlign w:val="subscript"/>
          <w:lang w:val="pt-PT"/>
        </w:rPr>
        <w:t xml:space="preserve">T </w:t>
      </w:r>
      <w:r w:rsidRPr="0096752A">
        <w:rPr>
          <w:rFonts w:ascii="Candara" w:hAnsi="Candara"/>
          <w:sz w:val="20"/>
          <w:lang w:val="pt-PT"/>
        </w:rPr>
        <w:t>- S</w:t>
      </w:r>
      <w:r w:rsidRPr="0096752A">
        <w:rPr>
          <w:rFonts w:ascii="Candara" w:hAnsi="Candara"/>
          <w:sz w:val="20"/>
          <w:vertAlign w:val="subscript"/>
          <w:lang w:val="pt-PT"/>
        </w:rPr>
        <w:t>C</w:t>
      </w:r>
      <w:r w:rsidRPr="0096752A">
        <w:rPr>
          <w:rFonts w:ascii="Candara" w:hAnsi="Candara"/>
          <w:sz w:val="20"/>
          <w:lang w:val="pt-PT"/>
        </w:rPr>
        <w:t>. Para um T melhor que C, então o NNT varia do valor ideal de 1 até ao infinito; para o T pior do que C, então o NNT varia entre -1 a menos infinito (</w:t>
      </w:r>
      <w:proofErr w:type="spellStart"/>
      <w:r w:rsidRPr="0096752A">
        <w:rPr>
          <w:rFonts w:ascii="Candara" w:hAnsi="Candara"/>
          <w:sz w:val="20"/>
          <w:lang w:val="pt-PT"/>
        </w:rPr>
        <w:t>Kraemer</w:t>
      </w:r>
      <w:proofErr w:type="spellEnd"/>
      <w:r w:rsidRPr="0096752A">
        <w:rPr>
          <w:rFonts w:ascii="Candara" w:hAnsi="Candara"/>
          <w:sz w:val="20"/>
          <w:lang w:val="pt-PT"/>
        </w:rPr>
        <w:t xml:space="preserve"> e </w:t>
      </w:r>
      <w:proofErr w:type="spellStart"/>
      <w:r w:rsidRPr="0096752A">
        <w:rPr>
          <w:rFonts w:ascii="Candara" w:hAnsi="Candara"/>
          <w:sz w:val="20"/>
          <w:lang w:val="pt-PT"/>
        </w:rPr>
        <w:t>Kupfer</w:t>
      </w:r>
      <w:proofErr w:type="spellEnd"/>
      <w:r w:rsidRPr="0096752A">
        <w:rPr>
          <w:rFonts w:ascii="Candara" w:hAnsi="Candara"/>
          <w:sz w:val="20"/>
          <w:lang w:val="pt-PT"/>
        </w:rPr>
        <w:t>, 2006, p. 992</w:t>
      </w:r>
      <w:r w:rsidR="007E0E55">
        <w:rPr>
          <w:rFonts w:ascii="Candara" w:hAnsi="Candara"/>
          <w:sz w:val="20"/>
          <w:lang w:val="pt-PT"/>
        </w:rPr>
        <w:t>)</w:t>
      </w:r>
      <w:r w:rsidRPr="0096752A">
        <w:rPr>
          <w:rFonts w:ascii="Candara" w:hAnsi="Candara"/>
          <w:sz w:val="20"/>
          <w:lang w:val="pt-PT"/>
        </w:rPr>
        <w:t xml:space="preserve">. A fórmula de conversão do d de Cohen em NNT é dada por </w:t>
      </w:r>
      <w:proofErr w:type="spellStart"/>
      <w:r w:rsidRPr="0096752A">
        <w:rPr>
          <w:rFonts w:ascii="Candara" w:hAnsi="Candara"/>
          <w:sz w:val="20"/>
          <w:lang w:val="pt-PT"/>
        </w:rPr>
        <w:t>Furukawa</w:t>
      </w:r>
      <w:proofErr w:type="spellEnd"/>
      <w:r w:rsidRPr="0096752A">
        <w:rPr>
          <w:rFonts w:ascii="Candara" w:hAnsi="Candara"/>
          <w:sz w:val="20"/>
          <w:lang w:val="pt-PT"/>
        </w:rPr>
        <w:t xml:space="preserve"> e </w:t>
      </w:r>
      <w:proofErr w:type="spellStart"/>
      <w:r w:rsidRPr="0096752A">
        <w:rPr>
          <w:rFonts w:ascii="Candara" w:hAnsi="Candara"/>
          <w:sz w:val="20"/>
          <w:lang w:val="pt-PT"/>
        </w:rPr>
        <w:t>Leucht</w:t>
      </w:r>
      <w:proofErr w:type="spellEnd"/>
      <w:r w:rsidRPr="0096752A">
        <w:rPr>
          <w:rFonts w:ascii="Candara" w:hAnsi="Candara"/>
          <w:sz w:val="20"/>
          <w:lang w:val="pt-PT"/>
        </w:rPr>
        <w:t xml:space="preserve"> (2011): </w:t>
      </w:r>
    </w:p>
    <w:p w:rsidR="00925B6B" w:rsidRPr="00E72D81" w:rsidRDefault="00925B6B" w:rsidP="00925B6B">
      <w:pPr>
        <w:pStyle w:val="FormalivreA"/>
        <w:spacing w:after="80" w:line="276" w:lineRule="auto"/>
        <w:ind w:firstLine="425"/>
        <w:jc w:val="center"/>
        <w:rPr>
          <w:rFonts w:ascii="Candara" w:hAnsi="Candara"/>
          <w:sz w:val="20"/>
          <w:lang w:val="fr-FR"/>
        </w:rPr>
      </w:pPr>
      <w:r w:rsidRPr="00E72D81">
        <w:rPr>
          <w:rFonts w:ascii="Candara" w:hAnsi="Candara"/>
          <w:sz w:val="20"/>
          <w:lang w:val="fr-FR"/>
        </w:rPr>
        <w:t>NNT</w:t>
      </w:r>
      <w:r>
        <w:rPr>
          <w:rFonts w:ascii="Candara" w:hAnsi="Candara"/>
          <w:sz w:val="20"/>
          <w:lang w:val="fr-FR"/>
        </w:rPr>
        <w:t xml:space="preserve"> </w:t>
      </w:r>
      <w:r w:rsidRPr="00E72D81">
        <w:rPr>
          <w:rFonts w:ascii="Candara" w:hAnsi="Candara"/>
          <w:sz w:val="20"/>
          <w:lang w:val="fr-FR"/>
        </w:rPr>
        <w:t>=</w:t>
      </w:r>
      <w:r>
        <w:rPr>
          <w:rFonts w:ascii="Candara" w:hAnsi="Candara"/>
          <w:sz w:val="20"/>
          <w:lang w:val="fr-FR"/>
        </w:rPr>
        <w:t xml:space="preserve"> </w:t>
      </w:r>
      <m:oMath>
        <m:f>
          <m:fPr>
            <m:ctrlPr>
              <w:rPr>
                <w:rFonts w:ascii="Cambria Math" w:hAnsi="Cambria Math"/>
                <w:i/>
                <w:sz w:val="20"/>
                <w:lang w:val="fr-FR"/>
              </w:rPr>
            </m:ctrlPr>
          </m:fPr>
          <m:num>
            <m:r>
              <w:rPr>
                <w:rFonts w:ascii="Cambria Math" w:hAnsi="Cambria Math"/>
                <w:sz w:val="20"/>
                <w:lang w:val="fr-FR"/>
              </w:rPr>
              <m:t>1</m:t>
            </m:r>
          </m:num>
          <m:den>
            <m:r>
              <m:rPr>
                <m:sty m:val="p"/>
              </m:rPr>
              <w:rPr>
                <w:rFonts w:ascii="Cambria Math" w:hAnsi="Cambria Math"/>
                <w:sz w:val="20"/>
              </w:rPr>
              <m:t>Φ</m:t>
            </m:r>
            <m:r>
              <m:rPr>
                <m:sty m:val="p"/>
              </m:rPr>
              <w:rPr>
                <w:rFonts w:ascii="Cambria Math" w:hAnsi="Cambria Math"/>
                <w:sz w:val="20"/>
                <w:lang w:val="fr-FR"/>
              </w:rPr>
              <m:t xml:space="preserve"> [</m:t>
            </m:r>
            <m:r>
              <m:rPr>
                <m:sty m:val="p"/>
              </m:rPr>
              <w:rPr>
                <w:rFonts w:ascii="Cambria Math" w:hAnsi="Cambria Math"/>
                <w:sz w:val="20"/>
              </w:rPr>
              <m:t>δ</m:t>
            </m:r>
            <m:r>
              <m:rPr>
                <m:sty m:val="p"/>
              </m:rPr>
              <w:rPr>
                <w:rFonts w:ascii="Cambria Math" w:hAnsi="Cambria Math"/>
                <w:sz w:val="20"/>
                <w:lang w:val="fr-FR"/>
              </w:rPr>
              <m:t xml:space="preserve"> - </m:t>
            </m:r>
            <m:r>
              <m:rPr>
                <m:sty m:val="p"/>
              </m:rPr>
              <w:rPr>
                <w:rFonts w:ascii="Cambria Math" w:hAnsi="Cambria Math"/>
                <w:sz w:val="20"/>
              </w:rPr>
              <m:t>Ψ</m:t>
            </m:r>
            <m:r>
              <m:rPr>
                <m:sty m:val="p"/>
              </m:rPr>
              <w:rPr>
                <w:rFonts w:ascii="Cambria Math" w:hAnsi="Cambria Math"/>
                <w:sz w:val="20"/>
                <w:lang w:val="fr-FR"/>
              </w:rPr>
              <m:t>(TEC) - TEC]</m:t>
            </m:r>
          </m:den>
        </m:f>
      </m:oMath>
      <w:r w:rsidRPr="00E72D81">
        <w:rPr>
          <w:rFonts w:ascii="Candara" w:hAnsi="Candara"/>
          <w:sz w:val="20"/>
          <w:lang w:val="fr-FR"/>
        </w:rPr>
        <w:t xml:space="preserve"> </w:t>
      </w:r>
      <w:r>
        <w:rPr>
          <w:rFonts w:ascii="Candara" w:hAnsi="Candara"/>
          <w:sz w:val="20"/>
          <w:lang w:val="fr-FR"/>
        </w:rPr>
        <w:t xml:space="preserve"> </w:t>
      </w:r>
      <w:r w:rsidRPr="00E72D81">
        <w:rPr>
          <w:rFonts w:ascii="Candara" w:hAnsi="Candara"/>
          <w:sz w:val="20"/>
          <w:lang w:val="fr-FR"/>
        </w:rPr>
        <w:t xml:space="preserve">ou </w:t>
      </w:r>
      <w:r>
        <w:rPr>
          <w:rFonts w:ascii="Candara" w:hAnsi="Candara"/>
          <w:sz w:val="20"/>
          <w:lang w:val="fr-FR"/>
        </w:rPr>
        <w:t xml:space="preserve"> </w:t>
      </w:r>
      <w:r w:rsidRPr="00E72D81">
        <w:rPr>
          <w:rFonts w:ascii="Candara" w:hAnsi="Candara"/>
          <w:sz w:val="20"/>
          <w:lang w:val="fr-FR"/>
        </w:rPr>
        <w:t>NNT</w:t>
      </w:r>
      <w:r>
        <w:rPr>
          <w:rFonts w:ascii="Candara" w:hAnsi="Candara"/>
          <w:sz w:val="20"/>
          <w:lang w:val="fr-FR"/>
        </w:rPr>
        <w:t xml:space="preserve"> </w:t>
      </w:r>
      <w:r w:rsidRPr="00E72D81">
        <w:rPr>
          <w:rFonts w:ascii="Candara" w:hAnsi="Candara"/>
          <w:sz w:val="20"/>
          <w:lang w:val="fr-FR"/>
        </w:rPr>
        <w:t>=</w:t>
      </w:r>
      <w:r>
        <w:rPr>
          <w:rFonts w:ascii="Candara" w:hAnsi="Candara"/>
          <w:sz w:val="20"/>
          <w:lang w:val="fr-FR"/>
        </w:rPr>
        <w:t xml:space="preserve"> </w:t>
      </w:r>
      <m:oMath>
        <m:f>
          <m:fPr>
            <m:ctrlPr>
              <w:rPr>
                <w:rFonts w:ascii="Cambria Math" w:hAnsi="Cambria Math"/>
                <w:i/>
                <w:sz w:val="20"/>
                <w:lang w:val="fr-FR"/>
              </w:rPr>
            </m:ctrlPr>
          </m:fPr>
          <m:num>
            <m:r>
              <w:rPr>
                <w:rFonts w:ascii="Cambria Math" w:hAnsi="Cambria Math"/>
                <w:sz w:val="20"/>
                <w:lang w:val="fr-FR"/>
              </w:rPr>
              <m:t>1</m:t>
            </m:r>
          </m:num>
          <m:den>
            <m:r>
              <m:rPr>
                <m:sty m:val="p"/>
              </m:rPr>
              <w:rPr>
                <w:rFonts w:ascii="Cambria Math" w:hAnsi="Cambria Math"/>
                <w:sz w:val="20"/>
                <w:lang w:val="fr-FR"/>
              </w:rPr>
              <m:t>TEE- TEC</m:t>
            </m:r>
          </m:den>
        </m:f>
      </m:oMath>
    </w:p>
    <w:p w:rsidR="00D9179F" w:rsidRPr="0096752A" w:rsidRDefault="00D9179F" w:rsidP="00D47D0B">
      <w:pPr>
        <w:pStyle w:val="FormalivreA"/>
        <w:spacing w:before="100" w:after="80" w:line="276" w:lineRule="auto"/>
        <w:ind w:firstLine="425"/>
        <w:jc w:val="both"/>
        <w:rPr>
          <w:rFonts w:ascii="Candara" w:hAnsi="Candara"/>
          <w:sz w:val="20"/>
          <w:shd w:val="clear" w:color="auto" w:fill="FFFA83"/>
          <w:lang w:val="pt-PT"/>
        </w:rPr>
      </w:pPr>
      <w:r w:rsidRPr="0096752A">
        <w:rPr>
          <w:rFonts w:ascii="Candara" w:hAnsi="Candara"/>
          <w:sz w:val="20"/>
          <w:lang w:val="pt-PT"/>
        </w:rPr>
        <w:t xml:space="preserve">Nesta fórmula, o </w:t>
      </w:r>
      <w:r w:rsidRPr="0096752A">
        <w:rPr>
          <w:rFonts w:ascii="Candara" w:hAnsi="Candara"/>
          <w:sz w:val="20"/>
        </w:rPr>
        <w:t>Φ</w:t>
      </w:r>
      <w:r w:rsidRPr="0096752A">
        <w:rPr>
          <w:rFonts w:ascii="Candara" w:hAnsi="Candara"/>
          <w:sz w:val="20"/>
          <w:lang w:val="pt-PT"/>
        </w:rPr>
        <w:t xml:space="preserve"> é a função de distribuição cumulativa da distribuição normal padronizada e </w:t>
      </w:r>
      <w:r w:rsidRPr="0096752A">
        <w:rPr>
          <w:rFonts w:ascii="Candara" w:hAnsi="Candara"/>
          <w:sz w:val="20"/>
        </w:rPr>
        <w:t>Ψ</w:t>
      </w:r>
      <w:r w:rsidRPr="0096752A">
        <w:rPr>
          <w:rFonts w:ascii="Candara" w:hAnsi="Candara"/>
          <w:sz w:val="20"/>
          <w:lang w:val="pt-PT"/>
        </w:rPr>
        <w:t xml:space="preserve"> é a sua inversa, o TEE é a taxa de eventos no grupo experimental, o TEC é a taxa de eventos no grupo de controlo e o </w:t>
      </w:r>
      <w:r w:rsidRPr="0096752A">
        <w:rPr>
          <w:rFonts w:ascii="Candara" w:hAnsi="Candara"/>
          <w:sz w:val="20"/>
        </w:rPr>
        <w:t>δ</w:t>
      </w:r>
      <w:r w:rsidRPr="0096752A">
        <w:rPr>
          <w:rFonts w:ascii="Candara" w:hAnsi="Candara"/>
          <w:sz w:val="20"/>
          <w:lang w:val="pt-PT"/>
        </w:rPr>
        <w:t xml:space="preserve"> é o d de Cohen populacional. Na Tabela 4, o TEC está definido para 20%. Note-se que o NNT funciona melhor com variáveis de resultado dicotómicas (</w:t>
      </w:r>
      <w:proofErr w:type="spellStart"/>
      <w:r w:rsidRPr="0096752A">
        <w:rPr>
          <w:rFonts w:ascii="Candara" w:hAnsi="Candara"/>
          <w:sz w:val="20"/>
          <w:lang w:val="pt-PT"/>
        </w:rPr>
        <w:t>Ferguson</w:t>
      </w:r>
      <w:proofErr w:type="spellEnd"/>
      <w:r w:rsidRPr="0096752A">
        <w:rPr>
          <w:rFonts w:ascii="Candara" w:hAnsi="Candara"/>
          <w:sz w:val="20"/>
          <w:lang w:val="pt-PT"/>
        </w:rPr>
        <w:t>, 2009).</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b/>
          <w:sz w:val="22"/>
          <w:lang w:val="pt-PT"/>
        </w:rPr>
        <w:t>Exemplo.</w:t>
      </w:r>
      <w:r w:rsidRPr="0096752A">
        <w:rPr>
          <w:rFonts w:ascii="Candara" w:hAnsi="Candara"/>
          <w:sz w:val="22"/>
          <w:lang w:val="pt-PT"/>
        </w:rPr>
        <w:t xml:space="preserve"> </w:t>
      </w:r>
      <w:r w:rsidRPr="0096752A">
        <w:rPr>
          <w:rFonts w:ascii="Candara" w:hAnsi="Candara"/>
          <w:sz w:val="20"/>
          <w:lang w:val="pt-PT"/>
        </w:rPr>
        <w:t xml:space="preserve">Paiva e colaboradores (2013), entre outras análises, verificaram a influência do sexo nos comportamentos de risco e </w:t>
      </w:r>
      <w:proofErr w:type="spellStart"/>
      <w:r w:rsidRPr="0096752A">
        <w:rPr>
          <w:rFonts w:ascii="Candara" w:hAnsi="Candara"/>
          <w:sz w:val="20"/>
          <w:lang w:val="pt-PT"/>
        </w:rPr>
        <w:t>auto-dano</w:t>
      </w:r>
      <w:proofErr w:type="spellEnd"/>
      <w:r w:rsidRPr="0096752A">
        <w:rPr>
          <w:rFonts w:ascii="Candara" w:hAnsi="Candara"/>
          <w:sz w:val="20"/>
          <w:lang w:val="pt-PT"/>
        </w:rPr>
        <w:t xml:space="preserve"> em adolescentes através do </w:t>
      </w:r>
      <w:proofErr w:type="spellStart"/>
      <w:r w:rsidRPr="0096752A">
        <w:rPr>
          <w:rFonts w:ascii="Candara Italic" w:hAnsi="Candara Italic"/>
          <w:sz w:val="20"/>
          <w:lang w:val="pt-PT"/>
        </w:rPr>
        <w:t>Risk-Taking</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and</w:t>
      </w:r>
      <w:proofErr w:type="spellEnd"/>
      <w:r w:rsidRPr="0096752A">
        <w:rPr>
          <w:rFonts w:ascii="Candara Italic" w:hAnsi="Candara Italic"/>
          <w:sz w:val="20"/>
          <w:lang w:val="pt-PT"/>
        </w:rPr>
        <w:t xml:space="preserve"> Self-</w:t>
      </w:r>
      <w:proofErr w:type="spellStart"/>
      <w:r w:rsidRPr="0096752A">
        <w:rPr>
          <w:rFonts w:ascii="Candara Italic" w:hAnsi="Candara Italic"/>
          <w:sz w:val="20"/>
          <w:lang w:val="pt-PT"/>
        </w:rPr>
        <w:t>Harm</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Inventory</w:t>
      </w:r>
      <w:proofErr w:type="spellEnd"/>
      <w:r w:rsidRPr="0096752A">
        <w:rPr>
          <w:rFonts w:ascii="Candara Italic" w:hAnsi="Candara Italic"/>
          <w:sz w:val="20"/>
          <w:lang w:val="pt-PT"/>
        </w:rPr>
        <w:t xml:space="preserve"> for </w:t>
      </w:r>
      <w:proofErr w:type="spellStart"/>
      <w:r w:rsidRPr="0096752A">
        <w:rPr>
          <w:rFonts w:ascii="Candara Italic" w:hAnsi="Candara Italic"/>
          <w:sz w:val="20"/>
          <w:lang w:val="pt-PT"/>
        </w:rPr>
        <w:t>Adolescents</w:t>
      </w:r>
      <w:proofErr w:type="spellEnd"/>
      <w:r w:rsidRPr="0096752A">
        <w:rPr>
          <w:rFonts w:ascii="Candara Italic" w:hAnsi="Candara Italic"/>
          <w:sz w:val="20"/>
          <w:lang w:val="pt-PT"/>
        </w:rPr>
        <w:t xml:space="preserve"> </w:t>
      </w:r>
      <w:r w:rsidRPr="0096752A">
        <w:rPr>
          <w:rFonts w:ascii="Candara" w:hAnsi="Candara"/>
          <w:sz w:val="20"/>
          <w:lang w:val="pt-PT"/>
        </w:rPr>
        <w:t>(pontuação máxima = 36 pontos). O estudo mostrou que os rapazes (</w:t>
      </w:r>
      <w:r w:rsidRPr="0096752A">
        <w:rPr>
          <w:rFonts w:ascii="Candara Italic" w:hAnsi="Candara Italic"/>
          <w:sz w:val="20"/>
          <w:lang w:val="pt-PT"/>
        </w:rPr>
        <w:t>n</w:t>
      </w:r>
      <w:r w:rsidRPr="0096752A">
        <w:rPr>
          <w:rFonts w:ascii="Candara" w:hAnsi="Candara"/>
          <w:sz w:val="20"/>
          <w:vertAlign w:val="subscript"/>
          <w:lang w:val="pt-PT"/>
        </w:rPr>
        <w:t>1</w:t>
      </w:r>
      <w:r w:rsidRPr="0096752A">
        <w:rPr>
          <w:rFonts w:ascii="Candara" w:hAnsi="Candara"/>
          <w:sz w:val="20"/>
          <w:lang w:val="pt-PT"/>
        </w:rPr>
        <w:t xml:space="preserve"> = 152) tinham significativamente (</w:t>
      </w:r>
      <w:r w:rsidRPr="0096752A">
        <w:rPr>
          <w:rFonts w:ascii="Candara Italic" w:hAnsi="Candara Italic"/>
          <w:sz w:val="20"/>
          <w:lang w:val="pt-PT"/>
        </w:rPr>
        <w:t>t</w:t>
      </w:r>
      <w:r w:rsidRPr="0096752A">
        <w:rPr>
          <w:rFonts w:ascii="Candara" w:hAnsi="Candara"/>
          <w:sz w:val="20"/>
          <w:lang w:val="pt-PT"/>
        </w:rPr>
        <w:t xml:space="preserve"> = 4,61;</w:t>
      </w:r>
      <w:r w:rsidRPr="0096752A">
        <w:rPr>
          <w:rFonts w:ascii="Candara" w:hAnsi="Candara"/>
          <w:i/>
          <w:sz w:val="20"/>
          <w:u w:color="00B050"/>
          <w:lang w:val="pt-PT"/>
        </w:rPr>
        <w:t xml:space="preserve"> p </w:t>
      </w:r>
      <w:proofErr w:type="gramStart"/>
      <w:r w:rsidRPr="0096752A">
        <w:rPr>
          <w:rFonts w:ascii="Candara" w:hAnsi="Candara"/>
          <w:sz w:val="20"/>
          <w:lang w:val="pt-PT"/>
        </w:rPr>
        <w:t>&lt; 0</w:t>
      </w:r>
      <w:proofErr w:type="gramEnd"/>
      <w:r w:rsidRPr="0096752A">
        <w:rPr>
          <w:rFonts w:ascii="Candara" w:hAnsi="Candara"/>
          <w:sz w:val="20"/>
          <w:lang w:val="pt-PT"/>
        </w:rPr>
        <w:t>,001) mais comportamentos de risco (</w:t>
      </w:r>
      <w:r w:rsidRPr="0096752A">
        <w:rPr>
          <w:rFonts w:ascii="Candara Italic" w:hAnsi="Candara Italic"/>
          <w:sz w:val="20"/>
          <w:lang w:val="pt-PT"/>
        </w:rPr>
        <w:t>M</w:t>
      </w:r>
      <w:r w:rsidRPr="0096752A">
        <w:rPr>
          <w:rFonts w:ascii="Candara" w:hAnsi="Candara"/>
          <w:sz w:val="20"/>
          <w:lang w:val="pt-PT"/>
        </w:rPr>
        <w:t xml:space="preserve"> = 7,11; </w:t>
      </w:r>
      <w:r w:rsidRPr="0096752A">
        <w:rPr>
          <w:rFonts w:ascii="Candara Italic" w:hAnsi="Candara Italic"/>
          <w:sz w:val="20"/>
          <w:lang w:val="pt-PT"/>
        </w:rPr>
        <w:t>DP</w:t>
      </w:r>
      <w:r w:rsidRPr="0096752A">
        <w:rPr>
          <w:rFonts w:ascii="Candara" w:hAnsi="Candara"/>
          <w:sz w:val="20"/>
          <w:lang w:val="pt-PT"/>
        </w:rPr>
        <w:t xml:space="preserve"> = 6,36) do que as raparigas (</w:t>
      </w:r>
      <w:r w:rsidRPr="0096752A">
        <w:rPr>
          <w:rFonts w:ascii="Candara Italic" w:hAnsi="Candara Italic"/>
          <w:sz w:val="20"/>
          <w:lang w:val="pt-PT"/>
        </w:rPr>
        <w:t>n</w:t>
      </w:r>
      <w:r w:rsidRPr="0096752A">
        <w:rPr>
          <w:rFonts w:ascii="Candara" w:hAnsi="Candara"/>
          <w:sz w:val="20"/>
          <w:vertAlign w:val="subscript"/>
          <w:lang w:val="pt-PT"/>
        </w:rPr>
        <w:t>2</w:t>
      </w:r>
      <w:r w:rsidRPr="0096752A">
        <w:rPr>
          <w:rFonts w:ascii="Candara" w:hAnsi="Candara"/>
          <w:sz w:val="20"/>
          <w:lang w:val="pt-PT"/>
        </w:rPr>
        <w:t xml:space="preserve"> = 194; </w:t>
      </w:r>
      <w:r w:rsidRPr="0096752A">
        <w:rPr>
          <w:rFonts w:ascii="Candara Italic" w:hAnsi="Candara Italic"/>
          <w:sz w:val="20"/>
          <w:lang w:val="pt-PT"/>
        </w:rPr>
        <w:t>M</w:t>
      </w:r>
      <w:r w:rsidRPr="0096752A">
        <w:rPr>
          <w:rFonts w:ascii="Candara" w:hAnsi="Candara"/>
          <w:sz w:val="20"/>
          <w:lang w:val="pt-PT"/>
        </w:rPr>
        <w:t xml:space="preserve"> = 4,47; </w:t>
      </w:r>
      <w:r w:rsidRPr="0096752A">
        <w:rPr>
          <w:rFonts w:ascii="Candara Italic" w:hAnsi="Candara Italic"/>
          <w:sz w:val="20"/>
          <w:lang w:val="pt-PT"/>
        </w:rPr>
        <w:t>DP</w:t>
      </w:r>
      <w:r w:rsidRPr="0096752A">
        <w:rPr>
          <w:rFonts w:ascii="Candara" w:hAnsi="Candara"/>
          <w:sz w:val="20"/>
          <w:lang w:val="pt-PT"/>
        </w:rPr>
        <w:t xml:space="preserve"> = 4,26). Comecemos pela diferença não-padronizada das médias: </w:t>
      </w:r>
      <w:r w:rsidRPr="0096752A">
        <w:rPr>
          <w:rFonts w:ascii="Candara Italic" w:hAnsi="Candara Italic"/>
          <w:sz w:val="20"/>
          <w:lang w:val="pt-PT"/>
        </w:rPr>
        <w:t>M</w:t>
      </w:r>
      <w:r w:rsidRPr="0096752A">
        <w:rPr>
          <w:rFonts w:ascii="Candara" w:hAnsi="Candara"/>
          <w:sz w:val="20"/>
          <w:vertAlign w:val="subscript"/>
          <w:lang w:val="pt-PT"/>
        </w:rPr>
        <w:t>1</w:t>
      </w:r>
      <w:r w:rsidRPr="0096752A">
        <w:rPr>
          <w:rFonts w:ascii="Candara" w:hAnsi="Candara"/>
          <w:sz w:val="20"/>
          <w:lang w:val="pt-PT"/>
        </w:rPr>
        <w:t xml:space="preserve"> - </w:t>
      </w:r>
      <w:r w:rsidRPr="0096752A">
        <w:rPr>
          <w:rFonts w:ascii="Candara Italic" w:hAnsi="Candara Italic"/>
          <w:sz w:val="20"/>
          <w:lang w:val="pt-PT"/>
        </w:rPr>
        <w:t>M</w:t>
      </w:r>
      <w:r w:rsidRPr="0096752A">
        <w:rPr>
          <w:rFonts w:ascii="Candara" w:hAnsi="Candara"/>
          <w:sz w:val="20"/>
          <w:vertAlign w:val="subscript"/>
          <w:lang w:val="pt-PT"/>
        </w:rPr>
        <w:t>2</w:t>
      </w:r>
      <w:r w:rsidRPr="0096752A">
        <w:rPr>
          <w:rFonts w:ascii="Candara" w:hAnsi="Candara"/>
          <w:sz w:val="20"/>
          <w:lang w:val="pt-PT"/>
        </w:rPr>
        <w:t xml:space="preserve"> = 2,64. Como o desvio-padrão é grosseiramente semelhante, e os grupos têm também dimensão similar, pode calcular-se o </w:t>
      </w:r>
      <w:r w:rsidRPr="0096752A">
        <w:rPr>
          <w:rFonts w:ascii="Candara Italic" w:hAnsi="Candara Italic"/>
          <w:sz w:val="20"/>
          <w:lang w:val="pt-PT"/>
        </w:rPr>
        <w:t>d</w:t>
      </w:r>
      <w:r w:rsidRPr="0096752A">
        <w:rPr>
          <w:rFonts w:ascii="Candara" w:hAnsi="Candara"/>
          <w:sz w:val="20"/>
          <w:lang w:val="pt-PT"/>
        </w:rPr>
        <w:t xml:space="preserve"> de Cohen. Determinemos então </w:t>
      </w:r>
      <w:proofErr w:type="gramStart"/>
      <w:r w:rsidRPr="0096752A">
        <w:rPr>
          <w:rFonts w:ascii="Candara" w:hAnsi="Candara"/>
          <w:sz w:val="20"/>
          <w:lang w:val="pt-PT"/>
        </w:rPr>
        <w:t>primeiro</w:t>
      </w:r>
      <w:proofErr w:type="gramEnd"/>
      <w:r w:rsidRPr="0096752A">
        <w:rPr>
          <w:rFonts w:ascii="Candara" w:hAnsi="Candara"/>
          <w:sz w:val="20"/>
          <w:lang w:val="pt-PT"/>
        </w:rPr>
        <w:t xml:space="preserve"> </w:t>
      </w:r>
      <w:proofErr w:type="gramStart"/>
      <w:r w:rsidRPr="0096752A">
        <w:rPr>
          <w:rFonts w:ascii="Candara" w:hAnsi="Candara"/>
          <w:sz w:val="20"/>
          <w:lang w:val="pt-PT"/>
        </w:rPr>
        <w:t>o</w:t>
      </w:r>
      <w:proofErr w:type="gramEnd"/>
      <w:r w:rsidRPr="0096752A">
        <w:rPr>
          <w:rFonts w:ascii="Candara" w:hAnsi="Candara"/>
          <w:sz w:val="20"/>
          <w:lang w:val="pt-PT"/>
        </w:rPr>
        <w:t xml:space="preserve"> desvio-padrão combinado: </w:t>
      </w:r>
    </w:p>
    <w:p w:rsidR="00D9179F" w:rsidRPr="0096752A" w:rsidRDefault="00D9179F" w:rsidP="00D9179F">
      <w:pPr>
        <w:pStyle w:val="Formalivre"/>
        <w:spacing w:line="276" w:lineRule="auto"/>
        <w:ind w:hanging="142"/>
        <w:jc w:val="center"/>
        <w:rPr>
          <w:rFonts w:ascii="Candara" w:hAnsi="Candara"/>
          <w:sz w:val="20"/>
        </w:rPr>
      </w:pPr>
      <w:proofErr w:type="spellStart"/>
      <w:r w:rsidRPr="0096752A">
        <w:rPr>
          <w:rFonts w:ascii="Candara" w:hAnsi="Candara"/>
          <w:i/>
          <w:sz w:val="20"/>
        </w:rPr>
        <w:t>DP</w:t>
      </w:r>
      <w:r w:rsidRPr="0096752A">
        <w:rPr>
          <w:rFonts w:ascii="Candara" w:hAnsi="Candara"/>
          <w:sz w:val="20"/>
          <w:vertAlign w:val="subscript"/>
        </w:rPr>
        <w:t>combinado</w:t>
      </w:r>
      <w:proofErr w:type="spellEnd"/>
      <w:r w:rsidRPr="0096752A">
        <w:rPr>
          <w:rFonts w:ascii="Candara" w:hAnsi="Candara"/>
          <w:sz w:val="20"/>
        </w:rPr>
        <w:t xml:space="preserve"> = </w:t>
      </w:r>
      <m:oMath>
        <m:rad>
          <m:radPr>
            <m:degHide m:val="on"/>
            <m:ctrlPr>
              <w:rPr>
                <w:rFonts w:ascii="Cambria Math" w:hAnsi="Cambria Math"/>
                <w:i/>
                <w:sz w:val="20"/>
              </w:rPr>
            </m:ctrlPr>
          </m:radPr>
          <m:deg/>
          <m:e>
            <m:f>
              <m:fPr>
                <m:ctrlPr>
                  <w:rPr>
                    <w:rFonts w:ascii="Cambria Math" w:hAnsi="Cambria Math"/>
                    <w:i/>
                    <w:sz w:val="20"/>
                  </w:rPr>
                </m:ctrlPr>
              </m:fPr>
              <m:num>
                <m:d>
                  <m:dPr>
                    <m:ctrlPr>
                      <w:rPr>
                        <w:rFonts w:ascii="Cambria Math" w:hAnsi="Cambria Math"/>
                        <w:i/>
                        <w:sz w:val="20"/>
                      </w:rPr>
                    </m:ctrlPr>
                  </m:dPr>
                  <m:e>
                    <m:r>
                      <w:rPr>
                        <w:rFonts w:ascii="Cambria Math" w:hAnsi="Cambria Math"/>
                        <w:sz w:val="20"/>
                      </w:rPr>
                      <m:t>152-1</m:t>
                    </m:r>
                  </m:e>
                </m:d>
                <m:sSup>
                  <m:sSupPr>
                    <m:ctrlPr>
                      <w:rPr>
                        <w:rFonts w:ascii="Cambria Math" w:hAnsi="Cambria Math"/>
                        <w:i/>
                        <w:sz w:val="20"/>
                      </w:rPr>
                    </m:ctrlPr>
                  </m:sSupPr>
                  <m:e>
                    <m:r>
                      <w:rPr>
                        <w:rFonts w:ascii="Cambria Math" w:hAnsi="Cambria Math"/>
                        <w:sz w:val="20"/>
                      </w:rPr>
                      <m:t>6,36</m:t>
                    </m:r>
                  </m:e>
                  <m:sup>
                    <m:r>
                      <w:rPr>
                        <w:rFonts w:ascii="Cambria Math" w:hAnsi="Cambria Math"/>
                        <w:sz w:val="20"/>
                      </w:rPr>
                      <m:t>2</m:t>
                    </m:r>
                  </m:sup>
                </m:sSup>
                <m:r>
                  <w:rPr>
                    <w:rFonts w:ascii="Cambria Math" w:hAnsi="Cambria Math"/>
                    <w:sz w:val="20"/>
                  </w:rPr>
                  <m:t>+</m:t>
                </m:r>
                <m:d>
                  <m:dPr>
                    <m:ctrlPr>
                      <w:rPr>
                        <w:rFonts w:ascii="Cambria Math" w:hAnsi="Cambria Math"/>
                        <w:i/>
                        <w:sz w:val="20"/>
                      </w:rPr>
                    </m:ctrlPr>
                  </m:dPr>
                  <m:e>
                    <m:r>
                      <w:rPr>
                        <w:rFonts w:ascii="Cambria Math" w:hAnsi="Cambria Math"/>
                        <w:sz w:val="20"/>
                      </w:rPr>
                      <m:t>194-1</m:t>
                    </m:r>
                  </m:e>
                </m:d>
                <m:sSup>
                  <m:sSupPr>
                    <m:ctrlPr>
                      <w:rPr>
                        <w:rFonts w:ascii="Cambria Math" w:hAnsi="Cambria Math"/>
                        <w:i/>
                        <w:sz w:val="20"/>
                      </w:rPr>
                    </m:ctrlPr>
                  </m:sSupPr>
                  <m:e>
                    <m:r>
                      <w:rPr>
                        <w:rFonts w:ascii="Cambria Math" w:hAnsi="Cambria Math"/>
                        <w:sz w:val="20"/>
                      </w:rPr>
                      <m:t>4,26</m:t>
                    </m:r>
                  </m:e>
                  <m:sup>
                    <m:r>
                      <w:rPr>
                        <w:rFonts w:ascii="Cambria Math" w:hAnsi="Cambria Math"/>
                        <w:sz w:val="20"/>
                      </w:rPr>
                      <m:t>2</m:t>
                    </m:r>
                  </m:sup>
                </m:sSup>
              </m:num>
              <m:den>
                <m:r>
                  <w:rPr>
                    <w:rFonts w:ascii="Cambria Math" w:hAnsi="Cambria Math"/>
                    <w:sz w:val="20"/>
                  </w:rPr>
                  <m:t>152+194-2</m:t>
                </m:r>
              </m:den>
            </m:f>
          </m:e>
        </m:rad>
      </m:oMath>
      <w:r w:rsidRPr="0096752A">
        <w:rPr>
          <w:rFonts w:ascii="Candara" w:hAnsi="Candara"/>
          <w:sz w:val="20"/>
        </w:rPr>
        <w:t xml:space="preserve"> = </w:t>
      </w:r>
      <m:oMath>
        <m:rad>
          <m:radPr>
            <m:degHide m:val="on"/>
            <m:ctrlPr>
              <w:rPr>
                <w:rFonts w:ascii="Cambria Math" w:hAnsi="Cambria Math"/>
                <w:i/>
                <w:sz w:val="20"/>
              </w:rPr>
            </m:ctrlPr>
          </m:radPr>
          <m:deg/>
          <m:e>
            <m:f>
              <m:fPr>
                <m:ctrlPr>
                  <w:rPr>
                    <w:rFonts w:ascii="Cambria Math" w:hAnsi="Cambria Math"/>
                    <w:i/>
                    <w:sz w:val="20"/>
                  </w:rPr>
                </m:ctrlPr>
              </m:fPr>
              <m:num>
                <m:r>
                  <w:rPr>
                    <w:rFonts w:ascii="Cambria Math" w:hAnsi="Cambria Math"/>
                    <w:sz w:val="20"/>
                  </w:rPr>
                  <m:t>9650,826</m:t>
                </m:r>
              </m:num>
              <m:den>
                <m:r>
                  <w:rPr>
                    <w:rFonts w:ascii="Cambria Math" w:hAnsi="Cambria Math"/>
                    <w:sz w:val="20"/>
                  </w:rPr>
                  <m:t>344</m:t>
                </m:r>
              </m:den>
            </m:f>
          </m:e>
        </m:rad>
      </m:oMath>
      <w:r w:rsidRPr="0096752A">
        <w:rPr>
          <w:rFonts w:ascii="Candara" w:hAnsi="Candara"/>
          <w:sz w:val="20"/>
        </w:rPr>
        <w:t xml:space="preserve"> = </w:t>
      </w:r>
      <w:r w:rsidRPr="0096752A">
        <w:rPr>
          <w:rFonts w:ascii="Candara" w:hAnsi="Candara"/>
          <w:sz w:val="16"/>
          <w:szCs w:val="16"/>
        </w:rPr>
        <w:t>5,2967</w:t>
      </w:r>
    </w:p>
    <w:p w:rsidR="00D9179F" w:rsidRPr="0096752A" w:rsidRDefault="00D9179F" w:rsidP="00925B6B">
      <w:pPr>
        <w:pStyle w:val="FormalivreA"/>
        <w:spacing w:before="80" w:line="276" w:lineRule="auto"/>
        <w:ind w:firstLine="425"/>
        <w:jc w:val="both"/>
        <w:rPr>
          <w:rFonts w:ascii="Candara" w:hAnsi="Candara"/>
          <w:sz w:val="20"/>
          <w:lang w:val="pt-PT"/>
        </w:rPr>
      </w:pPr>
      <w:r w:rsidRPr="0096752A">
        <w:rPr>
          <w:rFonts w:ascii="Candara" w:hAnsi="Candara"/>
          <w:sz w:val="20"/>
          <w:lang w:val="pt-PT"/>
        </w:rPr>
        <w:t xml:space="preserve">De seguida, usemos o desvio-padrão combinado na fórmula do </w:t>
      </w:r>
      <w:r w:rsidRPr="0096752A">
        <w:rPr>
          <w:rFonts w:ascii="Candara Italic" w:hAnsi="Candara Italic"/>
          <w:sz w:val="20"/>
          <w:lang w:val="pt-PT"/>
        </w:rPr>
        <w:t>d</w:t>
      </w:r>
      <w:r w:rsidRPr="0096752A">
        <w:rPr>
          <w:rFonts w:ascii="Candara" w:hAnsi="Candara"/>
          <w:sz w:val="20"/>
          <w:lang w:val="pt-PT"/>
        </w:rPr>
        <w:t xml:space="preserve"> de Cohen:</w:t>
      </w:r>
    </w:p>
    <w:p w:rsidR="00D9179F" w:rsidRPr="0096752A" w:rsidRDefault="00D9179F" w:rsidP="00D9179F">
      <w:pPr>
        <w:pStyle w:val="Formalivre"/>
        <w:spacing w:line="276" w:lineRule="auto"/>
        <w:ind w:firstLine="426"/>
        <w:jc w:val="center"/>
        <w:rPr>
          <w:rFonts w:ascii="Candara" w:hAnsi="Candara"/>
          <w:sz w:val="20"/>
        </w:rPr>
      </w:pPr>
      <w:proofErr w:type="gramStart"/>
      <w:r w:rsidRPr="0096752A">
        <w:rPr>
          <w:rFonts w:ascii="Candara" w:hAnsi="Candara"/>
          <w:i/>
          <w:sz w:val="18"/>
          <w:szCs w:val="18"/>
        </w:rPr>
        <w:t>d</w:t>
      </w:r>
      <w:proofErr w:type="gramEnd"/>
      <w:r w:rsidRPr="0096752A">
        <w:rPr>
          <w:rFonts w:ascii="Candara" w:hAnsi="Candara"/>
          <w:sz w:val="18"/>
          <w:szCs w:val="18"/>
        </w:rPr>
        <w:t xml:space="preserve"> de Cohen</w:t>
      </w:r>
      <w:r w:rsidRPr="0096752A">
        <w:rPr>
          <w:rFonts w:ascii="Candara" w:hAnsi="Candara"/>
          <w:sz w:val="20"/>
        </w:rPr>
        <w:t xml:space="preserve"> =</w:t>
      </w:r>
      <w:r w:rsidRPr="0096752A">
        <w:rPr>
          <w:rFonts w:ascii="Candara" w:hAnsi="Candara"/>
          <w:sz w:val="22"/>
          <w:szCs w:val="22"/>
        </w:rPr>
        <w:t xml:space="preserve"> </w:t>
      </w:r>
      <m:oMath>
        <m:f>
          <m:fPr>
            <m:ctrlPr>
              <w:rPr>
                <w:rFonts w:ascii="Cambria Math" w:hAnsi="Cambria Math"/>
                <w:i/>
                <w:sz w:val="22"/>
                <w:szCs w:val="22"/>
              </w:rPr>
            </m:ctrlPr>
          </m:fPr>
          <m:num>
            <m:r>
              <w:rPr>
                <w:rFonts w:ascii="Cambria Math" w:hAnsi="Cambria Math"/>
                <w:sz w:val="22"/>
                <w:szCs w:val="22"/>
              </w:rPr>
              <m:t>7,11-4,47</m:t>
            </m:r>
          </m:num>
          <m:den>
            <m:r>
              <w:rPr>
                <w:rFonts w:ascii="Cambria Math" w:hAnsi="Cambria Math"/>
                <w:sz w:val="22"/>
                <w:szCs w:val="22"/>
              </w:rPr>
              <m:t>5,30</m:t>
            </m:r>
          </m:den>
        </m:f>
      </m:oMath>
      <w:r w:rsidRPr="0096752A">
        <w:rPr>
          <w:rFonts w:ascii="Candara" w:hAnsi="Candara"/>
          <w:sz w:val="20"/>
        </w:rPr>
        <w:t xml:space="preserve"> </w:t>
      </w:r>
      <w:r w:rsidRPr="0096752A">
        <w:rPr>
          <w:rFonts w:ascii="Candara" w:hAnsi="Candara"/>
          <w:sz w:val="18"/>
          <w:szCs w:val="18"/>
        </w:rPr>
        <w:t>= 0,498</w:t>
      </w:r>
    </w:p>
    <w:p w:rsidR="00D9179F" w:rsidRPr="0096752A" w:rsidRDefault="00D9179F" w:rsidP="00D47D0B">
      <w:pPr>
        <w:pStyle w:val="FormalivreA"/>
        <w:spacing w:line="276" w:lineRule="auto"/>
        <w:ind w:firstLine="425"/>
        <w:jc w:val="both"/>
        <w:rPr>
          <w:rFonts w:ascii="Candara" w:hAnsi="Candara"/>
          <w:sz w:val="20"/>
          <w:lang w:val="pt-PT"/>
        </w:rPr>
      </w:pPr>
      <w:r w:rsidRPr="0096752A">
        <w:rPr>
          <w:rFonts w:ascii="Candara" w:hAnsi="Candara"/>
          <w:sz w:val="20"/>
          <w:lang w:val="pt-PT"/>
        </w:rPr>
        <w:t xml:space="preserve">O intervalo de confiança a 95% para este TDE é </w:t>
      </w:r>
      <w:proofErr w:type="gramStart"/>
      <w:r w:rsidRPr="0096752A">
        <w:rPr>
          <w:rFonts w:ascii="Candara" w:hAnsi="Candara"/>
          <w:sz w:val="20"/>
          <w:lang w:val="pt-PT"/>
        </w:rPr>
        <w:t>de</w:t>
      </w:r>
      <w:proofErr w:type="gramEnd"/>
      <w:r w:rsidRPr="0096752A">
        <w:rPr>
          <w:rFonts w:ascii="Candara" w:hAnsi="Candara"/>
          <w:sz w:val="20"/>
          <w:lang w:val="pt-PT"/>
        </w:rPr>
        <w:t xml:space="preserve"> [0,28, 0,71]. Com base nos critérios de Cohen (Cohen, 1988, p. 26), considerar-se-ia este TDE como </w:t>
      </w:r>
      <w:r w:rsidRPr="0096752A">
        <w:rPr>
          <w:rFonts w:ascii="Candara Italic" w:hAnsi="Candara Italic"/>
          <w:sz w:val="20"/>
          <w:lang w:val="pt-PT"/>
        </w:rPr>
        <w:t>moderado</w:t>
      </w:r>
      <w:r w:rsidRPr="0096752A">
        <w:rPr>
          <w:rFonts w:ascii="Candara" w:hAnsi="Candara"/>
          <w:sz w:val="20"/>
          <w:lang w:val="pt-PT"/>
        </w:rPr>
        <w:t xml:space="preserve">. O TDE em linguagem comum indica que, depois de controlar as diferenças individuais, a probabilidade de um rapaz ter uma média maior do que uma rapariga é de 63,8%. Quanto à interpretação </w:t>
      </w:r>
      <w:proofErr w:type="spellStart"/>
      <w:r w:rsidRPr="0096752A">
        <w:rPr>
          <w:rFonts w:ascii="Candara" w:hAnsi="Candara"/>
          <w:sz w:val="20"/>
          <w:lang w:val="pt-PT"/>
        </w:rPr>
        <w:t>percentílica</w:t>
      </w:r>
      <w:proofErr w:type="spellEnd"/>
      <w:r w:rsidRPr="0096752A">
        <w:rPr>
          <w:rFonts w:ascii="Candara" w:hAnsi="Candara"/>
          <w:sz w:val="20"/>
          <w:lang w:val="pt-PT"/>
        </w:rPr>
        <w:t>, 69,2% dos rapazes estão acima da média do grupo das raparigas. Finalmente, a distribuição de pontuações no grupo dos rapazes apresenta uma percentagem de sobreposição de 80,3% em relação à distribuição de pontuações do grupo das raparigas (vide Folha de Cálculo e Tabela 4).</w:t>
      </w:r>
    </w:p>
    <w:p w:rsidR="00D47D0B" w:rsidRPr="0096752A" w:rsidRDefault="00D47D0B" w:rsidP="00141A18">
      <w:pPr>
        <w:pStyle w:val="FormalivreA"/>
        <w:spacing w:line="276" w:lineRule="auto"/>
        <w:jc w:val="both"/>
        <w:rPr>
          <w:rFonts w:ascii="Candara" w:hAnsi="Candara"/>
          <w:sz w:val="20"/>
          <w:shd w:val="clear" w:color="auto" w:fill="FFFA83"/>
          <w:lang w:val="pt-PT"/>
        </w:rPr>
      </w:pPr>
    </w:p>
    <w:p w:rsidR="00D9179F" w:rsidRPr="0096752A" w:rsidRDefault="00D9179F" w:rsidP="00D47D0B">
      <w:pPr>
        <w:pStyle w:val="Ttulo1"/>
        <w:spacing w:before="0" w:line="276" w:lineRule="auto"/>
        <w:ind w:firstLine="426"/>
        <w:rPr>
          <w:rFonts w:ascii="Candara" w:eastAsiaTheme="minorEastAsia" w:hAnsi="Candara" w:cs="Mangal"/>
          <w:b/>
          <w:color w:val="0A615E"/>
          <w:sz w:val="24"/>
          <w:szCs w:val="14"/>
        </w:rPr>
      </w:pPr>
      <w:r w:rsidRPr="0096752A">
        <w:rPr>
          <w:rFonts w:ascii="Candara" w:eastAsiaTheme="minorEastAsia" w:hAnsi="Candara" w:cs="Mangal"/>
          <w:b/>
          <w:color w:val="0A615E"/>
          <w:sz w:val="24"/>
          <w:szCs w:val="14"/>
        </w:rPr>
        <w:lastRenderedPageBreak/>
        <w:t xml:space="preserve">CAUTELAS A TER NO USO </w:t>
      </w:r>
      <w:proofErr w:type="gramStart"/>
      <w:r w:rsidRPr="0096752A">
        <w:rPr>
          <w:rFonts w:ascii="Candara" w:eastAsiaTheme="minorEastAsia" w:hAnsi="Candara" w:cs="Mangal"/>
          <w:b/>
          <w:color w:val="0A615E"/>
          <w:sz w:val="24"/>
          <w:szCs w:val="14"/>
        </w:rPr>
        <w:t xml:space="preserve">DOS </w:t>
      </w:r>
      <w:r w:rsidR="00141A18">
        <w:rPr>
          <w:rFonts w:ascii="Candara" w:eastAsiaTheme="minorEastAsia" w:hAnsi="Candara" w:cs="Mangal"/>
          <w:b/>
          <w:color w:val="0A615E"/>
          <w:sz w:val="24"/>
          <w:szCs w:val="14"/>
        </w:rPr>
        <w:t xml:space="preserve">              </w:t>
      </w:r>
      <w:r w:rsidRPr="0096752A">
        <w:rPr>
          <w:rFonts w:ascii="Candara" w:eastAsiaTheme="minorEastAsia" w:hAnsi="Candara" w:cs="Mangal"/>
          <w:b/>
          <w:color w:val="0A615E"/>
          <w:sz w:val="24"/>
          <w:szCs w:val="14"/>
        </w:rPr>
        <w:t>TAMANHOS</w:t>
      </w:r>
      <w:proofErr w:type="gramEnd"/>
      <w:r w:rsidRPr="0096752A">
        <w:rPr>
          <w:rFonts w:ascii="Candara" w:eastAsiaTheme="minorEastAsia" w:hAnsi="Candara" w:cs="Mangal"/>
          <w:b/>
          <w:color w:val="0A615E"/>
          <w:sz w:val="24"/>
          <w:szCs w:val="14"/>
        </w:rPr>
        <w:t xml:space="preserve"> DO EFEITO</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A interpretação e a categorização dos TDE, como referimos atrás, não deve ser rígida, pois os seus valores e as métricas usadas são arbitrários (Andersen, </w:t>
      </w:r>
      <w:proofErr w:type="spellStart"/>
      <w:r w:rsidRPr="0096752A">
        <w:rPr>
          <w:rFonts w:ascii="Candara" w:hAnsi="Candara"/>
          <w:sz w:val="20"/>
          <w:lang w:val="pt-PT"/>
        </w:rPr>
        <w:t>McCullagh</w:t>
      </w:r>
      <w:proofErr w:type="spellEnd"/>
      <w:r w:rsidRPr="0096752A">
        <w:rPr>
          <w:rFonts w:ascii="Candara" w:hAnsi="Candara"/>
          <w:sz w:val="20"/>
          <w:lang w:val="pt-PT"/>
        </w:rPr>
        <w:t xml:space="preserve"> e Wilson, 2007; </w:t>
      </w:r>
      <w:proofErr w:type="spellStart"/>
      <w:r w:rsidRPr="0096752A">
        <w:rPr>
          <w:rFonts w:ascii="Candara" w:hAnsi="Candara"/>
          <w:sz w:val="20"/>
          <w:lang w:val="pt-PT"/>
        </w:rPr>
        <w:t>Blanton</w:t>
      </w:r>
      <w:proofErr w:type="spellEnd"/>
      <w:r w:rsidRPr="0096752A">
        <w:rPr>
          <w:rFonts w:ascii="Candara" w:hAnsi="Candara"/>
          <w:sz w:val="20"/>
          <w:lang w:val="pt-PT"/>
        </w:rPr>
        <w:t xml:space="preserve"> e </w:t>
      </w:r>
      <w:proofErr w:type="spellStart"/>
      <w:r w:rsidRPr="0096752A">
        <w:rPr>
          <w:rFonts w:ascii="Candara" w:hAnsi="Candara"/>
          <w:sz w:val="20"/>
          <w:lang w:val="pt-PT"/>
        </w:rPr>
        <w:t>Jaccard</w:t>
      </w:r>
      <w:proofErr w:type="spellEnd"/>
      <w:r w:rsidRPr="0096752A">
        <w:rPr>
          <w:rFonts w:ascii="Candara" w:hAnsi="Candara"/>
          <w:sz w:val="20"/>
          <w:lang w:val="pt-PT"/>
        </w:rPr>
        <w:t xml:space="preserve">, 2006a; 2006b; </w:t>
      </w:r>
      <w:proofErr w:type="spellStart"/>
      <w:r w:rsidRPr="0096752A">
        <w:rPr>
          <w:rFonts w:ascii="Candara" w:hAnsi="Candara"/>
          <w:sz w:val="20"/>
          <w:lang w:val="pt-PT"/>
        </w:rPr>
        <w:t>Embretson</w:t>
      </w:r>
      <w:proofErr w:type="spellEnd"/>
      <w:r w:rsidRPr="0096752A">
        <w:rPr>
          <w:rFonts w:ascii="Candara" w:hAnsi="Candara"/>
          <w:sz w:val="20"/>
          <w:lang w:val="pt-PT"/>
        </w:rPr>
        <w:t xml:space="preserve">, 2006; </w:t>
      </w:r>
      <w:proofErr w:type="spellStart"/>
      <w:r w:rsidRPr="0096752A">
        <w:rPr>
          <w:rFonts w:ascii="Candara" w:hAnsi="Candara"/>
          <w:sz w:val="20"/>
          <w:lang w:val="pt-PT"/>
        </w:rPr>
        <w:t>Kazdin</w:t>
      </w:r>
      <w:proofErr w:type="spellEnd"/>
      <w:r w:rsidRPr="0096752A">
        <w:rPr>
          <w:rFonts w:ascii="Candara" w:hAnsi="Candara"/>
          <w:sz w:val="20"/>
          <w:lang w:val="pt-PT"/>
        </w:rPr>
        <w:t xml:space="preserve">, 2006; </w:t>
      </w:r>
      <w:proofErr w:type="spellStart"/>
      <w:r w:rsidRPr="0096752A">
        <w:rPr>
          <w:rFonts w:ascii="Candara" w:hAnsi="Candara"/>
          <w:sz w:val="20"/>
          <w:lang w:val="pt-PT"/>
        </w:rPr>
        <w:t>Thompson</w:t>
      </w:r>
      <w:proofErr w:type="spellEnd"/>
      <w:r w:rsidRPr="0096752A">
        <w:rPr>
          <w:rFonts w:ascii="Candara" w:hAnsi="Candara"/>
          <w:sz w:val="20"/>
          <w:lang w:val="pt-PT"/>
        </w:rPr>
        <w:t>, 2007) e há que ter em consideração as áreas de investigação (</w:t>
      </w:r>
      <w:proofErr w:type="spellStart"/>
      <w:r w:rsidRPr="0096752A">
        <w:rPr>
          <w:rFonts w:ascii="Candara" w:hAnsi="Candara"/>
          <w:sz w:val="20"/>
          <w:lang w:val="pt-PT"/>
        </w:rPr>
        <w:t>Lipsey</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roofErr w:type="spellStart"/>
      <w:r w:rsidRPr="0096752A">
        <w:rPr>
          <w:rFonts w:ascii="Candara" w:hAnsi="Candara"/>
          <w:sz w:val="20"/>
          <w:lang w:val="pt-PT"/>
        </w:rPr>
        <w:t>McCartney</w:t>
      </w:r>
      <w:proofErr w:type="spellEnd"/>
      <w:r w:rsidRPr="0096752A">
        <w:rPr>
          <w:rFonts w:ascii="Candara" w:hAnsi="Candara"/>
          <w:sz w:val="20"/>
          <w:lang w:val="pt-PT"/>
        </w:rPr>
        <w:t xml:space="preserve"> e </w:t>
      </w:r>
      <w:proofErr w:type="spellStart"/>
      <w:r w:rsidRPr="0096752A">
        <w:rPr>
          <w:rFonts w:ascii="Candara" w:hAnsi="Candara"/>
          <w:sz w:val="20"/>
          <w:lang w:val="pt-PT"/>
        </w:rPr>
        <w:t>Rosenthal</w:t>
      </w:r>
      <w:proofErr w:type="spellEnd"/>
      <w:r w:rsidRPr="0096752A">
        <w:rPr>
          <w:rFonts w:ascii="Candara" w:hAnsi="Candara"/>
          <w:sz w:val="20"/>
          <w:lang w:val="pt-PT"/>
        </w:rPr>
        <w:t xml:space="preserve">, 2000; </w:t>
      </w:r>
      <w:proofErr w:type="spellStart"/>
      <w:r w:rsidRPr="0096752A">
        <w:rPr>
          <w:rFonts w:ascii="Candara" w:hAnsi="Candara"/>
          <w:sz w:val="20"/>
          <w:lang w:val="pt-PT"/>
        </w:rPr>
        <w:t>Zakzanis</w:t>
      </w:r>
      <w:proofErr w:type="spellEnd"/>
      <w:r w:rsidRPr="0096752A">
        <w:rPr>
          <w:rFonts w:ascii="Candara" w:hAnsi="Candara"/>
          <w:sz w:val="20"/>
          <w:lang w:val="pt-PT"/>
        </w:rPr>
        <w:t>, 2001), e o contexto de variáveis da Realidade (</w:t>
      </w:r>
      <w:proofErr w:type="spellStart"/>
      <w:r w:rsidRPr="0096752A">
        <w:rPr>
          <w:rFonts w:ascii="Candara" w:hAnsi="Candara"/>
          <w:sz w:val="20"/>
          <w:lang w:val="pt-PT"/>
        </w:rPr>
        <w:t>Aguinis</w:t>
      </w:r>
      <w:proofErr w:type="spellEnd"/>
      <w:r w:rsidRPr="0096752A">
        <w:rPr>
          <w:rFonts w:ascii="Candara" w:hAnsi="Candara"/>
          <w:sz w:val="20"/>
          <w:lang w:val="pt-PT"/>
        </w:rPr>
        <w:t xml:space="preserve">, 2010; </w:t>
      </w:r>
      <w:proofErr w:type="spellStart"/>
      <w:r w:rsidRPr="0096752A">
        <w:rPr>
          <w:rFonts w:ascii="Candara" w:hAnsi="Candara"/>
          <w:sz w:val="20"/>
          <w:lang w:val="pt-PT"/>
        </w:rPr>
        <w:t>Lipsey</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O TDE</w:t>
      </w:r>
      <w:proofErr w:type="gramStart"/>
      <w:r w:rsidRPr="0096752A">
        <w:rPr>
          <w:rFonts w:ascii="Candara" w:hAnsi="Candara"/>
          <w:sz w:val="20"/>
          <w:lang w:val="pt-PT"/>
        </w:rPr>
        <w:t>,</w:t>
      </w:r>
      <w:proofErr w:type="gramEnd"/>
      <w:r w:rsidRPr="0096752A">
        <w:rPr>
          <w:rFonts w:ascii="Candara" w:hAnsi="Candara"/>
          <w:sz w:val="20"/>
          <w:lang w:val="pt-PT"/>
        </w:rPr>
        <w:t xml:space="preserve"> há que recordá-lo, é simplesmente uma transformação da diferença entre médias em unidades do desvio-padrão.</w:t>
      </w:r>
    </w:p>
    <w:p w:rsidR="00D9179F" w:rsidRPr="0096752A" w:rsidRDefault="00D9179F" w:rsidP="00D9179F">
      <w:pPr>
        <w:pStyle w:val="FormalivreA"/>
        <w:spacing w:line="276" w:lineRule="auto"/>
        <w:ind w:firstLine="426"/>
        <w:jc w:val="both"/>
        <w:rPr>
          <w:rFonts w:ascii="Candara" w:hAnsi="Candara"/>
          <w:sz w:val="18"/>
          <w:lang w:val="pt-PT"/>
        </w:rPr>
      </w:pPr>
    </w:p>
    <w:p w:rsidR="00D9179F" w:rsidRPr="0096752A" w:rsidRDefault="00D9179F" w:rsidP="00D9179F">
      <w:pPr>
        <w:pStyle w:val="Ttulo11"/>
        <w:spacing w:line="276" w:lineRule="auto"/>
        <w:rPr>
          <w:rFonts w:ascii="Candara Bold" w:hAnsi="Candara Bold"/>
          <w:sz w:val="22"/>
        </w:rPr>
      </w:pPr>
      <w:r w:rsidRPr="0096752A">
        <w:rPr>
          <w:rFonts w:ascii="Candara Bold" w:hAnsi="Candara Bold"/>
          <w:sz w:val="22"/>
        </w:rPr>
        <w:t xml:space="preserve">Arbitrariedade das medições  </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O problema nas ciências sociais e comportamentais, e especialmente em psicologia, é não existirem unidades para constructos abstratos e não-físicos associadas ao comportamento no mundo real (</w:t>
      </w:r>
      <w:r w:rsidR="00494E85">
        <w:rPr>
          <w:rFonts w:ascii="Candara" w:hAnsi="Candara"/>
          <w:sz w:val="20"/>
          <w:lang w:val="pt-PT"/>
        </w:rPr>
        <w:t>p. e.</w:t>
      </w:r>
      <w:r w:rsidRPr="0096752A">
        <w:rPr>
          <w:rFonts w:ascii="Candara" w:hAnsi="Candara"/>
          <w:sz w:val="20"/>
          <w:lang w:val="pt-PT"/>
        </w:rPr>
        <w:t xml:space="preserve">, </w:t>
      </w:r>
      <w:proofErr w:type="spellStart"/>
      <w:r w:rsidRPr="0096752A">
        <w:rPr>
          <w:rFonts w:ascii="Candara" w:hAnsi="Candara"/>
          <w:sz w:val="20"/>
          <w:lang w:val="pt-PT"/>
        </w:rPr>
        <w:t>auto-conceito</w:t>
      </w:r>
      <w:proofErr w:type="spellEnd"/>
      <w:r w:rsidRPr="0096752A">
        <w:rPr>
          <w:rFonts w:ascii="Candara" w:hAnsi="Candara"/>
          <w:sz w:val="20"/>
          <w:lang w:val="pt-PT"/>
        </w:rPr>
        <w:t xml:space="preserve">, inteligência, sintomas depressivos, ou satisfação com a vida), nem existirem medidas universalmente aceites para esses constructos (Andersen </w:t>
      </w:r>
      <w:proofErr w:type="spellStart"/>
      <w:r w:rsidRPr="0096752A">
        <w:rPr>
          <w:rFonts w:ascii="Candara" w:hAnsi="Candara"/>
          <w:sz w:val="20"/>
          <w:lang w:val="pt-PT"/>
        </w:rPr>
        <w:t>et</w:t>
      </w:r>
      <w:proofErr w:type="spellEnd"/>
      <w:r w:rsidRPr="0096752A">
        <w:rPr>
          <w:rFonts w:ascii="Candara" w:hAnsi="Candara"/>
          <w:sz w:val="20"/>
          <w:lang w:val="pt-PT"/>
        </w:rPr>
        <w:t xml:space="preserve"> al., 2007; </w:t>
      </w:r>
      <w:proofErr w:type="spellStart"/>
      <w:r w:rsidRPr="0096752A">
        <w:rPr>
          <w:rFonts w:ascii="Candara" w:hAnsi="Candara"/>
          <w:sz w:val="20"/>
          <w:lang w:val="pt-PT"/>
        </w:rPr>
        <w:t>Kline</w:t>
      </w:r>
      <w:proofErr w:type="spellEnd"/>
      <w:r w:rsidRPr="0096752A">
        <w:rPr>
          <w:rFonts w:ascii="Candara" w:hAnsi="Candara"/>
          <w:sz w:val="20"/>
          <w:lang w:val="pt-PT"/>
        </w:rPr>
        <w:t xml:space="preserve">, 2004). Por isso, </w:t>
      </w:r>
      <w:proofErr w:type="gramStart"/>
      <w:r w:rsidRPr="0096752A">
        <w:rPr>
          <w:rFonts w:ascii="Candara" w:hAnsi="Candara"/>
          <w:sz w:val="20"/>
          <w:lang w:val="pt-PT"/>
        </w:rPr>
        <w:t>este tipo de métricas são consideradas</w:t>
      </w:r>
      <w:proofErr w:type="gramEnd"/>
      <w:r w:rsidRPr="0096752A">
        <w:rPr>
          <w:rFonts w:ascii="Candara" w:hAnsi="Candara"/>
          <w:sz w:val="20"/>
          <w:lang w:val="pt-PT"/>
        </w:rPr>
        <w:t xml:space="preserve"> </w:t>
      </w:r>
      <w:r w:rsidRPr="0096752A">
        <w:rPr>
          <w:rFonts w:ascii="Candara Italic" w:hAnsi="Candara Italic"/>
          <w:sz w:val="20"/>
          <w:lang w:val="pt-PT"/>
        </w:rPr>
        <w:t>arbitrárias,</w:t>
      </w:r>
      <w:r w:rsidRPr="0096752A">
        <w:rPr>
          <w:rFonts w:ascii="Candara" w:hAnsi="Candara"/>
          <w:sz w:val="20"/>
          <w:lang w:val="pt-PT"/>
        </w:rPr>
        <w:t xml:space="preserve"> isto é, avaliadoras indiretas de constructos hipotéticos não observados (Andersen </w:t>
      </w:r>
      <w:proofErr w:type="spellStart"/>
      <w:r w:rsidRPr="0096752A">
        <w:rPr>
          <w:rFonts w:ascii="Candara" w:hAnsi="Candara"/>
          <w:sz w:val="20"/>
          <w:lang w:val="pt-PT"/>
        </w:rPr>
        <w:t>et</w:t>
      </w:r>
      <w:proofErr w:type="spellEnd"/>
      <w:r w:rsidRPr="0096752A">
        <w:rPr>
          <w:rFonts w:ascii="Candara" w:hAnsi="Candara"/>
          <w:sz w:val="20"/>
          <w:lang w:val="pt-PT"/>
        </w:rPr>
        <w:t xml:space="preserve"> al., 2007; </w:t>
      </w:r>
      <w:proofErr w:type="spellStart"/>
      <w:r w:rsidRPr="0096752A">
        <w:rPr>
          <w:rFonts w:ascii="Candara" w:hAnsi="Candara"/>
          <w:sz w:val="20"/>
          <w:lang w:val="pt-PT"/>
        </w:rPr>
        <w:t>Blanton</w:t>
      </w:r>
      <w:proofErr w:type="spellEnd"/>
      <w:r w:rsidRPr="0096752A">
        <w:rPr>
          <w:rFonts w:ascii="Candara" w:hAnsi="Candara"/>
          <w:sz w:val="20"/>
          <w:lang w:val="pt-PT"/>
        </w:rPr>
        <w:t xml:space="preserve"> e </w:t>
      </w:r>
      <w:proofErr w:type="spellStart"/>
      <w:r w:rsidRPr="0096752A">
        <w:rPr>
          <w:rFonts w:ascii="Candara" w:hAnsi="Candara"/>
          <w:sz w:val="20"/>
          <w:lang w:val="pt-PT"/>
        </w:rPr>
        <w:t>Jaccard</w:t>
      </w:r>
      <w:proofErr w:type="spellEnd"/>
      <w:r w:rsidRPr="0096752A">
        <w:rPr>
          <w:rFonts w:ascii="Candara" w:hAnsi="Candara"/>
          <w:sz w:val="20"/>
          <w:lang w:val="pt-PT"/>
        </w:rPr>
        <w:t xml:space="preserve">, 2006a; Cohen, 1988; </w:t>
      </w:r>
      <w:proofErr w:type="spellStart"/>
      <w:r w:rsidRPr="0096752A">
        <w:rPr>
          <w:rFonts w:ascii="Candara" w:hAnsi="Candara"/>
          <w:sz w:val="20"/>
          <w:lang w:val="pt-PT"/>
        </w:rPr>
        <w:t>Kline</w:t>
      </w:r>
      <w:proofErr w:type="spellEnd"/>
      <w:r w:rsidRPr="0096752A">
        <w:rPr>
          <w:rFonts w:ascii="Candara" w:hAnsi="Candara"/>
          <w:sz w:val="20"/>
          <w:lang w:val="pt-PT"/>
        </w:rPr>
        <w:t xml:space="preserve">, 2004).  </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Este problema da arbitrariedade das medidas é especialmente evidente nos estudos de intervenção (</w:t>
      </w:r>
      <w:proofErr w:type="spellStart"/>
      <w:r w:rsidRPr="0096752A">
        <w:rPr>
          <w:rFonts w:ascii="Candara" w:hAnsi="Candara"/>
          <w:sz w:val="20"/>
          <w:lang w:val="pt-PT"/>
        </w:rPr>
        <w:t>Kazdin</w:t>
      </w:r>
      <w:proofErr w:type="spellEnd"/>
      <w:r w:rsidRPr="0096752A">
        <w:rPr>
          <w:rFonts w:ascii="Candara" w:hAnsi="Candara"/>
          <w:sz w:val="20"/>
          <w:lang w:val="pt-PT"/>
        </w:rPr>
        <w:t xml:space="preserve">, 2006). Em 1996, </w:t>
      </w:r>
      <w:proofErr w:type="spellStart"/>
      <w:r w:rsidRPr="0096752A">
        <w:rPr>
          <w:rFonts w:ascii="Candara" w:hAnsi="Candara"/>
          <w:sz w:val="20"/>
          <w:lang w:val="pt-PT"/>
        </w:rPr>
        <w:t>Sechrest</w:t>
      </w:r>
      <w:proofErr w:type="spellEnd"/>
      <w:r w:rsidRPr="0096752A">
        <w:rPr>
          <w:rFonts w:ascii="Candara" w:hAnsi="Candara"/>
          <w:sz w:val="20"/>
          <w:lang w:val="pt-PT"/>
        </w:rPr>
        <w:t xml:space="preserve">, </w:t>
      </w:r>
      <w:proofErr w:type="spellStart"/>
      <w:r w:rsidRPr="0096752A">
        <w:rPr>
          <w:rFonts w:ascii="Candara" w:hAnsi="Candara"/>
          <w:sz w:val="20"/>
          <w:lang w:val="pt-PT"/>
        </w:rPr>
        <w:t>McKnight</w:t>
      </w:r>
      <w:proofErr w:type="spellEnd"/>
      <w:r w:rsidRPr="0096752A">
        <w:rPr>
          <w:rFonts w:ascii="Candara" w:hAnsi="Candara"/>
          <w:sz w:val="20"/>
          <w:lang w:val="pt-PT"/>
        </w:rPr>
        <w:t xml:space="preserve"> e </w:t>
      </w:r>
      <w:proofErr w:type="spellStart"/>
      <w:r w:rsidRPr="0096752A">
        <w:rPr>
          <w:rFonts w:ascii="Candara" w:hAnsi="Candara"/>
          <w:sz w:val="20"/>
          <w:lang w:val="pt-PT"/>
        </w:rPr>
        <w:t>McKnight</w:t>
      </w:r>
      <w:proofErr w:type="spellEnd"/>
      <w:r w:rsidRPr="0096752A">
        <w:rPr>
          <w:rFonts w:ascii="Candara" w:hAnsi="Candara"/>
          <w:sz w:val="20"/>
          <w:lang w:val="pt-PT"/>
        </w:rPr>
        <w:t xml:space="preserve"> tinham já discutido este aspeto, exemplificando com a intervenção na depressão. Neste tipo de estudo, medem-se, por exemplo, os sintomas depressivos com o </w:t>
      </w:r>
      <w:proofErr w:type="spellStart"/>
      <w:r w:rsidRPr="0096752A">
        <w:rPr>
          <w:rFonts w:ascii="Candara Italic" w:hAnsi="Candara Italic"/>
          <w:sz w:val="20"/>
          <w:lang w:val="pt-PT"/>
        </w:rPr>
        <w:t>Beck</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Depression</w:t>
      </w:r>
      <w:proofErr w:type="spellEnd"/>
      <w:r w:rsidRPr="0096752A">
        <w:rPr>
          <w:rFonts w:ascii="Candara Italic" w:hAnsi="Candara Italic"/>
          <w:sz w:val="20"/>
          <w:lang w:val="pt-PT"/>
        </w:rPr>
        <w:t xml:space="preserve"> </w:t>
      </w:r>
      <w:proofErr w:type="spellStart"/>
      <w:r w:rsidRPr="0096752A">
        <w:rPr>
          <w:rFonts w:ascii="Candara Italic" w:hAnsi="Candara Italic"/>
          <w:sz w:val="20"/>
          <w:lang w:val="pt-PT"/>
        </w:rPr>
        <w:t>Inventory</w:t>
      </w:r>
      <w:proofErr w:type="spellEnd"/>
      <w:r w:rsidRPr="0096752A">
        <w:rPr>
          <w:rFonts w:ascii="Candara" w:hAnsi="Candara"/>
          <w:sz w:val="20"/>
          <w:lang w:val="pt-PT"/>
        </w:rPr>
        <w:t xml:space="preserve"> (BDI) antes da intervenção, depois colocam-se os participantes com sintomas nos grupos de tratamento e de comparação, e de seguida usa-se o BDI novamente após o tratamento. Se o grupo de tratamento tiver uma pontuação inferior à do grupo de comparação no final do tratamento, então a terapia seria considerada eficaz. Em termos metodológicos, pouco há a apontar. Mas o que significa a descida no BDI? Para o doente, uma melhoria real, não será uma descida nas pontuações de um qualquer instrumento, mas sim, por exemplo, conseguir trabalhar, passar mais tempo ativo, andar mais alegre, ter mais interesse em conviver e dormir melhor.</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Para maior aprofundamento destas questões sobre a arbitrariedade das medições através de </w:t>
      </w:r>
      <w:proofErr w:type="gramStart"/>
      <w:r w:rsidRPr="0096752A">
        <w:rPr>
          <w:rFonts w:ascii="Candara" w:hAnsi="Candara"/>
          <w:sz w:val="20"/>
          <w:lang w:val="pt-PT"/>
        </w:rPr>
        <w:t xml:space="preserve">testes </w:t>
      </w:r>
      <w:r w:rsidRPr="0096752A">
        <w:rPr>
          <w:sz w:val="22"/>
          <w:lang w:val="pt-PT"/>
        </w:rPr>
        <w:t xml:space="preserve"> </w:t>
      </w:r>
      <w:r w:rsidRPr="0096752A">
        <w:rPr>
          <w:rFonts w:ascii="Candara" w:hAnsi="Candara"/>
          <w:sz w:val="20"/>
          <w:lang w:val="pt-PT"/>
        </w:rPr>
        <w:t>psicométricos</w:t>
      </w:r>
      <w:proofErr w:type="gramEnd"/>
      <w:r w:rsidRPr="0096752A">
        <w:rPr>
          <w:rFonts w:ascii="Candara" w:hAnsi="Candara"/>
          <w:sz w:val="20"/>
          <w:lang w:val="pt-PT"/>
        </w:rPr>
        <w:t xml:space="preserve"> há uma vasta literatura a</w:t>
      </w:r>
      <w:r w:rsidR="002D302A">
        <w:rPr>
          <w:rFonts w:ascii="Candara" w:hAnsi="Candara"/>
          <w:sz w:val="20"/>
          <w:lang w:val="pt-PT"/>
        </w:rPr>
        <w:t xml:space="preserve">o dispor (Andersen, </w:t>
      </w:r>
      <w:proofErr w:type="spellStart"/>
      <w:r w:rsidR="002D302A">
        <w:rPr>
          <w:rFonts w:ascii="Candara" w:hAnsi="Candara"/>
          <w:sz w:val="20"/>
          <w:lang w:val="pt-PT"/>
        </w:rPr>
        <w:t>McCullagh</w:t>
      </w:r>
      <w:proofErr w:type="spellEnd"/>
      <w:r w:rsidR="00693099" w:rsidRPr="0096752A">
        <w:rPr>
          <w:rFonts w:ascii="Candara" w:hAnsi="Candara"/>
          <w:sz w:val="20"/>
          <w:lang w:val="pt-PT"/>
        </w:rPr>
        <w:t xml:space="preserve"> e Wilson, 2007; </w:t>
      </w:r>
      <w:proofErr w:type="spellStart"/>
      <w:r w:rsidR="00693099" w:rsidRPr="0096752A">
        <w:rPr>
          <w:rFonts w:ascii="Candara" w:hAnsi="Candara"/>
          <w:sz w:val="20"/>
          <w:lang w:val="pt-PT"/>
        </w:rPr>
        <w:t>Blanton</w:t>
      </w:r>
      <w:proofErr w:type="spellEnd"/>
      <w:r w:rsidR="00693099" w:rsidRPr="0096752A">
        <w:rPr>
          <w:rFonts w:ascii="Candara" w:hAnsi="Candara"/>
          <w:sz w:val="20"/>
          <w:lang w:val="pt-PT"/>
        </w:rPr>
        <w:t xml:space="preserve"> e</w:t>
      </w:r>
      <w:r w:rsidRPr="0096752A">
        <w:rPr>
          <w:rFonts w:ascii="Candara" w:hAnsi="Candara"/>
          <w:sz w:val="20"/>
          <w:lang w:val="pt-PT"/>
        </w:rPr>
        <w:t xml:space="preserve"> </w:t>
      </w:r>
      <w:proofErr w:type="spellStart"/>
      <w:r w:rsidRPr="0096752A">
        <w:rPr>
          <w:rFonts w:ascii="Candara" w:hAnsi="Candara"/>
          <w:sz w:val="20"/>
          <w:lang w:val="pt-PT"/>
        </w:rPr>
        <w:t>Jaccard</w:t>
      </w:r>
      <w:proofErr w:type="spellEnd"/>
      <w:r w:rsidRPr="0096752A">
        <w:rPr>
          <w:rFonts w:ascii="Candara" w:hAnsi="Candara"/>
          <w:sz w:val="20"/>
          <w:lang w:val="pt-PT"/>
        </w:rPr>
        <w:t xml:space="preserve">, 2006a; 2006b; </w:t>
      </w:r>
      <w:proofErr w:type="spellStart"/>
      <w:r w:rsidRPr="0096752A">
        <w:rPr>
          <w:rFonts w:ascii="Candara" w:hAnsi="Candara"/>
          <w:sz w:val="20"/>
          <w:lang w:val="pt-PT"/>
        </w:rPr>
        <w:t>Embretson</w:t>
      </w:r>
      <w:proofErr w:type="spellEnd"/>
      <w:r w:rsidRPr="0096752A">
        <w:rPr>
          <w:rFonts w:ascii="Candara" w:hAnsi="Candara"/>
          <w:sz w:val="20"/>
          <w:lang w:val="pt-PT"/>
        </w:rPr>
        <w:t xml:space="preserve">, 2006; </w:t>
      </w:r>
      <w:proofErr w:type="spellStart"/>
      <w:r w:rsidRPr="0096752A">
        <w:rPr>
          <w:rFonts w:ascii="Candara" w:hAnsi="Candara"/>
          <w:sz w:val="20"/>
          <w:lang w:val="pt-PT"/>
        </w:rPr>
        <w:t>Kazdin</w:t>
      </w:r>
      <w:proofErr w:type="spellEnd"/>
      <w:r w:rsidRPr="0096752A">
        <w:rPr>
          <w:rFonts w:ascii="Candara" w:hAnsi="Candara"/>
          <w:sz w:val="20"/>
          <w:lang w:val="pt-PT"/>
        </w:rPr>
        <w:t xml:space="preserve">, 2006). </w:t>
      </w:r>
    </w:p>
    <w:p w:rsidR="00D47D0B" w:rsidRPr="0096752A" w:rsidRDefault="00D47D0B" w:rsidP="00D9179F">
      <w:pPr>
        <w:pStyle w:val="FormalivreA"/>
        <w:spacing w:line="276" w:lineRule="auto"/>
        <w:ind w:firstLine="426"/>
        <w:jc w:val="both"/>
        <w:rPr>
          <w:rFonts w:ascii="Candara" w:hAnsi="Candara"/>
          <w:sz w:val="20"/>
          <w:lang w:val="pt-PT"/>
        </w:rPr>
      </w:pPr>
    </w:p>
    <w:p w:rsidR="00D9179F" w:rsidRPr="0096752A" w:rsidRDefault="00D9179F" w:rsidP="00D9179F">
      <w:pPr>
        <w:pStyle w:val="FormalivreA"/>
        <w:spacing w:line="276" w:lineRule="auto"/>
        <w:jc w:val="both"/>
        <w:rPr>
          <w:rFonts w:ascii="Candara Bold" w:hAnsi="Candara Bold"/>
          <w:lang w:val="pt-PT"/>
        </w:rPr>
      </w:pPr>
      <w:r w:rsidRPr="0096752A">
        <w:rPr>
          <w:rFonts w:ascii="Candara Bold" w:hAnsi="Candara Bold"/>
          <w:sz w:val="22"/>
          <w:lang w:val="pt-PT"/>
        </w:rPr>
        <w:lastRenderedPageBreak/>
        <w:t>Necessidade de Interpretar os Tamanhos do Efeito no Contexto da Área de Investigação</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Para </w:t>
      </w:r>
      <w:proofErr w:type="spellStart"/>
      <w:r w:rsidRPr="0096752A">
        <w:rPr>
          <w:rFonts w:ascii="Candara" w:hAnsi="Candara"/>
          <w:sz w:val="20"/>
          <w:lang w:val="pt-PT"/>
        </w:rPr>
        <w:t>Zakzanis</w:t>
      </w:r>
      <w:proofErr w:type="spellEnd"/>
      <w:r w:rsidRPr="0096752A">
        <w:rPr>
          <w:rFonts w:ascii="Candara" w:hAnsi="Candara"/>
          <w:sz w:val="20"/>
          <w:lang w:val="pt-PT"/>
        </w:rPr>
        <w:t xml:space="preserve"> (2001), só se devem usar as classificações de </w:t>
      </w:r>
      <w:r w:rsidRPr="0096752A">
        <w:rPr>
          <w:rFonts w:ascii="Candara Italic" w:hAnsi="Candara Italic"/>
          <w:sz w:val="20"/>
          <w:lang w:val="pt-PT"/>
        </w:rPr>
        <w:t>pequeno</w:t>
      </w:r>
      <w:r w:rsidRPr="0096752A">
        <w:rPr>
          <w:rFonts w:ascii="Candara" w:hAnsi="Candara"/>
          <w:sz w:val="20"/>
          <w:lang w:val="pt-PT"/>
        </w:rPr>
        <w:t xml:space="preserve">, </w:t>
      </w:r>
      <w:r w:rsidRPr="0096752A">
        <w:rPr>
          <w:rFonts w:ascii="Candara Italic" w:hAnsi="Candara Italic"/>
          <w:sz w:val="20"/>
          <w:lang w:val="pt-PT"/>
        </w:rPr>
        <w:t>moderado</w:t>
      </w:r>
      <w:r w:rsidRPr="0096752A">
        <w:rPr>
          <w:rFonts w:ascii="Candara" w:hAnsi="Candara"/>
          <w:sz w:val="20"/>
          <w:lang w:val="pt-PT"/>
        </w:rPr>
        <w:t xml:space="preserve">, ou </w:t>
      </w:r>
      <w:r w:rsidRPr="0096752A">
        <w:rPr>
          <w:rFonts w:ascii="Candara Italic" w:hAnsi="Candara Italic"/>
          <w:sz w:val="20"/>
          <w:lang w:val="pt-PT"/>
        </w:rPr>
        <w:t xml:space="preserve">grande </w:t>
      </w:r>
      <w:r w:rsidRPr="0096752A">
        <w:rPr>
          <w:rFonts w:ascii="Candara" w:hAnsi="Candara"/>
          <w:sz w:val="20"/>
          <w:lang w:val="pt-PT"/>
        </w:rPr>
        <w:t xml:space="preserve">somente quando a área do estudo se compreende em termos de TDE. Para outros autores, quando se procura interpretar se os TDE são </w:t>
      </w:r>
      <w:r w:rsidRPr="0096752A">
        <w:rPr>
          <w:rFonts w:ascii="Candara Italic" w:hAnsi="Candara Italic"/>
          <w:sz w:val="20"/>
          <w:lang w:val="pt-PT"/>
        </w:rPr>
        <w:t>pequenos</w:t>
      </w:r>
      <w:r w:rsidRPr="0096752A">
        <w:rPr>
          <w:rFonts w:ascii="Candara" w:hAnsi="Candara"/>
          <w:sz w:val="20"/>
          <w:lang w:val="pt-PT"/>
        </w:rPr>
        <w:t xml:space="preserve">, </w:t>
      </w:r>
      <w:r w:rsidRPr="0096752A">
        <w:rPr>
          <w:rFonts w:ascii="Candara Italic" w:hAnsi="Candara Italic"/>
          <w:sz w:val="20"/>
          <w:lang w:val="pt-PT"/>
        </w:rPr>
        <w:t>moderados</w:t>
      </w:r>
      <w:r w:rsidRPr="0096752A">
        <w:rPr>
          <w:rFonts w:ascii="Candara" w:hAnsi="Candara"/>
          <w:sz w:val="20"/>
          <w:lang w:val="pt-PT"/>
        </w:rPr>
        <w:t xml:space="preserve">, ou </w:t>
      </w:r>
      <w:r w:rsidRPr="0096752A">
        <w:rPr>
          <w:rFonts w:ascii="Candara Italic" w:hAnsi="Candara Italic"/>
          <w:sz w:val="20"/>
          <w:lang w:val="pt-PT"/>
        </w:rPr>
        <w:t>grandes</w:t>
      </w:r>
      <w:r w:rsidRPr="0096752A">
        <w:rPr>
          <w:rFonts w:ascii="Candara" w:hAnsi="Candara"/>
          <w:sz w:val="20"/>
          <w:lang w:val="pt-PT"/>
        </w:rPr>
        <w:t>, há que fazê-lo contrastando com as normas apropriadas; baseando-se essas normas nas distribuições dos TDE obtidas com medições comparáveis, em intervenções comparáveis dirigidas a amostras também comparáveis (</w:t>
      </w:r>
      <w:proofErr w:type="spellStart"/>
      <w:r w:rsidRPr="0096752A">
        <w:rPr>
          <w:rFonts w:ascii="Candara" w:hAnsi="Candara"/>
          <w:sz w:val="20"/>
          <w:lang w:val="pt-PT"/>
        </w:rPr>
        <w:t>Lipsey</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Em síntese, a interpretação aprofundada dos TDE deve ter em consideração o </w:t>
      </w:r>
      <w:r w:rsidRPr="0096752A">
        <w:rPr>
          <w:rFonts w:ascii="Candara Italic" w:hAnsi="Candara Italic"/>
          <w:sz w:val="20"/>
          <w:lang w:val="pt-PT"/>
        </w:rPr>
        <w:t>contexto</w:t>
      </w:r>
      <w:r w:rsidRPr="0096752A">
        <w:rPr>
          <w:rFonts w:ascii="Candara" w:hAnsi="Candara"/>
          <w:sz w:val="20"/>
          <w:lang w:val="pt-PT"/>
        </w:rPr>
        <w:t xml:space="preserve"> em que os valores foram obtidos (</w:t>
      </w:r>
      <w:r w:rsidR="00494E85">
        <w:rPr>
          <w:rFonts w:ascii="Candara" w:hAnsi="Candara"/>
          <w:sz w:val="20"/>
          <w:lang w:val="pt-PT"/>
        </w:rPr>
        <w:t>p. e.</w:t>
      </w:r>
      <w:r w:rsidRPr="0096752A">
        <w:rPr>
          <w:rFonts w:ascii="Candara" w:hAnsi="Candara"/>
          <w:sz w:val="20"/>
          <w:lang w:val="pt-PT"/>
        </w:rPr>
        <w:t xml:space="preserve">, instituição, escola, clínica), o </w:t>
      </w:r>
      <w:r w:rsidRPr="0096752A">
        <w:rPr>
          <w:rFonts w:ascii="Candara Italic" w:hAnsi="Candara Italic"/>
          <w:sz w:val="20"/>
          <w:lang w:val="pt-PT"/>
        </w:rPr>
        <w:t>planeamento</w:t>
      </w:r>
      <w:r w:rsidRPr="0096752A">
        <w:rPr>
          <w:rFonts w:ascii="Candara" w:hAnsi="Candara"/>
          <w:sz w:val="20"/>
          <w:lang w:val="pt-PT"/>
        </w:rPr>
        <w:t xml:space="preserve"> do estudo (</w:t>
      </w:r>
      <w:r w:rsidR="00494E85">
        <w:rPr>
          <w:rFonts w:ascii="Candara" w:hAnsi="Candara"/>
          <w:sz w:val="20"/>
          <w:lang w:val="pt-PT"/>
        </w:rPr>
        <w:t>p. e.</w:t>
      </w:r>
      <w:r w:rsidRPr="0096752A">
        <w:rPr>
          <w:rFonts w:ascii="Candara" w:hAnsi="Candara"/>
          <w:sz w:val="20"/>
          <w:lang w:val="pt-PT"/>
        </w:rPr>
        <w:t xml:space="preserve">, estudo experimental), escolhas </w:t>
      </w:r>
      <w:r w:rsidRPr="0096752A">
        <w:rPr>
          <w:rFonts w:ascii="Candara Italic" w:hAnsi="Candara Italic"/>
          <w:sz w:val="20"/>
          <w:lang w:val="pt-PT"/>
        </w:rPr>
        <w:t>metodológicas</w:t>
      </w:r>
      <w:r w:rsidRPr="0096752A">
        <w:rPr>
          <w:rFonts w:ascii="Candara" w:hAnsi="Candara"/>
          <w:sz w:val="20"/>
          <w:lang w:val="pt-PT"/>
        </w:rPr>
        <w:t xml:space="preserve"> (</w:t>
      </w:r>
      <w:r w:rsidR="00494E85">
        <w:rPr>
          <w:rFonts w:ascii="Candara" w:hAnsi="Candara"/>
          <w:sz w:val="20"/>
          <w:lang w:val="pt-PT"/>
        </w:rPr>
        <w:t>p. e.</w:t>
      </w:r>
      <w:r w:rsidRPr="0096752A">
        <w:rPr>
          <w:rFonts w:ascii="Candara" w:hAnsi="Candara"/>
          <w:sz w:val="20"/>
          <w:lang w:val="pt-PT"/>
        </w:rPr>
        <w:t xml:space="preserve">, qual a variável </w:t>
      </w:r>
      <w:proofErr w:type="spellStart"/>
      <w:r w:rsidRPr="0096752A">
        <w:rPr>
          <w:rFonts w:ascii="Candara" w:hAnsi="Candara"/>
          <w:sz w:val="20"/>
          <w:lang w:val="pt-PT"/>
        </w:rPr>
        <w:t>preditora</w:t>
      </w:r>
      <w:proofErr w:type="spellEnd"/>
      <w:r w:rsidRPr="0096752A">
        <w:rPr>
          <w:rFonts w:ascii="Candara" w:hAnsi="Candara"/>
          <w:sz w:val="20"/>
          <w:lang w:val="pt-PT"/>
        </w:rPr>
        <w:t xml:space="preserve">), o quadro da </w:t>
      </w:r>
      <w:r w:rsidRPr="0096752A">
        <w:rPr>
          <w:rFonts w:ascii="Candara Italic" w:hAnsi="Candara Italic"/>
          <w:sz w:val="20"/>
          <w:lang w:val="pt-PT"/>
        </w:rPr>
        <w:t>métrica</w:t>
      </w:r>
      <w:r w:rsidRPr="0096752A">
        <w:rPr>
          <w:rFonts w:ascii="Candara" w:hAnsi="Candara"/>
          <w:sz w:val="20"/>
          <w:lang w:val="pt-PT"/>
        </w:rPr>
        <w:t xml:space="preserve"> usada (</w:t>
      </w:r>
      <w:r w:rsidR="00494E85">
        <w:rPr>
          <w:rFonts w:ascii="Candara" w:hAnsi="Candara"/>
          <w:sz w:val="20"/>
          <w:lang w:val="pt-PT"/>
        </w:rPr>
        <w:t>p. e.</w:t>
      </w:r>
      <w:r w:rsidRPr="0096752A">
        <w:rPr>
          <w:rFonts w:ascii="Candara" w:hAnsi="Candara"/>
          <w:sz w:val="20"/>
          <w:lang w:val="pt-PT"/>
        </w:rPr>
        <w:t xml:space="preserve">, quociente de inteligência), os outros efeitos na </w:t>
      </w:r>
      <w:r w:rsidRPr="0096752A">
        <w:rPr>
          <w:rFonts w:ascii="Candara Italic" w:hAnsi="Candara Italic"/>
          <w:sz w:val="20"/>
          <w:lang w:val="pt-PT"/>
        </w:rPr>
        <w:t>literatura</w:t>
      </w:r>
      <w:r w:rsidRPr="0096752A">
        <w:rPr>
          <w:rFonts w:ascii="Candara" w:hAnsi="Candara"/>
          <w:sz w:val="20"/>
          <w:lang w:val="pt-PT"/>
        </w:rPr>
        <w:t xml:space="preserve"> (</w:t>
      </w:r>
      <w:r w:rsidR="00494E85">
        <w:rPr>
          <w:rFonts w:ascii="Candara" w:hAnsi="Candara"/>
          <w:sz w:val="20"/>
          <w:lang w:val="pt-PT"/>
        </w:rPr>
        <w:t>p. e.</w:t>
      </w:r>
      <w:r w:rsidRPr="0096752A">
        <w:rPr>
          <w:rFonts w:ascii="Candara" w:hAnsi="Candara"/>
          <w:sz w:val="20"/>
          <w:lang w:val="pt-PT"/>
        </w:rPr>
        <w:t xml:space="preserve">, diferença padronizada da média maior), os efeitos de intervenções </w:t>
      </w:r>
      <w:r w:rsidRPr="0096752A">
        <w:rPr>
          <w:rFonts w:ascii="Candara Italic" w:hAnsi="Candara Italic"/>
          <w:sz w:val="20"/>
          <w:lang w:val="pt-PT"/>
        </w:rPr>
        <w:t>semelhantes</w:t>
      </w:r>
      <w:r w:rsidRPr="0096752A">
        <w:rPr>
          <w:rFonts w:ascii="Candara" w:hAnsi="Candara"/>
          <w:sz w:val="20"/>
          <w:lang w:val="pt-PT"/>
        </w:rPr>
        <w:t xml:space="preserve"> (</w:t>
      </w:r>
      <w:r w:rsidR="00494E85">
        <w:rPr>
          <w:rFonts w:ascii="Candara" w:hAnsi="Candara"/>
          <w:sz w:val="20"/>
          <w:lang w:val="pt-PT"/>
        </w:rPr>
        <w:t>p. e.</w:t>
      </w:r>
      <w:r w:rsidRPr="0096752A">
        <w:rPr>
          <w:rFonts w:ascii="Candara" w:hAnsi="Candara"/>
          <w:sz w:val="20"/>
          <w:lang w:val="pt-PT"/>
        </w:rPr>
        <w:t xml:space="preserve">, 20% mais eficiente) ou outros TDE que sejam bem compreendidos conceptualmente (Cohen, 1988; </w:t>
      </w:r>
      <w:proofErr w:type="spellStart"/>
      <w:r w:rsidRPr="0096752A">
        <w:rPr>
          <w:rFonts w:ascii="Candara" w:hAnsi="Candara"/>
          <w:sz w:val="20"/>
          <w:lang w:val="pt-PT"/>
        </w:rPr>
        <w:t>McCartney</w:t>
      </w:r>
      <w:proofErr w:type="spellEnd"/>
      <w:r w:rsidRPr="0096752A">
        <w:rPr>
          <w:rFonts w:ascii="Candara" w:hAnsi="Candara"/>
          <w:sz w:val="20"/>
          <w:lang w:val="pt-PT"/>
        </w:rPr>
        <w:t xml:space="preserve"> e </w:t>
      </w:r>
      <w:proofErr w:type="spellStart"/>
      <w:r w:rsidRPr="0096752A">
        <w:rPr>
          <w:rFonts w:ascii="Candara" w:hAnsi="Candara"/>
          <w:sz w:val="20"/>
          <w:lang w:val="pt-PT"/>
        </w:rPr>
        <w:t>Rosenthal</w:t>
      </w:r>
      <w:proofErr w:type="spellEnd"/>
      <w:r w:rsidRPr="0096752A">
        <w:rPr>
          <w:rFonts w:ascii="Candara" w:hAnsi="Candara"/>
          <w:sz w:val="20"/>
          <w:lang w:val="pt-PT"/>
        </w:rPr>
        <w:t xml:space="preserve">, 2000; </w:t>
      </w:r>
      <w:proofErr w:type="spellStart"/>
      <w:r w:rsidRPr="0096752A">
        <w:rPr>
          <w:rFonts w:ascii="Candara" w:hAnsi="Candara"/>
          <w:sz w:val="20"/>
          <w:lang w:val="pt-PT"/>
        </w:rPr>
        <w:t>Borenstein</w:t>
      </w:r>
      <w:proofErr w:type="spellEnd"/>
      <w:r w:rsidRPr="0096752A">
        <w:rPr>
          <w:rFonts w:ascii="Candara" w:hAnsi="Candara"/>
          <w:sz w:val="20"/>
          <w:lang w:val="pt-PT"/>
        </w:rPr>
        <w:t xml:space="preserve">, 2009, p. 234; </w:t>
      </w:r>
      <w:proofErr w:type="spellStart"/>
      <w:r w:rsidRPr="0096752A">
        <w:rPr>
          <w:rFonts w:ascii="Candara" w:hAnsi="Candara"/>
          <w:sz w:val="20"/>
          <w:lang w:val="pt-PT"/>
        </w:rPr>
        <w:t>Lakens</w:t>
      </w:r>
      <w:proofErr w:type="spellEnd"/>
      <w:r w:rsidRPr="0096752A">
        <w:rPr>
          <w:rFonts w:ascii="Candara" w:hAnsi="Candara"/>
          <w:sz w:val="20"/>
          <w:lang w:val="pt-PT"/>
        </w:rPr>
        <w:t>, 2013). Por exemplo, em estudos de intervenção em educação é raro haver TDE acima dos 0,30 (</w:t>
      </w:r>
      <w:proofErr w:type="spellStart"/>
      <w:r w:rsidRPr="0096752A">
        <w:rPr>
          <w:rFonts w:ascii="Candara" w:hAnsi="Candara"/>
          <w:sz w:val="20"/>
          <w:lang w:val="pt-PT"/>
        </w:rPr>
        <w:t>Lipsey</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Já </w:t>
      </w:r>
      <w:proofErr w:type="spellStart"/>
      <w:r w:rsidRPr="0096752A">
        <w:rPr>
          <w:rFonts w:ascii="Candara" w:hAnsi="Candara"/>
          <w:sz w:val="20"/>
          <w:lang w:val="pt-PT"/>
        </w:rPr>
        <w:t>Zakzanis</w:t>
      </w:r>
      <w:proofErr w:type="spellEnd"/>
      <w:r w:rsidRPr="0096752A">
        <w:rPr>
          <w:rFonts w:ascii="Candara" w:hAnsi="Candara"/>
          <w:sz w:val="20"/>
          <w:lang w:val="pt-PT"/>
        </w:rPr>
        <w:t xml:space="preserve"> (2001, p.</w:t>
      </w:r>
      <w:r w:rsidR="002D302A">
        <w:rPr>
          <w:rFonts w:ascii="Candara" w:hAnsi="Candara"/>
          <w:sz w:val="20"/>
          <w:lang w:val="pt-PT"/>
        </w:rPr>
        <w:t xml:space="preserve"> </w:t>
      </w:r>
      <w:r w:rsidRPr="0096752A">
        <w:rPr>
          <w:rFonts w:ascii="Candara" w:hAnsi="Candara"/>
          <w:sz w:val="20"/>
          <w:lang w:val="pt-PT"/>
        </w:rPr>
        <w:t xml:space="preserve">664) propõe um valor de </w:t>
      </w:r>
      <w:r w:rsidRPr="0096752A">
        <w:rPr>
          <w:rFonts w:ascii="Candara Italic" w:hAnsi="Candara Italic"/>
          <w:sz w:val="20"/>
          <w:lang w:val="pt-PT"/>
        </w:rPr>
        <w:t>d</w:t>
      </w:r>
      <w:r w:rsidRPr="0096752A">
        <w:rPr>
          <w:rFonts w:ascii="Candara" w:hAnsi="Candara"/>
          <w:sz w:val="20"/>
          <w:lang w:val="pt-PT"/>
        </w:rPr>
        <w:t xml:space="preserve"> acima de 3,00 (efeito “grande”) para discriminar um grupo experimental de um grupo de controlo no domínio da neuropsicologia, recomendando que efeitos entre 0,1 e 2,0 devem ser interpretados à luz do contexto.</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Apesar da importância da comparação com os valores obtidos noutros estudos, executando, por exemplo uma meta-análise, a comparação deve seguir diversas cautelas (</w:t>
      </w:r>
      <w:r w:rsidR="00494E85">
        <w:rPr>
          <w:rFonts w:ascii="Candara" w:hAnsi="Candara"/>
          <w:sz w:val="20"/>
          <w:lang w:val="pt-PT"/>
        </w:rPr>
        <w:t>p. e.</w:t>
      </w:r>
      <w:r w:rsidRPr="0096752A">
        <w:rPr>
          <w:rFonts w:ascii="Candara" w:hAnsi="Candara"/>
          <w:sz w:val="20"/>
          <w:lang w:val="pt-PT"/>
        </w:rPr>
        <w:t xml:space="preserve">, fidedignidade das medições; homogeneidade populacional; ou “força do tratamento”; </w:t>
      </w:r>
      <w:proofErr w:type="spellStart"/>
      <w:r w:rsidRPr="0096752A">
        <w:rPr>
          <w:rFonts w:ascii="Candara" w:hAnsi="Candara"/>
          <w:sz w:val="20"/>
          <w:lang w:val="pt-PT"/>
        </w:rPr>
        <w:t>Olejnik</w:t>
      </w:r>
      <w:proofErr w:type="spellEnd"/>
      <w:r w:rsidRPr="0096752A">
        <w:rPr>
          <w:rFonts w:ascii="Candara" w:hAnsi="Candara"/>
          <w:sz w:val="20"/>
          <w:lang w:val="pt-PT"/>
        </w:rPr>
        <w:t xml:space="preserve"> e Algina, 2000). Há que ter ainda em atenção que, quando se faz a revisão da literatura, há uma tendência para se encontrar somente estudos em que houve resultados </w:t>
      </w:r>
      <w:r w:rsidRPr="0096752A">
        <w:rPr>
          <w:rFonts w:ascii="Candara Italic" w:hAnsi="Candara Italic"/>
          <w:sz w:val="20"/>
          <w:lang w:val="pt-PT"/>
        </w:rPr>
        <w:t>positivos</w:t>
      </w:r>
      <w:r w:rsidRPr="0096752A">
        <w:rPr>
          <w:rFonts w:ascii="Candara" w:hAnsi="Candara"/>
          <w:sz w:val="20"/>
          <w:lang w:val="pt-PT"/>
        </w:rPr>
        <w:t xml:space="preserve">, isto é, estudos com resultados estatisticamente significativos. Aquilo a que </w:t>
      </w:r>
      <w:proofErr w:type="spellStart"/>
      <w:r w:rsidRPr="0096752A">
        <w:rPr>
          <w:rFonts w:ascii="Candara" w:hAnsi="Candara"/>
          <w:sz w:val="20"/>
          <w:lang w:val="pt-PT"/>
        </w:rPr>
        <w:t>Rosenthal</w:t>
      </w:r>
      <w:proofErr w:type="spellEnd"/>
      <w:r w:rsidRPr="0096752A">
        <w:rPr>
          <w:rFonts w:ascii="Candara" w:hAnsi="Candara"/>
          <w:sz w:val="20"/>
          <w:lang w:val="pt-PT"/>
        </w:rPr>
        <w:t xml:space="preserve"> (1979) designou pelo ‘‘file </w:t>
      </w:r>
      <w:proofErr w:type="spellStart"/>
      <w:r w:rsidRPr="0096752A">
        <w:rPr>
          <w:rFonts w:ascii="Candara" w:hAnsi="Candara"/>
          <w:sz w:val="20"/>
          <w:lang w:val="pt-PT"/>
        </w:rPr>
        <w:t>drawer</w:t>
      </w:r>
      <w:proofErr w:type="spellEnd"/>
      <w:r w:rsidRPr="0096752A">
        <w:rPr>
          <w:rFonts w:ascii="Candara" w:hAnsi="Candara"/>
          <w:sz w:val="20"/>
          <w:lang w:val="pt-PT"/>
        </w:rPr>
        <w:t xml:space="preserve"> </w:t>
      </w:r>
      <w:proofErr w:type="spellStart"/>
      <w:r w:rsidRPr="0096752A">
        <w:rPr>
          <w:rFonts w:ascii="Candara" w:hAnsi="Candara"/>
          <w:sz w:val="20"/>
          <w:lang w:val="pt-PT"/>
        </w:rPr>
        <w:t>problem</w:t>
      </w:r>
      <w:proofErr w:type="spellEnd"/>
      <w:r w:rsidRPr="0096752A">
        <w:rPr>
          <w:rFonts w:ascii="Candara" w:hAnsi="Candara"/>
          <w:sz w:val="20"/>
          <w:lang w:val="pt-PT"/>
        </w:rPr>
        <w:t>’’: os estudos com resultados que suportam a hipótese nula vão parar à gaveta do arquivo dos ficheiros mortos. Para além de que muitos autores têm dificuldades em publicar estudos com resultados estatisticamente não significativos (</w:t>
      </w:r>
      <w:proofErr w:type="spellStart"/>
      <w:r w:rsidRPr="0096752A">
        <w:rPr>
          <w:rFonts w:ascii="Candara" w:hAnsi="Candara"/>
          <w:sz w:val="20"/>
          <w:lang w:val="pt-PT"/>
        </w:rPr>
        <w:t>Wolf</w:t>
      </w:r>
      <w:proofErr w:type="spellEnd"/>
      <w:r w:rsidRPr="0096752A">
        <w:rPr>
          <w:rFonts w:ascii="Candara" w:hAnsi="Candara"/>
          <w:sz w:val="20"/>
          <w:lang w:val="pt-PT"/>
        </w:rPr>
        <w:t xml:space="preserve">, 1986). </w:t>
      </w:r>
    </w:p>
    <w:p w:rsidR="00D9179F" w:rsidRPr="0096752A" w:rsidRDefault="00D9179F" w:rsidP="00D9179F">
      <w:pPr>
        <w:pStyle w:val="FormalivreA"/>
        <w:spacing w:after="240" w:line="276" w:lineRule="auto"/>
        <w:ind w:firstLine="426"/>
        <w:jc w:val="both"/>
        <w:rPr>
          <w:rFonts w:ascii="Candara" w:hAnsi="Candara"/>
          <w:sz w:val="20"/>
          <w:lang w:val="pt-PT"/>
        </w:rPr>
      </w:pPr>
      <w:proofErr w:type="spellStart"/>
      <w:r w:rsidRPr="0096752A">
        <w:rPr>
          <w:rFonts w:ascii="Candara" w:hAnsi="Candara"/>
          <w:sz w:val="20"/>
          <w:lang w:val="pt-PT"/>
        </w:rPr>
        <w:t>Orwin</w:t>
      </w:r>
      <w:proofErr w:type="spellEnd"/>
      <w:r w:rsidRPr="0096752A">
        <w:rPr>
          <w:rFonts w:ascii="Candara" w:hAnsi="Candara"/>
          <w:sz w:val="20"/>
          <w:lang w:val="pt-PT"/>
        </w:rPr>
        <w:t xml:space="preserve"> (1983) forneceu uma fórmula de segurança (</w:t>
      </w:r>
      <w:proofErr w:type="spellStart"/>
      <w:r w:rsidRPr="0096752A">
        <w:rPr>
          <w:rFonts w:ascii="Candara Italic" w:hAnsi="Candara Italic"/>
          <w:sz w:val="20"/>
          <w:lang w:val="pt-PT"/>
        </w:rPr>
        <w:t>N</w:t>
      </w:r>
      <w:r w:rsidRPr="0096752A">
        <w:rPr>
          <w:rFonts w:ascii="Candara Italic" w:hAnsi="Candara Italic"/>
          <w:sz w:val="20"/>
          <w:vertAlign w:val="subscript"/>
          <w:lang w:val="pt-PT"/>
        </w:rPr>
        <w:t>fs</w:t>
      </w:r>
      <w:proofErr w:type="spellEnd"/>
      <w:r w:rsidRPr="0096752A">
        <w:rPr>
          <w:rFonts w:ascii="Candara" w:hAnsi="Candara"/>
          <w:sz w:val="20"/>
          <w:lang w:val="pt-PT"/>
        </w:rPr>
        <w:t>) que permite ultrapassar parcialmente esta questão, ao calcular o número de estudos confirmadores da hipótese nula que seriam necessários para reverter a conclusão de que existe uma relação significativa:</w:t>
      </w:r>
    </w:p>
    <w:p w:rsidR="00D9179F" w:rsidRPr="0096752A" w:rsidRDefault="00D9179F" w:rsidP="00D9179F">
      <w:pPr>
        <w:pStyle w:val="Formalivre"/>
        <w:spacing w:line="276" w:lineRule="auto"/>
        <w:ind w:firstLine="426"/>
        <w:jc w:val="center"/>
        <w:rPr>
          <w:rFonts w:ascii="Candara" w:hAnsi="Candara"/>
          <w:sz w:val="20"/>
        </w:rPr>
      </w:pPr>
      <w:proofErr w:type="spellStart"/>
      <w:r w:rsidRPr="0096752A">
        <w:rPr>
          <w:rFonts w:ascii="Candara" w:hAnsi="Candara"/>
          <w:i/>
          <w:sz w:val="20"/>
        </w:rPr>
        <w:lastRenderedPageBreak/>
        <w:t>N</w:t>
      </w:r>
      <w:r w:rsidRPr="0096752A">
        <w:rPr>
          <w:rFonts w:ascii="Candara" w:hAnsi="Candara"/>
          <w:i/>
          <w:iCs/>
          <w:sz w:val="20"/>
          <w:vertAlign w:val="subscript"/>
        </w:rPr>
        <w:t>fs</w:t>
      </w:r>
      <w:proofErr w:type="spellEnd"/>
      <w:r w:rsidRPr="0096752A">
        <w:rPr>
          <w:rFonts w:ascii="Candara" w:hAnsi="Candara"/>
          <w:sz w:val="20"/>
        </w:rPr>
        <w:t xml:space="preserve"> = </w:t>
      </w:r>
      <m:oMath>
        <m:f>
          <m:fPr>
            <m:ctrlPr>
              <w:rPr>
                <w:rFonts w:ascii="Cambria Math" w:hAnsi="Cambria Math"/>
                <w:i/>
                <w:sz w:val="22"/>
                <w:szCs w:val="22"/>
              </w:rPr>
            </m:ctrlPr>
          </m:fPr>
          <m:num>
            <m:r>
              <w:rPr>
                <w:rFonts w:ascii="Cambria Math" w:hAnsi="Cambria Math"/>
                <w:sz w:val="22"/>
                <w:szCs w:val="22"/>
              </w:rPr>
              <m:t>N (d-</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c</m:t>
                </m:r>
              </m:sub>
            </m:sSub>
            <m:r>
              <w:rPr>
                <w:rFonts w:ascii="Cambria Math" w:hAnsi="Cambria Math"/>
                <w:sz w:val="22"/>
                <w:szCs w:val="22"/>
              </w:rPr>
              <m:t>)</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c</m:t>
                </m:r>
              </m:sub>
            </m:sSub>
          </m:den>
        </m:f>
      </m:oMath>
    </w:p>
    <w:p w:rsidR="00D9179F" w:rsidRPr="0096752A" w:rsidRDefault="00D9179F" w:rsidP="0096752A">
      <w:pPr>
        <w:pStyle w:val="FormalivreA"/>
        <w:spacing w:before="100" w:line="276" w:lineRule="auto"/>
        <w:jc w:val="both"/>
        <w:rPr>
          <w:rFonts w:ascii="Candara" w:hAnsi="Candara"/>
          <w:sz w:val="18"/>
          <w:lang w:val="pt-PT"/>
        </w:rPr>
      </w:pPr>
      <w:proofErr w:type="gramStart"/>
      <w:r w:rsidRPr="0096752A">
        <w:rPr>
          <w:rFonts w:ascii="Candara" w:hAnsi="Candara"/>
          <w:sz w:val="20"/>
          <w:lang w:val="pt-PT"/>
        </w:rPr>
        <w:t>sendo</w:t>
      </w:r>
      <w:proofErr w:type="gramEnd"/>
      <w:r w:rsidRPr="0096752A">
        <w:rPr>
          <w:rFonts w:ascii="Candara" w:hAnsi="Candara"/>
          <w:sz w:val="20"/>
          <w:lang w:val="pt-PT"/>
        </w:rPr>
        <w:t xml:space="preserve"> </w:t>
      </w:r>
      <w:r w:rsidRPr="0096752A">
        <w:rPr>
          <w:rFonts w:ascii="Candara Italic" w:hAnsi="Candara Italic"/>
          <w:sz w:val="20"/>
          <w:lang w:val="pt-PT"/>
        </w:rPr>
        <w:t>N</w:t>
      </w:r>
      <w:r w:rsidRPr="0096752A">
        <w:rPr>
          <w:rFonts w:ascii="Candara" w:hAnsi="Candara"/>
          <w:sz w:val="20"/>
          <w:lang w:val="pt-PT"/>
        </w:rPr>
        <w:t xml:space="preserve"> o número de estudos na meta-análise, </w:t>
      </w:r>
      <w:r w:rsidRPr="0096752A">
        <w:rPr>
          <w:rFonts w:ascii="Candara Italic" w:hAnsi="Candara Italic"/>
          <w:sz w:val="20"/>
          <w:lang w:val="pt-PT"/>
        </w:rPr>
        <w:t>d</w:t>
      </w:r>
      <w:r w:rsidRPr="0096752A">
        <w:rPr>
          <w:rFonts w:ascii="Candara" w:hAnsi="Candara"/>
          <w:sz w:val="20"/>
          <w:lang w:val="pt-PT"/>
        </w:rPr>
        <w:t xml:space="preserve"> o TDE médio determinado a partir dos estudos em análise e </w:t>
      </w:r>
      <w:proofErr w:type="spellStart"/>
      <w:r w:rsidRPr="0096752A">
        <w:rPr>
          <w:rFonts w:ascii="Candara Italic" w:hAnsi="Candara Italic"/>
          <w:sz w:val="20"/>
          <w:lang w:val="pt-PT"/>
        </w:rPr>
        <w:t>d</w:t>
      </w:r>
      <w:r w:rsidRPr="0096752A">
        <w:rPr>
          <w:rFonts w:ascii="Candara" w:hAnsi="Candara"/>
          <w:sz w:val="20"/>
          <w:vertAlign w:val="subscript"/>
          <w:lang w:val="pt-PT"/>
        </w:rPr>
        <w:t>c</w:t>
      </w:r>
      <w:proofErr w:type="spellEnd"/>
      <w:r w:rsidRPr="0096752A">
        <w:rPr>
          <w:rFonts w:ascii="Candara" w:hAnsi="Candara"/>
          <w:sz w:val="20"/>
          <w:lang w:val="pt-PT"/>
        </w:rPr>
        <w:t xml:space="preserve"> o valor de critério selecionado de forma a igualar o d quando um número conhecido de estudos hipotéticos (</w:t>
      </w:r>
      <w:proofErr w:type="spellStart"/>
      <w:r w:rsidRPr="0096752A">
        <w:rPr>
          <w:rFonts w:ascii="Candara Italic" w:hAnsi="Candara Italic"/>
          <w:sz w:val="20"/>
          <w:lang w:val="pt-PT"/>
        </w:rPr>
        <w:t>N</w:t>
      </w:r>
      <w:r w:rsidRPr="0096752A">
        <w:rPr>
          <w:rFonts w:ascii="Candara Italic" w:hAnsi="Candara Italic"/>
          <w:sz w:val="20"/>
          <w:vertAlign w:val="subscript"/>
          <w:lang w:val="pt-PT"/>
        </w:rPr>
        <w:t>fs</w:t>
      </w:r>
      <w:proofErr w:type="spellEnd"/>
      <w:r w:rsidRPr="0096752A">
        <w:rPr>
          <w:rFonts w:ascii="Candara" w:hAnsi="Candara"/>
          <w:sz w:val="20"/>
          <w:lang w:val="pt-PT"/>
        </w:rPr>
        <w:t xml:space="preserve">) fosse adicionado à meta-análise. </w:t>
      </w:r>
      <w:proofErr w:type="spellStart"/>
      <w:r w:rsidRPr="0096752A">
        <w:rPr>
          <w:rFonts w:ascii="Candara" w:hAnsi="Candara"/>
          <w:sz w:val="20"/>
          <w:lang w:val="pt-PT"/>
        </w:rPr>
        <w:t>Orwin</w:t>
      </w:r>
      <w:proofErr w:type="spellEnd"/>
      <w:r w:rsidRPr="0096752A">
        <w:rPr>
          <w:rFonts w:ascii="Candara" w:hAnsi="Candara"/>
          <w:sz w:val="20"/>
          <w:lang w:val="pt-PT"/>
        </w:rPr>
        <w:t xml:space="preserve"> (1983) sugeriu que o valor de critério fosse 0,2 [seguindo a sugestão de Cohen (1988) para um efeito pequeno]. Assim, </w:t>
      </w:r>
      <w:proofErr w:type="spellStart"/>
      <w:r w:rsidRPr="0096752A">
        <w:rPr>
          <w:rFonts w:ascii="Candara Italic" w:hAnsi="Candara Italic"/>
          <w:sz w:val="20"/>
          <w:lang w:val="pt-PT"/>
        </w:rPr>
        <w:t>N</w:t>
      </w:r>
      <w:r w:rsidRPr="0096752A">
        <w:rPr>
          <w:rFonts w:ascii="Candara Italic" w:hAnsi="Candara Italic"/>
          <w:sz w:val="20"/>
          <w:vertAlign w:val="subscript"/>
          <w:lang w:val="pt-PT"/>
        </w:rPr>
        <w:t>fs</w:t>
      </w:r>
      <w:proofErr w:type="spellEnd"/>
      <w:r w:rsidRPr="0096752A">
        <w:rPr>
          <w:rFonts w:ascii="Candara" w:hAnsi="Candara"/>
          <w:sz w:val="20"/>
          <w:lang w:val="pt-PT"/>
        </w:rPr>
        <w:t xml:space="preserve"> calcula o número necessário de estudos hipotéticos para ultrapassar um valor de 0,2.</w:t>
      </w:r>
    </w:p>
    <w:p w:rsidR="00D9179F" w:rsidRPr="0096752A" w:rsidRDefault="00D9179F" w:rsidP="00D9179F">
      <w:pPr>
        <w:pStyle w:val="Ttulo11"/>
        <w:spacing w:before="0" w:line="276" w:lineRule="auto"/>
        <w:rPr>
          <w:rFonts w:ascii="Candara Bold" w:hAnsi="Candara Bold"/>
          <w:sz w:val="22"/>
        </w:rPr>
      </w:pPr>
    </w:p>
    <w:p w:rsidR="00D9179F" w:rsidRPr="0096752A" w:rsidRDefault="00D9179F" w:rsidP="008A6989">
      <w:pPr>
        <w:pStyle w:val="Ttulo11"/>
        <w:spacing w:before="0" w:line="240" w:lineRule="auto"/>
        <w:rPr>
          <w:rFonts w:ascii="Candara Bold" w:hAnsi="Candara Bold"/>
          <w:sz w:val="22"/>
        </w:rPr>
      </w:pPr>
      <w:r w:rsidRPr="0096752A">
        <w:rPr>
          <w:rFonts w:ascii="Candara Bold" w:hAnsi="Candara Bold"/>
          <w:sz w:val="22"/>
        </w:rPr>
        <w:t>Necessidade de Interpretar os Tamanhos do Efeito no Contexto de Variáveis da Realidade</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Quando se apresentam os aspetos quantitativos dos TDE, há que depois perceber o significado prático desses valores através de uma análise qualitativa que descreva a importância dos resultados no seu contexto (</w:t>
      </w:r>
      <w:proofErr w:type="spellStart"/>
      <w:r w:rsidRPr="0096752A">
        <w:rPr>
          <w:rFonts w:ascii="Candara" w:hAnsi="Candara"/>
          <w:sz w:val="20"/>
          <w:lang w:val="pt-PT"/>
        </w:rPr>
        <w:t>Aguinis</w:t>
      </w:r>
      <w:proofErr w:type="spellEnd"/>
      <w:r w:rsidRPr="0096752A">
        <w:rPr>
          <w:rFonts w:ascii="Candara" w:hAnsi="Candara"/>
          <w:sz w:val="20"/>
          <w:lang w:val="pt-PT"/>
        </w:rPr>
        <w:t xml:space="preserve">, 2010; </w:t>
      </w:r>
      <w:proofErr w:type="spellStart"/>
      <w:r w:rsidRPr="0096752A">
        <w:rPr>
          <w:rFonts w:ascii="Candara" w:hAnsi="Candara"/>
          <w:sz w:val="20"/>
          <w:lang w:val="pt-PT"/>
        </w:rPr>
        <w:t>Lipsey</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2012). Assim, um pequeno TDE pode ter consequências importantes, como, por exemplo, o de uma intervenção que diminua a taxa de suicídio (</w:t>
      </w:r>
      <w:proofErr w:type="spellStart"/>
      <w:r w:rsidRPr="0096752A">
        <w:rPr>
          <w:rFonts w:ascii="Candara" w:hAnsi="Candara"/>
          <w:sz w:val="20"/>
          <w:lang w:val="pt-PT"/>
        </w:rPr>
        <w:t>Lakens</w:t>
      </w:r>
      <w:proofErr w:type="spellEnd"/>
      <w:r w:rsidRPr="0096752A">
        <w:rPr>
          <w:rFonts w:ascii="Candara" w:hAnsi="Candara"/>
          <w:sz w:val="20"/>
          <w:lang w:val="pt-PT"/>
        </w:rPr>
        <w:t xml:space="preserve">, 2013). </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Repare-se no exemplo que apresentámos na secção anterior sobre a influência do sexo nos comportamentos de risco e </w:t>
      </w:r>
      <w:proofErr w:type="spellStart"/>
      <w:r w:rsidRPr="0096752A">
        <w:rPr>
          <w:rFonts w:ascii="Candara" w:hAnsi="Candara"/>
          <w:sz w:val="20"/>
          <w:lang w:val="pt-PT"/>
        </w:rPr>
        <w:t>auto-dano</w:t>
      </w:r>
      <w:proofErr w:type="spellEnd"/>
      <w:r w:rsidRPr="0096752A">
        <w:rPr>
          <w:rFonts w:ascii="Candara" w:hAnsi="Candara"/>
          <w:sz w:val="20"/>
          <w:lang w:val="pt-PT"/>
        </w:rPr>
        <w:t xml:space="preserve"> em adolescentes. O que significa a classificação de </w:t>
      </w:r>
      <w:r w:rsidRPr="0096752A">
        <w:rPr>
          <w:rFonts w:ascii="Candara Italic" w:hAnsi="Candara Italic"/>
          <w:sz w:val="20"/>
          <w:lang w:val="pt-PT"/>
        </w:rPr>
        <w:t>moderado</w:t>
      </w:r>
      <w:r w:rsidRPr="0096752A">
        <w:rPr>
          <w:rFonts w:ascii="Candara" w:hAnsi="Candara"/>
          <w:sz w:val="20"/>
          <w:lang w:val="pt-PT"/>
        </w:rPr>
        <w:t xml:space="preserve"> (</w:t>
      </w:r>
      <w:r w:rsidRPr="0096752A">
        <w:rPr>
          <w:rFonts w:ascii="Candara Italic" w:hAnsi="Candara Italic"/>
          <w:sz w:val="20"/>
          <w:lang w:val="pt-PT"/>
        </w:rPr>
        <w:t>d</w:t>
      </w:r>
      <w:r w:rsidRPr="0096752A">
        <w:rPr>
          <w:rFonts w:ascii="Candara" w:hAnsi="Candara"/>
          <w:sz w:val="20"/>
          <w:lang w:val="pt-PT"/>
        </w:rPr>
        <w:t xml:space="preserve"> = 0,498) numa métrica que não tem um significado direto? Este valor, como é habitual quando se usam questionários, não é, nem diretamente interpretável, nem significativo na </w:t>
      </w:r>
      <w:r w:rsidRPr="0096752A">
        <w:rPr>
          <w:rFonts w:ascii="Candara Italic" w:hAnsi="Candara Italic"/>
          <w:sz w:val="20"/>
          <w:lang w:val="pt-PT"/>
        </w:rPr>
        <w:t>prática</w:t>
      </w:r>
      <w:r w:rsidRPr="0096752A">
        <w:rPr>
          <w:rFonts w:ascii="Candara" w:hAnsi="Candara"/>
          <w:sz w:val="20"/>
          <w:lang w:val="pt-PT"/>
        </w:rPr>
        <w:t xml:space="preserve"> (</w:t>
      </w:r>
      <w:proofErr w:type="spellStart"/>
      <w:r w:rsidRPr="0096752A">
        <w:rPr>
          <w:rFonts w:ascii="Candara" w:hAnsi="Candara"/>
          <w:sz w:val="20"/>
          <w:lang w:val="pt-PT"/>
        </w:rPr>
        <w:t>Kirk</w:t>
      </w:r>
      <w:proofErr w:type="spellEnd"/>
      <w:r w:rsidRPr="0096752A">
        <w:rPr>
          <w:rFonts w:ascii="Candara" w:hAnsi="Candara"/>
          <w:sz w:val="20"/>
          <w:lang w:val="pt-PT"/>
        </w:rPr>
        <w:t xml:space="preserve">, 1996). A classificação também não nos responde à questão de saber se a diferença é relevante </w:t>
      </w:r>
      <w:r w:rsidRPr="0096752A">
        <w:rPr>
          <w:rFonts w:ascii="Candara Italic" w:hAnsi="Candara Italic"/>
          <w:sz w:val="20"/>
          <w:lang w:val="pt-PT"/>
        </w:rPr>
        <w:t>clinicamente</w:t>
      </w:r>
      <w:r w:rsidRPr="0096752A">
        <w:rPr>
          <w:rFonts w:ascii="Candara" w:hAnsi="Candara"/>
          <w:sz w:val="20"/>
          <w:lang w:val="pt-PT"/>
        </w:rPr>
        <w:t xml:space="preserve"> (</w:t>
      </w:r>
      <w:proofErr w:type="spellStart"/>
      <w:r w:rsidRPr="0096752A">
        <w:rPr>
          <w:rFonts w:ascii="Candara" w:hAnsi="Candara"/>
          <w:sz w:val="20"/>
          <w:lang w:val="pt-PT"/>
        </w:rPr>
        <w:t>Jacobson</w:t>
      </w:r>
      <w:proofErr w:type="spellEnd"/>
      <w:r w:rsidRPr="0096752A">
        <w:rPr>
          <w:rFonts w:ascii="Candara" w:hAnsi="Candara"/>
          <w:sz w:val="20"/>
          <w:lang w:val="pt-PT"/>
        </w:rPr>
        <w:t xml:space="preserve"> e </w:t>
      </w:r>
      <w:proofErr w:type="spellStart"/>
      <w:r w:rsidRPr="0096752A">
        <w:rPr>
          <w:rFonts w:ascii="Candara" w:hAnsi="Candara"/>
          <w:sz w:val="20"/>
          <w:lang w:val="pt-PT"/>
        </w:rPr>
        <w:t>Truax</w:t>
      </w:r>
      <w:proofErr w:type="spellEnd"/>
      <w:r w:rsidRPr="0096752A">
        <w:rPr>
          <w:rFonts w:ascii="Candara" w:hAnsi="Candara"/>
          <w:sz w:val="20"/>
          <w:lang w:val="pt-PT"/>
        </w:rPr>
        <w:t>, 1991)</w:t>
      </w:r>
      <w:r w:rsidRPr="0096752A">
        <w:rPr>
          <w:rFonts w:ascii="Candara" w:hAnsi="Candara"/>
          <w:sz w:val="20"/>
          <w:vertAlign w:val="superscript"/>
        </w:rPr>
        <w:endnoteReference w:id="16"/>
      </w:r>
      <w:r w:rsidRPr="0096752A">
        <w:rPr>
          <w:rFonts w:ascii="Candara" w:hAnsi="Candara"/>
          <w:sz w:val="20"/>
          <w:lang w:val="pt-PT"/>
        </w:rPr>
        <w:t xml:space="preserve">. </w:t>
      </w:r>
    </w:p>
    <w:p w:rsidR="00D9179F" w:rsidRPr="0096752A" w:rsidRDefault="00D9179F" w:rsidP="00D9179F">
      <w:pPr>
        <w:pStyle w:val="FormalivreA"/>
        <w:spacing w:line="276" w:lineRule="auto"/>
        <w:ind w:firstLine="426"/>
        <w:jc w:val="both"/>
        <w:rPr>
          <w:rFonts w:ascii="Candara" w:hAnsi="Candara"/>
          <w:sz w:val="18"/>
          <w:lang w:val="pt-PT"/>
        </w:rPr>
      </w:pPr>
      <w:r w:rsidRPr="0096752A">
        <w:rPr>
          <w:rFonts w:ascii="Candara" w:hAnsi="Candara"/>
          <w:sz w:val="20"/>
          <w:lang w:val="pt-PT"/>
        </w:rPr>
        <w:t xml:space="preserve">Tome-se agora outro exemplo de intervenção, mas em neuropsicologia: reuniu-se uma amostra de idosos com declínio cognitivo sem demência e aplicou-se a metade </w:t>
      </w:r>
      <w:proofErr w:type="gramStart"/>
      <w:r w:rsidRPr="0096752A">
        <w:rPr>
          <w:rFonts w:ascii="Candara" w:hAnsi="Candara"/>
          <w:sz w:val="20"/>
          <w:lang w:val="pt-PT"/>
        </w:rPr>
        <w:t>desses</w:t>
      </w:r>
      <w:proofErr w:type="gramEnd"/>
      <w:r w:rsidRPr="0096752A">
        <w:rPr>
          <w:rFonts w:ascii="Candara" w:hAnsi="Candara"/>
          <w:sz w:val="20"/>
          <w:lang w:val="pt-PT"/>
        </w:rPr>
        <w:t xml:space="preserve"> idosos </w:t>
      </w:r>
      <w:proofErr w:type="gramStart"/>
      <w:r w:rsidRPr="0096752A">
        <w:rPr>
          <w:rFonts w:ascii="Candara" w:hAnsi="Candara"/>
          <w:sz w:val="20"/>
          <w:lang w:val="pt-PT"/>
        </w:rPr>
        <w:t>um</w:t>
      </w:r>
      <w:proofErr w:type="gramEnd"/>
      <w:r w:rsidRPr="0096752A">
        <w:rPr>
          <w:rFonts w:ascii="Candara" w:hAnsi="Candara"/>
          <w:sz w:val="20"/>
          <w:lang w:val="pt-PT"/>
        </w:rPr>
        <w:t xml:space="preserve"> programa de reabilitação </w:t>
      </w:r>
      <w:proofErr w:type="spellStart"/>
      <w:r w:rsidRPr="0096752A">
        <w:rPr>
          <w:rFonts w:ascii="Candara" w:hAnsi="Candara"/>
          <w:sz w:val="20"/>
          <w:lang w:val="pt-PT"/>
        </w:rPr>
        <w:t>neuropsicológica</w:t>
      </w:r>
      <w:proofErr w:type="spellEnd"/>
      <w:r w:rsidRPr="0096752A">
        <w:rPr>
          <w:rFonts w:ascii="Candara" w:hAnsi="Candara"/>
          <w:sz w:val="20"/>
          <w:lang w:val="pt-PT"/>
        </w:rPr>
        <w:t xml:space="preserve"> (a outra metade ficou em lista de espera). Calculou-se o TDE nas pontuações de uma escala depressiva entre o grupo de intervenção e o grupo de comparação e obteve-se um valor de 0,20 (Lemos </w:t>
      </w:r>
      <w:proofErr w:type="spellStart"/>
      <w:r w:rsidRPr="0096752A">
        <w:rPr>
          <w:rFonts w:ascii="Candara" w:hAnsi="Candara"/>
          <w:sz w:val="20"/>
          <w:lang w:val="pt-PT"/>
        </w:rPr>
        <w:t>et</w:t>
      </w:r>
      <w:proofErr w:type="spellEnd"/>
      <w:r w:rsidRPr="0096752A">
        <w:rPr>
          <w:rFonts w:ascii="Candara" w:hAnsi="Candara"/>
          <w:sz w:val="20"/>
          <w:lang w:val="pt-PT"/>
        </w:rPr>
        <w:t xml:space="preserve"> al., 2014). Este pequeno valor significa que 58% dos idosos do grupo de intervenção ficaram acima da média dos idosos do grupo de controlo. Quanto ao NNT, </w:t>
      </w:r>
      <w:proofErr w:type="gramStart"/>
      <w:r w:rsidRPr="0096752A">
        <w:rPr>
          <w:rFonts w:ascii="Candara" w:hAnsi="Candara"/>
          <w:sz w:val="20"/>
          <w:lang w:val="pt-PT"/>
        </w:rPr>
        <w:t xml:space="preserve">para </w:t>
      </w:r>
      <w:r w:rsidRPr="0096752A">
        <w:rPr>
          <w:sz w:val="22"/>
          <w:lang w:val="pt-PT"/>
        </w:rPr>
        <w:t xml:space="preserve"> </w:t>
      </w:r>
      <w:r w:rsidRPr="0096752A">
        <w:rPr>
          <w:rFonts w:ascii="Candara" w:hAnsi="Candara"/>
          <w:sz w:val="20"/>
          <w:lang w:val="pt-PT"/>
        </w:rPr>
        <w:t>se</w:t>
      </w:r>
      <w:proofErr w:type="gramEnd"/>
      <w:r w:rsidRPr="0096752A">
        <w:rPr>
          <w:rFonts w:ascii="Candara" w:hAnsi="Candara"/>
          <w:sz w:val="20"/>
          <w:lang w:val="pt-PT"/>
        </w:rPr>
        <w:t xml:space="preserve"> ter mais um resultado favorável no grupo de intervenção em contraste com o grupo de comparação, seria preciso</w:t>
      </w:r>
      <w:r w:rsidRPr="0096752A">
        <w:rPr>
          <w:sz w:val="22"/>
          <w:lang w:val="pt-PT"/>
        </w:rPr>
        <w:t xml:space="preserve"> </w:t>
      </w:r>
      <w:r w:rsidRPr="0096752A">
        <w:rPr>
          <w:rFonts w:ascii="Candara" w:hAnsi="Candara"/>
          <w:sz w:val="20"/>
          <w:lang w:val="pt-PT"/>
        </w:rPr>
        <w:t xml:space="preserve">integrar no programa de reabilitação 16,5 pessoas. O que significa que se 100 pessoas forem integradas no programa de tratamento, 6,1 mais pessoas tenderão a ter um resultado favorável comparado com o que teriam se não tivessem reabilitação </w:t>
      </w:r>
      <w:proofErr w:type="spellStart"/>
      <w:r w:rsidRPr="0096752A">
        <w:rPr>
          <w:rFonts w:ascii="Candara" w:hAnsi="Candara"/>
          <w:sz w:val="20"/>
          <w:lang w:val="pt-PT"/>
        </w:rPr>
        <w:t>neuropsicológic</w:t>
      </w:r>
      <w:proofErr w:type="spellEnd"/>
      <w:r w:rsidRPr="0096752A">
        <w:rPr>
          <w:sz w:val="22"/>
          <w:lang w:val="pt-PT"/>
        </w:rPr>
        <w:t xml:space="preserve"> </w:t>
      </w:r>
      <w:r w:rsidR="00EC39AF">
        <w:rPr>
          <w:rFonts w:ascii="Candara" w:hAnsi="Candara"/>
          <w:sz w:val="20"/>
          <w:lang w:val="pt-PT"/>
        </w:rPr>
        <w:t>a (c</w:t>
      </w:r>
      <w:r w:rsidRPr="0096752A">
        <w:rPr>
          <w:rFonts w:ascii="Candara" w:hAnsi="Candara"/>
          <w:sz w:val="20"/>
          <w:lang w:val="pt-PT"/>
        </w:rPr>
        <w:t>f. Tabela 4)</w:t>
      </w:r>
      <w:r w:rsidRPr="0096752A">
        <w:rPr>
          <w:rFonts w:ascii="Candara" w:hAnsi="Candara"/>
          <w:sz w:val="20"/>
          <w:vertAlign w:val="superscript"/>
        </w:rPr>
        <w:endnoteReference w:id="17"/>
      </w:r>
      <w:r w:rsidRPr="0096752A">
        <w:rPr>
          <w:rFonts w:ascii="Candara" w:hAnsi="Candara"/>
          <w:sz w:val="20"/>
          <w:lang w:val="pt-PT"/>
        </w:rPr>
        <w:t xml:space="preserve">. Quando comparamos o TDE obtido com o de um estudo de intervenção equivalente (0,04; </w:t>
      </w:r>
      <w:proofErr w:type="spellStart"/>
      <w:r w:rsidRPr="0096752A">
        <w:rPr>
          <w:rFonts w:ascii="Candara" w:hAnsi="Candara"/>
          <w:sz w:val="20"/>
          <w:lang w:val="pt-PT"/>
        </w:rPr>
        <w:t>Liesbeth</w:t>
      </w:r>
      <w:proofErr w:type="spellEnd"/>
      <w:r w:rsidRPr="0096752A">
        <w:rPr>
          <w:rFonts w:ascii="Candara" w:hAnsi="Candara"/>
          <w:sz w:val="20"/>
          <w:lang w:val="pt-PT"/>
        </w:rPr>
        <w:t xml:space="preserve"> </w:t>
      </w:r>
      <w:proofErr w:type="spellStart"/>
      <w:r w:rsidRPr="0096752A">
        <w:rPr>
          <w:rFonts w:ascii="Candara" w:hAnsi="Candara"/>
          <w:sz w:val="20"/>
          <w:lang w:val="pt-PT"/>
        </w:rPr>
        <w:t>et</w:t>
      </w:r>
      <w:proofErr w:type="spellEnd"/>
      <w:r w:rsidRPr="0096752A">
        <w:rPr>
          <w:rFonts w:ascii="Candara" w:hAnsi="Candara"/>
          <w:sz w:val="20"/>
          <w:lang w:val="pt-PT"/>
        </w:rPr>
        <w:t xml:space="preserve"> al., 2011), percebemos que a eficácia do programa português </w:t>
      </w:r>
      <w:r w:rsidRPr="0096752A">
        <w:rPr>
          <w:rFonts w:ascii="Candara" w:hAnsi="Candara"/>
          <w:sz w:val="20"/>
          <w:lang w:val="pt-PT"/>
        </w:rPr>
        <w:lastRenderedPageBreak/>
        <w:t xml:space="preserve">foi maior. Podemos especular porquê. Terá sido o tipo de intervenção? A duração da reabilitação? Apesar de não se ficar a perceber qual o real impacto na vida do </w:t>
      </w:r>
      <w:proofErr w:type="gramStart"/>
      <w:r w:rsidRPr="0096752A">
        <w:rPr>
          <w:rFonts w:ascii="Candara" w:hAnsi="Candara"/>
          <w:sz w:val="20"/>
          <w:lang w:val="pt-PT"/>
        </w:rPr>
        <w:t>dia a dia</w:t>
      </w:r>
      <w:proofErr w:type="gramEnd"/>
      <w:r w:rsidRPr="0096752A">
        <w:rPr>
          <w:rFonts w:ascii="Candara" w:hAnsi="Candara"/>
          <w:sz w:val="20"/>
          <w:lang w:val="pt-PT"/>
        </w:rPr>
        <w:t xml:space="preserve"> dos participantes no estudo, se nos cingirmos somente à significância estatística, não poderíamos então comparar com outros estudos, e teríamos menos dados para equacionar novas hipóteses a testar.</w:t>
      </w:r>
    </w:p>
    <w:p w:rsidR="00D9179F"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 xml:space="preserve"> </w:t>
      </w:r>
    </w:p>
    <w:p w:rsidR="0019297E" w:rsidRPr="0096752A" w:rsidRDefault="0019297E" w:rsidP="00D9179F">
      <w:pPr>
        <w:pStyle w:val="FormalivreA"/>
        <w:spacing w:line="276" w:lineRule="auto"/>
        <w:ind w:firstLine="426"/>
        <w:jc w:val="both"/>
        <w:rPr>
          <w:rFonts w:ascii="Candara" w:hAnsi="Candara"/>
          <w:sz w:val="20"/>
          <w:lang w:val="pt-PT"/>
        </w:rPr>
      </w:pPr>
    </w:p>
    <w:p w:rsidR="00D9179F" w:rsidRPr="0096752A" w:rsidRDefault="00D9179F" w:rsidP="00D9179F">
      <w:pPr>
        <w:pStyle w:val="Ttulo1"/>
        <w:spacing w:line="276" w:lineRule="auto"/>
        <w:ind w:firstLine="426"/>
        <w:rPr>
          <w:rFonts w:ascii="Candara" w:eastAsiaTheme="minorEastAsia" w:hAnsi="Candara" w:cs="Mangal"/>
          <w:b/>
          <w:color w:val="0A615E"/>
          <w:sz w:val="24"/>
          <w:szCs w:val="14"/>
        </w:rPr>
      </w:pPr>
      <w:r w:rsidRPr="0096752A">
        <w:rPr>
          <w:rFonts w:ascii="Candara" w:eastAsiaTheme="minorEastAsia" w:hAnsi="Candara" w:cs="Mangal"/>
          <w:b/>
          <w:color w:val="0A615E"/>
          <w:sz w:val="24"/>
          <w:szCs w:val="14"/>
        </w:rPr>
        <w:t>CONCLUSÕES</w:t>
      </w:r>
    </w:p>
    <w:p w:rsidR="00D9179F" w:rsidRPr="0096752A" w:rsidRDefault="00D9179F" w:rsidP="00D9179F">
      <w:pPr>
        <w:pStyle w:val="FormalivreA"/>
        <w:spacing w:line="276" w:lineRule="auto"/>
        <w:ind w:firstLine="426"/>
        <w:jc w:val="both"/>
        <w:rPr>
          <w:rFonts w:ascii="Candara" w:hAnsi="Candara"/>
          <w:sz w:val="20"/>
          <w:lang w:val="pt-PT"/>
        </w:rPr>
      </w:pPr>
      <w:r w:rsidRPr="0096752A">
        <w:rPr>
          <w:rFonts w:ascii="Candara" w:hAnsi="Candara"/>
          <w:sz w:val="20"/>
          <w:lang w:val="pt-PT"/>
        </w:rPr>
        <w:t>Devido às limitações dos testes estatísticos e do valor de</w:t>
      </w:r>
      <w:r w:rsidRPr="0096752A">
        <w:rPr>
          <w:rFonts w:ascii="Candara" w:hAnsi="Candara"/>
          <w:i/>
          <w:sz w:val="20"/>
          <w:u w:color="00B050"/>
          <w:lang w:val="pt-PT"/>
        </w:rPr>
        <w:t xml:space="preserve"> p </w:t>
      </w:r>
      <w:r w:rsidRPr="0096752A">
        <w:rPr>
          <w:rFonts w:ascii="Candara" w:hAnsi="Candara"/>
          <w:sz w:val="20"/>
          <w:lang w:val="pt-PT"/>
        </w:rPr>
        <w:t xml:space="preserve">para informar sobre o real significado dos resultados de investigação, desde há muito que se defende que se apresentem os tamanhos de efeito. Vimos que é possível existir uma diferença “não-significativa”, sem que isso seja o mesmo que ter um “não-efeito”. Descrevemos também como é rara a apresentação destes efeitos. Provavelmente isso deve-se ao facto de poucos investigadores terem uma ideia clara de como proceder ou interpretá-los </w:t>
      </w:r>
      <w:proofErr w:type="spellStart"/>
      <w:r w:rsidRPr="0096752A">
        <w:rPr>
          <w:rFonts w:ascii="Candara" w:hAnsi="Candara"/>
          <w:sz w:val="20"/>
          <w:lang w:val="pt-PT"/>
        </w:rPr>
        <w:t>Zakzanis</w:t>
      </w:r>
      <w:proofErr w:type="spellEnd"/>
      <w:r w:rsidRPr="0096752A">
        <w:rPr>
          <w:rFonts w:ascii="Candara" w:hAnsi="Candara"/>
          <w:sz w:val="20"/>
          <w:lang w:val="pt-PT"/>
        </w:rPr>
        <w:t xml:space="preserve"> (2001). Neste artigo, não só argumentamos a importância de apresentar as magnitudes do efeito no cálculo das diferenças, como mostrámos também as fórmulas para a sua computação acompanhadas por uma folha de cálculo em </w:t>
      </w:r>
      <w:proofErr w:type="spellStart"/>
      <w:r w:rsidRPr="0096752A">
        <w:rPr>
          <w:rFonts w:ascii="Candara" w:hAnsi="Candara"/>
          <w:sz w:val="20"/>
          <w:lang w:val="pt-PT"/>
        </w:rPr>
        <w:t>excel</w:t>
      </w:r>
      <w:proofErr w:type="spellEnd"/>
      <w:r w:rsidRPr="0096752A">
        <w:rPr>
          <w:rFonts w:ascii="Candara" w:hAnsi="Candara"/>
          <w:sz w:val="20"/>
          <w:lang w:val="pt-PT"/>
        </w:rPr>
        <w:t xml:space="preserve"> para agilizar o processo. Vimos ainda como interpretar estes tamanhos em termos de </w:t>
      </w:r>
      <w:r w:rsidRPr="0096752A">
        <w:rPr>
          <w:rFonts w:ascii="Candara Italic" w:hAnsi="Candara Italic"/>
          <w:sz w:val="20"/>
          <w:lang w:val="pt-PT"/>
        </w:rPr>
        <w:t xml:space="preserve">linguagem comum </w:t>
      </w:r>
      <w:r w:rsidRPr="0096752A">
        <w:rPr>
          <w:rFonts w:ascii="Candara" w:hAnsi="Candara"/>
          <w:sz w:val="20"/>
          <w:lang w:val="pt-PT"/>
        </w:rPr>
        <w:t xml:space="preserve">e em termos </w:t>
      </w:r>
      <w:proofErr w:type="spellStart"/>
      <w:r w:rsidRPr="0096752A">
        <w:rPr>
          <w:rFonts w:ascii="Candara" w:hAnsi="Candara"/>
          <w:sz w:val="20"/>
          <w:lang w:val="pt-PT"/>
        </w:rPr>
        <w:t>percentílicos</w:t>
      </w:r>
      <w:proofErr w:type="spellEnd"/>
      <w:r w:rsidRPr="0096752A">
        <w:rPr>
          <w:rFonts w:ascii="Candara" w:hAnsi="Candara"/>
          <w:sz w:val="20"/>
          <w:lang w:val="pt-PT"/>
        </w:rPr>
        <w:t>. Defendemos também a importância de interpretar as magnitudes do efeito no contexto do estudo, em vez de recorrer imediatamente às classificações propostas por Cohen, e de procurar extrapolar o seu significado para a realidade.</w:t>
      </w:r>
    </w:p>
    <w:p w:rsidR="00D9179F" w:rsidRPr="0096752A" w:rsidRDefault="00D9179F" w:rsidP="00D9179F">
      <w:pPr>
        <w:pStyle w:val="FormalivreA"/>
        <w:spacing w:after="180" w:line="276" w:lineRule="auto"/>
        <w:ind w:firstLine="426"/>
        <w:jc w:val="both"/>
        <w:rPr>
          <w:rFonts w:ascii="Candara" w:hAnsi="Candara"/>
          <w:sz w:val="20"/>
        </w:rPr>
      </w:pPr>
      <w:r w:rsidRPr="0096752A">
        <w:rPr>
          <w:rFonts w:ascii="Candara" w:hAnsi="Candara"/>
          <w:sz w:val="20"/>
          <w:lang w:val="pt-PT"/>
        </w:rPr>
        <w:t xml:space="preserve">Em síntese, apresentar e interpretar </w:t>
      </w:r>
      <w:proofErr w:type="spellStart"/>
      <w:r w:rsidRPr="0096752A">
        <w:rPr>
          <w:rFonts w:ascii="Candara" w:hAnsi="Candara"/>
          <w:sz w:val="20"/>
          <w:lang w:val="pt-PT"/>
        </w:rPr>
        <w:t>TDEs</w:t>
      </w:r>
      <w:proofErr w:type="spellEnd"/>
      <w:r w:rsidRPr="0096752A">
        <w:rPr>
          <w:rFonts w:ascii="Candara" w:hAnsi="Candara"/>
          <w:sz w:val="20"/>
          <w:lang w:val="pt-PT"/>
        </w:rPr>
        <w:t xml:space="preserve"> não deve ser visto como mais uma barreira a ultrapassar no mundo editorial (</w:t>
      </w:r>
      <w:proofErr w:type="spellStart"/>
      <w:r w:rsidRPr="0096752A">
        <w:rPr>
          <w:rFonts w:ascii="Candara" w:hAnsi="Candara"/>
          <w:sz w:val="20"/>
          <w:lang w:val="pt-PT"/>
        </w:rPr>
        <w:t>Durlak</w:t>
      </w:r>
      <w:proofErr w:type="spellEnd"/>
      <w:r w:rsidRPr="0096752A">
        <w:rPr>
          <w:rFonts w:ascii="Candara" w:hAnsi="Candara"/>
          <w:sz w:val="20"/>
          <w:lang w:val="pt-PT"/>
        </w:rPr>
        <w:t xml:space="preserve">, 2009). Ainda assim, as autoras deste artigo esperam que os autores da RPICS passem a incluir e a interpretar os TDE nas investigações em que tal seja apropriado e que este artigo forneça as diretrizes necessárias e suficientes para esse propósito. </w:t>
      </w:r>
      <w:proofErr w:type="gramStart"/>
      <w:r w:rsidRPr="0096752A">
        <w:rPr>
          <w:rFonts w:ascii="Candara" w:hAnsi="Candara"/>
          <w:sz w:val="20"/>
        </w:rPr>
        <w:t xml:space="preserve">A </w:t>
      </w:r>
      <w:proofErr w:type="spellStart"/>
      <w:r w:rsidRPr="0096752A">
        <w:rPr>
          <w:rFonts w:ascii="Candara" w:hAnsi="Candara"/>
          <w:sz w:val="20"/>
        </w:rPr>
        <w:t>súmula</w:t>
      </w:r>
      <w:proofErr w:type="spellEnd"/>
      <w:r w:rsidRPr="0096752A">
        <w:rPr>
          <w:rFonts w:ascii="Candara" w:hAnsi="Candara"/>
          <w:sz w:val="20"/>
        </w:rPr>
        <w:t xml:space="preserve"> </w:t>
      </w:r>
      <w:proofErr w:type="spellStart"/>
      <w:r w:rsidRPr="0096752A">
        <w:rPr>
          <w:rFonts w:ascii="Candara" w:hAnsi="Candara"/>
          <w:sz w:val="20"/>
        </w:rPr>
        <w:t>dessas</w:t>
      </w:r>
      <w:proofErr w:type="spellEnd"/>
      <w:r w:rsidRPr="0096752A">
        <w:rPr>
          <w:rFonts w:ascii="Candara" w:hAnsi="Candara"/>
          <w:sz w:val="20"/>
        </w:rPr>
        <w:t xml:space="preserve"> </w:t>
      </w:r>
      <w:proofErr w:type="spellStart"/>
      <w:r w:rsidRPr="0096752A">
        <w:rPr>
          <w:rFonts w:ascii="Candara" w:hAnsi="Candara"/>
          <w:sz w:val="20"/>
        </w:rPr>
        <w:t>diretrizes</w:t>
      </w:r>
      <w:proofErr w:type="spellEnd"/>
      <w:r w:rsidRPr="0096752A">
        <w:rPr>
          <w:rFonts w:ascii="Candara" w:hAnsi="Candara"/>
          <w:sz w:val="20"/>
        </w:rPr>
        <w:t xml:space="preserve"> é </w:t>
      </w:r>
      <w:proofErr w:type="spellStart"/>
      <w:r w:rsidRPr="0096752A">
        <w:rPr>
          <w:rFonts w:ascii="Candara" w:hAnsi="Candara"/>
          <w:sz w:val="20"/>
        </w:rPr>
        <w:t>apresentada</w:t>
      </w:r>
      <w:proofErr w:type="spellEnd"/>
      <w:r w:rsidRPr="0096752A">
        <w:rPr>
          <w:rFonts w:ascii="Candara" w:hAnsi="Candara"/>
          <w:sz w:val="20"/>
        </w:rPr>
        <w:t xml:space="preserve"> no </w:t>
      </w:r>
      <w:proofErr w:type="spellStart"/>
      <w:r w:rsidRPr="0096752A">
        <w:rPr>
          <w:rFonts w:ascii="Candara" w:hAnsi="Candara"/>
          <w:sz w:val="20"/>
        </w:rPr>
        <w:t>Quadro</w:t>
      </w:r>
      <w:proofErr w:type="spellEnd"/>
      <w:r w:rsidRPr="0096752A">
        <w:rPr>
          <w:rFonts w:ascii="Candara" w:hAnsi="Candara"/>
          <w:sz w:val="20"/>
        </w:rPr>
        <w:t xml:space="preserve"> 1.</w:t>
      </w:r>
      <w:proofErr w:type="gramEnd"/>
    </w:p>
    <w:p w:rsidR="00EE31CC" w:rsidRDefault="00EE31CC" w:rsidP="00D9179F">
      <w:pPr>
        <w:pStyle w:val="FormalivreA"/>
        <w:spacing w:after="180" w:line="276" w:lineRule="auto"/>
        <w:ind w:firstLine="426"/>
        <w:jc w:val="both"/>
        <w:rPr>
          <w:rFonts w:ascii="Candara" w:hAnsi="Candara"/>
          <w:sz w:val="20"/>
        </w:rPr>
      </w:pPr>
    </w:p>
    <w:p w:rsidR="008A6989" w:rsidRDefault="008A6989" w:rsidP="00D9179F">
      <w:pPr>
        <w:pStyle w:val="FormalivreA"/>
        <w:spacing w:after="180" w:line="276" w:lineRule="auto"/>
        <w:ind w:firstLine="426"/>
        <w:jc w:val="both"/>
        <w:rPr>
          <w:rFonts w:ascii="Candara" w:hAnsi="Candara"/>
          <w:sz w:val="20"/>
        </w:rPr>
      </w:pPr>
    </w:p>
    <w:p w:rsidR="0019297E" w:rsidRDefault="0019297E" w:rsidP="00D9179F">
      <w:pPr>
        <w:pStyle w:val="FormalivreA"/>
        <w:spacing w:after="180" w:line="276" w:lineRule="auto"/>
        <w:ind w:firstLine="426"/>
        <w:jc w:val="both"/>
        <w:rPr>
          <w:rFonts w:ascii="Candara" w:hAnsi="Candara"/>
          <w:sz w:val="20"/>
        </w:rPr>
      </w:pPr>
    </w:p>
    <w:p w:rsidR="0019297E" w:rsidRDefault="0019297E" w:rsidP="00D9179F">
      <w:pPr>
        <w:pStyle w:val="FormalivreA"/>
        <w:spacing w:after="180" w:line="276" w:lineRule="auto"/>
        <w:ind w:firstLine="426"/>
        <w:jc w:val="both"/>
        <w:rPr>
          <w:rFonts w:ascii="Candara" w:hAnsi="Candara"/>
          <w:sz w:val="20"/>
        </w:rPr>
      </w:pPr>
    </w:p>
    <w:p w:rsidR="0019297E" w:rsidRDefault="0019297E" w:rsidP="00D9179F">
      <w:pPr>
        <w:pStyle w:val="FormalivreA"/>
        <w:spacing w:after="180" w:line="276" w:lineRule="auto"/>
        <w:ind w:firstLine="426"/>
        <w:jc w:val="both"/>
        <w:rPr>
          <w:rFonts w:ascii="Candara" w:hAnsi="Candara"/>
          <w:sz w:val="20"/>
        </w:rPr>
      </w:pPr>
    </w:p>
    <w:p w:rsidR="0019297E" w:rsidRPr="0096752A" w:rsidRDefault="0019297E" w:rsidP="00D9179F">
      <w:pPr>
        <w:pStyle w:val="FormalivreA"/>
        <w:spacing w:after="180" w:line="276" w:lineRule="auto"/>
        <w:ind w:firstLine="426"/>
        <w:jc w:val="both"/>
        <w:rPr>
          <w:rFonts w:ascii="Candara" w:hAnsi="Candara"/>
          <w:sz w:val="20"/>
        </w:rPr>
      </w:pPr>
    </w:p>
    <w:tbl>
      <w:tblPr>
        <w:tblW w:w="0" w:type="auto"/>
        <w:tblLayout w:type="fixed"/>
        <w:tblLook w:val="0000"/>
      </w:tblPr>
      <w:tblGrid>
        <w:gridCol w:w="4575"/>
      </w:tblGrid>
      <w:tr w:rsidR="00D9179F" w:rsidRPr="0096752A" w:rsidTr="001B2B5F">
        <w:trPr>
          <w:cantSplit/>
          <w:trHeight w:val="930"/>
        </w:trPr>
        <w:tc>
          <w:tcPr>
            <w:tcW w:w="4575" w:type="dxa"/>
            <w:tcBorders>
              <w:top w:val="none" w:sz="8" w:space="0" w:color="000000"/>
              <w:left w:val="none" w:sz="8" w:space="0" w:color="000000"/>
              <w:bottom w:val="single" w:sz="12" w:space="0" w:color="7F7F7F" w:themeColor="text1" w:themeTint="80"/>
              <w:right w:val="none" w:sz="8" w:space="0" w:color="000000"/>
            </w:tcBorders>
            <w:shd w:val="clear" w:color="auto" w:fill="auto"/>
            <w:tcMar>
              <w:top w:w="0" w:type="dxa"/>
              <w:left w:w="0" w:type="dxa"/>
              <w:bottom w:w="0" w:type="dxa"/>
              <w:right w:w="0" w:type="dxa"/>
            </w:tcMar>
            <w:vAlign w:val="center"/>
          </w:tcPr>
          <w:p w:rsidR="00D9179F" w:rsidRPr="0096752A" w:rsidRDefault="00D9179F" w:rsidP="00432573">
            <w:pPr>
              <w:pStyle w:val="FormalivreA"/>
              <w:jc w:val="both"/>
              <w:rPr>
                <w:rFonts w:ascii="Candara" w:hAnsi="Candara"/>
                <w:b/>
                <w:spacing w:val="11"/>
                <w:sz w:val="20"/>
                <w:lang w:val="pt-PT"/>
              </w:rPr>
            </w:pPr>
            <w:r w:rsidRPr="0096752A">
              <w:rPr>
                <w:rFonts w:ascii="Candara" w:hAnsi="Candara"/>
                <w:b/>
                <w:spacing w:val="11"/>
                <w:sz w:val="20"/>
                <w:lang w:val="pt-PT"/>
              </w:rPr>
              <w:lastRenderedPageBreak/>
              <w:t>Quadro 1</w:t>
            </w:r>
          </w:p>
          <w:p w:rsidR="00D9179F" w:rsidRPr="0096752A" w:rsidRDefault="00D9179F" w:rsidP="00432573">
            <w:pPr>
              <w:pStyle w:val="FormalivreA"/>
              <w:jc w:val="both"/>
              <w:rPr>
                <w:rFonts w:ascii="Candara Italic" w:hAnsi="Candara Italic"/>
                <w:spacing w:val="11"/>
                <w:sz w:val="22"/>
                <w:lang w:val="pt-PT"/>
              </w:rPr>
            </w:pPr>
            <w:r w:rsidRPr="0096752A">
              <w:rPr>
                <w:rFonts w:ascii="Candara Italic" w:hAnsi="Candara Italic"/>
                <w:spacing w:val="11"/>
                <w:sz w:val="20"/>
                <w:lang w:val="pt-PT"/>
              </w:rPr>
              <w:t>Diretrizes para Apresentar e Interpretar os Tamanhos do Efeito (TDE)</w:t>
            </w:r>
          </w:p>
        </w:tc>
      </w:tr>
      <w:tr w:rsidR="00D9179F" w:rsidRPr="0096752A" w:rsidTr="001B2B5F">
        <w:trPr>
          <w:cantSplit/>
          <w:trHeight w:val="6544"/>
        </w:trPr>
        <w:tc>
          <w:tcPr>
            <w:tcW w:w="4575" w:type="dxa"/>
            <w:tcBorders>
              <w:top w:val="single" w:sz="12" w:space="0" w:color="7F7F7F" w:themeColor="text1" w:themeTint="80"/>
              <w:bottom w:val="single" w:sz="12" w:space="0" w:color="7F7F7F" w:themeColor="text1" w:themeTint="80"/>
            </w:tcBorders>
            <w:shd w:val="clear" w:color="auto" w:fill="auto"/>
            <w:tcMar>
              <w:top w:w="0" w:type="dxa"/>
              <w:left w:w="0" w:type="dxa"/>
              <w:bottom w:w="0" w:type="dxa"/>
              <w:right w:w="0" w:type="dxa"/>
            </w:tcMar>
            <w:vAlign w:val="center"/>
          </w:tcPr>
          <w:p w:rsidR="00D9179F" w:rsidRPr="0096752A" w:rsidRDefault="00D9179F" w:rsidP="00EE31CC">
            <w:pPr>
              <w:pStyle w:val="FormalivreA"/>
              <w:numPr>
                <w:ilvl w:val="0"/>
                <w:numId w:val="1"/>
              </w:numPr>
              <w:spacing w:after="40"/>
              <w:ind w:hanging="380"/>
              <w:jc w:val="both"/>
              <w:rPr>
                <w:rFonts w:ascii="Candara" w:hAnsi="Candara"/>
                <w:spacing w:val="8"/>
                <w:sz w:val="18"/>
                <w:szCs w:val="18"/>
                <w:lang w:val="pt-PT"/>
              </w:rPr>
            </w:pPr>
            <w:r w:rsidRPr="0096752A">
              <w:rPr>
                <w:rFonts w:ascii="Candara" w:hAnsi="Candara"/>
                <w:spacing w:val="8"/>
                <w:sz w:val="18"/>
                <w:szCs w:val="18"/>
                <w:lang w:val="pt-PT"/>
              </w:rPr>
              <w:t>Escolher o TDE mais adequado ao tamanho da amostra de cada grupo</w:t>
            </w:r>
          </w:p>
          <w:p w:rsidR="00D9179F" w:rsidRPr="0096752A" w:rsidRDefault="00D9179F" w:rsidP="00EE31CC">
            <w:pPr>
              <w:pStyle w:val="FormalivreA"/>
              <w:numPr>
                <w:ilvl w:val="0"/>
                <w:numId w:val="1"/>
              </w:numPr>
              <w:spacing w:after="40"/>
              <w:ind w:hanging="380"/>
              <w:jc w:val="both"/>
              <w:rPr>
                <w:rFonts w:ascii="Candara" w:hAnsi="Candara"/>
                <w:spacing w:val="8"/>
                <w:sz w:val="18"/>
                <w:szCs w:val="18"/>
                <w:lang w:val="pt-PT"/>
              </w:rPr>
            </w:pPr>
            <w:r w:rsidRPr="0096752A">
              <w:rPr>
                <w:rFonts w:ascii="Candara" w:hAnsi="Candara"/>
                <w:spacing w:val="8"/>
                <w:sz w:val="18"/>
                <w:szCs w:val="18"/>
                <w:lang w:val="pt-PT"/>
              </w:rPr>
              <w:t>Indicar os dados descritivos básicos (média e desvio-padrão)</w:t>
            </w:r>
          </w:p>
          <w:p w:rsidR="00D9179F" w:rsidRPr="0096752A" w:rsidRDefault="00D9179F" w:rsidP="00EE31CC">
            <w:pPr>
              <w:pStyle w:val="FormalivreA"/>
              <w:numPr>
                <w:ilvl w:val="0"/>
                <w:numId w:val="1"/>
              </w:numPr>
              <w:spacing w:after="40"/>
              <w:ind w:hanging="380"/>
              <w:jc w:val="both"/>
              <w:rPr>
                <w:rFonts w:ascii="Candara" w:hAnsi="Candara"/>
                <w:spacing w:val="8"/>
                <w:sz w:val="18"/>
                <w:szCs w:val="18"/>
                <w:lang w:val="pt-PT"/>
              </w:rPr>
            </w:pPr>
            <w:r w:rsidRPr="0096752A">
              <w:rPr>
                <w:rFonts w:ascii="Candara" w:hAnsi="Candara"/>
                <w:spacing w:val="8"/>
                <w:sz w:val="18"/>
                <w:szCs w:val="18"/>
                <w:lang w:val="pt-PT"/>
              </w:rPr>
              <w:t>Calcular o TDE, independentemente dos resultados serem ou não significativos</w:t>
            </w:r>
          </w:p>
          <w:p w:rsidR="00D9179F" w:rsidRPr="0096752A" w:rsidRDefault="00D9179F" w:rsidP="00EE31CC">
            <w:pPr>
              <w:pStyle w:val="FormalivreA"/>
              <w:numPr>
                <w:ilvl w:val="0"/>
                <w:numId w:val="1"/>
              </w:numPr>
              <w:spacing w:after="40"/>
              <w:ind w:hanging="380"/>
              <w:jc w:val="both"/>
              <w:rPr>
                <w:rFonts w:ascii="Candara" w:hAnsi="Candara"/>
                <w:spacing w:val="8"/>
                <w:sz w:val="18"/>
                <w:szCs w:val="18"/>
                <w:lang w:val="pt-PT"/>
              </w:rPr>
            </w:pPr>
            <w:r w:rsidRPr="0096752A">
              <w:rPr>
                <w:rFonts w:ascii="Candara" w:hAnsi="Candara"/>
                <w:spacing w:val="8"/>
                <w:sz w:val="18"/>
                <w:szCs w:val="18"/>
                <w:lang w:val="pt-PT"/>
              </w:rPr>
              <w:t>Designar o tipo de TDE usado, indicar as referências apropriadas e/ou apresentar a equação</w:t>
            </w:r>
          </w:p>
          <w:p w:rsidR="00D9179F" w:rsidRPr="0096752A" w:rsidRDefault="00D9179F" w:rsidP="00EE31CC">
            <w:pPr>
              <w:pStyle w:val="FormalivreA"/>
              <w:numPr>
                <w:ilvl w:val="0"/>
                <w:numId w:val="1"/>
              </w:numPr>
              <w:spacing w:after="40"/>
              <w:ind w:hanging="380"/>
              <w:jc w:val="both"/>
              <w:rPr>
                <w:rFonts w:ascii="Candara" w:hAnsi="Candara"/>
                <w:spacing w:val="8"/>
                <w:sz w:val="18"/>
                <w:szCs w:val="18"/>
                <w:lang w:val="pt-PT"/>
              </w:rPr>
            </w:pPr>
            <w:r w:rsidRPr="0096752A">
              <w:rPr>
                <w:rFonts w:ascii="Candara" w:hAnsi="Candara"/>
                <w:spacing w:val="8"/>
                <w:sz w:val="18"/>
                <w:szCs w:val="18"/>
                <w:lang w:val="pt-PT"/>
              </w:rPr>
              <w:t>Calcular o Intervalo de confiança a 95% para o TDE</w:t>
            </w:r>
          </w:p>
          <w:p w:rsidR="00D9179F" w:rsidRPr="0096752A" w:rsidRDefault="00D9179F" w:rsidP="00EE31CC">
            <w:pPr>
              <w:pStyle w:val="FormalivreA"/>
              <w:numPr>
                <w:ilvl w:val="0"/>
                <w:numId w:val="1"/>
              </w:numPr>
              <w:spacing w:after="40"/>
              <w:ind w:hanging="380"/>
              <w:jc w:val="both"/>
              <w:rPr>
                <w:rFonts w:ascii="Candara" w:hAnsi="Candara"/>
                <w:spacing w:val="8"/>
                <w:sz w:val="18"/>
                <w:szCs w:val="18"/>
                <w:lang w:val="pt-PT"/>
              </w:rPr>
            </w:pPr>
            <w:r w:rsidRPr="0096752A">
              <w:rPr>
                <w:rFonts w:ascii="Candara" w:hAnsi="Candara"/>
                <w:spacing w:val="8"/>
                <w:sz w:val="18"/>
                <w:szCs w:val="18"/>
                <w:lang w:val="pt-PT"/>
              </w:rPr>
              <w:t xml:space="preserve">Classificar o TDE de acordo com os critérios de Cohen (1988) e de </w:t>
            </w:r>
            <w:proofErr w:type="spellStart"/>
            <w:r w:rsidRPr="0096752A">
              <w:rPr>
                <w:rFonts w:ascii="Candara" w:hAnsi="Candara"/>
                <w:spacing w:val="8"/>
                <w:sz w:val="18"/>
                <w:szCs w:val="18"/>
                <w:lang w:val="pt-PT"/>
              </w:rPr>
              <w:t>Rosenthal</w:t>
            </w:r>
            <w:proofErr w:type="spellEnd"/>
            <w:r w:rsidRPr="0096752A">
              <w:rPr>
                <w:rFonts w:ascii="Candara" w:hAnsi="Candara"/>
                <w:spacing w:val="8"/>
                <w:sz w:val="18"/>
                <w:szCs w:val="18"/>
                <w:lang w:val="pt-PT"/>
              </w:rPr>
              <w:t xml:space="preserve"> (1996)</w:t>
            </w:r>
          </w:p>
          <w:p w:rsidR="00D9179F" w:rsidRPr="0096752A" w:rsidRDefault="00D9179F" w:rsidP="00EE31CC">
            <w:pPr>
              <w:pStyle w:val="FormalivreA"/>
              <w:numPr>
                <w:ilvl w:val="0"/>
                <w:numId w:val="1"/>
              </w:numPr>
              <w:spacing w:after="40"/>
              <w:ind w:hanging="380"/>
              <w:jc w:val="both"/>
              <w:rPr>
                <w:rFonts w:ascii="Candara" w:hAnsi="Candara"/>
                <w:spacing w:val="8"/>
                <w:sz w:val="18"/>
                <w:szCs w:val="18"/>
                <w:lang w:val="pt-PT"/>
              </w:rPr>
            </w:pPr>
            <w:r w:rsidRPr="0096752A">
              <w:rPr>
                <w:rFonts w:ascii="Candara" w:hAnsi="Candara"/>
                <w:spacing w:val="8"/>
                <w:sz w:val="18"/>
                <w:szCs w:val="18"/>
                <w:lang w:val="pt-PT"/>
              </w:rPr>
              <w:t>Interpretar o TDE em linguagem comum (uma das seguintes hipóteses)</w:t>
            </w:r>
          </w:p>
          <w:p w:rsidR="00D9179F" w:rsidRPr="0096752A" w:rsidRDefault="00D9179F" w:rsidP="00EE31CC">
            <w:pPr>
              <w:pStyle w:val="FormalivreA"/>
              <w:numPr>
                <w:ilvl w:val="1"/>
                <w:numId w:val="2"/>
              </w:numPr>
              <w:tabs>
                <w:tab w:val="clear" w:pos="378"/>
                <w:tab w:val="num" w:pos="661"/>
              </w:tabs>
              <w:spacing w:after="40"/>
              <w:ind w:left="661" w:hanging="380"/>
              <w:jc w:val="both"/>
              <w:rPr>
                <w:rFonts w:ascii="Candara" w:hAnsi="Candara"/>
                <w:spacing w:val="8"/>
                <w:sz w:val="18"/>
                <w:szCs w:val="18"/>
              </w:rPr>
            </w:pPr>
            <w:r w:rsidRPr="0096752A">
              <w:rPr>
                <w:rFonts w:ascii="Candara" w:hAnsi="Candara"/>
                <w:spacing w:val="8"/>
                <w:sz w:val="18"/>
                <w:szCs w:val="18"/>
              </w:rPr>
              <w:t xml:space="preserve">Converter </w:t>
            </w:r>
            <w:proofErr w:type="spellStart"/>
            <w:r w:rsidRPr="0096752A">
              <w:rPr>
                <w:rFonts w:ascii="Candara" w:hAnsi="Candara"/>
                <w:spacing w:val="8"/>
                <w:sz w:val="18"/>
                <w:szCs w:val="18"/>
              </w:rPr>
              <w:t>em</w:t>
            </w:r>
            <w:proofErr w:type="spellEnd"/>
            <w:r w:rsidRPr="0096752A">
              <w:rPr>
                <w:rFonts w:ascii="Candara" w:hAnsi="Candara"/>
                <w:spacing w:val="8"/>
                <w:sz w:val="18"/>
                <w:szCs w:val="18"/>
              </w:rPr>
              <w:t xml:space="preserve"> </w:t>
            </w:r>
            <w:proofErr w:type="spellStart"/>
            <w:r w:rsidRPr="0096752A">
              <w:rPr>
                <w:rFonts w:ascii="Candara" w:hAnsi="Candara"/>
                <w:spacing w:val="8"/>
                <w:sz w:val="18"/>
                <w:szCs w:val="18"/>
              </w:rPr>
              <w:t>percentis</w:t>
            </w:r>
            <w:proofErr w:type="spellEnd"/>
          </w:p>
          <w:p w:rsidR="00D9179F" w:rsidRPr="0096752A" w:rsidRDefault="00D9179F" w:rsidP="00EE31CC">
            <w:pPr>
              <w:pStyle w:val="FormalivreA"/>
              <w:numPr>
                <w:ilvl w:val="1"/>
                <w:numId w:val="2"/>
              </w:numPr>
              <w:tabs>
                <w:tab w:val="clear" w:pos="378"/>
                <w:tab w:val="num" w:pos="661"/>
              </w:tabs>
              <w:spacing w:after="40"/>
              <w:ind w:left="661" w:hanging="380"/>
              <w:jc w:val="both"/>
              <w:rPr>
                <w:rFonts w:ascii="Candara" w:hAnsi="Candara"/>
                <w:spacing w:val="8"/>
                <w:sz w:val="18"/>
                <w:szCs w:val="18"/>
              </w:rPr>
            </w:pPr>
            <w:proofErr w:type="spellStart"/>
            <w:r w:rsidRPr="0096752A">
              <w:rPr>
                <w:rFonts w:ascii="Candara" w:hAnsi="Candara"/>
                <w:spacing w:val="8"/>
                <w:sz w:val="18"/>
                <w:szCs w:val="18"/>
              </w:rPr>
              <w:t>Calcular</w:t>
            </w:r>
            <w:proofErr w:type="spellEnd"/>
            <w:r w:rsidRPr="0096752A">
              <w:rPr>
                <w:rFonts w:ascii="Candara" w:hAnsi="Candara"/>
                <w:spacing w:val="8"/>
                <w:sz w:val="18"/>
                <w:szCs w:val="18"/>
              </w:rPr>
              <w:t xml:space="preserve"> a </w:t>
            </w:r>
            <w:proofErr w:type="spellStart"/>
            <w:r w:rsidRPr="0096752A">
              <w:rPr>
                <w:rFonts w:ascii="Candara" w:hAnsi="Candara"/>
                <w:spacing w:val="8"/>
                <w:sz w:val="18"/>
                <w:szCs w:val="18"/>
              </w:rPr>
              <w:t>percentagem</w:t>
            </w:r>
            <w:proofErr w:type="spellEnd"/>
            <w:r w:rsidRPr="0096752A">
              <w:rPr>
                <w:rFonts w:ascii="Candara" w:hAnsi="Candara"/>
                <w:spacing w:val="8"/>
                <w:sz w:val="18"/>
                <w:szCs w:val="18"/>
              </w:rPr>
              <w:t xml:space="preserve"> de </w:t>
            </w:r>
            <w:proofErr w:type="spellStart"/>
            <w:r w:rsidRPr="0096752A">
              <w:rPr>
                <w:rFonts w:ascii="Candara" w:hAnsi="Candara"/>
                <w:spacing w:val="8"/>
                <w:sz w:val="18"/>
                <w:szCs w:val="18"/>
              </w:rPr>
              <w:t>sobreposição</w:t>
            </w:r>
            <w:proofErr w:type="spellEnd"/>
          </w:p>
          <w:p w:rsidR="00D9179F" w:rsidRPr="0096752A" w:rsidRDefault="00D9179F" w:rsidP="00EE31CC">
            <w:pPr>
              <w:pStyle w:val="FormalivreA"/>
              <w:numPr>
                <w:ilvl w:val="1"/>
                <w:numId w:val="2"/>
              </w:numPr>
              <w:tabs>
                <w:tab w:val="clear" w:pos="378"/>
                <w:tab w:val="num" w:pos="661"/>
              </w:tabs>
              <w:spacing w:after="40"/>
              <w:ind w:left="661" w:hanging="380"/>
              <w:jc w:val="both"/>
              <w:rPr>
                <w:rFonts w:ascii="Candara" w:hAnsi="Candara"/>
                <w:spacing w:val="8"/>
                <w:sz w:val="18"/>
                <w:szCs w:val="18"/>
              </w:rPr>
            </w:pPr>
            <w:proofErr w:type="spellStart"/>
            <w:r w:rsidRPr="0096752A">
              <w:rPr>
                <w:rFonts w:ascii="Candara" w:hAnsi="Candara"/>
                <w:spacing w:val="8"/>
                <w:sz w:val="18"/>
                <w:szCs w:val="18"/>
              </w:rPr>
              <w:t>Calcular</w:t>
            </w:r>
            <w:proofErr w:type="spellEnd"/>
            <w:r w:rsidRPr="0096752A">
              <w:rPr>
                <w:rFonts w:ascii="Candara" w:hAnsi="Candara"/>
                <w:spacing w:val="8"/>
                <w:sz w:val="18"/>
                <w:szCs w:val="18"/>
              </w:rPr>
              <w:t xml:space="preserve"> a </w:t>
            </w:r>
            <w:proofErr w:type="spellStart"/>
            <w:r w:rsidRPr="0096752A">
              <w:rPr>
                <w:rFonts w:ascii="Candara" w:hAnsi="Candara"/>
                <w:spacing w:val="8"/>
                <w:sz w:val="18"/>
                <w:szCs w:val="18"/>
              </w:rPr>
              <w:t>probabilidade</w:t>
            </w:r>
            <w:proofErr w:type="spellEnd"/>
            <w:r w:rsidRPr="0096752A">
              <w:rPr>
                <w:rFonts w:ascii="Candara" w:hAnsi="Candara"/>
                <w:spacing w:val="8"/>
                <w:sz w:val="18"/>
                <w:szCs w:val="18"/>
              </w:rPr>
              <w:t xml:space="preserve"> de </w:t>
            </w:r>
            <w:proofErr w:type="spellStart"/>
            <w:r w:rsidRPr="0096752A">
              <w:rPr>
                <w:rFonts w:ascii="Candara" w:hAnsi="Candara"/>
                <w:spacing w:val="8"/>
                <w:sz w:val="18"/>
                <w:szCs w:val="18"/>
              </w:rPr>
              <w:t>superioridade</w:t>
            </w:r>
            <w:proofErr w:type="spellEnd"/>
          </w:p>
          <w:p w:rsidR="00D9179F" w:rsidRPr="0096752A" w:rsidRDefault="00D9179F" w:rsidP="00EE31CC">
            <w:pPr>
              <w:pStyle w:val="FormalivreA"/>
              <w:numPr>
                <w:ilvl w:val="0"/>
                <w:numId w:val="3"/>
              </w:numPr>
              <w:spacing w:after="40"/>
              <w:ind w:hanging="380"/>
              <w:jc w:val="both"/>
              <w:rPr>
                <w:rFonts w:ascii="Candara" w:hAnsi="Candara"/>
                <w:spacing w:val="8"/>
                <w:sz w:val="18"/>
                <w:szCs w:val="18"/>
                <w:lang w:val="pt-PT"/>
              </w:rPr>
            </w:pPr>
            <w:r w:rsidRPr="0096752A">
              <w:rPr>
                <w:rFonts w:ascii="Candara" w:hAnsi="Candara"/>
                <w:spacing w:val="8"/>
                <w:sz w:val="18"/>
                <w:szCs w:val="18"/>
                <w:lang w:val="pt-PT"/>
              </w:rPr>
              <w:t>Interpretar o TDE no contexto da área de investigação</w:t>
            </w:r>
          </w:p>
          <w:p w:rsidR="00D9179F" w:rsidRPr="0096752A" w:rsidRDefault="00D9179F" w:rsidP="00EE31CC">
            <w:pPr>
              <w:pStyle w:val="FormalivreA"/>
              <w:numPr>
                <w:ilvl w:val="1"/>
                <w:numId w:val="4"/>
              </w:numPr>
              <w:tabs>
                <w:tab w:val="clear" w:pos="378"/>
                <w:tab w:val="num" w:pos="661"/>
              </w:tabs>
              <w:spacing w:after="40"/>
              <w:ind w:left="661" w:hanging="380"/>
              <w:jc w:val="both"/>
              <w:rPr>
                <w:rFonts w:ascii="Candara" w:hAnsi="Candara"/>
                <w:spacing w:val="8"/>
                <w:sz w:val="18"/>
                <w:szCs w:val="18"/>
                <w:lang w:val="pt-PT"/>
              </w:rPr>
            </w:pPr>
            <w:r w:rsidRPr="0096752A">
              <w:rPr>
                <w:rFonts w:ascii="Candara" w:hAnsi="Candara"/>
                <w:spacing w:val="8"/>
                <w:sz w:val="18"/>
                <w:szCs w:val="18"/>
                <w:lang w:val="pt-PT"/>
              </w:rPr>
              <w:t>Rever a literatura, optando por estudos com planeamento e métodos de cálculo do TDE semelhantes</w:t>
            </w:r>
          </w:p>
          <w:p w:rsidR="00D9179F" w:rsidRPr="0096752A" w:rsidRDefault="00D9179F" w:rsidP="00EE31CC">
            <w:pPr>
              <w:pStyle w:val="FormalivreA"/>
              <w:numPr>
                <w:ilvl w:val="1"/>
                <w:numId w:val="4"/>
              </w:numPr>
              <w:tabs>
                <w:tab w:val="clear" w:pos="378"/>
                <w:tab w:val="num" w:pos="661"/>
              </w:tabs>
              <w:spacing w:after="40"/>
              <w:ind w:left="661" w:hanging="380"/>
              <w:jc w:val="both"/>
              <w:rPr>
                <w:rFonts w:ascii="Candara" w:hAnsi="Candara"/>
                <w:spacing w:val="8"/>
                <w:sz w:val="18"/>
                <w:szCs w:val="18"/>
                <w:lang w:val="pt-PT"/>
              </w:rPr>
            </w:pPr>
            <w:r w:rsidRPr="0096752A">
              <w:rPr>
                <w:rFonts w:ascii="Candara" w:hAnsi="Candara"/>
                <w:spacing w:val="8"/>
                <w:sz w:val="18"/>
                <w:szCs w:val="18"/>
                <w:lang w:val="pt-PT"/>
              </w:rPr>
              <w:t xml:space="preserve">Calcular os </w:t>
            </w:r>
            <w:proofErr w:type="spellStart"/>
            <w:r w:rsidRPr="0096752A">
              <w:rPr>
                <w:rFonts w:ascii="Candara" w:hAnsi="Candara"/>
                <w:spacing w:val="8"/>
                <w:sz w:val="18"/>
                <w:szCs w:val="18"/>
                <w:lang w:val="pt-PT"/>
              </w:rPr>
              <w:t>TDEs</w:t>
            </w:r>
            <w:proofErr w:type="spellEnd"/>
            <w:r w:rsidRPr="0096752A">
              <w:rPr>
                <w:rFonts w:ascii="Candara" w:hAnsi="Candara"/>
                <w:spacing w:val="8"/>
                <w:sz w:val="18"/>
                <w:szCs w:val="18"/>
                <w:lang w:val="pt-PT"/>
              </w:rPr>
              <w:t xml:space="preserve"> dos estudos revistos quando ausentes </w:t>
            </w:r>
          </w:p>
          <w:p w:rsidR="00D9179F" w:rsidRPr="0096752A" w:rsidRDefault="00D9179F" w:rsidP="00EE31CC">
            <w:pPr>
              <w:pStyle w:val="FormalivreA"/>
              <w:numPr>
                <w:ilvl w:val="0"/>
                <w:numId w:val="5"/>
              </w:numPr>
              <w:spacing w:after="40"/>
              <w:ind w:hanging="380"/>
              <w:jc w:val="both"/>
              <w:rPr>
                <w:rFonts w:ascii="Candara" w:hAnsi="Candara"/>
                <w:spacing w:val="8"/>
                <w:sz w:val="18"/>
                <w:szCs w:val="18"/>
                <w:lang w:val="pt-PT"/>
              </w:rPr>
            </w:pPr>
            <w:r w:rsidRPr="0096752A">
              <w:rPr>
                <w:rFonts w:ascii="Candara" w:hAnsi="Candara"/>
                <w:spacing w:val="8"/>
                <w:sz w:val="18"/>
                <w:szCs w:val="18"/>
                <w:lang w:val="pt-PT"/>
              </w:rPr>
              <w:t>Interpretar o TDE no contexto de variáveis da Realidade</w:t>
            </w:r>
          </w:p>
        </w:tc>
      </w:tr>
    </w:tbl>
    <w:p w:rsidR="00D9179F" w:rsidRPr="0096752A" w:rsidRDefault="00D9179F" w:rsidP="00D9179F">
      <w:pPr>
        <w:pStyle w:val="FormalivreA"/>
        <w:spacing w:after="180"/>
        <w:ind w:firstLine="567"/>
        <w:jc w:val="both"/>
        <w:rPr>
          <w:rFonts w:ascii="Candara" w:hAnsi="Candara"/>
          <w:sz w:val="22"/>
          <w:lang w:val="pt-PT"/>
        </w:rPr>
      </w:pPr>
    </w:p>
    <w:p w:rsidR="00D9179F" w:rsidRPr="0096752A" w:rsidRDefault="00D9179F" w:rsidP="00D9179F">
      <w:pPr>
        <w:pStyle w:val="Ttulo1"/>
        <w:rPr>
          <w:rFonts w:ascii="Candara" w:eastAsiaTheme="minorEastAsia" w:hAnsi="Candara" w:cs="Mangal"/>
          <w:b/>
          <w:color w:val="0A615E"/>
          <w:sz w:val="24"/>
          <w:szCs w:val="14"/>
        </w:rPr>
      </w:pPr>
    </w:p>
    <w:p w:rsidR="00D9179F" w:rsidRPr="0096752A" w:rsidRDefault="00D9179F" w:rsidP="00D9179F">
      <w:pPr>
        <w:pStyle w:val="Ttulo1"/>
        <w:rPr>
          <w:rFonts w:ascii="Candara" w:eastAsiaTheme="minorEastAsia" w:hAnsi="Candara" w:cs="Mangal"/>
          <w:b/>
          <w:color w:val="0A615E"/>
          <w:sz w:val="24"/>
          <w:szCs w:val="14"/>
        </w:rPr>
      </w:pPr>
      <w:r w:rsidRPr="0096752A">
        <w:rPr>
          <w:rFonts w:ascii="Candara" w:eastAsiaTheme="minorEastAsia" w:hAnsi="Candara" w:cs="Mangal"/>
          <w:b/>
          <w:color w:val="0A615E"/>
          <w:sz w:val="24"/>
          <w:szCs w:val="14"/>
        </w:rPr>
        <w:t>REFERÊNCIAS</w:t>
      </w:r>
    </w:p>
    <w:p w:rsidR="00D9179F" w:rsidRPr="0096752A" w:rsidRDefault="00D9179F" w:rsidP="00D9179F">
      <w:pPr>
        <w:pStyle w:val="FormalivreA"/>
        <w:spacing w:after="60"/>
        <w:ind w:left="426" w:hanging="426"/>
        <w:jc w:val="both"/>
        <w:rPr>
          <w:rFonts w:ascii="Candara" w:hAnsi="Candara"/>
          <w:sz w:val="18"/>
          <w:szCs w:val="16"/>
          <w:lang w:val="de-AT"/>
        </w:rPr>
      </w:pPr>
      <w:proofErr w:type="spellStart"/>
      <w:r w:rsidRPr="0096752A">
        <w:rPr>
          <w:rFonts w:ascii="Candara" w:hAnsi="Candara"/>
          <w:sz w:val="18"/>
          <w:szCs w:val="16"/>
          <w:lang w:val="pt-PT"/>
        </w:rPr>
        <w:t>Acion</w:t>
      </w:r>
      <w:proofErr w:type="spellEnd"/>
      <w:r w:rsidRPr="0096752A">
        <w:rPr>
          <w:rFonts w:ascii="Candara" w:hAnsi="Candara"/>
          <w:sz w:val="18"/>
          <w:szCs w:val="16"/>
          <w:lang w:val="pt-PT"/>
        </w:rPr>
        <w:t xml:space="preserve">, L., Peterson, J. J., </w:t>
      </w:r>
      <w:proofErr w:type="spellStart"/>
      <w:r w:rsidRPr="0096752A">
        <w:rPr>
          <w:rFonts w:ascii="Candara" w:hAnsi="Candara"/>
          <w:sz w:val="18"/>
          <w:szCs w:val="16"/>
          <w:lang w:val="pt-PT"/>
        </w:rPr>
        <w:t>Temple</w:t>
      </w:r>
      <w:proofErr w:type="spellEnd"/>
      <w:r w:rsidRPr="0096752A">
        <w:rPr>
          <w:rFonts w:ascii="Candara" w:hAnsi="Candara"/>
          <w:sz w:val="18"/>
          <w:szCs w:val="16"/>
          <w:lang w:val="pt-PT"/>
        </w:rPr>
        <w:t xml:space="preserve">, S. e </w:t>
      </w:r>
      <w:proofErr w:type="spellStart"/>
      <w:r w:rsidRPr="0096752A">
        <w:rPr>
          <w:rFonts w:ascii="Candara" w:hAnsi="Candara"/>
          <w:sz w:val="18"/>
          <w:szCs w:val="16"/>
          <w:lang w:val="pt-PT"/>
        </w:rPr>
        <w:t>Arndt</w:t>
      </w:r>
      <w:proofErr w:type="spellEnd"/>
      <w:r w:rsidRPr="0096752A">
        <w:rPr>
          <w:rFonts w:ascii="Candara" w:hAnsi="Candara"/>
          <w:sz w:val="18"/>
          <w:szCs w:val="16"/>
          <w:lang w:val="pt-PT"/>
        </w:rPr>
        <w:t xml:space="preserve">, S. (2006). </w:t>
      </w:r>
      <w:r w:rsidRPr="0096752A">
        <w:rPr>
          <w:rFonts w:ascii="Candara" w:hAnsi="Candara"/>
          <w:sz w:val="18"/>
          <w:szCs w:val="16"/>
        </w:rPr>
        <w:t xml:space="preserve">Probabilistic index: an intuitive non-parametric approach to measuring the size of treatment effects. </w:t>
      </w:r>
      <w:r w:rsidRPr="0096752A">
        <w:rPr>
          <w:rFonts w:ascii="Candara Italic" w:hAnsi="Candara Italic"/>
          <w:sz w:val="18"/>
          <w:szCs w:val="16"/>
          <w:lang w:val="de-AT"/>
        </w:rPr>
        <w:t>Statistics in Medicine</w:t>
      </w:r>
      <w:r w:rsidRPr="0096752A">
        <w:rPr>
          <w:rFonts w:ascii="Candara" w:hAnsi="Candara"/>
          <w:sz w:val="18"/>
          <w:szCs w:val="16"/>
          <w:lang w:val="de-AT"/>
        </w:rPr>
        <w:t xml:space="preserve">, </w:t>
      </w:r>
      <w:r w:rsidRPr="0096752A">
        <w:rPr>
          <w:rFonts w:ascii="Candara Italic" w:hAnsi="Candara Italic"/>
          <w:sz w:val="18"/>
          <w:szCs w:val="16"/>
          <w:lang w:val="de-AT"/>
        </w:rPr>
        <w:t>25</w:t>
      </w:r>
      <w:r w:rsidRPr="0096752A">
        <w:rPr>
          <w:rFonts w:ascii="Candara" w:hAnsi="Candara"/>
          <w:sz w:val="18"/>
          <w:szCs w:val="16"/>
          <w:lang w:val="de-AT"/>
        </w:rPr>
        <w:t>(4), 591–602. doi:10.1002/sim.2256</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t xml:space="preserve">Aguinis, H., Werner, S., Abbott, J. L., Angert, C., Park, J. H. e Kohlhausen, D. (2010). </w:t>
      </w:r>
      <w:r w:rsidRPr="0096752A">
        <w:rPr>
          <w:rFonts w:ascii="Candara" w:hAnsi="Candara"/>
          <w:sz w:val="18"/>
          <w:szCs w:val="16"/>
        </w:rPr>
        <w:t xml:space="preserve">Customer-centric science: Reporting significant research results with rigor, relevance, and practical impact in mind. </w:t>
      </w:r>
      <w:r w:rsidRPr="0096752A">
        <w:rPr>
          <w:rFonts w:ascii="Candara Italic" w:hAnsi="Candara Italic"/>
          <w:sz w:val="18"/>
          <w:szCs w:val="16"/>
        </w:rPr>
        <w:t>Organizational Research Methods</w:t>
      </w:r>
      <w:r w:rsidRPr="0096752A">
        <w:rPr>
          <w:rFonts w:ascii="Candara" w:hAnsi="Candara"/>
          <w:sz w:val="18"/>
          <w:szCs w:val="16"/>
        </w:rPr>
        <w:t xml:space="preserve">, </w:t>
      </w:r>
      <w:r w:rsidRPr="0096752A">
        <w:rPr>
          <w:rFonts w:ascii="Candara Italic" w:hAnsi="Candara Italic"/>
          <w:sz w:val="18"/>
          <w:szCs w:val="16"/>
        </w:rPr>
        <w:t>13</w:t>
      </w:r>
      <w:r w:rsidRPr="0096752A">
        <w:rPr>
          <w:rFonts w:ascii="Candara" w:hAnsi="Candara"/>
          <w:sz w:val="18"/>
          <w:szCs w:val="16"/>
        </w:rPr>
        <w:t>(3), 515–539.</w:t>
      </w:r>
    </w:p>
    <w:p w:rsidR="00D9179F" w:rsidRPr="0096752A" w:rsidRDefault="00D9179F" w:rsidP="00D9179F">
      <w:pPr>
        <w:pStyle w:val="FormalivreA"/>
        <w:spacing w:after="60"/>
        <w:ind w:left="426" w:hanging="426"/>
        <w:jc w:val="both"/>
        <w:rPr>
          <w:rFonts w:ascii="Candara" w:hAnsi="Candara"/>
          <w:sz w:val="18"/>
          <w:szCs w:val="16"/>
        </w:rPr>
      </w:pPr>
      <w:proofErr w:type="spellStart"/>
      <w:proofErr w:type="gramStart"/>
      <w:r w:rsidRPr="0096752A">
        <w:rPr>
          <w:rFonts w:ascii="Candara" w:hAnsi="Candara"/>
          <w:sz w:val="18"/>
          <w:szCs w:val="16"/>
        </w:rPr>
        <w:t>Aickin</w:t>
      </w:r>
      <w:proofErr w:type="spellEnd"/>
      <w:r w:rsidRPr="0096752A">
        <w:rPr>
          <w:rFonts w:ascii="Candara" w:hAnsi="Candara"/>
          <w:sz w:val="18"/>
          <w:szCs w:val="16"/>
        </w:rPr>
        <w:t>, M. (2004).</w:t>
      </w:r>
      <w:proofErr w:type="gramEnd"/>
      <w:r w:rsidRPr="0096752A">
        <w:rPr>
          <w:rFonts w:ascii="Candara" w:hAnsi="Candara"/>
          <w:sz w:val="18"/>
          <w:szCs w:val="16"/>
        </w:rPr>
        <w:t xml:space="preserve"> </w:t>
      </w:r>
      <w:proofErr w:type="spellStart"/>
      <w:proofErr w:type="gramStart"/>
      <w:r w:rsidRPr="0096752A">
        <w:rPr>
          <w:rFonts w:ascii="Candara" w:hAnsi="Candara"/>
          <w:sz w:val="18"/>
          <w:szCs w:val="16"/>
        </w:rPr>
        <w:t>Bayes</w:t>
      </w:r>
      <w:proofErr w:type="spellEnd"/>
      <w:r w:rsidRPr="0096752A">
        <w:rPr>
          <w:rFonts w:ascii="Candara" w:hAnsi="Candara"/>
          <w:sz w:val="18"/>
          <w:szCs w:val="16"/>
        </w:rPr>
        <w:t xml:space="preserve"> without priors.</w:t>
      </w:r>
      <w:proofErr w:type="gramEnd"/>
      <w:r w:rsidRPr="0096752A">
        <w:rPr>
          <w:rFonts w:ascii="Candara" w:hAnsi="Candara"/>
          <w:sz w:val="18"/>
          <w:szCs w:val="16"/>
        </w:rPr>
        <w:t xml:space="preserve"> </w:t>
      </w:r>
      <w:r w:rsidRPr="0096752A">
        <w:rPr>
          <w:rFonts w:ascii="Candara Italic" w:hAnsi="Candara Italic"/>
          <w:sz w:val="18"/>
          <w:szCs w:val="16"/>
        </w:rPr>
        <w:t>Journal of Clinical Epidemiology</w:t>
      </w:r>
      <w:r w:rsidRPr="0096752A">
        <w:rPr>
          <w:rFonts w:ascii="Candara" w:hAnsi="Candara"/>
          <w:sz w:val="18"/>
          <w:szCs w:val="16"/>
        </w:rPr>
        <w:t xml:space="preserve">, </w:t>
      </w:r>
      <w:r w:rsidRPr="0096752A">
        <w:rPr>
          <w:rFonts w:ascii="Candara Italic" w:hAnsi="Candara Italic"/>
          <w:sz w:val="18"/>
          <w:szCs w:val="16"/>
        </w:rPr>
        <w:t>57</w:t>
      </w:r>
      <w:r w:rsidRPr="0096752A">
        <w:rPr>
          <w:rFonts w:ascii="Candara" w:hAnsi="Candara"/>
          <w:sz w:val="18"/>
          <w:szCs w:val="16"/>
        </w:rPr>
        <w:t xml:space="preserve">(1), 4–13. </w:t>
      </w:r>
      <w:proofErr w:type="gramStart"/>
      <w:r w:rsidRPr="0096752A">
        <w:rPr>
          <w:rFonts w:ascii="Candara" w:hAnsi="Candara"/>
          <w:sz w:val="18"/>
          <w:szCs w:val="16"/>
        </w:rPr>
        <w:t>doi:</w:t>
      </w:r>
      <w:proofErr w:type="gramEnd"/>
      <w:r w:rsidRPr="0096752A">
        <w:rPr>
          <w:rFonts w:ascii="Candara" w:hAnsi="Candara"/>
          <w:sz w:val="18"/>
          <w:szCs w:val="16"/>
        </w:rPr>
        <w:t>10.1016/S0895-4356(03)00251-8</w:t>
      </w:r>
    </w:p>
    <w:p w:rsidR="00D9179F" w:rsidRPr="0096752A" w:rsidRDefault="00D9179F" w:rsidP="00D9179F">
      <w:pPr>
        <w:pStyle w:val="FormalivreA"/>
        <w:spacing w:after="60"/>
        <w:ind w:left="426" w:hanging="426"/>
        <w:jc w:val="both"/>
        <w:rPr>
          <w:rFonts w:ascii="Candara" w:hAnsi="Candara"/>
          <w:sz w:val="18"/>
          <w:szCs w:val="16"/>
        </w:rPr>
      </w:pPr>
      <w:proofErr w:type="gramStart"/>
      <w:r w:rsidRPr="0096752A">
        <w:rPr>
          <w:rFonts w:ascii="Candara" w:hAnsi="Candara"/>
          <w:sz w:val="18"/>
          <w:szCs w:val="16"/>
        </w:rPr>
        <w:t>American Psychological Association (APA) (2010).</w:t>
      </w:r>
      <w:proofErr w:type="gramEnd"/>
      <w:r w:rsidRPr="0096752A">
        <w:rPr>
          <w:rFonts w:ascii="Candara" w:hAnsi="Candara"/>
          <w:sz w:val="18"/>
          <w:szCs w:val="16"/>
        </w:rPr>
        <w:t xml:space="preserve"> </w:t>
      </w:r>
      <w:r w:rsidRPr="0096752A">
        <w:rPr>
          <w:rFonts w:ascii="Candara Italic" w:hAnsi="Candara Italic"/>
          <w:sz w:val="18"/>
          <w:szCs w:val="16"/>
        </w:rPr>
        <w:t>Publication Manual of the American Psychological Association</w:t>
      </w:r>
      <w:r w:rsidRPr="0096752A">
        <w:rPr>
          <w:rFonts w:ascii="Candara" w:hAnsi="Candara"/>
          <w:sz w:val="18"/>
          <w:szCs w:val="16"/>
        </w:rPr>
        <w:t xml:space="preserve"> (6</w:t>
      </w:r>
      <w:r w:rsidR="00E54D72">
        <w:rPr>
          <w:rFonts w:ascii="Candara" w:hAnsi="Candara"/>
          <w:sz w:val="18"/>
          <w:szCs w:val="16"/>
        </w:rPr>
        <w:t>.ª</w:t>
      </w:r>
      <w:r w:rsidRPr="0096752A">
        <w:rPr>
          <w:rFonts w:ascii="Candara" w:hAnsi="Candara"/>
          <w:sz w:val="18"/>
          <w:szCs w:val="16"/>
        </w:rPr>
        <w:t xml:space="preserve"> </w:t>
      </w:r>
      <w:proofErr w:type="gramStart"/>
      <w:r w:rsidRPr="0096752A">
        <w:rPr>
          <w:rFonts w:ascii="Candara" w:hAnsi="Candara"/>
          <w:sz w:val="18"/>
          <w:szCs w:val="16"/>
        </w:rPr>
        <w:t>ed</w:t>
      </w:r>
      <w:proofErr w:type="gramEnd"/>
      <w:r w:rsidRPr="0096752A">
        <w:rPr>
          <w:rFonts w:ascii="Candara" w:hAnsi="Candara"/>
          <w:sz w:val="18"/>
          <w:szCs w:val="16"/>
        </w:rPr>
        <w:t>.). Washington, DC: APA.</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Andersen, M. B., </w:t>
      </w:r>
      <w:proofErr w:type="spellStart"/>
      <w:r w:rsidRPr="0096752A">
        <w:rPr>
          <w:rFonts w:ascii="Candara" w:hAnsi="Candara"/>
          <w:sz w:val="18"/>
          <w:szCs w:val="16"/>
        </w:rPr>
        <w:t>McCullagh</w:t>
      </w:r>
      <w:proofErr w:type="spellEnd"/>
      <w:r w:rsidRPr="0096752A">
        <w:rPr>
          <w:rFonts w:ascii="Candara" w:hAnsi="Candara"/>
          <w:sz w:val="18"/>
          <w:szCs w:val="16"/>
        </w:rPr>
        <w:t xml:space="preserve">, P. e Wilson, G. J. (2007). But what do the numbers really tell us? Arbitrary metrics and effect size reporting in sport psychology research. </w:t>
      </w:r>
      <w:r w:rsidRPr="0096752A">
        <w:rPr>
          <w:rFonts w:ascii="Candara Italic" w:hAnsi="Candara Italic"/>
          <w:sz w:val="18"/>
          <w:szCs w:val="16"/>
        </w:rPr>
        <w:t>Journal of Sport e Exercise Psychology</w:t>
      </w:r>
      <w:r w:rsidRPr="0096752A">
        <w:rPr>
          <w:rFonts w:ascii="Candara" w:hAnsi="Candara"/>
          <w:sz w:val="18"/>
          <w:szCs w:val="16"/>
        </w:rPr>
        <w:t xml:space="preserve">, </w:t>
      </w:r>
      <w:r w:rsidRPr="0096752A">
        <w:rPr>
          <w:rFonts w:ascii="Candara Italic" w:hAnsi="Candara Italic"/>
          <w:sz w:val="18"/>
          <w:szCs w:val="16"/>
        </w:rPr>
        <w:t>29</w:t>
      </w:r>
      <w:r w:rsidRPr="0096752A">
        <w:rPr>
          <w:rFonts w:ascii="Candara" w:hAnsi="Candara"/>
          <w:sz w:val="18"/>
          <w:szCs w:val="16"/>
        </w:rPr>
        <w:t>(5), 664–672.</w:t>
      </w:r>
    </w:p>
    <w:p w:rsidR="00D9179F" w:rsidRPr="0096752A" w:rsidRDefault="00D9179F" w:rsidP="00D9179F">
      <w:pPr>
        <w:pStyle w:val="FormalivreA"/>
        <w:spacing w:after="60"/>
        <w:ind w:left="426" w:hanging="426"/>
        <w:jc w:val="both"/>
        <w:rPr>
          <w:rFonts w:ascii="Candara" w:hAnsi="Candara"/>
          <w:sz w:val="18"/>
          <w:szCs w:val="16"/>
          <w:lang w:val="de-AT"/>
        </w:rPr>
      </w:pPr>
      <w:proofErr w:type="spellStart"/>
      <w:proofErr w:type="gramStart"/>
      <w:r w:rsidRPr="0096752A">
        <w:rPr>
          <w:rFonts w:ascii="Candara" w:hAnsi="Candara"/>
          <w:sz w:val="18"/>
          <w:szCs w:val="16"/>
        </w:rPr>
        <w:t>Baguley</w:t>
      </w:r>
      <w:proofErr w:type="spellEnd"/>
      <w:r w:rsidRPr="0096752A">
        <w:rPr>
          <w:rFonts w:ascii="Candara" w:hAnsi="Candara"/>
          <w:sz w:val="18"/>
          <w:szCs w:val="16"/>
        </w:rPr>
        <w:t>, T. (2009).</w:t>
      </w:r>
      <w:proofErr w:type="gramEnd"/>
      <w:r w:rsidRPr="0096752A">
        <w:rPr>
          <w:rFonts w:ascii="Candara" w:hAnsi="Candara"/>
          <w:sz w:val="18"/>
          <w:szCs w:val="16"/>
        </w:rPr>
        <w:t xml:space="preserve"> Standardized or simple effect size: What should be reported? </w:t>
      </w:r>
      <w:r w:rsidRPr="0096752A">
        <w:rPr>
          <w:rFonts w:ascii="Candara Italic" w:hAnsi="Candara Italic"/>
          <w:sz w:val="18"/>
          <w:szCs w:val="16"/>
          <w:lang w:val="de-AT"/>
        </w:rPr>
        <w:t>British Journal of Psychology</w:t>
      </w:r>
      <w:r w:rsidRPr="0096752A">
        <w:rPr>
          <w:rFonts w:ascii="Candara" w:hAnsi="Candara"/>
          <w:sz w:val="18"/>
          <w:szCs w:val="16"/>
          <w:lang w:val="de-AT"/>
        </w:rPr>
        <w:t xml:space="preserve">, </w:t>
      </w:r>
      <w:r w:rsidRPr="0096752A">
        <w:rPr>
          <w:rFonts w:ascii="Candara Italic" w:hAnsi="Candara Italic"/>
          <w:sz w:val="18"/>
          <w:szCs w:val="16"/>
          <w:lang w:val="de-AT"/>
        </w:rPr>
        <w:t>100</w:t>
      </w:r>
      <w:r w:rsidRPr="0096752A">
        <w:rPr>
          <w:rFonts w:ascii="Candara" w:hAnsi="Candara"/>
          <w:sz w:val="18"/>
          <w:szCs w:val="16"/>
          <w:lang w:val="de-AT"/>
        </w:rPr>
        <w:t>(3), 603–617.</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lastRenderedPageBreak/>
        <w:t xml:space="preserve">Berben, L., Sereika, S. M. e Engberg, S. (2012). </w:t>
      </w:r>
      <w:r w:rsidRPr="0096752A">
        <w:rPr>
          <w:rFonts w:ascii="Candara" w:hAnsi="Candara"/>
          <w:sz w:val="18"/>
          <w:szCs w:val="16"/>
        </w:rPr>
        <w:t xml:space="preserve">Effect size estimation: methods and examples. </w:t>
      </w:r>
      <w:r w:rsidRPr="0096752A">
        <w:rPr>
          <w:rFonts w:ascii="Candara Italic" w:hAnsi="Candara Italic"/>
          <w:sz w:val="18"/>
          <w:szCs w:val="16"/>
        </w:rPr>
        <w:t>International Journal of Nursing Studies</w:t>
      </w:r>
      <w:r w:rsidRPr="0096752A">
        <w:rPr>
          <w:rFonts w:ascii="Candara" w:hAnsi="Candara"/>
          <w:sz w:val="18"/>
          <w:szCs w:val="16"/>
        </w:rPr>
        <w:t xml:space="preserve">, </w:t>
      </w:r>
      <w:r w:rsidRPr="0096752A">
        <w:rPr>
          <w:rFonts w:ascii="Candara Italic" w:hAnsi="Candara Italic"/>
          <w:sz w:val="18"/>
          <w:szCs w:val="16"/>
        </w:rPr>
        <w:t>49</w:t>
      </w:r>
      <w:r w:rsidRPr="0096752A">
        <w:rPr>
          <w:rFonts w:ascii="Candara" w:hAnsi="Candara"/>
          <w:sz w:val="18"/>
          <w:szCs w:val="16"/>
        </w:rPr>
        <w:t>(8), 1039–1047. doi:10.1016/j.ijnurstu.2012.01.015</w:t>
      </w:r>
    </w:p>
    <w:p w:rsidR="00D9179F" w:rsidRPr="0096752A" w:rsidRDefault="00D9179F" w:rsidP="00D9179F">
      <w:pPr>
        <w:pStyle w:val="FormalivreA"/>
        <w:spacing w:after="60"/>
        <w:ind w:left="426" w:hanging="426"/>
        <w:jc w:val="both"/>
        <w:rPr>
          <w:rFonts w:ascii="Candara" w:hAnsi="Candara"/>
          <w:sz w:val="18"/>
          <w:szCs w:val="16"/>
        </w:rPr>
      </w:pPr>
      <w:r w:rsidRPr="00894C04">
        <w:rPr>
          <w:rFonts w:ascii="Candara" w:hAnsi="Candara"/>
          <w:sz w:val="18"/>
          <w:szCs w:val="16"/>
          <w:lang w:val="pt-PT"/>
        </w:rPr>
        <w:t xml:space="preserve">Bezeau, S. e Graves, R. (2001). </w:t>
      </w:r>
      <w:proofErr w:type="gramStart"/>
      <w:r w:rsidRPr="0096752A">
        <w:rPr>
          <w:rFonts w:ascii="Candara" w:hAnsi="Candara"/>
          <w:sz w:val="18"/>
          <w:szCs w:val="16"/>
        </w:rPr>
        <w:t>Statistical power and effect sizes of clinical neuropsychology research.</w:t>
      </w:r>
      <w:proofErr w:type="gramEnd"/>
      <w:r w:rsidRPr="0096752A">
        <w:rPr>
          <w:rFonts w:ascii="Candara" w:hAnsi="Candara"/>
          <w:sz w:val="18"/>
          <w:szCs w:val="16"/>
        </w:rPr>
        <w:t xml:space="preserve"> </w:t>
      </w:r>
      <w:r w:rsidRPr="0096752A">
        <w:rPr>
          <w:rFonts w:ascii="Candara Italic" w:hAnsi="Candara Italic"/>
          <w:sz w:val="18"/>
          <w:szCs w:val="16"/>
        </w:rPr>
        <w:t>Journal of Clinical and Experimental Neuropsychology (Neuropsychology, Development and Cognition: Section a)</w:t>
      </w:r>
      <w:r w:rsidRPr="0096752A">
        <w:rPr>
          <w:rFonts w:ascii="Candara" w:hAnsi="Candara"/>
          <w:sz w:val="18"/>
          <w:szCs w:val="16"/>
        </w:rPr>
        <w:t xml:space="preserve">, </w:t>
      </w:r>
      <w:r w:rsidRPr="0096752A">
        <w:rPr>
          <w:rFonts w:ascii="Candara Italic" w:hAnsi="Candara Italic"/>
          <w:sz w:val="18"/>
          <w:szCs w:val="16"/>
        </w:rPr>
        <w:t>23</w:t>
      </w:r>
      <w:r w:rsidRPr="0096752A">
        <w:rPr>
          <w:rFonts w:ascii="Candara" w:hAnsi="Candara"/>
          <w:sz w:val="18"/>
          <w:szCs w:val="16"/>
        </w:rPr>
        <w:t>(3), 399–406.</w:t>
      </w:r>
    </w:p>
    <w:p w:rsidR="00D9179F" w:rsidRPr="00AA4AAB" w:rsidRDefault="00D9179F" w:rsidP="00D9179F">
      <w:pPr>
        <w:pStyle w:val="FormalivreA"/>
        <w:spacing w:after="60"/>
        <w:ind w:left="426" w:hanging="426"/>
        <w:jc w:val="both"/>
        <w:rPr>
          <w:rFonts w:ascii="Candara" w:hAnsi="Candara"/>
          <w:sz w:val="18"/>
          <w:szCs w:val="16"/>
          <w:lang w:val="fr-FR"/>
        </w:rPr>
      </w:pPr>
      <w:proofErr w:type="spellStart"/>
      <w:r w:rsidRPr="0096752A">
        <w:rPr>
          <w:rFonts w:ascii="Candara" w:hAnsi="Candara"/>
          <w:sz w:val="18"/>
          <w:szCs w:val="16"/>
          <w:lang w:val="fr-FR"/>
        </w:rPr>
        <w:t>Blanton</w:t>
      </w:r>
      <w:proofErr w:type="spellEnd"/>
      <w:r w:rsidRPr="0096752A">
        <w:rPr>
          <w:rFonts w:ascii="Candara" w:hAnsi="Candara"/>
          <w:sz w:val="18"/>
          <w:szCs w:val="16"/>
          <w:lang w:val="fr-FR"/>
        </w:rPr>
        <w:t xml:space="preserve">, H. e Jaccard, J. (2006a). </w:t>
      </w:r>
      <w:proofErr w:type="spellStart"/>
      <w:r w:rsidRPr="00AA4AAB">
        <w:rPr>
          <w:rFonts w:ascii="Candara" w:hAnsi="Candara"/>
          <w:sz w:val="18"/>
          <w:szCs w:val="16"/>
          <w:lang w:val="fr-FR"/>
        </w:rPr>
        <w:t>Arbitrary</w:t>
      </w:r>
      <w:proofErr w:type="spellEnd"/>
      <w:r w:rsidRPr="00AA4AAB">
        <w:rPr>
          <w:rFonts w:ascii="Candara" w:hAnsi="Candara"/>
          <w:sz w:val="18"/>
          <w:szCs w:val="16"/>
          <w:lang w:val="fr-FR"/>
        </w:rPr>
        <w:t xml:space="preserve"> </w:t>
      </w:r>
      <w:proofErr w:type="spellStart"/>
      <w:r w:rsidRPr="00AA4AAB">
        <w:rPr>
          <w:rFonts w:ascii="Candara" w:hAnsi="Candara"/>
          <w:sz w:val="18"/>
          <w:szCs w:val="16"/>
          <w:lang w:val="fr-FR"/>
        </w:rPr>
        <w:t>metrics</w:t>
      </w:r>
      <w:proofErr w:type="spellEnd"/>
      <w:r w:rsidRPr="00AA4AAB">
        <w:rPr>
          <w:rFonts w:ascii="Candara" w:hAnsi="Candara"/>
          <w:sz w:val="18"/>
          <w:szCs w:val="16"/>
          <w:lang w:val="fr-FR"/>
        </w:rPr>
        <w:t xml:space="preserve"> in </w:t>
      </w:r>
      <w:proofErr w:type="spellStart"/>
      <w:r w:rsidRPr="00AA4AAB">
        <w:rPr>
          <w:rFonts w:ascii="Candara" w:hAnsi="Candara"/>
          <w:sz w:val="18"/>
          <w:szCs w:val="16"/>
          <w:lang w:val="fr-FR"/>
        </w:rPr>
        <w:t>psychology</w:t>
      </w:r>
      <w:proofErr w:type="spellEnd"/>
      <w:r w:rsidRPr="00AA4AAB">
        <w:rPr>
          <w:rFonts w:ascii="Candara" w:hAnsi="Candara"/>
          <w:sz w:val="18"/>
          <w:szCs w:val="16"/>
          <w:lang w:val="fr-FR"/>
        </w:rPr>
        <w:t xml:space="preserve">. </w:t>
      </w:r>
      <w:r w:rsidRPr="00AA4AAB">
        <w:rPr>
          <w:rFonts w:ascii="Candara Italic" w:hAnsi="Candara Italic"/>
          <w:sz w:val="18"/>
          <w:szCs w:val="16"/>
          <w:lang w:val="fr-FR"/>
        </w:rPr>
        <w:t xml:space="preserve">The American </w:t>
      </w:r>
      <w:proofErr w:type="spellStart"/>
      <w:r w:rsidRPr="00AA4AAB">
        <w:rPr>
          <w:rFonts w:ascii="Candara Italic" w:hAnsi="Candara Italic"/>
          <w:sz w:val="18"/>
          <w:szCs w:val="16"/>
          <w:lang w:val="fr-FR"/>
        </w:rPr>
        <w:t>Psychologist</w:t>
      </w:r>
      <w:proofErr w:type="spellEnd"/>
      <w:r w:rsidRPr="00AA4AAB">
        <w:rPr>
          <w:rFonts w:ascii="Candara" w:hAnsi="Candara"/>
          <w:sz w:val="18"/>
          <w:szCs w:val="16"/>
          <w:lang w:val="fr-FR"/>
        </w:rPr>
        <w:t xml:space="preserve">, </w:t>
      </w:r>
      <w:r w:rsidRPr="00AA4AAB">
        <w:rPr>
          <w:rFonts w:ascii="Candara Italic" w:hAnsi="Candara Italic"/>
          <w:sz w:val="18"/>
          <w:szCs w:val="16"/>
          <w:lang w:val="fr-FR"/>
        </w:rPr>
        <w:t>61</w:t>
      </w:r>
      <w:r w:rsidRPr="00AA4AAB">
        <w:rPr>
          <w:rFonts w:ascii="Candara" w:hAnsi="Candara"/>
          <w:sz w:val="18"/>
          <w:szCs w:val="16"/>
          <w:lang w:val="fr-FR"/>
        </w:rPr>
        <w:t xml:space="preserve">(1), 27–41. </w:t>
      </w:r>
      <w:proofErr w:type="spellStart"/>
      <w:r w:rsidRPr="00AA4AAB">
        <w:rPr>
          <w:rFonts w:ascii="Candara" w:hAnsi="Candara"/>
          <w:sz w:val="18"/>
          <w:szCs w:val="16"/>
          <w:lang w:val="fr-FR"/>
        </w:rPr>
        <w:t>doi</w:t>
      </w:r>
      <w:proofErr w:type="spellEnd"/>
      <w:r w:rsidRPr="00AA4AAB">
        <w:rPr>
          <w:rFonts w:ascii="Candara" w:hAnsi="Candara"/>
          <w:sz w:val="18"/>
          <w:szCs w:val="16"/>
          <w:lang w:val="fr-FR"/>
        </w:rPr>
        <w:t>:10.1037/0003-066X.61.1.27</w:t>
      </w:r>
    </w:p>
    <w:p w:rsidR="00D9179F" w:rsidRPr="00AA4AAB" w:rsidRDefault="00D9179F" w:rsidP="00D9179F">
      <w:pPr>
        <w:pStyle w:val="FormalivreA"/>
        <w:spacing w:after="60"/>
        <w:ind w:left="426" w:hanging="426"/>
        <w:jc w:val="both"/>
        <w:rPr>
          <w:rFonts w:ascii="Candara" w:hAnsi="Candara"/>
          <w:sz w:val="18"/>
          <w:szCs w:val="16"/>
          <w:lang w:val="fr-FR"/>
        </w:rPr>
      </w:pPr>
      <w:proofErr w:type="spellStart"/>
      <w:r w:rsidRPr="0096752A">
        <w:rPr>
          <w:rFonts w:ascii="Candara" w:hAnsi="Candara"/>
          <w:sz w:val="18"/>
          <w:szCs w:val="16"/>
          <w:lang w:val="fr-FR"/>
        </w:rPr>
        <w:t>Blanton</w:t>
      </w:r>
      <w:proofErr w:type="spellEnd"/>
      <w:r w:rsidRPr="0096752A">
        <w:rPr>
          <w:rFonts w:ascii="Candara" w:hAnsi="Candara"/>
          <w:sz w:val="18"/>
          <w:szCs w:val="16"/>
          <w:lang w:val="fr-FR"/>
        </w:rPr>
        <w:t xml:space="preserve">, H. e Jaccard, J. (2006b). </w:t>
      </w:r>
      <w:proofErr w:type="spellStart"/>
      <w:r w:rsidRPr="00AA4AAB">
        <w:rPr>
          <w:rFonts w:ascii="Candara" w:hAnsi="Candara"/>
          <w:sz w:val="18"/>
          <w:szCs w:val="16"/>
          <w:lang w:val="fr-FR"/>
        </w:rPr>
        <w:t>Arbitrary</w:t>
      </w:r>
      <w:proofErr w:type="spellEnd"/>
      <w:r w:rsidRPr="00AA4AAB">
        <w:rPr>
          <w:rFonts w:ascii="Candara" w:hAnsi="Candara"/>
          <w:sz w:val="18"/>
          <w:szCs w:val="16"/>
          <w:lang w:val="fr-FR"/>
        </w:rPr>
        <w:t xml:space="preserve"> </w:t>
      </w:r>
      <w:proofErr w:type="spellStart"/>
      <w:r w:rsidRPr="00AA4AAB">
        <w:rPr>
          <w:rFonts w:ascii="Candara" w:hAnsi="Candara"/>
          <w:sz w:val="18"/>
          <w:szCs w:val="16"/>
          <w:lang w:val="fr-FR"/>
        </w:rPr>
        <w:t>metrics</w:t>
      </w:r>
      <w:proofErr w:type="spellEnd"/>
      <w:r w:rsidRPr="00AA4AAB">
        <w:rPr>
          <w:rFonts w:ascii="Candara" w:hAnsi="Candara"/>
          <w:sz w:val="18"/>
          <w:szCs w:val="16"/>
          <w:lang w:val="fr-FR"/>
        </w:rPr>
        <w:t xml:space="preserve"> </w:t>
      </w:r>
      <w:proofErr w:type="spellStart"/>
      <w:r w:rsidRPr="00AA4AAB">
        <w:rPr>
          <w:rFonts w:ascii="Candara" w:hAnsi="Candara"/>
          <w:sz w:val="18"/>
          <w:szCs w:val="16"/>
          <w:lang w:val="fr-FR"/>
        </w:rPr>
        <w:t>redux</w:t>
      </w:r>
      <w:proofErr w:type="spellEnd"/>
      <w:r w:rsidRPr="00AA4AAB">
        <w:rPr>
          <w:rFonts w:ascii="Candara" w:hAnsi="Candara"/>
          <w:sz w:val="18"/>
          <w:szCs w:val="16"/>
          <w:lang w:val="fr-FR"/>
        </w:rPr>
        <w:t xml:space="preserve">. </w:t>
      </w:r>
      <w:r w:rsidRPr="00AA4AAB">
        <w:rPr>
          <w:rFonts w:ascii="Candara Italic" w:hAnsi="Candara Italic"/>
          <w:sz w:val="18"/>
          <w:szCs w:val="16"/>
          <w:lang w:val="fr-FR"/>
        </w:rPr>
        <w:t xml:space="preserve">The American </w:t>
      </w:r>
      <w:proofErr w:type="spellStart"/>
      <w:r w:rsidRPr="00AA4AAB">
        <w:rPr>
          <w:rFonts w:ascii="Candara Italic" w:hAnsi="Candara Italic"/>
          <w:sz w:val="18"/>
          <w:szCs w:val="16"/>
          <w:lang w:val="fr-FR"/>
        </w:rPr>
        <w:t>Psychologist</w:t>
      </w:r>
      <w:proofErr w:type="spellEnd"/>
      <w:r w:rsidRPr="00AA4AAB">
        <w:rPr>
          <w:rFonts w:ascii="Candara" w:hAnsi="Candara"/>
          <w:sz w:val="18"/>
          <w:szCs w:val="16"/>
          <w:lang w:val="fr-FR"/>
        </w:rPr>
        <w:t xml:space="preserve">, </w:t>
      </w:r>
      <w:r w:rsidRPr="00AA4AAB">
        <w:rPr>
          <w:rFonts w:ascii="Candara Italic" w:hAnsi="Candara Italic"/>
          <w:sz w:val="18"/>
          <w:szCs w:val="16"/>
          <w:lang w:val="fr-FR"/>
        </w:rPr>
        <w:t>61</w:t>
      </w:r>
      <w:r w:rsidRPr="00AA4AAB">
        <w:rPr>
          <w:rFonts w:ascii="Candara" w:hAnsi="Candara"/>
          <w:sz w:val="18"/>
          <w:szCs w:val="16"/>
          <w:lang w:val="fr-FR"/>
        </w:rPr>
        <w:t>(1), 62.</w:t>
      </w:r>
    </w:p>
    <w:p w:rsidR="00D9179F" w:rsidRPr="0096752A" w:rsidRDefault="00D9179F" w:rsidP="00D9179F">
      <w:pPr>
        <w:pStyle w:val="FormalivreA"/>
        <w:spacing w:after="60"/>
        <w:ind w:left="426" w:hanging="426"/>
        <w:jc w:val="both"/>
        <w:rPr>
          <w:rFonts w:ascii="Candara" w:hAnsi="Candara"/>
          <w:sz w:val="18"/>
          <w:szCs w:val="16"/>
        </w:rPr>
      </w:pPr>
      <w:proofErr w:type="spellStart"/>
      <w:proofErr w:type="gramStart"/>
      <w:r w:rsidRPr="00AA4AAB">
        <w:rPr>
          <w:rFonts w:ascii="Candara" w:hAnsi="Candara"/>
          <w:sz w:val="18"/>
          <w:szCs w:val="16"/>
        </w:rPr>
        <w:t>Borenstein</w:t>
      </w:r>
      <w:proofErr w:type="spellEnd"/>
      <w:r w:rsidRPr="00AA4AAB">
        <w:rPr>
          <w:rFonts w:ascii="Candara" w:hAnsi="Candara"/>
          <w:sz w:val="18"/>
          <w:szCs w:val="16"/>
        </w:rPr>
        <w:t>, M. (2009).</w:t>
      </w:r>
      <w:proofErr w:type="gramEnd"/>
      <w:r w:rsidRPr="00AA4AAB">
        <w:rPr>
          <w:rFonts w:ascii="Candara" w:hAnsi="Candara"/>
          <w:sz w:val="18"/>
          <w:szCs w:val="16"/>
        </w:rPr>
        <w:t xml:space="preserve"> </w:t>
      </w:r>
      <w:r w:rsidRPr="0096752A">
        <w:rPr>
          <w:rFonts w:ascii="Candara" w:hAnsi="Candara"/>
          <w:sz w:val="18"/>
          <w:szCs w:val="16"/>
        </w:rPr>
        <w:t xml:space="preserve">Effect sizes for continuous data. In H. Cooper, L. V. Hodges e J. C. Valentine, </w:t>
      </w:r>
      <w:r w:rsidRPr="0096752A">
        <w:rPr>
          <w:rFonts w:ascii="Candara Italic" w:hAnsi="Candara Italic"/>
          <w:sz w:val="18"/>
          <w:szCs w:val="16"/>
        </w:rPr>
        <w:t>The handbook of research synthesis and meta-analysis</w:t>
      </w:r>
      <w:r w:rsidRPr="0096752A">
        <w:rPr>
          <w:rFonts w:ascii="Candara" w:hAnsi="Candara"/>
          <w:sz w:val="18"/>
          <w:szCs w:val="16"/>
        </w:rPr>
        <w:t xml:space="preserve"> (pp. 221–235). New York: Russell Sage Foundation.</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Breaugh</w:t>
      </w:r>
      <w:proofErr w:type="spellEnd"/>
      <w:r w:rsidRPr="0096752A">
        <w:rPr>
          <w:rFonts w:ascii="Candara" w:hAnsi="Candara"/>
          <w:sz w:val="18"/>
          <w:szCs w:val="16"/>
        </w:rPr>
        <w:t xml:space="preserve">, J. A. (2003). Effect size estimation: Factors to consider and mistakes to avoid. </w:t>
      </w:r>
      <w:r w:rsidRPr="0096752A">
        <w:rPr>
          <w:rFonts w:ascii="Candara Italic" w:hAnsi="Candara Italic"/>
          <w:sz w:val="18"/>
          <w:szCs w:val="16"/>
        </w:rPr>
        <w:t>Journal of Management</w:t>
      </w:r>
      <w:r w:rsidRPr="0096752A">
        <w:rPr>
          <w:rFonts w:ascii="Candara" w:hAnsi="Candara"/>
          <w:sz w:val="18"/>
          <w:szCs w:val="16"/>
        </w:rPr>
        <w:t xml:space="preserve">, </w:t>
      </w:r>
      <w:r w:rsidRPr="0096752A">
        <w:rPr>
          <w:rFonts w:ascii="Candara Italic" w:hAnsi="Candara Italic"/>
          <w:sz w:val="18"/>
          <w:szCs w:val="16"/>
        </w:rPr>
        <w:t>29</w:t>
      </w:r>
      <w:r w:rsidRPr="0096752A">
        <w:rPr>
          <w:rFonts w:ascii="Candara" w:hAnsi="Candara"/>
          <w:sz w:val="18"/>
          <w:szCs w:val="16"/>
        </w:rPr>
        <w:t>(1), 79–97.</w:t>
      </w:r>
    </w:p>
    <w:p w:rsidR="00D9179F" w:rsidRPr="0096752A" w:rsidRDefault="00D9179F" w:rsidP="00D9179F">
      <w:pPr>
        <w:pStyle w:val="FormalivreA"/>
        <w:spacing w:after="60"/>
        <w:ind w:left="426" w:hanging="426"/>
        <w:jc w:val="both"/>
        <w:rPr>
          <w:rFonts w:ascii="Candara" w:hAnsi="Candara"/>
          <w:sz w:val="18"/>
          <w:szCs w:val="16"/>
        </w:rPr>
      </w:pPr>
      <w:r w:rsidRPr="00894C04">
        <w:rPr>
          <w:rFonts w:ascii="Candara" w:hAnsi="Candara"/>
          <w:sz w:val="18"/>
          <w:szCs w:val="16"/>
          <w:lang w:val="pt-PT"/>
        </w:rPr>
        <w:t xml:space="preserve">Caperos, J. M. e Pardo, A. (2013). </w:t>
      </w:r>
      <w:r w:rsidRPr="0096752A">
        <w:rPr>
          <w:rFonts w:ascii="Candara" w:hAnsi="Candara"/>
          <w:sz w:val="18"/>
          <w:szCs w:val="16"/>
        </w:rPr>
        <w:t xml:space="preserve">Consistency errors in p-values reported in Spanish psychology journals. </w:t>
      </w:r>
      <w:proofErr w:type="spellStart"/>
      <w:r w:rsidRPr="0096752A">
        <w:rPr>
          <w:rFonts w:ascii="Candara Italic" w:hAnsi="Candara Italic"/>
          <w:sz w:val="18"/>
          <w:szCs w:val="16"/>
        </w:rPr>
        <w:t>Psicothema</w:t>
      </w:r>
      <w:proofErr w:type="spellEnd"/>
      <w:r w:rsidRPr="0096752A">
        <w:rPr>
          <w:rFonts w:ascii="Candara" w:hAnsi="Candara"/>
          <w:sz w:val="18"/>
          <w:szCs w:val="16"/>
        </w:rPr>
        <w:t xml:space="preserve">, </w:t>
      </w:r>
      <w:r w:rsidRPr="0096752A">
        <w:rPr>
          <w:rFonts w:ascii="Candara Italic" w:hAnsi="Candara Italic"/>
          <w:sz w:val="18"/>
          <w:szCs w:val="16"/>
        </w:rPr>
        <w:t>25</w:t>
      </w:r>
      <w:r w:rsidRPr="0096752A">
        <w:rPr>
          <w:rFonts w:ascii="Candara" w:hAnsi="Candara"/>
          <w:sz w:val="18"/>
          <w:szCs w:val="16"/>
        </w:rPr>
        <w:t>(3), 408–414. doi:10.7334/psicothema2012.207</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Carver, R. P. (1978). </w:t>
      </w:r>
      <w:proofErr w:type="gramStart"/>
      <w:r w:rsidRPr="0096752A">
        <w:rPr>
          <w:rFonts w:ascii="Candara" w:hAnsi="Candara"/>
          <w:sz w:val="18"/>
          <w:szCs w:val="16"/>
        </w:rPr>
        <w:t>The case against statistical significance testing.</w:t>
      </w:r>
      <w:proofErr w:type="gramEnd"/>
      <w:r w:rsidRPr="0096752A">
        <w:rPr>
          <w:rFonts w:ascii="Candara" w:hAnsi="Candara"/>
          <w:sz w:val="18"/>
          <w:szCs w:val="16"/>
        </w:rPr>
        <w:t xml:space="preserve"> </w:t>
      </w:r>
      <w:r w:rsidRPr="0096752A">
        <w:rPr>
          <w:rFonts w:ascii="Candara Italic" w:hAnsi="Candara Italic"/>
          <w:sz w:val="18"/>
          <w:szCs w:val="16"/>
        </w:rPr>
        <w:t>Harvard Educational Review</w:t>
      </w:r>
      <w:r w:rsidRPr="0096752A">
        <w:rPr>
          <w:rFonts w:ascii="Candara" w:hAnsi="Candara"/>
          <w:sz w:val="18"/>
          <w:szCs w:val="16"/>
        </w:rPr>
        <w:t xml:space="preserve">, </w:t>
      </w:r>
      <w:r w:rsidRPr="0096752A">
        <w:rPr>
          <w:rFonts w:ascii="Candara Italic" w:hAnsi="Candara Italic"/>
          <w:sz w:val="18"/>
          <w:szCs w:val="16"/>
        </w:rPr>
        <w:t>48</w:t>
      </w:r>
      <w:r w:rsidRPr="0096752A">
        <w:rPr>
          <w:rFonts w:ascii="Candara" w:hAnsi="Candara"/>
          <w:sz w:val="18"/>
          <w:szCs w:val="16"/>
        </w:rPr>
        <w:t>(3), 378–399.</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Chow, S. L. (1988). </w:t>
      </w:r>
      <w:proofErr w:type="gramStart"/>
      <w:r w:rsidRPr="0096752A">
        <w:rPr>
          <w:rFonts w:ascii="Candara" w:hAnsi="Candara"/>
          <w:sz w:val="18"/>
          <w:szCs w:val="16"/>
        </w:rPr>
        <w:t>Significance test or effect size?</w:t>
      </w:r>
      <w:proofErr w:type="gramEnd"/>
      <w:r w:rsidRPr="0096752A">
        <w:rPr>
          <w:rFonts w:ascii="Candara" w:hAnsi="Candara"/>
          <w:sz w:val="18"/>
          <w:szCs w:val="16"/>
        </w:rPr>
        <w:t xml:space="preserve"> </w:t>
      </w:r>
      <w:r w:rsidRPr="0096752A">
        <w:rPr>
          <w:rFonts w:ascii="Candara Italic" w:hAnsi="Candara Italic"/>
          <w:sz w:val="18"/>
          <w:szCs w:val="16"/>
        </w:rPr>
        <w:t>Psychological Bulletin</w:t>
      </w:r>
      <w:r w:rsidRPr="0096752A">
        <w:rPr>
          <w:rFonts w:ascii="Candara" w:hAnsi="Candara"/>
          <w:sz w:val="18"/>
          <w:szCs w:val="16"/>
        </w:rPr>
        <w:t xml:space="preserve">, </w:t>
      </w:r>
      <w:r w:rsidRPr="0096752A">
        <w:rPr>
          <w:rFonts w:ascii="Candara Italic" w:hAnsi="Candara Italic"/>
          <w:sz w:val="18"/>
          <w:szCs w:val="16"/>
        </w:rPr>
        <w:t>103</w:t>
      </w:r>
      <w:r w:rsidRPr="0096752A">
        <w:rPr>
          <w:rFonts w:ascii="Candara" w:hAnsi="Candara"/>
          <w:sz w:val="18"/>
          <w:szCs w:val="16"/>
        </w:rPr>
        <w:t>(1), 105-110.</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Coe, R. (2002). </w:t>
      </w:r>
      <w:r w:rsidRPr="0096752A">
        <w:rPr>
          <w:rFonts w:ascii="Candara Italic" w:hAnsi="Candara Italic"/>
          <w:sz w:val="18"/>
          <w:szCs w:val="16"/>
        </w:rPr>
        <w:t>It's the effect size, stupid: what effect size is and why it is important.</w:t>
      </w:r>
      <w:r w:rsidRPr="0096752A">
        <w:rPr>
          <w:rFonts w:ascii="Candara" w:hAnsi="Candara"/>
          <w:sz w:val="18"/>
          <w:szCs w:val="16"/>
        </w:rPr>
        <w:t xml:space="preserve"> Presented at the Annual Conference of the British Educational Research Association, University of Exeter, England, </w:t>
      </w:r>
      <w:proofErr w:type="gramStart"/>
      <w:r w:rsidRPr="0096752A">
        <w:rPr>
          <w:rFonts w:ascii="Candara" w:hAnsi="Candara"/>
          <w:sz w:val="18"/>
          <w:szCs w:val="16"/>
        </w:rPr>
        <w:t>Education</w:t>
      </w:r>
      <w:proofErr w:type="gramEnd"/>
      <w:r w:rsidRPr="0096752A">
        <w:rPr>
          <w:rFonts w:ascii="Candara" w:hAnsi="Candara"/>
          <w:sz w:val="18"/>
          <w:szCs w:val="16"/>
        </w:rPr>
        <w:t>-line.</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Cohen, J. (1962). The statistical power of abnormal-social psychological research: A review. </w:t>
      </w:r>
      <w:r w:rsidRPr="0096752A">
        <w:rPr>
          <w:rFonts w:ascii="Candara Italic" w:hAnsi="Candara Italic"/>
          <w:sz w:val="18"/>
          <w:szCs w:val="16"/>
        </w:rPr>
        <w:t>Journal of Abnormal and Social Psychology</w:t>
      </w:r>
      <w:r w:rsidRPr="0096752A">
        <w:rPr>
          <w:rFonts w:ascii="Candara" w:hAnsi="Candara"/>
          <w:sz w:val="18"/>
          <w:szCs w:val="16"/>
        </w:rPr>
        <w:t xml:space="preserve">, </w:t>
      </w:r>
      <w:r w:rsidRPr="0096752A">
        <w:rPr>
          <w:rFonts w:ascii="Candara Italic" w:hAnsi="Candara Italic"/>
          <w:sz w:val="18"/>
          <w:szCs w:val="16"/>
        </w:rPr>
        <w:t>65</w:t>
      </w:r>
      <w:r w:rsidRPr="0096752A">
        <w:rPr>
          <w:rFonts w:ascii="Candara" w:hAnsi="Candara"/>
          <w:sz w:val="18"/>
          <w:szCs w:val="16"/>
        </w:rPr>
        <w:t>(3), 145–153.</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Cohen, J. (1988). </w:t>
      </w:r>
      <w:r w:rsidRPr="0096752A">
        <w:rPr>
          <w:rFonts w:ascii="Candara Italic" w:hAnsi="Candara Italic"/>
          <w:sz w:val="18"/>
          <w:szCs w:val="16"/>
        </w:rPr>
        <w:t>Statistical power analysis for the behavioral sciences</w:t>
      </w:r>
      <w:r w:rsidRPr="0096752A">
        <w:rPr>
          <w:rFonts w:ascii="Candara" w:hAnsi="Candara"/>
          <w:sz w:val="18"/>
          <w:szCs w:val="16"/>
        </w:rPr>
        <w:t xml:space="preserve"> (</w:t>
      </w:r>
      <w:r w:rsidR="00E54D72">
        <w:rPr>
          <w:rFonts w:ascii="Candara" w:hAnsi="Candara"/>
          <w:sz w:val="18"/>
          <w:szCs w:val="16"/>
        </w:rPr>
        <w:t>2.ª</w:t>
      </w:r>
      <w:r w:rsidRPr="0096752A">
        <w:rPr>
          <w:rFonts w:ascii="Candara" w:hAnsi="Candara"/>
          <w:sz w:val="18"/>
          <w:szCs w:val="16"/>
        </w:rPr>
        <w:t xml:space="preserve"> </w:t>
      </w:r>
      <w:proofErr w:type="gramStart"/>
      <w:r w:rsidRPr="0096752A">
        <w:rPr>
          <w:rFonts w:ascii="Candara" w:hAnsi="Candara"/>
          <w:sz w:val="18"/>
          <w:szCs w:val="16"/>
        </w:rPr>
        <w:t>ed</w:t>
      </w:r>
      <w:proofErr w:type="gramEnd"/>
      <w:r w:rsidRPr="0096752A">
        <w:rPr>
          <w:rFonts w:ascii="Candara" w:hAnsi="Candara"/>
          <w:sz w:val="18"/>
          <w:szCs w:val="16"/>
        </w:rPr>
        <w:t>.). Hillsdale: Lawrence Erlbaum Associates.</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Cohen, J. (1992a). </w:t>
      </w:r>
      <w:proofErr w:type="gramStart"/>
      <w:r w:rsidRPr="0096752A">
        <w:rPr>
          <w:rFonts w:ascii="Candara" w:hAnsi="Candara"/>
          <w:sz w:val="18"/>
          <w:szCs w:val="16"/>
        </w:rPr>
        <w:t>A power primer.</w:t>
      </w:r>
      <w:proofErr w:type="gramEnd"/>
      <w:r w:rsidRPr="0096752A">
        <w:rPr>
          <w:rFonts w:ascii="Candara" w:hAnsi="Candara"/>
          <w:sz w:val="18"/>
          <w:szCs w:val="16"/>
        </w:rPr>
        <w:t xml:space="preserve"> </w:t>
      </w:r>
      <w:proofErr w:type="gramStart"/>
      <w:r w:rsidRPr="0096752A">
        <w:rPr>
          <w:rFonts w:ascii="Candara Italic" w:hAnsi="Candara Italic"/>
          <w:sz w:val="18"/>
          <w:szCs w:val="16"/>
        </w:rPr>
        <w:t>Psychological Bulletin</w:t>
      </w:r>
      <w:r w:rsidRPr="0096752A">
        <w:rPr>
          <w:rFonts w:ascii="Candara" w:hAnsi="Candara"/>
          <w:sz w:val="18"/>
          <w:szCs w:val="16"/>
        </w:rPr>
        <w:t xml:space="preserve">, </w:t>
      </w:r>
      <w:r w:rsidRPr="0096752A">
        <w:rPr>
          <w:rFonts w:ascii="Candara Italic" w:hAnsi="Candara Italic"/>
          <w:sz w:val="18"/>
          <w:szCs w:val="16"/>
        </w:rPr>
        <w:t>112</w:t>
      </w:r>
      <w:r w:rsidRPr="0096752A">
        <w:rPr>
          <w:rFonts w:ascii="Candara" w:hAnsi="Candara"/>
          <w:sz w:val="18"/>
          <w:szCs w:val="16"/>
        </w:rPr>
        <w:t>(1), 155.</w:t>
      </w:r>
      <w:proofErr w:type="gramEnd"/>
    </w:p>
    <w:p w:rsidR="00D9179F" w:rsidRPr="0096752A" w:rsidRDefault="00D9179F" w:rsidP="00D9179F">
      <w:pPr>
        <w:pStyle w:val="FormalivreA"/>
        <w:spacing w:after="60"/>
        <w:ind w:left="426" w:hanging="426"/>
        <w:jc w:val="both"/>
        <w:rPr>
          <w:rFonts w:ascii="Candara" w:hAnsi="Candara"/>
          <w:sz w:val="18"/>
          <w:szCs w:val="16"/>
          <w:lang w:val="fr-FR"/>
        </w:rPr>
      </w:pPr>
      <w:r w:rsidRPr="0096752A">
        <w:rPr>
          <w:rFonts w:ascii="Candara" w:hAnsi="Candara"/>
          <w:sz w:val="18"/>
          <w:szCs w:val="16"/>
        </w:rPr>
        <w:t xml:space="preserve">Cohen, J. (1992b). </w:t>
      </w:r>
      <w:proofErr w:type="gramStart"/>
      <w:r w:rsidRPr="0096752A">
        <w:rPr>
          <w:rFonts w:ascii="Candara" w:hAnsi="Candara"/>
          <w:sz w:val="18"/>
          <w:szCs w:val="16"/>
        </w:rPr>
        <w:t>Statistical power analysis.</w:t>
      </w:r>
      <w:proofErr w:type="gramEnd"/>
      <w:r w:rsidRPr="0096752A">
        <w:rPr>
          <w:rFonts w:ascii="Candara" w:hAnsi="Candara"/>
          <w:sz w:val="18"/>
          <w:szCs w:val="16"/>
        </w:rPr>
        <w:t xml:space="preserve"> </w:t>
      </w:r>
      <w:proofErr w:type="spellStart"/>
      <w:r w:rsidRPr="0096752A">
        <w:rPr>
          <w:rFonts w:ascii="Candara Italic" w:hAnsi="Candara Italic"/>
          <w:sz w:val="18"/>
          <w:szCs w:val="16"/>
          <w:lang w:val="fr-FR"/>
        </w:rPr>
        <w:t>Current</w:t>
      </w:r>
      <w:proofErr w:type="spellEnd"/>
      <w:r w:rsidRPr="0096752A">
        <w:rPr>
          <w:rFonts w:ascii="Candara Italic" w:hAnsi="Candara Italic"/>
          <w:sz w:val="18"/>
          <w:szCs w:val="16"/>
          <w:lang w:val="fr-FR"/>
        </w:rPr>
        <w:t xml:space="preserve"> Directions in </w:t>
      </w:r>
      <w:proofErr w:type="spellStart"/>
      <w:r w:rsidRPr="0096752A">
        <w:rPr>
          <w:rFonts w:ascii="Candara Italic" w:hAnsi="Candara Italic"/>
          <w:sz w:val="18"/>
          <w:szCs w:val="16"/>
          <w:lang w:val="fr-FR"/>
        </w:rPr>
        <w:t>Psychological</w:t>
      </w:r>
      <w:proofErr w:type="spellEnd"/>
      <w:r w:rsidRPr="0096752A">
        <w:rPr>
          <w:rFonts w:ascii="Candara Italic" w:hAnsi="Candara Italic"/>
          <w:sz w:val="18"/>
          <w:szCs w:val="16"/>
          <w:lang w:val="fr-FR"/>
        </w:rPr>
        <w:t xml:space="preserve"> Science</w:t>
      </w:r>
      <w:r w:rsidRPr="0096752A">
        <w:rPr>
          <w:rFonts w:ascii="Candara" w:hAnsi="Candara"/>
          <w:sz w:val="18"/>
          <w:szCs w:val="16"/>
          <w:lang w:val="fr-FR"/>
        </w:rPr>
        <w:t xml:space="preserve">, </w:t>
      </w:r>
      <w:r w:rsidRPr="0096752A">
        <w:rPr>
          <w:rFonts w:ascii="Candara Italic" w:hAnsi="Candara Italic"/>
          <w:sz w:val="18"/>
          <w:szCs w:val="16"/>
          <w:lang w:val="fr-FR"/>
        </w:rPr>
        <w:t>1</w:t>
      </w:r>
      <w:r w:rsidRPr="0096752A">
        <w:rPr>
          <w:rFonts w:ascii="Candara" w:hAnsi="Candara"/>
          <w:sz w:val="18"/>
          <w:szCs w:val="16"/>
          <w:lang w:val="fr-FR"/>
        </w:rPr>
        <w:t>(3), 98–101.</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Cohen, J. (1994). The earth is round (p &lt; .05). </w:t>
      </w:r>
      <w:r w:rsidRPr="0096752A">
        <w:rPr>
          <w:rFonts w:ascii="Candara Italic" w:hAnsi="Candara Italic"/>
          <w:sz w:val="18"/>
          <w:szCs w:val="16"/>
        </w:rPr>
        <w:t>The American Psychologist</w:t>
      </w:r>
      <w:r w:rsidRPr="0096752A">
        <w:rPr>
          <w:rFonts w:ascii="Candara" w:hAnsi="Candara"/>
          <w:sz w:val="18"/>
          <w:szCs w:val="16"/>
        </w:rPr>
        <w:t xml:space="preserve">, </w:t>
      </w:r>
      <w:r w:rsidRPr="0096752A">
        <w:rPr>
          <w:rFonts w:ascii="Candara Italic" w:hAnsi="Candara Italic"/>
          <w:sz w:val="18"/>
          <w:szCs w:val="16"/>
        </w:rPr>
        <w:t>49</w:t>
      </w:r>
      <w:r w:rsidRPr="0096752A">
        <w:rPr>
          <w:rFonts w:ascii="Candara" w:hAnsi="Candara"/>
          <w:sz w:val="18"/>
          <w:szCs w:val="16"/>
        </w:rPr>
        <w:t>(12), 997-1003.</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Conn, V. S., Chan, K. C. e Cooper, P. S. (2014). </w:t>
      </w:r>
      <w:proofErr w:type="gramStart"/>
      <w:r w:rsidRPr="0096752A">
        <w:rPr>
          <w:rFonts w:ascii="Candara" w:hAnsi="Candara"/>
          <w:sz w:val="18"/>
          <w:szCs w:val="16"/>
        </w:rPr>
        <w:t xml:space="preserve">The problem with p. </w:t>
      </w:r>
      <w:r w:rsidRPr="0096752A">
        <w:rPr>
          <w:rFonts w:ascii="Candara Italic" w:hAnsi="Candara Italic"/>
          <w:sz w:val="18"/>
          <w:szCs w:val="16"/>
        </w:rPr>
        <w:t>Western Journal of Nursing Research</w:t>
      </w:r>
      <w:r w:rsidRPr="0096752A">
        <w:rPr>
          <w:rFonts w:ascii="Candara" w:hAnsi="Candara"/>
          <w:sz w:val="18"/>
          <w:szCs w:val="16"/>
        </w:rPr>
        <w:t xml:space="preserve">, </w:t>
      </w:r>
      <w:r w:rsidRPr="0096752A">
        <w:rPr>
          <w:rFonts w:ascii="Candara Italic" w:hAnsi="Candara Italic"/>
          <w:sz w:val="18"/>
          <w:szCs w:val="16"/>
        </w:rPr>
        <w:t>36</w:t>
      </w:r>
      <w:r w:rsidRPr="0096752A">
        <w:rPr>
          <w:rFonts w:ascii="Candara" w:hAnsi="Candara"/>
          <w:sz w:val="18"/>
          <w:szCs w:val="16"/>
        </w:rPr>
        <w:t>(3), 291–293.</w:t>
      </w:r>
      <w:proofErr w:type="gramEnd"/>
    </w:p>
    <w:p w:rsidR="00D9179F" w:rsidRPr="0096752A" w:rsidRDefault="00D9179F" w:rsidP="00D9179F">
      <w:pPr>
        <w:pStyle w:val="FormalivreA"/>
        <w:spacing w:after="60"/>
        <w:ind w:left="426" w:hanging="426"/>
        <w:jc w:val="both"/>
        <w:rPr>
          <w:rFonts w:ascii="Candara" w:hAnsi="Candara"/>
          <w:sz w:val="18"/>
          <w:szCs w:val="16"/>
        </w:rPr>
      </w:pPr>
      <w:proofErr w:type="gramStart"/>
      <w:r w:rsidRPr="0096752A">
        <w:rPr>
          <w:rFonts w:ascii="Candara" w:hAnsi="Candara"/>
          <w:sz w:val="18"/>
          <w:szCs w:val="16"/>
        </w:rPr>
        <w:t xml:space="preserve">Cook, R. J. e </w:t>
      </w:r>
      <w:proofErr w:type="spellStart"/>
      <w:r w:rsidRPr="0096752A">
        <w:rPr>
          <w:rFonts w:ascii="Candara" w:hAnsi="Candara"/>
          <w:sz w:val="18"/>
          <w:szCs w:val="16"/>
        </w:rPr>
        <w:t>Sackett</w:t>
      </w:r>
      <w:proofErr w:type="spellEnd"/>
      <w:r w:rsidRPr="0096752A">
        <w:rPr>
          <w:rFonts w:ascii="Candara" w:hAnsi="Candara"/>
          <w:sz w:val="18"/>
          <w:szCs w:val="16"/>
        </w:rPr>
        <w:t>, D. L. (1995).</w:t>
      </w:r>
      <w:proofErr w:type="gramEnd"/>
      <w:r w:rsidRPr="0096752A">
        <w:rPr>
          <w:rFonts w:ascii="Candara" w:hAnsi="Candara"/>
          <w:sz w:val="18"/>
          <w:szCs w:val="16"/>
        </w:rPr>
        <w:t xml:space="preserve"> The number needed to treat: a clinically useful measure of treatment effect. </w:t>
      </w:r>
      <w:r w:rsidRPr="0096752A">
        <w:rPr>
          <w:rFonts w:ascii="Candara Italic" w:hAnsi="Candara Italic"/>
          <w:sz w:val="18"/>
          <w:szCs w:val="16"/>
        </w:rPr>
        <w:t>BMJ</w:t>
      </w:r>
      <w:r w:rsidRPr="0096752A">
        <w:rPr>
          <w:rFonts w:ascii="Candara" w:hAnsi="Candara"/>
          <w:sz w:val="18"/>
          <w:szCs w:val="16"/>
        </w:rPr>
        <w:t xml:space="preserve">, </w:t>
      </w:r>
      <w:r w:rsidRPr="0096752A">
        <w:rPr>
          <w:rFonts w:ascii="Candara Italic" w:hAnsi="Candara Italic"/>
          <w:sz w:val="18"/>
          <w:szCs w:val="16"/>
        </w:rPr>
        <w:t>310</w:t>
      </w:r>
      <w:r w:rsidRPr="0096752A">
        <w:rPr>
          <w:rFonts w:ascii="Candara" w:hAnsi="Candara"/>
          <w:sz w:val="18"/>
          <w:szCs w:val="16"/>
        </w:rPr>
        <w:t>(6977), 452–454.</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Cooper, H., Hedges, L. V. e Valentine, J. C. (2009). </w:t>
      </w:r>
      <w:r w:rsidRPr="0096752A">
        <w:rPr>
          <w:rFonts w:ascii="Candara Italic" w:hAnsi="Candara Italic"/>
          <w:sz w:val="18"/>
          <w:szCs w:val="16"/>
        </w:rPr>
        <w:t>The handbook of research synthesis and meta-analysis</w:t>
      </w:r>
      <w:r w:rsidRPr="0096752A">
        <w:rPr>
          <w:rFonts w:ascii="Candara" w:hAnsi="Candara"/>
          <w:sz w:val="18"/>
          <w:szCs w:val="16"/>
        </w:rPr>
        <w:t xml:space="preserve"> (</w:t>
      </w:r>
      <w:r w:rsidR="00E54D72">
        <w:rPr>
          <w:rFonts w:ascii="Candara" w:hAnsi="Candara"/>
          <w:sz w:val="18"/>
          <w:szCs w:val="16"/>
        </w:rPr>
        <w:t>2.ª</w:t>
      </w:r>
      <w:r w:rsidRPr="0096752A">
        <w:rPr>
          <w:rFonts w:ascii="Candara" w:hAnsi="Candara"/>
          <w:sz w:val="18"/>
          <w:szCs w:val="16"/>
        </w:rPr>
        <w:t xml:space="preserve"> </w:t>
      </w:r>
      <w:proofErr w:type="gramStart"/>
      <w:r w:rsidRPr="0096752A">
        <w:rPr>
          <w:rFonts w:ascii="Candara" w:hAnsi="Candara"/>
          <w:sz w:val="18"/>
          <w:szCs w:val="16"/>
        </w:rPr>
        <w:t>ed</w:t>
      </w:r>
      <w:proofErr w:type="gramEnd"/>
      <w:r w:rsidRPr="0096752A">
        <w:rPr>
          <w:rFonts w:ascii="Candara" w:hAnsi="Candara"/>
          <w:sz w:val="18"/>
          <w:szCs w:val="16"/>
        </w:rPr>
        <w:t>.). New York: Russell Sage Foundation.</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Cumming, G. (2012). </w:t>
      </w:r>
      <w:r w:rsidRPr="0096752A">
        <w:rPr>
          <w:rFonts w:ascii="Candara Italic" w:hAnsi="Candara Italic"/>
          <w:sz w:val="18"/>
          <w:szCs w:val="16"/>
        </w:rPr>
        <w:t>Understanding the new statistics: Effect sizes, confidence intervals, and meta-analysis</w:t>
      </w:r>
      <w:r w:rsidRPr="0096752A">
        <w:rPr>
          <w:rFonts w:ascii="Candara" w:hAnsi="Candara"/>
          <w:sz w:val="18"/>
          <w:szCs w:val="16"/>
        </w:rPr>
        <w:t xml:space="preserve">. New York: </w:t>
      </w:r>
      <w:proofErr w:type="spellStart"/>
      <w:r w:rsidRPr="0096752A">
        <w:rPr>
          <w:rFonts w:ascii="Candara" w:hAnsi="Candara"/>
          <w:sz w:val="18"/>
          <w:szCs w:val="16"/>
        </w:rPr>
        <w:t>Routledge</w:t>
      </w:r>
      <w:proofErr w:type="spellEnd"/>
      <w:r w:rsidRPr="0096752A">
        <w:rPr>
          <w:rFonts w:ascii="Candara" w:hAnsi="Candara"/>
          <w:sz w:val="18"/>
          <w:szCs w:val="16"/>
        </w:rPr>
        <w:t>.</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Dunlap, W. P. (1994). </w:t>
      </w:r>
      <w:proofErr w:type="gramStart"/>
      <w:r w:rsidRPr="0096752A">
        <w:rPr>
          <w:rFonts w:ascii="Candara" w:hAnsi="Candara"/>
          <w:sz w:val="18"/>
          <w:szCs w:val="16"/>
        </w:rPr>
        <w:t xml:space="preserve">Generalizing the common language effect size indicator to </w:t>
      </w:r>
      <w:proofErr w:type="spellStart"/>
      <w:r w:rsidRPr="0096752A">
        <w:rPr>
          <w:rFonts w:ascii="Candara" w:hAnsi="Candara"/>
          <w:sz w:val="18"/>
          <w:szCs w:val="16"/>
        </w:rPr>
        <w:t>bivariate</w:t>
      </w:r>
      <w:proofErr w:type="spellEnd"/>
      <w:r w:rsidRPr="0096752A">
        <w:rPr>
          <w:rFonts w:ascii="Candara" w:hAnsi="Candara"/>
          <w:sz w:val="18"/>
          <w:szCs w:val="16"/>
        </w:rPr>
        <w:t xml:space="preserve"> normal correlations.</w:t>
      </w:r>
      <w:proofErr w:type="gramEnd"/>
      <w:r w:rsidRPr="0096752A">
        <w:rPr>
          <w:rFonts w:ascii="Candara" w:hAnsi="Candara"/>
          <w:sz w:val="18"/>
          <w:szCs w:val="16"/>
        </w:rPr>
        <w:t xml:space="preserve"> </w:t>
      </w:r>
      <w:r w:rsidRPr="0096752A">
        <w:rPr>
          <w:rFonts w:ascii="Candara Italic" w:hAnsi="Candara Italic"/>
          <w:sz w:val="18"/>
          <w:szCs w:val="16"/>
        </w:rPr>
        <w:t>Psychological Bulletin</w:t>
      </w:r>
      <w:r w:rsidRPr="0096752A">
        <w:rPr>
          <w:rFonts w:ascii="Candara" w:hAnsi="Candara"/>
          <w:sz w:val="18"/>
          <w:szCs w:val="16"/>
        </w:rPr>
        <w:t xml:space="preserve">, </w:t>
      </w:r>
      <w:r w:rsidRPr="0096752A">
        <w:rPr>
          <w:rFonts w:ascii="Candara Italic" w:hAnsi="Candara Italic"/>
          <w:sz w:val="18"/>
          <w:szCs w:val="16"/>
        </w:rPr>
        <w:t>116</w:t>
      </w:r>
      <w:r w:rsidRPr="0096752A">
        <w:rPr>
          <w:rFonts w:ascii="Candara" w:hAnsi="Candara"/>
          <w:sz w:val="18"/>
          <w:szCs w:val="16"/>
        </w:rPr>
        <w:t>(3), 509–511.</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Durlak</w:t>
      </w:r>
      <w:proofErr w:type="spellEnd"/>
      <w:r w:rsidRPr="0096752A">
        <w:rPr>
          <w:rFonts w:ascii="Candara" w:hAnsi="Candara"/>
          <w:sz w:val="18"/>
          <w:szCs w:val="16"/>
        </w:rPr>
        <w:t xml:space="preserve">, J. A. (2009). </w:t>
      </w:r>
      <w:proofErr w:type="gramStart"/>
      <w:r w:rsidRPr="0096752A">
        <w:rPr>
          <w:rFonts w:ascii="Candara" w:hAnsi="Candara"/>
          <w:sz w:val="18"/>
          <w:szCs w:val="16"/>
        </w:rPr>
        <w:t>How to select, calculate, and interpret effect sizes.</w:t>
      </w:r>
      <w:proofErr w:type="gramEnd"/>
      <w:r w:rsidRPr="0096752A">
        <w:rPr>
          <w:rFonts w:ascii="Candara" w:hAnsi="Candara"/>
          <w:sz w:val="18"/>
          <w:szCs w:val="16"/>
        </w:rPr>
        <w:t xml:space="preserve"> </w:t>
      </w:r>
      <w:r w:rsidRPr="0096752A">
        <w:rPr>
          <w:rFonts w:ascii="Candara Italic" w:hAnsi="Candara Italic"/>
          <w:sz w:val="18"/>
          <w:szCs w:val="16"/>
        </w:rPr>
        <w:t>Journal of Pediatric Psychology</w:t>
      </w:r>
      <w:r w:rsidRPr="0096752A">
        <w:rPr>
          <w:rFonts w:ascii="Candara" w:hAnsi="Candara"/>
          <w:sz w:val="18"/>
          <w:szCs w:val="16"/>
        </w:rPr>
        <w:t xml:space="preserve">, </w:t>
      </w:r>
      <w:r w:rsidRPr="0096752A">
        <w:rPr>
          <w:rFonts w:ascii="Candara Italic" w:hAnsi="Candara Italic"/>
          <w:sz w:val="18"/>
          <w:szCs w:val="16"/>
        </w:rPr>
        <w:t>34</w:t>
      </w:r>
      <w:r w:rsidRPr="0096752A">
        <w:rPr>
          <w:rFonts w:ascii="Candara" w:hAnsi="Candara"/>
          <w:sz w:val="18"/>
          <w:szCs w:val="16"/>
        </w:rPr>
        <w:t>(9), 917–928.</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Ellis, P. D. (2010). </w:t>
      </w:r>
      <w:r w:rsidRPr="0096752A">
        <w:rPr>
          <w:rFonts w:ascii="Candara Italic" w:hAnsi="Candara Italic"/>
          <w:sz w:val="18"/>
          <w:szCs w:val="16"/>
        </w:rPr>
        <w:t xml:space="preserve">The essential guide to effect sizes. </w:t>
      </w:r>
      <w:proofErr w:type="gramStart"/>
      <w:r w:rsidRPr="0096752A">
        <w:rPr>
          <w:rFonts w:ascii="Candara Italic" w:hAnsi="Candara Italic"/>
          <w:sz w:val="18"/>
          <w:szCs w:val="16"/>
        </w:rPr>
        <w:t>Statistical power, meta-analysis, and the interpretation of research results</w:t>
      </w:r>
      <w:r w:rsidRPr="0096752A">
        <w:rPr>
          <w:rFonts w:ascii="Candara" w:hAnsi="Candara"/>
          <w:sz w:val="18"/>
          <w:szCs w:val="16"/>
        </w:rPr>
        <w:t xml:space="preserve"> (pp. 1–193).</w:t>
      </w:r>
      <w:proofErr w:type="gramEnd"/>
      <w:r w:rsidRPr="0096752A">
        <w:rPr>
          <w:rFonts w:ascii="Candara" w:hAnsi="Candara"/>
          <w:sz w:val="18"/>
          <w:szCs w:val="16"/>
        </w:rPr>
        <w:t xml:space="preserve"> Cambridge: Cambridge University Press.</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lastRenderedPageBreak/>
        <w:t>Embretson</w:t>
      </w:r>
      <w:proofErr w:type="spellEnd"/>
      <w:r w:rsidRPr="0096752A">
        <w:rPr>
          <w:rFonts w:ascii="Candara" w:hAnsi="Candara"/>
          <w:sz w:val="18"/>
          <w:szCs w:val="16"/>
        </w:rPr>
        <w:t xml:space="preserve">, S. E. (2006). </w:t>
      </w:r>
      <w:proofErr w:type="gramStart"/>
      <w:r w:rsidRPr="0096752A">
        <w:rPr>
          <w:rFonts w:ascii="Candara" w:hAnsi="Candara"/>
          <w:sz w:val="18"/>
          <w:szCs w:val="16"/>
        </w:rPr>
        <w:t xml:space="preserve">The continued search for </w:t>
      </w:r>
      <w:proofErr w:type="spellStart"/>
      <w:r w:rsidRPr="0096752A">
        <w:rPr>
          <w:rFonts w:ascii="Candara" w:hAnsi="Candara"/>
          <w:sz w:val="18"/>
          <w:szCs w:val="16"/>
        </w:rPr>
        <w:t>nonarbitrary</w:t>
      </w:r>
      <w:proofErr w:type="spellEnd"/>
      <w:r w:rsidRPr="0096752A">
        <w:rPr>
          <w:rFonts w:ascii="Candara" w:hAnsi="Candara"/>
          <w:sz w:val="18"/>
          <w:szCs w:val="16"/>
        </w:rPr>
        <w:t xml:space="preserve"> metrics in psychology.</w:t>
      </w:r>
      <w:proofErr w:type="gramEnd"/>
      <w:r w:rsidRPr="0096752A">
        <w:rPr>
          <w:rFonts w:ascii="Candara" w:hAnsi="Candara"/>
          <w:sz w:val="18"/>
          <w:szCs w:val="16"/>
        </w:rPr>
        <w:t xml:space="preserve"> </w:t>
      </w:r>
      <w:r w:rsidRPr="0096752A">
        <w:rPr>
          <w:rFonts w:ascii="Candara Italic" w:hAnsi="Candara Italic"/>
          <w:sz w:val="18"/>
          <w:szCs w:val="16"/>
        </w:rPr>
        <w:t>The American Psychologist</w:t>
      </w:r>
      <w:r w:rsidRPr="0096752A">
        <w:rPr>
          <w:rFonts w:ascii="Candara" w:hAnsi="Candara"/>
          <w:sz w:val="18"/>
          <w:szCs w:val="16"/>
        </w:rPr>
        <w:t xml:space="preserve">, </w:t>
      </w:r>
      <w:r w:rsidRPr="0096752A">
        <w:rPr>
          <w:rFonts w:ascii="Candara Italic" w:hAnsi="Candara Italic"/>
          <w:sz w:val="18"/>
          <w:szCs w:val="16"/>
        </w:rPr>
        <w:t>61</w:t>
      </w:r>
      <w:r w:rsidRPr="0096752A">
        <w:rPr>
          <w:rFonts w:ascii="Candara" w:hAnsi="Candara"/>
          <w:sz w:val="18"/>
          <w:szCs w:val="16"/>
        </w:rPr>
        <w:t>(1), 50–55. doi:10.1037/0003-066X.61.1.50</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Ferguson, C. J. (2009). An effect size primer: A guide for clinicians and researchers. </w:t>
      </w:r>
      <w:r w:rsidRPr="0096752A">
        <w:rPr>
          <w:rFonts w:ascii="Candara Italic" w:hAnsi="Candara Italic"/>
          <w:sz w:val="18"/>
          <w:szCs w:val="16"/>
        </w:rPr>
        <w:t>Professional Psychology: Research and Practice</w:t>
      </w:r>
      <w:r w:rsidRPr="0096752A">
        <w:rPr>
          <w:rFonts w:ascii="Candara" w:hAnsi="Candara"/>
          <w:sz w:val="18"/>
          <w:szCs w:val="16"/>
        </w:rPr>
        <w:t xml:space="preserve">, </w:t>
      </w:r>
      <w:r w:rsidRPr="0096752A">
        <w:rPr>
          <w:rFonts w:ascii="Candara Italic" w:hAnsi="Candara Italic"/>
          <w:sz w:val="18"/>
          <w:szCs w:val="16"/>
        </w:rPr>
        <w:t>40</w:t>
      </w:r>
      <w:r w:rsidRPr="0096752A">
        <w:rPr>
          <w:rFonts w:ascii="Candara" w:hAnsi="Candara"/>
          <w:sz w:val="18"/>
          <w:szCs w:val="16"/>
        </w:rPr>
        <w:t>(5), 532-538.</w:t>
      </w:r>
    </w:p>
    <w:p w:rsidR="00D9179F" w:rsidRPr="0096752A" w:rsidRDefault="00D9179F" w:rsidP="00D9179F">
      <w:pPr>
        <w:pStyle w:val="FormalivreA"/>
        <w:spacing w:after="60"/>
        <w:ind w:left="426" w:hanging="426"/>
        <w:jc w:val="both"/>
        <w:rPr>
          <w:rFonts w:ascii="Candara" w:hAnsi="Candara"/>
          <w:sz w:val="18"/>
          <w:szCs w:val="16"/>
        </w:rPr>
      </w:pPr>
      <w:r w:rsidRPr="00894C04">
        <w:rPr>
          <w:rFonts w:ascii="Candara" w:hAnsi="Candara"/>
          <w:sz w:val="18"/>
          <w:szCs w:val="16"/>
          <w:lang w:val="pt-PT"/>
        </w:rPr>
        <w:t xml:space="preserve">Fern, E. F. e Monroe, K. B. (1996). </w:t>
      </w:r>
      <w:r w:rsidRPr="0096752A">
        <w:rPr>
          <w:rFonts w:ascii="Candara" w:hAnsi="Candara"/>
          <w:sz w:val="18"/>
          <w:szCs w:val="16"/>
        </w:rPr>
        <w:t xml:space="preserve">Effect-size estimates: Issues and problems in interpretation. </w:t>
      </w:r>
      <w:r w:rsidRPr="0096752A">
        <w:rPr>
          <w:rFonts w:ascii="Candara Italic" w:hAnsi="Candara Italic"/>
          <w:sz w:val="18"/>
          <w:szCs w:val="16"/>
        </w:rPr>
        <w:t>Journal of Consumer Research, 23</w:t>
      </w:r>
      <w:r w:rsidRPr="0096752A">
        <w:rPr>
          <w:rFonts w:ascii="Candara" w:hAnsi="Candara"/>
          <w:sz w:val="18"/>
          <w:szCs w:val="16"/>
        </w:rPr>
        <w:t>(2), 89–105.</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Fisher, R. A. (1925). </w:t>
      </w:r>
      <w:proofErr w:type="gramStart"/>
      <w:r w:rsidRPr="0096752A">
        <w:rPr>
          <w:rFonts w:ascii="Candara Italic" w:hAnsi="Candara Italic"/>
          <w:sz w:val="18"/>
          <w:szCs w:val="16"/>
        </w:rPr>
        <w:t>Statistical methods for research workers</w:t>
      </w:r>
      <w:r w:rsidRPr="0096752A">
        <w:rPr>
          <w:rFonts w:ascii="Candara" w:hAnsi="Candara"/>
          <w:sz w:val="18"/>
          <w:szCs w:val="16"/>
        </w:rPr>
        <w:t>.</w:t>
      </w:r>
      <w:proofErr w:type="gramEnd"/>
      <w:r w:rsidRPr="0096752A">
        <w:rPr>
          <w:rFonts w:ascii="Candara" w:hAnsi="Candara"/>
          <w:sz w:val="18"/>
          <w:szCs w:val="16"/>
        </w:rPr>
        <w:t xml:space="preserve"> Edinburgh: Oliver and Boyd.</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Fisher, R. A. (1959). </w:t>
      </w:r>
      <w:r w:rsidRPr="0096752A">
        <w:rPr>
          <w:rFonts w:ascii="Candara Italic" w:hAnsi="Candara Italic"/>
          <w:sz w:val="18"/>
          <w:szCs w:val="16"/>
        </w:rPr>
        <w:t xml:space="preserve">Statistical methods and scientific </w:t>
      </w:r>
      <w:proofErr w:type="spellStart"/>
      <w:r w:rsidRPr="0096752A">
        <w:rPr>
          <w:rFonts w:ascii="Candara Italic" w:hAnsi="Candara Italic"/>
          <w:sz w:val="18"/>
          <w:szCs w:val="16"/>
        </w:rPr>
        <w:t>inferente</w:t>
      </w:r>
      <w:proofErr w:type="spellEnd"/>
      <w:r w:rsidRPr="0096752A">
        <w:rPr>
          <w:rFonts w:ascii="Candara Italic" w:hAnsi="Candara Italic"/>
          <w:sz w:val="18"/>
          <w:szCs w:val="16"/>
        </w:rPr>
        <w:t xml:space="preserve"> </w:t>
      </w:r>
      <w:r w:rsidRPr="0096752A">
        <w:rPr>
          <w:rFonts w:ascii="Candara" w:hAnsi="Candara"/>
          <w:sz w:val="18"/>
          <w:szCs w:val="16"/>
        </w:rPr>
        <w:t>(</w:t>
      </w:r>
      <w:r w:rsidR="00E54D72">
        <w:rPr>
          <w:rFonts w:ascii="Candara" w:hAnsi="Candara"/>
          <w:sz w:val="18"/>
          <w:szCs w:val="16"/>
        </w:rPr>
        <w:t>2.ª</w:t>
      </w:r>
      <w:r w:rsidRPr="0096752A">
        <w:rPr>
          <w:rFonts w:ascii="Candara" w:hAnsi="Candara"/>
          <w:sz w:val="18"/>
          <w:szCs w:val="16"/>
        </w:rPr>
        <w:t xml:space="preserve"> </w:t>
      </w:r>
      <w:proofErr w:type="gramStart"/>
      <w:r w:rsidRPr="0096752A">
        <w:rPr>
          <w:rFonts w:ascii="Candara" w:hAnsi="Candara"/>
          <w:sz w:val="18"/>
          <w:szCs w:val="16"/>
        </w:rPr>
        <w:t>ed</w:t>
      </w:r>
      <w:proofErr w:type="gramEnd"/>
      <w:r w:rsidRPr="0096752A">
        <w:rPr>
          <w:rFonts w:ascii="Candara" w:hAnsi="Candara"/>
          <w:sz w:val="18"/>
          <w:szCs w:val="16"/>
        </w:rPr>
        <w:t>.). Edinburgh: Oliver and Boyd.</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Furukawa, T. A. e </w:t>
      </w:r>
      <w:proofErr w:type="spellStart"/>
      <w:r w:rsidRPr="0096752A">
        <w:rPr>
          <w:rFonts w:ascii="Candara" w:hAnsi="Candara"/>
          <w:sz w:val="18"/>
          <w:szCs w:val="16"/>
        </w:rPr>
        <w:t>Leucht</w:t>
      </w:r>
      <w:proofErr w:type="spellEnd"/>
      <w:r w:rsidRPr="0096752A">
        <w:rPr>
          <w:rFonts w:ascii="Candara" w:hAnsi="Candara"/>
          <w:sz w:val="18"/>
          <w:szCs w:val="16"/>
        </w:rPr>
        <w:t xml:space="preserve">, S. (2011). How to obtain NNT from Cohen's d: Comparison of two methods. </w:t>
      </w:r>
      <w:proofErr w:type="spellStart"/>
      <w:r w:rsidRPr="0096752A">
        <w:rPr>
          <w:rFonts w:ascii="Candara Italic" w:hAnsi="Candara Italic"/>
          <w:sz w:val="18"/>
          <w:szCs w:val="16"/>
        </w:rPr>
        <w:t>PLoS</w:t>
      </w:r>
      <w:proofErr w:type="spellEnd"/>
      <w:r w:rsidRPr="0096752A">
        <w:rPr>
          <w:rFonts w:ascii="Candara Italic" w:hAnsi="Candara Italic"/>
          <w:sz w:val="18"/>
          <w:szCs w:val="16"/>
        </w:rPr>
        <w:t xml:space="preserve"> ONE</w:t>
      </w:r>
      <w:r w:rsidRPr="0096752A">
        <w:rPr>
          <w:rFonts w:ascii="Candara" w:hAnsi="Candara"/>
          <w:sz w:val="18"/>
          <w:szCs w:val="16"/>
        </w:rPr>
        <w:t xml:space="preserve">, </w:t>
      </w:r>
      <w:r w:rsidRPr="0096752A">
        <w:rPr>
          <w:rFonts w:ascii="Candara Italic" w:hAnsi="Candara Italic"/>
          <w:sz w:val="18"/>
          <w:szCs w:val="16"/>
        </w:rPr>
        <w:t>6</w:t>
      </w:r>
      <w:r w:rsidRPr="0096752A">
        <w:rPr>
          <w:rFonts w:ascii="Candara" w:hAnsi="Candara"/>
          <w:sz w:val="18"/>
          <w:szCs w:val="16"/>
        </w:rPr>
        <w:t>(4), e19070, 1-5.</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Giere</w:t>
      </w:r>
      <w:proofErr w:type="spellEnd"/>
      <w:r w:rsidRPr="0096752A">
        <w:rPr>
          <w:rFonts w:ascii="Candara" w:hAnsi="Candara"/>
          <w:sz w:val="18"/>
          <w:szCs w:val="16"/>
        </w:rPr>
        <w:t xml:space="preserve">, R. N. (1972). </w:t>
      </w:r>
      <w:proofErr w:type="gramStart"/>
      <w:r w:rsidRPr="0096752A">
        <w:rPr>
          <w:rFonts w:ascii="Candara" w:hAnsi="Candara"/>
          <w:sz w:val="18"/>
          <w:szCs w:val="16"/>
        </w:rPr>
        <w:t>The significance test controversy.</w:t>
      </w:r>
      <w:proofErr w:type="gramEnd"/>
      <w:r w:rsidRPr="0096752A">
        <w:rPr>
          <w:rFonts w:ascii="Candara" w:hAnsi="Candara"/>
          <w:sz w:val="18"/>
          <w:szCs w:val="16"/>
        </w:rPr>
        <w:t xml:space="preserve"> </w:t>
      </w:r>
      <w:r w:rsidRPr="0096752A">
        <w:rPr>
          <w:rFonts w:ascii="Candara Italic" w:hAnsi="Candara Italic"/>
          <w:sz w:val="18"/>
          <w:szCs w:val="16"/>
        </w:rPr>
        <w:t>British Journal for the Philosophy of Science</w:t>
      </w:r>
      <w:r w:rsidRPr="0096752A">
        <w:rPr>
          <w:rFonts w:ascii="Candara" w:hAnsi="Candara"/>
          <w:sz w:val="18"/>
          <w:szCs w:val="16"/>
        </w:rPr>
        <w:t xml:space="preserve">, </w:t>
      </w:r>
      <w:r w:rsidRPr="0096752A">
        <w:rPr>
          <w:rFonts w:ascii="Candara Italic" w:hAnsi="Candara Italic"/>
          <w:sz w:val="18"/>
          <w:szCs w:val="16"/>
        </w:rPr>
        <w:t>23</w:t>
      </w:r>
      <w:r w:rsidRPr="0096752A">
        <w:rPr>
          <w:rFonts w:ascii="Candara" w:hAnsi="Candara"/>
          <w:sz w:val="18"/>
          <w:szCs w:val="16"/>
        </w:rPr>
        <w:t>(2), 170–181.</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Glass, G. V. (1976). </w:t>
      </w:r>
      <w:proofErr w:type="gramStart"/>
      <w:r w:rsidRPr="0096752A">
        <w:rPr>
          <w:rFonts w:ascii="Candara" w:hAnsi="Candara"/>
          <w:sz w:val="18"/>
          <w:szCs w:val="16"/>
        </w:rPr>
        <w:t>Primary, secondary, and meta-analysis of research.</w:t>
      </w:r>
      <w:proofErr w:type="gramEnd"/>
      <w:r w:rsidRPr="0096752A">
        <w:rPr>
          <w:rFonts w:ascii="Candara" w:hAnsi="Candara"/>
          <w:sz w:val="18"/>
          <w:szCs w:val="16"/>
        </w:rPr>
        <w:t xml:space="preserve"> </w:t>
      </w:r>
      <w:r w:rsidRPr="0096752A">
        <w:rPr>
          <w:rFonts w:ascii="Candara Italic" w:hAnsi="Candara Italic"/>
          <w:sz w:val="18"/>
          <w:szCs w:val="16"/>
        </w:rPr>
        <w:t>Educational Researcher, 5</w:t>
      </w:r>
      <w:r w:rsidRPr="0096752A">
        <w:rPr>
          <w:rFonts w:ascii="Candara" w:hAnsi="Candara"/>
          <w:sz w:val="18"/>
          <w:szCs w:val="16"/>
        </w:rPr>
        <w:t>(10), 3–8.</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Glass, G.V., </w:t>
      </w:r>
      <w:proofErr w:type="spellStart"/>
      <w:r w:rsidRPr="0096752A">
        <w:rPr>
          <w:rFonts w:ascii="Candara" w:hAnsi="Candara"/>
          <w:sz w:val="18"/>
          <w:szCs w:val="16"/>
        </w:rPr>
        <w:t>McGaw</w:t>
      </w:r>
      <w:proofErr w:type="spellEnd"/>
      <w:r w:rsidRPr="0096752A">
        <w:rPr>
          <w:rFonts w:ascii="Candara" w:hAnsi="Candara"/>
          <w:sz w:val="18"/>
          <w:szCs w:val="16"/>
        </w:rPr>
        <w:t>, B. e Smith, M. L. (1981).</w:t>
      </w:r>
      <w:r w:rsidRPr="0096752A">
        <w:rPr>
          <w:rFonts w:ascii="Candara Italic" w:hAnsi="Candara Italic"/>
          <w:sz w:val="18"/>
          <w:szCs w:val="16"/>
        </w:rPr>
        <w:t xml:space="preserve"> </w:t>
      </w:r>
      <w:proofErr w:type="gramStart"/>
      <w:r w:rsidRPr="0096752A">
        <w:rPr>
          <w:rFonts w:ascii="Candara Italic" w:hAnsi="Candara Italic"/>
          <w:sz w:val="18"/>
          <w:szCs w:val="16"/>
        </w:rPr>
        <w:t>Meta-analysis in social research.</w:t>
      </w:r>
      <w:proofErr w:type="gramEnd"/>
      <w:r w:rsidRPr="0096752A">
        <w:rPr>
          <w:rFonts w:ascii="Candara" w:hAnsi="Candara"/>
          <w:sz w:val="18"/>
          <w:szCs w:val="16"/>
        </w:rPr>
        <w:t xml:space="preserve"> Sage: Beverly Hills.</w:t>
      </w:r>
    </w:p>
    <w:p w:rsidR="00D9179F" w:rsidRPr="0096752A" w:rsidRDefault="00D9179F" w:rsidP="00D9179F">
      <w:pPr>
        <w:pStyle w:val="FormalivreA"/>
        <w:spacing w:after="60"/>
        <w:ind w:left="426" w:hanging="426"/>
        <w:jc w:val="both"/>
        <w:rPr>
          <w:rFonts w:ascii="Candara" w:hAnsi="Candara"/>
          <w:sz w:val="18"/>
          <w:szCs w:val="16"/>
        </w:rPr>
      </w:pPr>
      <w:r w:rsidRPr="00894C04">
        <w:rPr>
          <w:rFonts w:ascii="Candara" w:hAnsi="Candara"/>
          <w:sz w:val="18"/>
          <w:szCs w:val="16"/>
          <w:lang w:val="pt-PT"/>
        </w:rPr>
        <w:t xml:space="preserve">Grissom, R. J. e Kim, J. J. (2005). </w:t>
      </w:r>
      <w:r w:rsidRPr="0096752A">
        <w:rPr>
          <w:rFonts w:ascii="Candara Italic" w:hAnsi="Candara Italic"/>
          <w:sz w:val="18"/>
          <w:szCs w:val="16"/>
        </w:rPr>
        <w:t xml:space="preserve">Effect sizes for research: A broad practical approach. </w:t>
      </w:r>
      <w:r w:rsidRPr="0096752A">
        <w:rPr>
          <w:rFonts w:ascii="Candara" w:hAnsi="Candara"/>
          <w:sz w:val="18"/>
          <w:szCs w:val="16"/>
        </w:rPr>
        <w:t>Mahwah, NJ: Lawrence Erlbaum Associates Publishers.</w:t>
      </w:r>
    </w:p>
    <w:p w:rsidR="00D9179F" w:rsidRPr="0096752A" w:rsidRDefault="00D9179F" w:rsidP="00D9179F">
      <w:pPr>
        <w:pStyle w:val="FormalivreA"/>
        <w:spacing w:after="60"/>
        <w:ind w:left="426" w:hanging="426"/>
        <w:jc w:val="both"/>
        <w:rPr>
          <w:rFonts w:ascii="Candara" w:hAnsi="Candara"/>
          <w:sz w:val="18"/>
          <w:szCs w:val="16"/>
        </w:rPr>
      </w:pPr>
      <w:proofErr w:type="gramStart"/>
      <w:r w:rsidRPr="0096752A">
        <w:rPr>
          <w:rFonts w:ascii="Candara" w:hAnsi="Candara"/>
          <w:sz w:val="18"/>
          <w:szCs w:val="16"/>
        </w:rPr>
        <w:t>Hedges, L. V. (1981).</w:t>
      </w:r>
      <w:proofErr w:type="gramEnd"/>
      <w:r w:rsidRPr="0096752A">
        <w:rPr>
          <w:rFonts w:ascii="Candara" w:hAnsi="Candara"/>
          <w:sz w:val="18"/>
          <w:szCs w:val="16"/>
        </w:rPr>
        <w:t xml:space="preserve"> </w:t>
      </w:r>
      <w:proofErr w:type="gramStart"/>
      <w:r w:rsidRPr="0096752A">
        <w:rPr>
          <w:rFonts w:ascii="Candara" w:hAnsi="Candara"/>
          <w:sz w:val="18"/>
          <w:szCs w:val="16"/>
        </w:rPr>
        <w:t>Distribution theory for Glass's estimator of effect size and related estimators.</w:t>
      </w:r>
      <w:proofErr w:type="gramEnd"/>
      <w:r w:rsidRPr="0096752A">
        <w:rPr>
          <w:rFonts w:ascii="Candara" w:hAnsi="Candara"/>
          <w:sz w:val="18"/>
          <w:szCs w:val="16"/>
        </w:rPr>
        <w:t xml:space="preserve"> </w:t>
      </w:r>
      <w:r w:rsidRPr="0096752A">
        <w:rPr>
          <w:rFonts w:ascii="Candara Italic" w:hAnsi="Candara Italic"/>
          <w:sz w:val="18"/>
          <w:szCs w:val="16"/>
        </w:rPr>
        <w:t>Journal of Educational and Behavioral Statistics</w:t>
      </w:r>
      <w:r w:rsidRPr="0096752A">
        <w:rPr>
          <w:rFonts w:ascii="Candara" w:hAnsi="Candara"/>
          <w:sz w:val="18"/>
          <w:szCs w:val="16"/>
        </w:rPr>
        <w:t xml:space="preserve">, </w:t>
      </w:r>
      <w:r w:rsidRPr="0096752A">
        <w:rPr>
          <w:rFonts w:ascii="Candara Italic" w:hAnsi="Candara Italic"/>
          <w:sz w:val="18"/>
          <w:szCs w:val="16"/>
        </w:rPr>
        <w:t>6</w:t>
      </w:r>
      <w:r w:rsidRPr="0096752A">
        <w:rPr>
          <w:rFonts w:ascii="Candara" w:hAnsi="Candara"/>
          <w:sz w:val="18"/>
          <w:szCs w:val="16"/>
        </w:rPr>
        <w:t>(2), 107–128.</w:t>
      </w:r>
    </w:p>
    <w:p w:rsidR="00D9179F" w:rsidRPr="0096752A" w:rsidRDefault="00D9179F" w:rsidP="00D9179F">
      <w:pPr>
        <w:pStyle w:val="FormalivreA"/>
        <w:spacing w:after="60"/>
        <w:ind w:left="426" w:hanging="426"/>
        <w:jc w:val="both"/>
        <w:rPr>
          <w:rFonts w:ascii="Candara" w:hAnsi="Candara"/>
          <w:sz w:val="18"/>
          <w:szCs w:val="16"/>
        </w:rPr>
      </w:pPr>
      <w:proofErr w:type="gramStart"/>
      <w:r w:rsidRPr="0096752A">
        <w:rPr>
          <w:rFonts w:ascii="Candara" w:hAnsi="Candara"/>
          <w:sz w:val="18"/>
          <w:szCs w:val="16"/>
        </w:rPr>
        <w:t xml:space="preserve">Hedges, L. V. e </w:t>
      </w:r>
      <w:proofErr w:type="spellStart"/>
      <w:r w:rsidRPr="0096752A">
        <w:rPr>
          <w:rFonts w:ascii="Candara" w:hAnsi="Candara"/>
          <w:sz w:val="18"/>
          <w:szCs w:val="16"/>
        </w:rPr>
        <w:t>Olkin</w:t>
      </w:r>
      <w:proofErr w:type="spellEnd"/>
      <w:r w:rsidRPr="0096752A">
        <w:rPr>
          <w:rFonts w:ascii="Candara" w:hAnsi="Candara"/>
          <w:sz w:val="18"/>
          <w:szCs w:val="16"/>
        </w:rPr>
        <w:t>, I. (1985).</w:t>
      </w:r>
      <w:proofErr w:type="gramEnd"/>
      <w:r w:rsidRPr="0096752A">
        <w:rPr>
          <w:rFonts w:ascii="Candara" w:hAnsi="Candara"/>
          <w:sz w:val="18"/>
          <w:szCs w:val="16"/>
        </w:rPr>
        <w:t xml:space="preserve"> </w:t>
      </w:r>
      <w:proofErr w:type="gramStart"/>
      <w:r w:rsidRPr="0096752A">
        <w:rPr>
          <w:rFonts w:ascii="Candara Italic" w:hAnsi="Candara Italic"/>
          <w:sz w:val="18"/>
          <w:szCs w:val="16"/>
        </w:rPr>
        <w:t>Statistical methods for meta-analysis</w:t>
      </w:r>
      <w:r w:rsidRPr="0096752A">
        <w:rPr>
          <w:rFonts w:ascii="Candara" w:hAnsi="Candara"/>
          <w:sz w:val="18"/>
          <w:szCs w:val="16"/>
        </w:rPr>
        <w:t xml:space="preserve"> (Vol. 11, pp. 104–106).</w:t>
      </w:r>
      <w:proofErr w:type="gramEnd"/>
      <w:r w:rsidRPr="0096752A">
        <w:rPr>
          <w:rFonts w:ascii="Candara" w:hAnsi="Candara"/>
          <w:sz w:val="18"/>
          <w:szCs w:val="16"/>
        </w:rPr>
        <w:t xml:space="preserve"> Orlando: Academic Press.</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t xml:space="preserve">Hentschke, H. e Stüttgen, M. C. (2011). </w:t>
      </w:r>
      <w:proofErr w:type="gramStart"/>
      <w:r w:rsidRPr="0096752A">
        <w:rPr>
          <w:rFonts w:ascii="Candara" w:hAnsi="Candara"/>
          <w:sz w:val="18"/>
          <w:szCs w:val="16"/>
        </w:rPr>
        <w:t>Computation of measures of effect size for neuroscience data sets.</w:t>
      </w:r>
      <w:proofErr w:type="gramEnd"/>
      <w:r w:rsidRPr="0096752A">
        <w:rPr>
          <w:rFonts w:ascii="Candara" w:hAnsi="Candara"/>
          <w:sz w:val="18"/>
          <w:szCs w:val="16"/>
        </w:rPr>
        <w:t xml:space="preserve"> </w:t>
      </w:r>
      <w:r w:rsidRPr="0096752A">
        <w:rPr>
          <w:rFonts w:ascii="Candara Italic" w:hAnsi="Candara Italic"/>
          <w:sz w:val="18"/>
          <w:szCs w:val="16"/>
        </w:rPr>
        <w:t>The European Journal of Neuroscience</w:t>
      </w:r>
      <w:r w:rsidRPr="0096752A">
        <w:rPr>
          <w:rFonts w:ascii="Candara" w:hAnsi="Candara"/>
          <w:sz w:val="18"/>
          <w:szCs w:val="16"/>
        </w:rPr>
        <w:t xml:space="preserve">, </w:t>
      </w:r>
      <w:r w:rsidRPr="0096752A">
        <w:rPr>
          <w:rFonts w:ascii="Candara Italic" w:hAnsi="Candara Italic"/>
          <w:sz w:val="18"/>
          <w:szCs w:val="16"/>
        </w:rPr>
        <w:t>34</w:t>
      </w:r>
      <w:r w:rsidRPr="0096752A">
        <w:rPr>
          <w:rFonts w:ascii="Candara" w:hAnsi="Candara"/>
          <w:sz w:val="18"/>
          <w:szCs w:val="16"/>
        </w:rPr>
        <w:t>(12), 1887–1894. doi:10.1111/j.1460-9568.2011.07902.x</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Huberty</w:t>
      </w:r>
      <w:proofErr w:type="spellEnd"/>
      <w:r w:rsidRPr="0096752A">
        <w:rPr>
          <w:rFonts w:ascii="Candara" w:hAnsi="Candara"/>
          <w:sz w:val="18"/>
          <w:szCs w:val="16"/>
        </w:rPr>
        <w:t xml:space="preserve">, C. J. (1993). Historical origins of statistical testing practices: The treatment of Fisher versus </w:t>
      </w:r>
      <w:proofErr w:type="spellStart"/>
      <w:r w:rsidRPr="0096752A">
        <w:rPr>
          <w:rFonts w:ascii="Candara" w:hAnsi="Candara"/>
          <w:sz w:val="18"/>
          <w:szCs w:val="16"/>
        </w:rPr>
        <w:t>Neyman</w:t>
      </w:r>
      <w:proofErr w:type="spellEnd"/>
      <w:r w:rsidRPr="0096752A">
        <w:rPr>
          <w:rFonts w:ascii="Candara" w:hAnsi="Candara"/>
          <w:sz w:val="18"/>
          <w:szCs w:val="16"/>
        </w:rPr>
        <w:t xml:space="preserve">-Pearson views in textbooks. </w:t>
      </w:r>
      <w:r w:rsidRPr="0096752A">
        <w:rPr>
          <w:rFonts w:ascii="Candara Italic" w:hAnsi="Candara Italic"/>
          <w:sz w:val="18"/>
          <w:szCs w:val="16"/>
        </w:rPr>
        <w:t>The Journal of Experimental Education</w:t>
      </w:r>
      <w:r w:rsidRPr="0096752A">
        <w:rPr>
          <w:rFonts w:ascii="Candara" w:hAnsi="Candara"/>
          <w:sz w:val="18"/>
          <w:szCs w:val="16"/>
        </w:rPr>
        <w:t xml:space="preserve">, </w:t>
      </w:r>
      <w:r w:rsidRPr="0096752A">
        <w:rPr>
          <w:rFonts w:ascii="Candara Italic" w:hAnsi="Candara Italic"/>
          <w:sz w:val="18"/>
          <w:szCs w:val="16"/>
        </w:rPr>
        <w:t>61</w:t>
      </w:r>
      <w:r w:rsidRPr="0096752A">
        <w:rPr>
          <w:rFonts w:ascii="Candara" w:hAnsi="Candara"/>
          <w:sz w:val="18"/>
          <w:szCs w:val="16"/>
        </w:rPr>
        <w:t>(4), 317–333.</w:t>
      </w:r>
    </w:p>
    <w:p w:rsidR="00D9179F" w:rsidRPr="0096752A" w:rsidRDefault="00D9179F" w:rsidP="00D9179F">
      <w:pPr>
        <w:pStyle w:val="FormalivreA"/>
        <w:spacing w:after="60"/>
        <w:ind w:left="426" w:hanging="426"/>
        <w:jc w:val="both"/>
        <w:rPr>
          <w:rFonts w:ascii="Candara" w:hAnsi="Candara"/>
          <w:sz w:val="18"/>
          <w:szCs w:val="16"/>
        </w:rPr>
      </w:pPr>
      <w:r w:rsidRPr="00894C04">
        <w:rPr>
          <w:rFonts w:ascii="Candara" w:hAnsi="Candara"/>
          <w:sz w:val="18"/>
          <w:szCs w:val="16"/>
          <w:lang w:val="pt-PT"/>
        </w:rPr>
        <w:t xml:space="preserve">Jacobson, N. S. e Truax, P. (1991). </w:t>
      </w:r>
      <w:r w:rsidRPr="0096752A">
        <w:rPr>
          <w:rFonts w:ascii="Candara" w:hAnsi="Candara"/>
          <w:sz w:val="18"/>
          <w:szCs w:val="16"/>
        </w:rPr>
        <w:t xml:space="preserve">Clinical significance: a statistical approach to defining meaningful change in psychotherapy research. </w:t>
      </w:r>
      <w:r w:rsidRPr="0096752A">
        <w:rPr>
          <w:rFonts w:ascii="Candara Italic" w:hAnsi="Candara Italic"/>
          <w:sz w:val="18"/>
          <w:szCs w:val="16"/>
        </w:rPr>
        <w:t>Journal of Consulting and Clinical Psychology</w:t>
      </w:r>
      <w:r w:rsidRPr="0096752A">
        <w:rPr>
          <w:rFonts w:ascii="Candara" w:hAnsi="Candara"/>
          <w:sz w:val="18"/>
          <w:szCs w:val="16"/>
        </w:rPr>
        <w:t xml:space="preserve">, </w:t>
      </w:r>
      <w:r w:rsidRPr="0096752A">
        <w:rPr>
          <w:rFonts w:ascii="Candara Italic" w:hAnsi="Candara Italic"/>
          <w:sz w:val="18"/>
          <w:szCs w:val="16"/>
        </w:rPr>
        <w:t>59</w:t>
      </w:r>
      <w:r w:rsidRPr="0096752A">
        <w:rPr>
          <w:rFonts w:ascii="Candara" w:hAnsi="Candara"/>
          <w:sz w:val="18"/>
          <w:szCs w:val="16"/>
        </w:rPr>
        <w:t>(1), 12-19.</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Kazdin</w:t>
      </w:r>
      <w:proofErr w:type="spellEnd"/>
      <w:r w:rsidRPr="0096752A">
        <w:rPr>
          <w:rFonts w:ascii="Candara" w:hAnsi="Candara"/>
          <w:sz w:val="18"/>
          <w:szCs w:val="16"/>
        </w:rPr>
        <w:t xml:space="preserve">, A. E. (2006). Arbitrary metrics: implications for identifying evidence-based treatments. </w:t>
      </w:r>
      <w:r w:rsidRPr="0096752A">
        <w:rPr>
          <w:rFonts w:ascii="Candara Italic" w:hAnsi="Candara Italic"/>
          <w:sz w:val="18"/>
          <w:szCs w:val="16"/>
        </w:rPr>
        <w:t>The American Psychologist</w:t>
      </w:r>
      <w:r w:rsidRPr="0096752A">
        <w:rPr>
          <w:rFonts w:ascii="Candara" w:hAnsi="Candara"/>
          <w:sz w:val="18"/>
          <w:szCs w:val="16"/>
        </w:rPr>
        <w:t xml:space="preserve">, </w:t>
      </w:r>
      <w:r w:rsidRPr="0096752A">
        <w:rPr>
          <w:rFonts w:ascii="Candara Italic" w:hAnsi="Candara Italic"/>
          <w:sz w:val="18"/>
          <w:szCs w:val="16"/>
        </w:rPr>
        <w:t>61</w:t>
      </w:r>
      <w:r w:rsidRPr="0096752A">
        <w:rPr>
          <w:rFonts w:ascii="Candara" w:hAnsi="Candara"/>
          <w:sz w:val="18"/>
          <w:szCs w:val="16"/>
        </w:rPr>
        <w:t>(1), 42-49. doi:10.1037/0003-066X.61.1.42</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Killeen, P. R. (2005). </w:t>
      </w:r>
      <w:proofErr w:type="gramStart"/>
      <w:r w:rsidRPr="0096752A">
        <w:rPr>
          <w:rFonts w:ascii="Candara" w:hAnsi="Candara"/>
          <w:sz w:val="18"/>
          <w:szCs w:val="16"/>
        </w:rPr>
        <w:t>An alternative to null-hypothesis significance tests.</w:t>
      </w:r>
      <w:proofErr w:type="gramEnd"/>
      <w:r w:rsidRPr="0096752A">
        <w:rPr>
          <w:rFonts w:ascii="Candara" w:hAnsi="Candara"/>
          <w:sz w:val="18"/>
          <w:szCs w:val="16"/>
        </w:rPr>
        <w:t xml:space="preserve"> </w:t>
      </w:r>
      <w:r w:rsidRPr="0096752A">
        <w:rPr>
          <w:rFonts w:ascii="Candara Italic" w:hAnsi="Candara Italic"/>
          <w:sz w:val="18"/>
          <w:szCs w:val="16"/>
        </w:rPr>
        <w:t>Psychological Science</w:t>
      </w:r>
      <w:r w:rsidRPr="0096752A">
        <w:rPr>
          <w:rFonts w:ascii="Candara" w:hAnsi="Candara"/>
          <w:sz w:val="18"/>
          <w:szCs w:val="16"/>
        </w:rPr>
        <w:t xml:space="preserve">, </w:t>
      </w:r>
      <w:r w:rsidRPr="0096752A">
        <w:rPr>
          <w:rFonts w:ascii="Candara Italic" w:hAnsi="Candara Italic"/>
          <w:sz w:val="18"/>
          <w:szCs w:val="16"/>
        </w:rPr>
        <w:t>16</w:t>
      </w:r>
      <w:r w:rsidRPr="0096752A">
        <w:rPr>
          <w:rFonts w:ascii="Candara" w:hAnsi="Candara"/>
          <w:sz w:val="18"/>
          <w:szCs w:val="16"/>
        </w:rPr>
        <w:t>(5), 345–353.</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Kirk, R. E. (1996). Practical significance: A concept whose time has come. </w:t>
      </w:r>
      <w:r w:rsidRPr="0096752A">
        <w:rPr>
          <w:rFonts w:ascii="Candara Italic" w:hAnsi="Candara Italic"/>
          <w:sz w:val="18"/>
          <w:szCs w:val="16"/>
        </w:rPr>
        <w:t>Educational and Psychological Measurement</w:t>
      </w:r>
      <w:r w:rsidRPr="0096752A">
        <w:rPr>
          <w:rFonts w:ascii="Candara" w:hAnsi="Candara"/>
          <w:sz w:val="18"/>
          <w:szCs w:val="16"/>
        </w:rPr>
        <w:t xml:space="preserve">, </w:t>
      </w:r>
      <w:r w:rsidRPr="0096752A">
        <w:rPr>
          <w:rFonts w:ascii="Candara Italic" w:hAnsi="Candara Italic"/>
          <w:sz w:val="18"/>
          <w:szCs w:val="16"/>
        </w:rPr>
        <w:t>56</w:t>
      </w:r>
      <w:r w:rsidRPr="0096752A">
        <w:rPr>
          <w:rFonts w:ascii="Candara" w:hAnsi="Candara"/>
          <w:sz w:val="18"/>
          <w:szCs w:val="16"/>
        </w:rPr>
        <w:t xml:space="preserve">(5), 746–759. </w:t>
      </w:r>
      <w:proofErr w:type="gramStart"/>
      <w:r w:rsidRPr="0096752A">
        <w:rPr>
          <w:rFonts w:ascii="Candara" w:hAnsi="Candara"/>
          <w:sz w:val="18"/>
          <w:szCs w:val="16"/>
        </w:rPr>
        <w:t>doi:</w:t>
      </w:r>
      <w:proofErr w:type="gramEnd"/>
      <w:r w:rsidRPr="0096752A">
        <w:rPr>
          <w:rFonts w:ascii="Candara" w:hAnsi="Candara"/>
          <w:sz w:val="18"/>
          <w:szCs w:val="16"/>
        </w:rPr>
        <w:t>10.1177/0013164496056005002</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Kline, R. B. (2004).</w:t>
      </w:r>
      <w:r w:rsidRPr="0096752A">
        <w:rPr>
          <w:rFonts w:ascii="Candara Italic" w:hAnsi="Candara Italic"/>
          <w:sz w:val="18"/>
          <w:szCs w:val="16"/>
        </w:rPr>
        <w:t xml:space="preserve"> Beyond significance testing: Reforming data analysis methods in behavioral research </w:t>
      </w:r>
      <w:r w:rsidRPr="0096752A">
        <w:rPr>
          <w:rFonts w:ascii="Candara" w:hAnsi="Candara"/>
          <w:sz w:val="18"/>
          <w:szCs w:val="16"/>
        </w:rPr>
        <w:t>(</w:t>
      </w:r>
      <w:r w:rsidR="00E54D72">
        <w:rPr>
          <w:rFonts w:ascii="Candara" w:hAnsi="Candara"/>
          <w:sz w:val="18"/>
          <w:szCs w:val="16"/>
        </w:rPr>
        <w:t>2.ª</w:t>
      </w:r>
      <w:r w:rsidRPr="0096752A">
        <w:rPr>
          <w:rFonts w:ascii="Candara" w:hAnsi="Candara"/>
          <w:sz w:val="18"/>
          <w:szCs w:val="16"/>
        </w:rPr>
        <w:t xml:space="preserve"> </w:t>
      </w:r>
      <w:proofErr w:type="gramStart"/>
      <w:r w:rsidRPr="0096752A">
        <w:rPr>
          <w:rFonts w:ascii="Candara" w:hAnsi="Candara"/>
          <w:sz w:val="18"/>
          <w:szCs w:val="16"/>
        </w:rPr>
        <w:t>ed</w:t>
      </w:r>
      <w:proofErr w:type="gramEnd"/>
      <w:r w:rsidRPr="0096752A">
        <w:rPr>
          <w:rFonts w:ascii="Candara" w:hAnsi="Candara"/>
          <w:sz w:val="18"/>
          <w:szCs w:val="16"/>
        </w:rPr>
        <w:t>.). Washington, DC: American Psychological Association.</w:t>
      </w:r>
    </w:p>
    <w:p w:rsidR="00D9179F" w:rsidRPr="00AA4AAB" w:rsidRDefault="00D9179F" w:rsidP="00D9179F">
      <w:pPr>
        <w:pStyle w:val="FormalivreA"/>
        <w:spacing w:after="60"/>
        <w:ind w:left="426" w:hanging="426"/>
        <w:jc w:val="both"/>
        <w:rPr>
          <w:rFonts w:ascii="Candara" w:hAnsi="Candara"/>
          <w:sz w:val="18"/>
          <w:szCs w:val="16"/>
          <w:lang w:val="de-AT"/>
        </w:rPr>
      </w:pPr>
      <w:r w:rsidRPr="00894C04">
        <w:rPr>
          <w:rFonts w:ascii="Candara" w:hAnsi="Candara"/>
          <w:sz w:val="18"/>
          <w:szCs w:val="16"/>
          <w:lang w:val="pt-PT"/>
        </w:rPr>
        <w:t xml:space="preserve">Kraemer, H. C. e Kupfer, D. J. (2006). </w:t>
      </w:r>
      <w:proofErr w:type="gramStart"/>
      <w:r w:rsidRPr="0096752A">
        <w:rPr>
          <w:rFonts w:ascii="Candara" w:hAnsi="Candara"/>
          <w:sz w:val="18"/>
          <w:szCs w:val="16"/>
        </w:rPr>
        <w:t>Size of treatment effects and their importance to clinical research and practice.</w:t>
      </w:r>
      <w:proofErr w:type="gramEnd"/>
      <w:r w:rsidRPr="0096752A">
        <w:rPr>
          <w:rFonts w:ascii="Candara" w:hAnsi="Candara"/>
          <w:sz w:val="18"/>
          <w:szCs w:val="16"/>
        </w:rPr>
        <w:t xml:space="preserve"> </w:t>
      </w:r>
      <w:r w:rsidRPr="00AA4AAB">
        <w:rPr>
          <w:rFonts w:ascii="Candara Italic" w:hAnsi="Candara Italic"/>
          <w:sz w:val="18"/>
          <w:szCs w:val="16"/>
          <w:lang w:val="de-AT"/>
        </w:rPr>
        <w:t>BPS</w:t>
      </w:r>
      <w:r w:rsidRPr="00AA4AAB">
        <w:rPr>
          <w:rFonts w:ascii="Candara" w:hAnsi="Candara"/>
          <w:sz w:val="18"/>
          <w:szCs w:val="16"/>
          <w:lang w:val="de-AT"/>
        </w:rPr>
        <w:t xml:space="preserve">, </w:t>
      </w:r>
      <w:r w:rsidRPr="00AA4AAB">
        <w:rPr>
          <w:rFonts w:ascii="Candara Italic" w:hAnsi="Candara Italic"/>
          <w:sz w:val="18"/>
          <w:szCs w:val="16"/>
          <w:lang w:val="de-AT"/>
        </w:rPr>
        <w:t>59</w:t>
      </w:r>
      <w:r w:rsidRPr="00AA4AAB">
        <w:rPr>
          <w:rFonts w:ascii="Candara" w:hAnsi="Candara"/>
          <w:sz w:val="18"/>
          <w:szCs w:val="16"/>
          <w:lang w:val="de-AT"/>
        </w:rPr>
        <w:t>(11), 990–996. doi:10.1016/j.biopsych.2005.09.014</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t xml:space="preserve">Kühberger, A., Fritz, A. e Scherndl, T. (2014). </w:t>
      </w:r>
      <w:r w:rsidRPr="0096752A">
        <w:rPr>
          <w:rFonts w:ascii="Candara" w:hAnsi="Candara"/>
          <w:sz w:val="18"/>
          <w:szCs w:val="16"/>
        </w:rPr>
        <w:t xml:space="preserve">Publication bias in psychology: A diagnosis based on the correlation between effect size and sample size. </w:t>
      </w:r>
      <w:proofErr w:type="spellStart"/>
      <w:r w:rsidRPr="0096752A">
        <w:rPr>
          <w:rFonts w:ascii="Candara Italic" w:hAnsi="Candara Italic"/>
          <w:sz w:val="18"/>
          <w:szCs w:val="16"/>
        </w:rPr>
        <w:t>PLoS</w:t>
      </w:r>
      <w:proofErr w:type="spellEnd"/>
      <w:r w:rsidRPr="0096752A">
        <w:rPr>
          <w:rFonts w:ascii="Candara Italic" w:hAnsi="Candara Italic"/>
          <w:sz w:val="18"/>
          <w:szCs w:val="16"/>
        </w:rPr>
        <w:t xml:space="preserve"> ONE</w:t>
      </w:r>
      <w:r w:rsidRPr="0096752A">
        <w:rPr>
          <w:rFonts w:ascii="Candara" w:hAnsi="Candara"/>
          <w:sz w:val="18"/>
          <w:szCs w:val="16"/>
        </w:rPr>
        <w:t xml:space="preserve">, </w:t>
      </w:r>
      <w:r w:rsidRPr="0096752A">
        <w:rPr>
          <w:rFonts w:ascii="Candara Italic" w:hAnsi="Candara Italic"/>
          <w:sz w:val="18"/>
          <w:szCs w:val="16"/>
        </w:rPr>
        <w:t>9</w:t>
      </w:r>
      <w:r w:rsidRPr="0096752A">
        <w:rPr>
          <w:rFonts w:ascii="Candara" w:hAnsi="Candara"/>
          <w:sz w:val="18"/>
          <w:szCs w:val="16"/>
        </w:rPr>
        <w:t>(9), e105825, 1-8. doi:10.1371/journal.pone.0105825</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lastRenderedPageBreak/>
        <w:t>Lakens</w:t>
      </w:r>
      <w:proofErr w:type="spellEnd"/>
      <w:r w:rsidRPr="0096752A">
        <w:rPr>
          <w:rFonts w:ascii="Candara" w:hAnsi="Candara"/>
          <w:sz w:val="18"/>
          <w:szCs w:val="16"/>
        </w:rPr>
        <w:t xml:space="preserve">, D. (2013). Calculating and reporting effect sizes to facilitate cumulative science: a practical primer for t-tests and ANOVAs. </w:t>
      </w:r>
      <w:r w:rsidRPr="0096752A">
        <w:rPr>
          <w:rFonts w:ascii="Candara Italic" w:hAnsi="Candara Italic"/>
          <w:sz w:val="18"/>
          <w:szCs w:val="16"/>
        </w:rPr>
        <w:t>Frontiers in Psychology</w:t>
      </w:r>
      <w:r w:rsidRPr="0096752A">
        <w:rPr>
          <w:rFonts w:ascii="Candara" w:hAnsi="Candara"/>
          <w:sz w:val="18"/>
          <w:szCs w:val="16"/>
        </w:rPr>
        <w:t xml:space="preserve">, </w:t>
      </w:r>
      <w:r w:rsidRPr="0096752A">
        <w:rPr>
          <w:rFonts w:ascii="Candara Italic" w:hAnsi="Candara Italic"/>
          <w:sz w:val="18"/>
          <w:szCs w:val="16"/>
        </w:rPr>
        <w:t>4</w:t>
      </w:r>
      <w:r w:rsidRPr="0096752A">
        <w:rPr>
          <w:rFonts w:ascii="Candara" w:hAnsi="Candara"/>
          <w:sz w:val="18"/>
          <w:szCs w:val="16"/>
        </w:rPr>
        <w:t>(863), 1-12. doi:10.3389/fpsyg.2013.00863</w:t>
      </w:r>
    </w:p>
    <w:p w:rsidR="00D9179F" w:rsidRPr="0096752A" w:rsidRDefault="00D9179F" w:rsidP="00D9179F">
      <w:pPr>
        <w:pStyle w:val="FormalivreA"/>
        <w:spacing w:after="60"/>
        <w:ind w:left="426" w:hanging="426"/>
        <w:jc w:val="both"/>
        <w:rPr>
          <w:rFonts w:ascii="Candara" w:hAnsi="Candara"/>
          <w:sz w:val="18"/>
          <w:szCs w:val="16"/>
          <w:lang w:val="pt-PT"/>
        </w:rPr>
      </w:pPr>
      <w:proofErr w:type="gramStart"/>
      <w:r w:rsidRPr="0096752A">
        <w:rPr>
          <w:rFonts w:ascii="Candara" w:hAnsi="Candara"/>
          <w:sz w:val="18"/>
          <w:szCs w:val="16"/>
        </w:rPr>
        <w:t xml:space="preserve">Lee, M. D. e </w:t>
      </w:r>
      <w:proofErr w:type="spellStart"/>
      <w:r w:rsidRPr="0096752A">
        <w:rPr>
          <w:rFonts w:ascii="Candara" w:hAnsi="Candara"/>
          <w:sz w:val="18"/>
          <w:szCs w:val="16"/>
        </w:rPr>
        <w:t>Wagenmakers</w:t>
      </w:r>
      <w:proofErr w:type="spellEnd"/>
      <w:r w:rsidRPr="0096752A">
        <w:rPr>
          <w:rFonts w:ascii="Candara" w:hAnsi="Candara"/>
          <w:sz w:val="18"/>
          <w:szCs w:val="16"/>
        </w:rPr>
        <w:t>, E.-J.</w:t>
      </w:r>
      <w:proofErr w:type="gramEnd"/>
      <w:r w:rsidRPr="0096752A">
        <w:rPr>
          <w:rFonts w:ascii="Candara" w:hAnsi="Candara"/>
          <w:sz w:val="18"/>
          <w:szCs w:val="16"/>
        </w:rPr>
        <w:t xml:space="preserve"> (2005). Bayesian statistical inference in psychology: comment on </w:t>
      </w:r>
      <w:proofErr w:type="spellStart"/>
      <w:r w:rsidRPr="0096752A">
        <w:rPr>
          <w:rFonts w:ascii="Candara" w:hAnsi="Candara"/>
          <w:sz w:val="18"/>
          <w:szCs w:val="16"/>
        </w:rPr>
        <w:t>Trafimow</w:t>
      </w:r>
      <w:proofErr w:type="spellEnd"/>
      <w:r w:rsidRPr="0096752A">
        <w:rPr>
          <w:rFonts w:ascii="Candara" w:hAnsi="Candara"/>
          <w:sz w:val="18"/>
          <w:szCs w:val="16"/>
        </w:rPr>
        <w:t xml:space="preserve"> (2003). </w:t>
      </w:r>
      <w:proofErr w:type="spellStart"/>
      <w:r w:rsidRPr="0096752A">
        <w:rPr>
          <w:rFonts w:ascii="Candara Italic" w:hAnsi="Candara Italic"/>
          <w:sz w:val="18"/>
          <w:szCs w:val="16"/>
          <w:lang w:val="pt-PT"/>
        </w:rPr>
        <w:t>Psychological</w:t>
      </w:r>
      <w:proofErr w:type="spellEnd"/>
      <w:r w:rsidRPr="0096752A">
        <w:rPr>
          <w:rFonts w:ascii="Candara Italic" w:hAnsi="Candara Italic"/>
          <w:sz w:val="18"/>
          <w:szCs w:val="16"/>
          <w:lang w:val="pt-PT"/>
        </w:rPr>
        <w:t xml:space="preserve"> </w:t>
      </w:r>
      <w:proofErr w:type="spellStart"/>
      <w:r w:rsidRPr="0096752A">
        <w:rPr>
          <w:rFonts w:ascii="Candara Italic" w:hAnsi="Candara Italic"/>
          <w:sz w:val="18"/>
          <w:szCs w:val="16"/>
          <w:lang w:val="pt-PT"/>
        </w:rPr>
        <w:t>Review</w:t>
      </w:r>
      <w:proofErr w:type="spellEnd"/>
      <w:r w:rsidRPr="0096752A">
        <w:rPr>
          <w:rFonts w:ascii="Candara" w:hAnsi="Candara"/>
          <w:sz w:val="18"/>
          <w:szCs w:val="16"/>
          <w:lang w:val="pt-PT"/>
        </w:rPr>
        <w:t xml:space="preserve">, </w:t>
      </w:r>
      <w:proofErr w:type="gramStart"/>
      <w:r w:rsidRPr="0096752A">
        <w:rPr>
          <w:rFonts w:ascii="Candara Italic" w:hAnsi="Candara Italic"/>
          <w:sz w:val="18"/>
          <w:szCs w:val="16"/>
          <w:lang w:val="pt-PT"/>
        </w:rPr>
        <w:t>112</w:t>
      </w:r>
      <w:r w:rsidRPr="0096752A">
        <w:rPr>
          <w:rFonts w:ascii="Candara" w:hAnsi="Candara"/>
          <w:sz w:val="18"/>
          <w:szCs w:val="16"/>
          <w:lang w:val="pt-PT"/>
        </w:rPr>
        <w:t>(3</w:t>
      </w:r>
      <w:proofErr w:type="gramEnd"/>
      <w:r w:rsidRPr="0096752A">
        <w:rPr>
          <w:rFonts w:ascii="Candara" w:hAnsi="Candara"/>
          <w:sz w:val="18"/>
          <w:szCs w:val="16"/>
          <w:lang w:val="pt-PT"/>
        </w:rPr>
        <w:t xml:space="preserve">), 662–668. </w:t>
      </w:r>
      <w:proofErr w:type="gramStart"/>
      <w:r w:rsidRPr="0096752A">
        <w:rPr>
          <w:rFonts w:ascii="Candara" w:hAnsi="Candara"/>
          <w:sz w:val="18"/>
          <w:szCs w:val="16"/>
          <w:lang w:val="pt-PT"/>
        </w:rPr>
        <w:t>doi</w:t>
      </w:r>
      <w:proofErr w:type="gramEnd"/>
      <w:r w:rsidRPr="0096752A">
        <w:rPr>
          <w:rFonts w:ascii="Candara" w:hAnsi="Candara"/>
          <w:sz w:val="18"/>
          <w:szCs w:val="16"/>
          <w:lang w:val="pt-PT"/>
        </w:rPr>
        <w:t>:10.1037/0033-295X.112.3.662</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pt-PT"/>
        </w:rPr>
        <w:t xml:space="preserve">Lemos, L., Espirito-Santo, H., Silva, G. F., Costa, M., Cardoso, D., Vicente, F., </w:t>
      </w:r>
      <w:proofErr w:type="spellStart"/>
      <w:r w:rsidRPr="0096752A">
        <w:rPr>
          <w:rFonts w:ascii="Candara" w:hAnsi="Candara"/>
          <w:sz w:val="18"/>
          <w:szCs w:val="16"/>
          <w:lang w:val="pt-PT"/>
        </w:rPr>
        <w:t>et</w:t>
      </w:r>
      <w:proofErr w:type="spellEnd"/>
      <w:r w:rsidRPr="0096752A">
        <w:rPr>
          <w:rFonts w:ascii="Candara" w:hAnsi="Candara"/>
          <w:sz w:val="18"/>
          <w:szCs w:val="16"/>
          <w:lang w:val="pt-PT"/>
        </w:rPr>
        <w:t xml:space="preserve"> al. </w:t>
      </w:r>
      <w:r w:rsidRPr="0096752A">
        <w:rPr>
          <w:rFonts w:ascii="Candara" w:hAnsi="Candara"/>
          <w:sz w:val="18"/>
          <w:szCs w:val="16"/>
        </w:rPr>
        <w:t xml:space="preserve">(2014). </w:t>
      </w:r>
      <w:proofErr w:type="gramStart"/>
      <w:r w:rsidRPr="0096752A">
        <w:rPr>
          <w:rFonts w:ascii="Candara Italic" w:hAnsi="Candara Italic"/>
          <w:sz w:val="18"/>
          <w:szCs w:val="16"/>
        </w:rPr>
        <w:t>The impact of a Neuropsychological Rehabilitation Group Program (NRGP) on cognitive and emotional functioning in institutionalized elderly</w:t>
      </w:r>
      <w:r w:rsidRPr="0096752A">
        <w:rPr>
          <w:rFonts w:ascii="Candara" w:hAnsi="Candara"/>
          <w:sz w:val="18"/>
          <w:szCs w:val="16"/>
        </w:rPr>
        <w:t xml:space="preserve"> (p. 1).</w:t>
      </w:r>
      <w:proofErr w:type="gramEnd"/>
      <w:r w:rsidRPr="0096752A">
        <w:rPr>
          <w:rFonts w:ascii="Candara" w:hAnsi="Candara"/>
          <w:sz w:val="18"/>
          <w:szCs w:val="16"/>
        </w:rPr>
        <w:t xml:space="preserve"> </w:t>
      </w:r>
      <w:proofErr w:type="gramStart"/>
      <w:r w:rsidRPr="0096752A">
        <w:rPr>
          <w:rFonts w:ascii="Candara" w:hAnsi="Candara"/>
          <w:sz w:val="18"/>
          <w:szCs w:val="16"/>
        </w:rPr>
        <w:t>Presented at the 22nd European Congress of Psychiatry, Munich.</w:t>
      </w:r>
      <w:proofErr w:type="gramEnd"/>
    </w:p>
    <w:p w:rsidR="00D9179F" w:rsidRPr="0096752A" w:rsidRDefault="00D9179F" w:rsidP="00D9179F">
      <w:pPr>
        <w:pStyle w:val="FormalivreA"/>
        <w:spacing w:after="60"/>
        <w:ind w:left="426" w:hanging="426"/>
        <w:jc w:val="both"/>
        <w:rPr>
          <w:rFonts w:ascii="Candara" w:hAnsi="Candara"/>
          <w:sz w:val="18"/>
          <w:szCs w:val="16"/>
          <w:lang w:val="pt-PT"/>
        </w:rPr>
      </w:pPr>
      <w:proofErr w:type="spellStart"/>
      <w:r w:rsidRPr="0096752A">
        <w:rPr>
          <w:rFonts w:ascii="Candara" w:hAnsi="Candara"/>
          <w:sz w:val="18"/>
          <w:szCs w:val="16"/>
        </w:rPr>
        <w:t>Lenth</w:t>
      </w:r>
      <w:proofErr w:type="spellEnd"/>
      <w:r w:rsidRPr="0096752A">
        <w:rPr>
          <w:rFonts w:ascii="Candara" w:hAnsi="Candara"/>
          <w:sz w:val="18"/>
          <w:szCs w:val="16"/>
        </w:rPr>
        <w:t xml:space="preserve">, R. V. (2006–2014). </w:t>
      </w:r>
      <w:proofErr w:type="gramStart"/>
      <w:r w:rsidRPr="0096752A">
        <w:rPr>
          <w:rFonts w:ascii="Candara Italic" w:hAnsi="Candara Italic"/>
          <w:sz w:val="18"/>
          <w:szCs w:val="16"/>
        </w:rPr>
        <w:t>Java applets for power and sample size.</w:t>
      </w:r>
      <w:proofErr w:type="gramEnd"/>
      <w:r w:rsidRPr="0096752A">
        <w:rPr>
          <w:rFonts w:ascii="Candara" w:hAnsi="Candara"/>
          <w:sz w:val="18"/>
          <w:szCs w:val="16"/>
        </w:rPr>
        <w:t xml:space="preserve"> </w:t>
      </w:r>
      <w:r w:rsidRPr="0096752A">
        <w:rPr>
          <w:rFonts w:ascii="Candara" w:hAnsi="Candara"/>
          <w:sz w:val="18"/>
          <w:szCs w:val="16"/>
          <w:lang w:val="pt-PT"/>
        </w:rPr>
        <w:t>Acedido em http://homepage.stat.uiowa.edu/~rlenth/Power/</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t xml:space="preserve">Liesbeth, W. A., Prins, J. B., Vernooij-Dassen, M. J. F. J., Wijnen, H. H., Olde Rikkert, M. G. M. e Kessels, R. P. C. (2011). </w:t>
      </w:r>
      <w:r w:rsidRPr="0096752A">
        <w:rPr>
          <w:rFonts w:ascii="Candara" w:hAnsi="Candara"/>
          <w:sz w:val="18"/>
          <w:szCs w:val="16"/>
        </w:rPr>
        <w:t xml:space="preserve">Group therapy for patients with mild cognitive impairment and their significant others: results of a waiting-list controlled trial. </w:t>
      </w:r>
      <w:r w:rsidRPr="0096752A">
        <w:rPr>
          <w:rFonts w:ascii="Candara Italic" w:hAnsi="Candara Italic"/>
          <w:sz w:val="18"/>
          <w:szCs w:val="16"/>
        </w:rPr>
        <w:t>Gerontology</w:t>
      </w:r>
      <w:r w:rsidRPr="0096752A">
        <w:rPr>
          <w:rFonts w:ascii="Candara" w:hAnsi="Candara"/>
          <w:sz w:val="18"/>
          <w:szCs w:val="16"/>
        </w:rPr>
        <w:t xml:space="preserve">, </w:t>
      </w:r>
      <w:r w:rsidRPr="0096752A">
        <w:rPr>
          <w:rFonts w:ascii="Candara Italic" w:hAnsi="Candara Italic"/>
          <w:sz w:val="18"/>
          <w:szCs w:val="16"/>
        </w:rPr>
        <w:t>57</w:t>
      </w:r>
      <w:r w:rsidRPr="0096752A">
        <w:rPr>
          <w:rFonts w:ascii="Candara" w:hAnsi="Candara"/>
          <w:sz w:val="18"/>
          <w:szCs w:val="16"/>
        </w:rPr>
        <w:t xml:space="preserve">(5), 444–454. </w:t>
      </w:r>
      <w:proofErr w:type="gramStart"/>
      <w:r w:rsidRPr="0096752A">
        <w:rPr>
          <w:rFonts w:ascii="Candara" w:hAnsi="Candara"/>
          <w:sz w:val="18"/>
          <w:szCs w:val="16"/>
        </w:rPr>
        <w:t>doi:</w:t>
      </w:r>
      <w:proofErr w:type="gramEnd"/>
      <w:r w:rsidRPr="0096752A">
        <w:rPr>
          <w:rFonts w:ascii="Candara" w:hAnsi="Candara"/>
          <w:sz w:val="18"/>
          <w:szCs w:val="16"/>
        </w:rPr>
        <w:t>10.1159/000315933</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Lipsey</w:t>
      </w:r>
      <w:proofErr w:type="spellEnd"/>
      <w:r w:rsidRPr="0096752A">
        <w:rPr>
          <w:rFonts w:ascii="Candara" w:hAnsi="Candara"/>
          <w:sz w:val="18"/>
          <w:szCs w:val="16"/>
        </w:rPr>
        <w:t xml:space="preserve">, M. W., </w:t>
      </w:r>
      <w:proofErr w:type="spellStart"/>
      <w:r w:rsidRPr="0096752A">
        <w:rPr>
          <w:rFonts w:ascii="Candara" w:hAnsi="Candara"/>
          <w:sz w:val="18"/>
          <w:szCs w:val="16"/>
        </w:rPr>
        <w:t>Puzio</w:t>
      </w:r>
      <w:proofErr w:type="spellEnd"/>
      <w:r w:rsidRPr="0096752A">
        <w:rPr>
          <w:rFonts w:ascii="Candara" w:hAnsi="Candara"/>
          <w:sz w:val="18"/>
          <w:szCs w:val="16"/>
        </w:rPr>
        <w:t xml:space="preserve">, K., </w:t>
      </w:r>
      <w:proofErr w:type="spellStart"/>
      <w:r w:rsidRPr="0096752A">
        <w:rPr>
          <w:rFonts w:ascii="Candara" w:hAnsi="Candara"/>
          <w:sz w:val="18"/>
          <w:szCs w:val="16"/>
        </w:rPr>
        <w:t>Yun</w:t>
      </w:r>
      <w:proofErr w:type="spellEnd"/>
      <w:r w:rsidRPr="0096752A">
        <w:rPr>
          <w:rFonts w:ascii="Candara" w:hAnsi="Candara"/>
          <w:sz w:val="18"/>
          <w:szCs w:val="16"/>
        </w:rPr>
        <w:t xml:space="preserve">, C., Hebert, M. A., </w:t>
      </w:r>
      <w:proofErr w:type="spellStart"/>
      <w:r w:rsidRPr="0096752A">
        <w:rPr>
          <w:rFonts w:ascii="Candara" w:hAnsi="Candara"/>
          <w:sz w:val="18"/>
          <w:szCs w:val="16"/>
        </w:rPr>
        <w:t>Steinka</w:t>
      </w:r>
      <w:proofErr w:type="spellEnd"/>
      <w:r w:rsidRPr="0096752A">
        <w:rPr>
          <w:rFonts w:ascii="Candara" w:hAnsi="Candara"/>
          <w:sz w:val="18"/>
          <w:szCs w:val="16"/>
        </w:rPr>
        <w:t xml:space="preserve">-Fry, K., Cole, M. W. … </w:t>
      </w:r>
      <w:proofErr w:type="spellStart"/>
      <w:r w:rsidRPr="0096752A">
        <w:rPr>
          <w:rFonts w:ascii="Candara" w:hAnsi="Candara"/>
          <w:sz w:val="18"/>
          <w:szCs w:val="16"/>
        </w:rPr>
        <w:t>Busick</w:t>
      </w:r>
      <w:proofErr w:type="spellEnd"/>
      <w:r w:rsidRPr="0096752A">
        <w:rPr>
          <w:rFonts w:ascii="Candara" w:hAnsi="Candara"/>
          <w:sz w:val="18"/>
          <w:szCs w:val="16"/>
        </w:rPr>
        <w:t xml:space="preserve">, M. D. (2012). </w:t>
      </w:r>
      <w:proofErr w:type="gramStart"/>
      <w:r w:rsidRPr="0096752A">
        <w:rPr>
          <w:rFonts w:ascii="Candara" w:hAnsi="Candara"/>
          <w:sz w:val="18"/>
          <w:szCs w:val="16"/>
        </w:rPr>
        <w:t>Translating the statistical representation of the effects of education interventions into more readily interpretable forms.</w:t>
      </w:r>
      <w:proofErr w:type="gramEnd"/>
      <w:r w:rsidRPr="0096752A">
        <w:rPr>
          <w:rFonts w:ascii="Candara" w:hAnsi="Candara"/>
          <w:sz w:val="18"/>
          <w:szCs w:val="16"/>
        </w:rPr>
        <w:t xml:space="preserve"> </w:t>
      </w:r>
      <w:proofErr w:type="gramStart"/>
      <w:r w:rsidRPr="0096752A">
        <w:rPr>
          <w:rFonts w:ascii="Candara Italic" w:hAnsi="Candara Italic"/>
          <w:sz w:val="18"/>
          <w:szCs w:val="16"/>
        </w:rPr>
        <w:t>National Center for Special Education Research</w:t>
      </w:r>
      <w:r w:rsidRPr="0096752A">
        <w:rPr>
          <w:rFonts w:ascii="Candara" w:hAnsi="Candara"/>
          <w:sz w:val="18"/>
          <w:szCs w:val="16"/>
        </w:rPr>
        <w:t>.</w:t>
      </w:r>
      <w:proofErr w:type="gramEnd"/>
      <w:r w:rsidRPr="0096752A">
        <w:rPr>
          <w:rFonts w:ascii="Candara" w:hAnsi="Candara"/>
          <w:sz w:val="18"/>
          <w:szCs w:val="16"/>
        </w:rPr>
        <w:t xml:space="preserve"> </w:t>
      </w:r>
      <w:proofErr w:type="gramStart"/>
      <w:r w:rsidRPr="0096752A">
        <w:rPr>
          <w:rFonts w:ascii="Candara" w:hAnsi="Candara"/>
          <w:sz w:val="18"/>
          <w:szCs w:val="16"/>
        </w:rPr>
        <w:t>National Center for Special Education Research, Institute of Education Sciences.</w:t>
      </w:r>
      <w:proofErr w:type="gramEnd"/>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Loftus, G. R. (1991). </w:t>
      </w:r>
      <w:proofErr w:type="gramStart"/>
      <w:r w:rsidRPr="0096752A">
        <w:rPr>
          <w:rFonts w:ascii="Candara" w:hAnsi="Candara"/>
          <w:sz w:val="18"/>
          <w:szCs w:val="16"/>
        </w:rPr>
        <w:t>On the tyranny of hypothesis testing in the social sciences.</w:t>
      </w:r>
      <w:proofErr w:type="gramEnd"/>
      <w:r w:rsidRPr="0096752A">
        <w:rPr>
          <w:rFonts w:ascii="Candara" w:hAnsi="Candara"/>
          <w:sz w:val="18"/>
          <w:szCs w:val="16"/>
        </w:rPr>
        <w:t xml:space="preserve"> </w:t>
      </w:r>
      <w:r w:rsidRPr="0096752A">
        <w:rPr>
          <w:rFonts w:ascii="Candara Italic" w:hAnsi="Candara Italic"/>
          <w:sz w:val="18"/>
          <w:szCs w:val="16"/>
        </w:rPr>
        <w:t>Contemporary Psychology</w:t>
      </w:r>
      <w:r w:rsidRPr="0096752A">
        <w:rPr>
          <w:rFonts w:ascii="Candara" w:hAnsi="Candara"/>
          <w:sz w:val="18"/>
          <w:szCs w:val="16"/>
        </w:rPr>
        <w:t xml:space="preserve">, </w:t>
      </w:r>
      <w:r w:rsidRPr="0096752A">
        <w:rPr>
          <w:rFonts w:ascii="Candara Italic" w:hAnsi="Candara Italic"/>
          <w:sz w:val="18"/>
          <w:szCs w:val="16"/>
        </w:rPr>
        <w:t>36</w:t>
      </w:r>
      <w:r w:rsidRPr="0096752A">
        <w:rPr>
          <w:rFonts w:ascii="Candara" w:hAnsi="Candara"/>
          <w:sz w:val="18"/>
          <w:szCs w:val="16"/>
        </w:rPr>
        <w:t>(2), 102–105.</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Loftus, G. R. (1996). Psychology will be a much better science when we change the way we analyze data. </w:t>
      </w:r>
      <w:r w:rsidRPr="0096752A">
        <w:rPr>
          <w:rFonts w:ascii="Candara Italic" w:hAnsi="Candara Italic"/>
          <w:sz w:val="18"/>
          <w:szCs w:val="16"/>
        </w:rPr>
        <w:t>Current Directions in Psychological Science</w:t>
      </w:r>
      <w:r w:rsidRPr="0096752A">
        <w:rPr>
          <w:rFonts w:ascii="Candara" w:hAnsi="Candara"/>
          <w:sz w:val="18"/>
          <w:szCs w:val="16"/>
        </w:rPr>
        <w:t>, 161–171.</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t xml:space="preserve">McCartney, K. e Rosenthal, R. (2000). </w:t>
      </w:r>
      <w:proofErr w:type="gramStart"/>
      <w:r w:rsidRPr="0096752A">
        <w:rPr>
          <w:rFonts w:ascii="Candara" w:hAnsi="Candara"/>
          <w:sz w:val="18"/>
          <w:szCs w:val="16"/>
        </w:rPr>
        <w:t>Effect size, practical importance, and social policy for children.</w:t>
      </w:r>
      <w:proofErr w:type="gramEnd"/>
      <w:r w:rsidRPr="0096752A">
        <w:rPr>
          <w:rFonts w:ascii="Candara" w:hAnsi="Candara"/>
          <w:sz w:val="18"/>
          <w:szCs w:val="16"/>
        </w:rPr>
        <w:t xml:space="preserve"> </w:t>
      </w:r>
      <w:r w:rsidRPr="0096752A">
        <w:rPr>
          <w:rFonts w:ascii="Candara Italic" w:hAnsi="Candara Italic"/>
          <w:sz w:val="18"/>
          <w:szCs w:val="16"/>
        </w:rPr>
        <w:t>Child Development</w:t>
      </w:r>
      <w:r w:rsidRPr="0096752A">
        <w:rPr>
          <w:rFonts w:ascii="Candara" w:hAnsi="Candara"/>
          <w:sz w:val="18"/>
          <w:szCs w:val="16"/>
        </w:rPr>
        <w:t xml:space="preserve">, </w:t>
      </w:r>
      <w:r w:rsidRPr="0096752A">
        <w:rPr>
          <w:rFonts w:ascii="Candara Italic" w:hAnsi="Candara Italic"/>
          <w:sz w:val="18"/>
          <w:szCs w:val="16"/>
        </w:rPr>
        <w:t>71</w:t>
      </w:r>
      <w:r w:rsidRPr="0096752A">
        <w:rPr>
          <w:rFonts w:ascii="Candara" w:hAnsi="Candara"/>
          <w:sz w:val="18"/>
          <w:szCs w:val="16"/>
        </w:rPr>
        <w:t>(1), 173–180.</w:t>
      </w:r>
    </w:p>
    <w:p w:rsidR="00D9179F" w:rsidRPr="0096752A" w:rsidRDefault="00D9179F" w:rsidP="00D9179F">
      <w:pPr>
        <w:pStyle w:val="FormalivreA"/>
        <w:spacing w:after="60"/>
        <w:ind w:left="426" w:hanging="426"/>
        <w:jc w:val="both"/>
        <w:rPr>
          <w:rFonts w:ascii="Candara" w:hAnsi="Candara"/>
          <w:sz w:val="18"/>
          <w:szCs w:val="16"/>
        </w:rPr>
      </w:pPr>
      <w:proofErr w:type="gramStart"/>
      <w:r w:rsidRPr="0096752A">
        <w:rPr>
          <w:rFonts w:ascii="Candara" w:hAnsi="Candara"/>
          <w:sz w:val="18"/>
          <w:szCs w:val="16"/>
        </w:rPr>
        <w:t>McGraw, K. O. e Wong, S. P. (1992).</w:t>
      </w:r>
      <w:proofErr w:type="gramEnd"/>
      <w:r w:rsidRPr="0096752A">
        <w:rPr>
          <w:rFonts w:ascii="Candara" w:hAnsi="Candara"/>
          <w:sz w:val="18"/>
          <w:szCs w:val="16"/>
        </w:rPr>
        <w:t xml:space="preserve"> </w:t>
      </w:r>
      <w:proofErr w:type="gramStart"/>
      <w:r w:rsidRPr="0096752A">
        <w:rPr>
          <w:rFonts w:ascii="Candara" w:hAnsi="Candara"/>
          <w:sz w:val="18"/>
          <w:szCs w:val="16"/>
        </w:rPr>
        <w:t>A common language effect size statistic.</w:t>
      </w:r>
      <w:proofErr w:type="gramEnd"/>
      <w:r w:rsidRPr="0096752A">
        <w:rPr>
          <w:rFonts w:ascii="Candara" w:hAnsi="Candara"/>
          <w:sz w:val="18"/>
          <w:szCs w:val="16"/>
        </w:rPr>
        <w:t xml:space="preserve"> </w:t>
      </w:r>
      <w:r w:rsidRPr="0096752A">
        <w:rPr>
          <w:rFonts w:ascii="Candara Italic" w:hAnsi="Candara Italic"/>
          <w:sz w:val="18"/>
          <w:szCs w:val="16"/>
        </w:rPr>
        <w:t>Psychological Bulletin</w:t>
      </w:r>
      <w:r w:rsidRPr="0096752A">
        <w:rPr>
          <w:rFonts w:ascii="Candara" w:hAnsi="Candara"/>
          <w:sz w:val="18"/>
          <w:szCs w:val="16"/>
        </w:rPr>
        <w:t xml:space="preserve">, </w:t>
      </w:r>
      <w:r w:rsidRPr="0096752A">
        <w:rPr>
          <w:rFonts w:ascii="Candara Italic" w:hAnsi="Candara Italic"/>
          <w:sz w:val="18"/>
          <w:szCs w:val="16"/>
        </w:rPr>
        <w:t>111</w:t>
      </w:r>
      <w:r w:rsidRPr="0096752A">
        <w:rPr>
          <w:rFonts w:ascii="Candara" w:hAnsi="Candara"/>
          <w:sz w:val="18"/>
          <w:szCs w:val="16"/>
        </w:rPr>
        <w:t>(2), 361-365.</w:t>
      </w:r>
    </w:p>
    <w:p w:rsidR="00D9179F" w:rsidRPr="0096752A" w:rsidRDefault="00D9179F" w:rsidP="00D9179F">
      <w:pPr>
        <w:pStyle w:val="FormalivreA"/>
        <w:spacing w:after="60"/>
        <w:ind w:left="426" w:hanging="426"/>
        <w:jc w:val="both"/>
        <w:rPr>
          <w:rFonts w:ascii="Candara" w:hAnsi="Candara"/>
          <w:sz w:val="18"/>
          <w:szCs w:val="16"/>
        </w:rPr>
      </w:pPr>
      <w:proofErr w:type="gramStart"/>
      <w:r w:rsidRPr="00AA4AAB">
        <w:rPr>
          <w:rFonts w:ascii="Candara" w:hAnsi="Candara"/>
          <w:sz w:val="18"/>
          <w:szCs w:val="16"/>
        </w:rPr>
        <w:t>McMillan, J. H. e Foley, J. (2011).</w:t>
      </w:r>
      <w:proofErr w:type="gramEnd"/>
      <w:r w:rsidRPr="00AA4AAB">
        <w:rPr>
          <w:rFonts w:ascii="Candara" w:hAnsi="Candara"/>
          <w:sz w:val="18"/>
          <w:szCs w:val="16"/>
        </w:rPr>
        <w:t xml:space="preserve"> </w:t>
      </w:r>
      <w:r w:rsidRPr="0096752A">
        <w:rPr>
          <w:rFonts w:ascii="Candara" w:hAnsi="Candara"/>
          <w:sz w:val="18"/>
          <w:szCs w:val="16"/>
        </w:rPr>
        <w:t xml:space="preserve">Reporting and discussing effect size: Still the road less traveled. </w:t>
      </w:r>
      <w:r w:rsidRPr="0096752A">
        <w:rPr>
          <w:rFonts w:ascii="Candara Italic" w:hAnsi="Candara Italic"/>
          <w:sz w:val="18"/>
          <w:szCs w:val="16"/>
        </w:rPr>
        <w:t>Practical Assessment, Research e Evaluation</w:t>
      </w:r>
      <w:r w:rsidRPr="0096752A">
        <w:rPr>
          <w:rFonts w:ascii="Candara" w:hAnsi="Candara"/>
          <w:sz w:val="18"/>
          <w:szCs w:val="16"/>
        </w:rPr>
        <w:t xml:space="preserve">, </w:t>
      </w:r>
      <w:r w:rsidRPr="0096752A">
        <w:rPr>
          <w:rFonts w:ascii="Candara Italic" w:hAnsi="Candara Italic"/>
          <w:sz w:val="18"/>
          <w:szCs w:val="16"/>
        </w:rPr>
        <w:t>16</w:t>
      </w:r>
      <w:r w:rsidRPr="0096752A">
        <w:rPr>
          <w:rFonts w:ascii="Candara" w:hAnsi="Candara"/>
          <w:sz w:val="18"/>
          <w:szCs w:val="16"/>
        </w:rPr>
        <w:t>(14), 1–12.</w:t>
      </w:r>
    </w:p>
    <w:p w:rsidR="00D9179F" w:rsidRPr="0096752A" w:rsidRDefault="00D9179F" w:rsidP="00D9179F">
      <w:pPr>
        <w:pStyle w:val="FormalivreA"/>
        <w:spacing w:after="60"/>
        <w:ind w:left="426" w:hanging="426"/>
        <w:jc w:val="both"/>
        <w:rPr>
          <w:rFonts w:ascii="Candara" w:hAnsi="Candara"/>
          <w:sz w:val="18"/>
          <w:szCs w:val="16"/>
        </w:rPr>
      </w:pPr>
      <w:proofErr w:type="gramStart"/>
      <w:r w:rsidRPr="00691E52">
        <w:rPr>
          <w:rFonts w:ascii="Candara" w:hAnsi="Candara"/>
          <w:sz w:val="18"/>
          <w:szCs w:val="16"/>
        </w:rPr>
        <w:t>Morrison, D. E. e Henkel, R. E. (Eds.).</w:t>
      </w:r>
      <w:proofErr w:type="gramEnd"/>
      <w:r w:rsidRPr="00691E52">
        <w:rPr>
          <w:rFonts w:ascii="Candara" w:hAnsi="Candara"/>
          <w:sz w:val="18"/>
          <w:szCs w:val="16"/>
        </w:rPr>
        <w:t xml:space="preserve"> </w:t>
      </w:r>
      <w:r w:rsidRPr="0096752A">
        <w:rPr>
          <w:rFonts w:ascii="Candara" w:hAnsi="Candara"/>
          <w:sz w:val="18"/>
          <w:szCs w:val="16"/>
        </w:rPr>
        <w:t xml:space="preserve">(1970). </w:t>
      </w:r>
      <w:proofErr w:type="gramStart"/>
      <w:r w:rsidRPr="0096752A">
        <w:rPr>
          <w:rFonts w:ascii="Candara Italic" w:hAnsi="Candara Italic"/>
          <w:sz w:val="18"/>
          <w:szCs w:val="16"/>
        </w:rPr>
        <w:t>The</w:t>
      </w:r>
      <w:proofErr w:type="gramEnd"/>
      <w:r w:rsidRPr="0096752A">
        <w:rPr>
          <w:rFonts w:ascii="Candara Italic" w:hAnsi="Candara Italic"/>
          <w:sz w:val="18"/>
          <w:szCs w:val="16"/>
        </w:rPr>
        <w:t xml:space="preserve"> significance test controversy: A reader.</w:t>
      </w:r>
      <w:r w:rsidRPr="0096752A">
        <w:rPr>
          <w:rFonts w:ascii="Candara" w:hAnsi="Candara"/>
          <w:sz w:val="18"/>
          <w:szCs w:val="16"/>
        </w:rPr>
        <w:t xml:space="preserve"> Chicago: Aldine.</w:t>
      </w:r>
    </w:p>
    <w:p w:rsidR="00D9179F" w:rsidRPr="0096752A" w:rsidRDefault="00D9179F" w:rsidP="00D9179F">
      <w:pPr>
        <w:pStyle w:val="FormalivreA"/>
        <w:spacing w:after="60"/>
        <w:ind w:left="426" w:hanging="426"/>
        <w:jc w:val="both"/>
        <w:rPr>
          <w:rFonts w:ascii="Candara" w:hAnsi="Candara"/>
          <w:sz w:val="18"/>
          <w:szCs w:val="16"/>
        </w:rPr>
      </w:pPr>
      <w:proofErr w:type="gramStart"/>
      <w:r w:rsidRPr="0096752A">
        <w:rPr>
          <w:rFonts w:ascii="Candara" w:hAnsi="Candara"/>
          <w:sz w:val="18"/>
          <w:szCs w:val="16"/>
        </w:rPr>
        <w:t xml:space="preserve">Nakagawa, S. e </w:t>
      </w:r>
      <w:proofErr w:type="spellStart"/>
      <w:r w:rsidRPr="0096752A">
        <w:rPr>
          <w:rFonts w:ascii="Candara" w:hAnsi="Candara"/>
          <w:sz w:val="18"/>
          <w:szCs w:val="16"/>
        </w:rPr>
        <w:t>Cuthill</w:t>
      </w:r>
      <w:proofErr w:type="spellEnd"/>
      <w:r w:rsidRPr="0096752A">
        <w:rPr>
          <w:rFonts w:ascii="Candara" w:hAnsi="Candara"/>
          <w:sz w:val="18"/>
          <w:szCs w:val="16"/>
        </w:rPr>
        <w:t>, I. C. (2007).</w:t>
      </w:r>
      <w:proofErr w:type="gramEnd"/>
      <w:r w:rsidRPr="0096752A">
        <w:rPr>
          <w:rFonts w:ascii="Candara" w:hAnsi="Candara"/>
          <w:sz w:val="18"/>
          <w:szCs w:val="16"/>
        </w:rPr>
        <w:t xml:space="preserve"> Effect size, confidence interval and statistical significance: a practical guide for biologists. </w:t>
      </w:r>
      <w:r w:rsidRPr="0096752A">
        <w:rPr>
          <w:rFonts w:ascii="Candara Italic" w:hAnsi="Candara Italic"/>
          <w:sz w:val="18"/>
          <w:szCs w:val="16"/>
        </w:rPr>
        <w:t>Biological Reviews</w:t>
      </w:r>
      <w:r w:rsidRPr="0096752A">
        <w:rPr>
          <w:rFonts w:ascii="Candara" w:hAnsi="Candara"/>
          <w:sz w:val="18"/>
          <w:szCs w:val="16"/>
        </w:rPr>
        <w:t xml:space="preserve">, </w:t>
      </w:r>
      <w:r w:rsidRPr="0096752A">
        <w:rPr>
          <w:rFonts w:ascii="Candara Italic" w:hAnsi="Candara Italic"/>
          <w:sz w:val="18"/>
          <w:szCs w:val="16"/>
        </w:rPr>
        <w:t>82</w:t>
      </w:r>
      <w:r w:rsidRPr="0096752A">
        <w:rPr>
          <w:rFonts w:ascii="Candara" w:hAnsi="Candara"/>
          <w:sz w:val="18"/>
          <w:szCs w:val="16"/>
        </w:rPr>
        <w:t>(4), 591–605. doi:10.1111/j.1469-185X.2007.00027.x</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Nickerson, R. S. (2000). Null hypothesis significance testing: A review of an old and continuing controversy. </w:t>
      </w:r>
      <w:r w:rsidRPr="0096752A">
        <w:rPr>
          <w:rFonts w:ascii="Candara Italic" w:hAnsi="Candara Italic"/>
          <w:sz w:val="18"/>
          <w:szCs w:val="16"/>
        </w:rPr>
        <w:t>Psychological Methods</w:t>
      </w:r>
      <w:r w:rsidRPr="0096752A">
        <w:rPr>
          <w:rFonts w:ascii="Candara" w:hAnsi="Candara"/>
          <w:sz w:val="18"/>
          <w:szCs w:val="16"/>
        </w:rPr>
        <w:t xml:space="preserve">, </w:t>
      </w:r>
      <w:r w:rsidRPr="0096752A">
        <w:rPr>
          <w:rFonts w:ascii="Candara Italic" w:hAnsi="Candara Italic"/>
          <w:sz w:val="18"/>
          <w:szCs w:val="16"/>
        </w:rPr>
        <w:t>5</w:t>
      </w:r>
      <w:r w:rsidRPr="0096752A">
        <w:rPr>
          <w:rFonts w:ascii="Candara" w:hAnsi="Candara"/>
          <w:sz w:val="18"/>
          <w:szCs w:val="16"/>
        </w:rPr>
        <w:t>(2), 241–301. doi:10.1037//1082-989X.5.2.241</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Nunnally</w:t>
      </w:r>
      <w:proofErr w:type="spellEnd"/>
      <w:r w:rsidRPr="0096752A">
        <w:rPr>
          <w:rFonts w:ascii="Candara" w:hAnsi="Candara"/>
          <w:sz w:val="18"/>
          <w:szCs w:val="16"/>
        </w:rPr>
        <w:t xml:space="preserve">, J. C. (1978). </w:t>
      </w:r>
      <w:proofErr w:type="gramStart"/>
      <w:r w:rsidRPr="0096752A">
        <w:rPr>
          <w:rFonts w:ascii="Candara Italic" w:hAnsi="Candara Italic"/>
          <w:sz w:val="18"/>
          <w:szCs w:val="16"/>
        </w:rPr>
        <w:t>Psychometric Theory</w:t>
      </w:r>
      <w:r w:rsidRPr="0096752A">
        <w:rPr>
          <w:rFonts w:ascii="Candara" w:hAnsi="Candara"/>
          <w:sz w:val="18"/>
          <w:szCs w:val="16"/>
        </w:rPr>
        <w:t>.</w:t>
      </w:r>
      <w:proofErr w:type="gramEnd"/>
      <w:r w:rsidRPr="0096752A">
        <w:rPr>
          <w:rFonts w:ascii="Candara" w:hAnsi="Candara"/>
          <w:sz w:val="18"/>
          <w:szCs w:val="16"/>
        </w:rPr>
        <w:t xml:space="preserve"> New York: McGraw-Hill.</w:t>
      </w:r>
    </w:p>
    <w:p w:rsidR="00D9179F" w:rsidRPr="0096752A" w:rsidRDefault="00D9179F" w:rsidP="00D9179F">
      <w:pPr>
        <w:pStyle w:val="FormalivreA"/>
        <w:spacing w:after="60"/>
        <w:ind w:left="426" w:hanging="426"/>
        <w:jc w:val="both"/>
        <w:rPr>
          <w:rFonts w:ascii="Candara" w:hAnsi="Candara"/>
          <w:sz w:val="18"/>
          <w:szCs w:val="16"/>
        </w:rPr>
      </w:pPr>
      <w:r w:rsidRPr="00894C04">
        <w:rPr>
          <w:rFonts w:ascii="Candara" w:hAnsi="Candara"/>
          <w:sz w:val="18"/>
          <w:szCs w:val="16"/>
        </w:rPr>
        <w:t xml:space="preserve">Olejnik, S. e Algina, J. (2000). </w:t>
      </w:r>
      <w:r w:rsidRPr="0096752A">
        <w:rPr>
          <w:rFonts w:ascii="Candara" w:hAnsi="Candara"/>
          <w:sz w:val="18"/>
          <w:szCs w:val="16"/>
        </w:rPr>
        <w:t xml:space="preserve">Measures of effect size for comparative studies: Applications, interpretations, and limitations. </w:t>
      </w:r>
      <w:r w:rsidRPr="0096752A">
        <w:rPr>
          <w:rFonts w:ascii="Candara Italic" w:hAnsi="Candara Italic"/>
          <w:sz w:val="18"/>
          <w:szCs w:val="16"/>
        </w:rPr>
        <w:t>Contemporary Educational Psychology</w:t>
      </w:r>
      <w:r w:rsidRPr="0096752A">
        <w:rPr>
          <w:rFonts w:ascii="Candara" w:hAnsi="Candara"/>
          <w:sz w:val="18"/>
          <w:szCs w:val="16"/>
        </w:rPr>
        <w:t xml:space="preserve">, </w:t>
      </w:r>
      <w:r w:rsidRPr="0096752A">
        <w:rPr>
          <w:rFonts w:ascii="Candara Italic" w:hAnsi="Candara Italic"/>
          <w:sz w:val="18"/>
          <w:szCs w:val="16"/>
        </w:rPr>
        <w:t>25</w:t>
      </w:r>
      <w:r w:rsidRPr="0096752A">
        <w:rPr>
          <w:rFonts w:ascii="Candara" w:hAnsi="Candara"/>
          <w:sz w:val="18"/>
          <w:szCs w:val="16"/>
        </w:rPr>
        <w:t>(3), 241–286. doi:10.1006/ceps.2000.1040</w:t>
      </w:r>
    </w:p>
    <w:p w:rsidR="00D9179F" w:rsidRPr="0096752A" w:rsidRDefault="00D9179F" w:rsidP="00D9179F">
      <w:pPr>
        <w:pStyle w:val="FormalivreA"/>
        <w:spacing w:after="60"/>
        <w:ind w:left="426" w:hanging="426"/>
        <w:jc w:val="both"/>
        <w:rPr>
          <w:rFonts w:ascii="Candara" w:hAnsi="Candara"/>
          <w:sz w:val="18"/>
          <w:szCs w:val="16"/>
          <w:lang w:val="pt-PT"/>
        </w:rPr>
      </w:pPr>
      <w:proofErr w:type="spellStart"/>
      <w:r w:rsidRPr="0096752A">
        <w:rPr>
          <w:rFonts w:ascii="Candara" w:hAnsi="Candara"/>
          <w:sz w:val="18"/>
          <w:szCs w:val="16"/>
        </w:rPr>
        <w:t>Orwin</w:t>
      </w:r>
      <w:proofErr w:type="spellEnd"/>
      <w:r w:rsidRPr="0096752A">
        <w:rPr>
          <w:rFonts w:ascii="Candara" w:hAnsi="Candara"/>
          <w:sz w:val="18"/>
          <w:szCs w:val="16"/>
        </w:rPr>
        <w:t xml:space="preserve">, R. G. (1983). </w:t>
      </w:r>
      <w:proofErr w:type="gramStart"/>
      <w:r w:rsidRPr="0096752A">
        <w:rPr>
          <w:rFonts w:ascii="Candara" w:hAnsi="Candara"/>
          <w:sz w:val="18"/>
          <w:szCs w:val="16"/>
        </w:rPr>
        <w:t>A fail-safe N for effect size in meta-analysis.</w:t>
      </w:r>
      <w:proofErr w:type="gramEnd"/>
      <w:r w:rsidRPr="0096752A">
        <w:rPr>
          <w:rFonts w:ascii="Candara" w:hAnsi="Candara"/>
          <w:sz w:val="18"/>
          <w:szCs w:val="16"/>
        </w:rPr>
        <w:t xml:space="preserve"> </w:t>
      </w:r>
      <w:proofErr w:type="spellStart"/>
      <w:r w:rsidRPr="0096752A">
        <w:rPr>
          <w:rFonts w:ascii="Candara Italic" w:hAnsi="Candara Italic"/>
          <w:sz w:val="18"/>
          <w:szCs w:val="16"/>
          <w:lang w:val="pt-PT"/>
        </w:rPr>
        <w:t>Journal</w:t>
      </w:r>
      <w:proofErr w:type="spellEnd"/>
      <w:r w:rsidRPr="0096752A">
        <w:rPr>
          <w:rFonts w:ascii="Candara Italic" w:hAnsi="Candara Italic"/>
          <w:sz w:val="18"/>
          <w:szCs w:val="16"/>
          <w:lang w:val="pt-PT"/>
        </w:rPr>
        <w:t xml:space="preserve"> </w:t>
      </w:r>
      <w:proofErr w:type="spellStart"/>
      <w:r w:rsidRPr="0096752A">
        <w:rPr>
          <w:rFonts w:ascii="Candara Italic" w:hAnsi="Candara Italic"/>
          <w:sz w:val="18"/>
          <w:szCs w:val="16"/>
          <w:lang w:val="pt-PT"/>
        </w:rPr>
        <w:t>of</w:t>
      </w:r>
      <w:proofErr w:type="spellEnd"/>
      <w:r w:rsidRPr="0096752A">
        <w:rPr>
          <w:rFonts w:ascii="Candara Italic" w:hAnsi="Candara Italic"/>
          <w:sz w:val="18"/>
          <w:szCs w:val="16"/>
          <w:lang w:val="pt-PT"/>
        </w:rPr>
        <w:t xml:space="preserve"> </w:t>
      </w:r>
      <w:proofErr w:type="spellStart"/>
      <w:r w:rsidRPr="0096752A">
        <w:rPr>
          <w:rFonts w:ascii="Candara Italic" w:hAnsi="Candara Italic"/>
          <w:sz w:val="18"/>
          <w:szCs w:val="16"/>
          <w:lang w:val="pt-PT"/>
        </w:rPr>
        <w:t>Educational</w:t>
      </w:r>
      <w:proofErr w:type="spellEnd"/>
      <w:r w:rsidRPr="0096752A">
        <w:rPr>
          <w:rFonts w:ascii="Candara Italic" w:hAnsi="Candara Italic"/>
          <w:sz w:val="18"/>
          <w:szCs w:val="16"/>
          <w:lang w:val="pt-PT"/>
        </w:rPr>
        <w:t xml:space="preserve"> </w:t>
      </w:r>
      <w:proofErr w:type="spellStart"/>
      <w:r w:rsidRPr="0096752A">
        <w:rPr>
          <w:rFonts w:ascii="Candara Italic" w:hAnsi="Candara Italic"/>
          <w:sz w:val="18"/>
          <w:szCs w:val="16"/>
          <w:lang w:val="pt-PT"/>
        </w:rPr>
        <w:t>Statistics</w:t>
      </w:r>
      <w:proofErr w:type="spellEnd"/>
      <w:r w:rsidRPr="0096752A">
        <w:rPr>
          <w:rFonts w:ascii="Candara" w:hAnsi="Candara"/>
          <w:sz w:val="18"/>
          <w:szCs w:val="16"/>
          <w:lang w:val="pt-PT"/>
        </w:rPr>
        <w:t>,</w:t>
      </w:r>
      <w:r w:rsidRPr="0096752A">
        <w:rPr>
          <w:rFonts w:ascii="Candara Italic" w:hAnsi="Candara Italic"/>
          <w:sz w:val="18"/>
          <w:szCs w:val="16"/>
          <w:lang w:val="pt-PT"/>
        </w:rPr>
        <w:t xml:space="preserve"> </w:t>
      </w:r>
      <w:proofErr w:type="gramStart"/>
      <w:r w:rsidRPr="0096752A">
        <w:rPr>
          <w:rFonts w:ascii="Candara Italic" w:hAnsi="Candara Italic"/>
          <w:sz w:val="18"/>
          <w:szCs w:val="16"/>
          <w:lang w:val="pt-PT"/>
        </w:rPr>
        <w:t>8</w:t>
      </w:r>
      <w:r w:rsidRPr="0096752A">
        <w:rPr>
          <w:rFonts w:ascii="Candara" w:hAnsi="Candara"/>
          <w:sz w:val="18"/>
          <w:szCs w:val="16"/>
          <w:lang w:val="pt-PT"/>
        </w:rPr>
        <w:t>(2</w:t>
      </w:r>
      <w:proofErr w:type="gramEnd"/>
      <w:r w:rsidRPr="0096752A">
        <w:rPr>
          <w:rFonts w:ascii="Candara" w:hAnsi="Candara"/>
          <w:sz w:val="18"/>
          <w:szCs w:val="16"/>
          <w:lang w:val="pt-PT"/>
        </w:rPr>
        <w:t>), 157–159.</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pt-PT"/>
        </w:rPr>
        <w:t xml:space="preserve">Paiva, A. C., Cunha, M., Xavier, A. M., Marques, M., Simões, S. e Espirito-Santo, H. (2013). </w:t>
      </w:r>
      <w:r w:rsidRPr="0096752A">
        <w:rPr>
          <w:rFonts w:ascii="Candara" w:hAnsi="Candara"/>
          <w:sz w:val="18"/>
          <w:szCs w:val="16"/>
        </w:rPr>
        <w:t xml:space="preserve">Exploratory study of risk-taking </w:t>
      </w:r>
      <w:r w:rsidRPr="0096752A">
        <w:rPr>
          <w:rFonts w:ascii="Candara" w:hAnsi="Candara"/>
          <w:sz w:val="18"/>
          <w:szCs w:val="16"/>
        </w:rPr>
        <w:lastRenderedPageBreak/>
        <w:t xml:space="preserve">and self-harm </w:t>
      </w:r>
      <w:proofErr w:type="spellStart"/>
      <w:r w:rsidRPr="0096752A">
        <w:rPr>
          <w:rFonts w:ascii="Candara" w:hAnsi="Candara"/>
          <w:sz w:val="18"/>
          <w:szCs w:val="16"/>
        </w:rPr>
        <w:t>behaviours</w:t>
      </w:r>
      <w:proofErr w:type="spellEnd"/>
      <w:r w:rsidRPr="0096752A">
        <w:rPr>
          <w:rFonts w:ascii="Candara" w:hAnsi="Candara"/>
          <w:sz w:val="18"/>
          <w:szCs w:val="16"/>
        </w:rPr>
        <w:t xml:space="preserve"> in adolescents: prevalence, characteristics and its relationship to attachment styles. </w:t>
      </w:r>
      <w:proofErr w:type="gramStart"/>
      <w:r w:rsidRPr="0096752A">
        <w:rPr>
          <w:rFonts w:ascii="Candara Italic" w:hAnsi="Candara Italic"/>
          <w:sz w:val="18"/>
          <w:szCs w:val="16"/>
        </w:rPr>
        <w:t>European Psychiatry</w:t>
      </w:r>
      <w:r w:rsidRPr="0096752A">
        <w:rPr>
          <w:rFonts w:ascii="Candara" w:hAnsi="Candara"/>
          <w:sz w:val="18"/>
          <w:szCs w:val="16"/>
        </w:rPr>
        <w:t xml:space="preserve">, </w:t>
      </w:r>
      <w:r w:rsidRPr="0096752A">
        <w:rPr>
          <w:rFonts w:ascii="Candara Italic" w:hAnsi="Candara Italic"/>
          <w:sz w:val="18"/>
          <w:szCs w:val="16"/>
        </w:rPr>
        <w:t>28</w:t>
      </w:r>
      <w:r w:rsidRPr="0096752A">
        <w:rPr>
          <w:rFonts w:ascii="Candara" w:hAnsi="Candara"/>
          <w:sz w:val="18"/>
          <w:szCs w:val="16"/>
        </w:rPr>
        <w:t>(</w:t>
      </w:r>
      <w:proofErr w:type="spellStart"/>
      <w:r w:rsidRPr="0096752A">
        <w:rPr>
          <w:rFonts w:ascii="Candara" w:hAnsi="Candara"/>
          <w:sz w:val="18"/>
          <w:szCs w:val="16"/>
        </w:rPr>
        <w:t>Supl</w:t>
      </w:r>
      <w:proofErr w:type="spellEnd"/>
      <w:r w:rsidRPr="0096752A">
        <w:rPr>
          <w:rFonts w:ascii="Candara" w:hAnsi="Candara"/>
          <w:sz w:val="18"/>
          <w:szCs w:val="16"/>
        </w:rPr>
        <w:t>. 1).</w:t>
      </w:r>
      <w:proofErr w:type="gramEnd"/>
      <w:r w:rsidRPr="0096752A">
        <w:rPr>
          <w:rFonts w:ascii="Candara" w:hAnsi="Candara"/>
          <w:sz w:val="18"/>
          <w:szCs w:val="16"/>
        </w:rPr>
        <w:t xml:space="preserve"> </w:t>
      </w:r>
      <w:proofErr w:type="gramStart"/>
      <w:r w:rsidRPr="0096752A">
        <w:rPr>
          <w:rFonts w:ascii="Candara" w:hAnsi="Candara"/>
          <w:sz w:val="18"/>
          <w:szCs w:val="16"/>
        </w:rPr>
        <w:t>doi:</w:t>
      </w:r>
      <w:proofErr w:type="gramEnd"/>
      <w:r w:rsidRPr="0096752A">
        <w:rPr>
          <w:rFonts w:ascii="Candara" w:hAnsi="Candara"/>
          <w:sz w:val="18"/>
          <w:szCs w:val="16"/>
        </w:rPr>
        <w:t>10.1016/S0924-9338(13)76530-1</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Pearson, K. (1900). </w:t>
      </w:r>
      <w:proofErr w:type="gramStart"/>
      <w:r w:rsidRPr="0096752A">
        <w:rPr>
          <w:rFonts w:ascii="Candara" w:hAnsi="Candara"/>
          <w:sz w:val="18"/>
          <w:szCs w:val="16"/>
        </w:rPr>
        <w:t>Mathematical contributions to the theory of evolution.</w:t>
      </w:r>
      <w:proofErr w:type="gramEnd"/>
      <w:r w:rsidRPr="0096752A">
        <w:rPr>
          <w:rFonts w:ascii="Candara" w:hAnsi="Candara"/>
          <w:sz w:val="18"/>
          <w:szCs w:val="16"/>
        </w:rPr>
        <w:t xml:space="preserve"> VII. On the correlation of characters not quantitatively measurable. </w:t>
      </w:r>
      <w:proofErr w:type="gramStart"/>
      <w:r w:rsidRPr="0096752A">
        <w:rPr>
          <w:rFonts w:ascii="Candara Italic" w:hAnsi="Candara Italic"/>
          <w:sz w:val="18"/>
          <w:szCs w:val="16"/>
        </w:rPr>
        <w:t>Philosophical Transactions of the Royal Society of London.</w:t>
      </w:r>
      <w:proofErr w:type="gramEnd"/>
      <w:r w:rsidRPr="0096752A">
        <w:rPr>
          <w:rFonts w:ascii="Candara Italic" w:hAnsi="Candara Italic"/>
          <w:sz w:val="18"/>
          <w:szCs w:val="16"/>
        </w:rPr>
        <w:t xml:space="preserve"> Series a, Containing Papers of a Mathematical or Physical Character</w:t>
      </w:r>
      <w:r w:rsidRPr="0096752A">
        <w:rPr>
          <w:rFonts w:ascii="Candara" w:hAnsi="Candara"/>
          <w:sz w:val="18"/>
          <w:szCs w:val="16"/>
        </w:rPr>
        <w:t xml:space="preserve">, </w:t>
      </w:r>
      <w:r w:rsidRPr="0096752A">
        <w:rPr>
          <w:rFonts w:ascii="Candara Italic" w:hAnsi="Candara Italic"/>
          <w:sz w:val="18"/>
          <w:szCs w:val="16"/>
        </w:rPr>
        <w:t xml:space="preserve">195, </w:t>
      </w:r>
      <w:r w:rsidRPr="0096752A">
        <w:rPr>
          <w:rFonts w:ascii="Candara" w:hAnsi="Candara"/>
          <w:sz w:val="18"/>
          <w:szCs w:val="16"/>
        </w:rPr>
        <w:t>1–47. doi:10.1098/rsta.1900.0022</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691E52">
        <w:rPr>
          <w:rFonts w:ascii="Candara" w:hAnsi="Candara"/>
          <w:sz w:val="18"/>
          <w:szCs w:val="16"/>
          <w:lang w:val="pt-PT"/>
        </w:rPr>
        <w:t>Reiser</w:t>
      </w:r>
      <w:proofErr w:type="spellEnd"/>
      <w:r w:rsidRPr="00691E52">
        <w:rPr>
          <w:rFonts w:ascii="Candara" w:hAnsi="Candara"/>
          <w:sz w:val="18"/>
          <w:szCs w:val="16"/>
          <w:lang w:val="pt-PT"/>
        </w:rPr>
        <w:t xml:space="preserve">, B. e </w:t>
      </w:r>
      <w:proofErr w:type="spellStart"/>
      <w:r w:rsidRPr="00691E52">
        <w:rPr>
          <w:rFonts w:ascii="Candara" w:hAnsi="Candara"/>
          <w:sz w:val="18"/>
          <w:szCs w:val="16"/>
          <w:lang w:val="pt-PT"/>
        </w:rPr>
        <w:t>Faraggi</w:t>
      </w:r>
      <w:proofErr w:type="spellEnd"/>
      <w:r w:rsidRPr="00691E52">
        <w:rPr>
          <w:rFonts w:ascii="Candara" w:hAnsi="Candara"/>
          <w:sz w:val="18"/>
          <w:szCs w:val="16"/>
          <w:lang w:val="pt-PT"/>
        </w:rPr>
        <w:t xml:space="preserve">, </w:t>
      </w:r>
      <w:proofErr w:type="gramStart"/>
      <w:r w:rsidRPr="00691E52">
        <w:rPr>
          <w:rFonts w:ascii="Candara" w:hAnsi="Candara"/>
          <w:sz w:val="18"/>
          <w:szCs w:val="16"/>
          <w:lang w:val="pt-PT"/>
        </w:rPr>
        <w:t>D.</w:t>
      </w:r>
      <w:proofErr w:type="gramEnd"/>
      <w:r w:rsidRPr="00691E52">
        <w:rPr>
          <w:rFonts w:ascii="Candara" w:hAnsi="Candara"/>
          <w:sz w:val="18"/>
          <w:szCs w:val="16"/>
          <w:lang w:val="pt-PT"/>
        </w:rPr>
        <w:t xml:space="preserve"> (1999). </w:t>
      </w:r>
      <w:r w:rsidRPr="0096752A">
        <w:rPr>
          <w:rFonts w:ascii="Candara" w:hAnsi="Candara"/>
          <w:sz w:val="18"/>
          <w:szCs w:val="16"/>
        </w:rPr>
        <w:t xml:space="preserve">Confidence intervals for the overlapping coefficient: the normal equal variance case. </w:t>
      </w:r>
      <w:r w:rsidRPr="0096752A">
        <w:rPr>
          <w:rFonts w:ascii="Candara Italic" w:hAnsi="Candara Italic"/>
          <w:sz w:val="18"/>
          <w:szCs w:val="16"/>
        </w:rPr>
        <w:t>Journal of the Royal Statistical Society: Series D (the Statistician)</w:t>
      </w:r>
      <w:r w:rsidRPr="0096752A">
        <w:rPr>
          <w:rFonts w:ascii="Candara" w:hAnsi="Candara"/>
          <w:sz w:val="18"/>
          <w:szCs w:val="16"/>
        </w:rPr>
        <w:t xml:space="preserve">, </w:t>
      </w:r>
      <w:r w:rsidRPr="0096752A">
        <w:rPr>
          <w:rFonts w:ascii="Candara Italic" w:hAnsi="Candara Italic"/>
          <w:sz w:val="18"/>
          <w:szCs w:val="16"/>
        </w:rPr>
        <w:t>48</w:t>
      </w:r>
      <w:r w:rsidRPr="0096752A">
        <w:rPr>
          <w:rFonts w:ascii="Candara" w:hAnsi="Candara"/>
          <w:sz w:val="18"/>
          <w:szCs w:val="16"/>
        </w:rPr>
        <w:t>(3), 413–418.</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Rosenthal, R. (1979). The file drawer problem and tolerance for null results. </w:t>
      </w:r>
      <w:r w:rsidRPr="0096752A">
        <w:rPr>
          <w:rFonts w:ascii="Candara Italic" w:hAnsi="Candara Italic"/>
          <w:sz w:val="18"/>
          <w:szCs w:val="16"/>
        </w:rPr>
        <w:t>Psychological Bulletin</w:t>
      </w:r>
      <w:r w:rsidRPr="0096752A">
        <w:rPr>
          <w:rFonts w:ascii="Candara" w:hAnsi="Candara"/>
          <w:sz w:val="18"/>
          <w:szCs w:val="16"/>
        </w:rPr>
        <w:t xml:space="preserve">, </w:t>
      </w:r>
      <w:r w:rsidRPr="0096752A">
        <w:rPr>
          <w:rFonts w:ascii="Candara Italic" w:hAnsi="Candara Italic"/>
          <w:sz w:val="18"/>
          <w:szCs w:val="16"/>
        </w:rPr>
        <w:t>86</w:t>
      </w:r>
      <w:r w:rsidRPr="0096752A">
        <w:rPr>
          <w:rFonts w:ascii="Candara" w:hAnsi="Candara"/>
          <w:sz w:val="18"/>
          <w:szCs w:val="16"/>
        </w:rPr>
        <w:t>(3), 638-641.</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Rosenthal, R. (1983). </w:t>
      </w:r>
      <w:proofErr w:type="gramStart"/>
      <w:r w:rsidRPr="0096752A">
        <w:rPr>
          <w:rFonts w:ascii="Candara" w:hAnsi="Candara"/>
          <w:sz w:val="18"/>
          <w:szCs w:val="16"/>
        </w:rPr>
        <w:t>Assessing the statistical and social importance of the effects of psychotherapy.</w:t>
      </w:r>
      <w:proofErr w:type="gramEnd"/>
      <w:r w:rsidRPr="0096752A">
        <w:rPr>
          <w:rFonts w:ascii="Candara" w:hAnsi="Candara"/>
          <w:sz w:val="18"/>
          <w:szCs w:val="16"/>
        </w:rPr>
        <w:t xml:space="preserve"> </w:t>
      </w:r>
      <w:r w:rsidRPr="0096752A">
        <w:rPr>
          <w:rFonts w:ascii="Candara Italic" w:hAnsi="Candara Italic"/>
          <w:sz w:val="18"/>
          <w:szCs w:val="16"/>
        </w:rPr>
        <w:t>Journal of Consulting and Clinical Psychology, 51</w:t>
      </w:r>
      <w:r w:rsidRPr="0096752A">
        <w:rPr>
          <w:rFonts w:ascii="Candara" w:hAnsi="Candara"/>
          <w:sz w:val="18"/>
          <w:szCs w:val="16"/>
        </w:rPr>
        <w:t>, 4-13.</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Rosenthal, R. (1994). Parametric measures of effect size. </w:t>
      </w:r>
      <w:r w:rsidRPr="0096752A">
        <w:rPr>
          <w:rFonts w:ascii="Candara" w:hAnsi="Candara"/>
          <w:sz w:val="18"/>
          <w:szCs w:val="16"/>
          <w:lang w:val="pt-PT"/>
        </w:rPr>
        <w:t xml:space="preserve">Em H. </w:t>
      </w:r>
      <w:proofErr w:type="spellStart"/>
      <w:r w:rsidRPr="0096752A">
        <w:rPr>
          <w:rFonts w:ascii="Candara" w:hAnsi="Candara"/>
          <w:sz w:val="18"/>
          <w:szCs w:val="16"/>
          <w:lang w:val="pt-PT"/>
        </w:rPr>
        <w:t>Cooper</w:t>
      </w:r>
      <w:proofErr w:type="spellEnd"/>
      <w:r w:rsidRPr="0096752A">
        <w:rPr>
          <w:rFonts w:ascii="Candara" w:hAnsi="Candara"/>
          <w:sz w:val="18"/>
          <w:szCs w:val="16"/>
          <w:lang w:val="pt-PT"/>
        </w:rPr>
        <w:t xml:space="preserve"> e L. V. </w:t>
      </w:r>
      <w:proofErr w:type="spellStart"/>
      <w:r w:rsidRPr="0096752A">
        <w:rPr>
          <w:rFonts w:ascii="Candara" w:hAnsi="Candara"/>
          <w:sz w:val="18"/>
          <w:szCs w:val="16"/>
          <w:lang w:val="pt-PT"/>
        </w:rPr>
        <w:t>Hedges</w:t>
      </w:r>
      <w:proofErr w:type="spellEnd"/>
      <w:r w:rsidRPr="0096752A">
        <w:rPr>
          <w:rFonts w:ascii="Candara" w:hAnsi="Candara"/>
          <w:sz w:val="18"/>
          <w:szCs w:val="16"/>
          <w:lang w:val="pt-PT"/>
        </w:rPr>
        <w:t xml:space="preserve"> (Eds.). </w:t>
      </w:r>
      <w:proofErr w:type="gramStart"/>
      <w:r w:rsidRPr="0096752A">
        <w:rPr>
          <w:rFonts w:ascii="Candara Italic" w:hAnsi="Candara Italic"/>
          <w:sz w:val="18"/>
          <w:szCs w:val="16"/>
        </w:rPr>
        <w:t>The handbook of research synthesis</w:t>
      </w:r>
      <w:r w:rsidRPr="0096752A">
        <w:rPr>
          <w:rFonts w:ascii="Candara" w:hAnsi="Candara"/>
          <w:sz w:val="18"/>
          <w:szCs w:val="16"/>
        </w:rPr>
        <w:t xml:space="preserve"> (pp. 231–244).</w:t>
      </w:r>
      <w:proofErr w:type="gramEnd"/>
      <w:r w:rsidRPr="0096752A">
        <w:rPr>
          <w:rFonts w:ascii="Candara" w:hAnsi="Candara"/>
          <w:sz w:val="18"/>
          <w:szCs w:val="16"/>
        </w:rPr>
        <w:t xml:space="preserve"> New York: Russell Sage.</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Rosenthal, J. A. (1996). </w:t>
      </w:r>
      <w:proofErr w:type="gramStart"/>
      <w:r w:rsidRPr="0096752A">
        <w:rPr>
          <w:rFonts w:ascii="Candara" w:hAnsi="Candara"/>
          <w:sz w:val="18"/>
          <w:szCs w:val="16"/>
        </w:rPr>
        <w:t>Qualitative descriptors of strength of association and effect size.</w:t>
      </w:r>
      <w:proofErr w:type="gramEnd"/>
      <w:r w:rsidRPr="0096752A">
        <w:rPr>
          <w:rFonts w:ascii="Candara" w:hAnsi="Candara"/>
          <w:sz w:val="18"/>
          <w:szCs w:val="16"/>
        </w:rPr>
        <w:t xml:space="preserve"> </w:t>
      </w:r>
      <w:r w:rsidRPr="0096752A">
        <w:rPr>
          <w:rFonts w:ascii="Candara Italic" w:hAnsi="Candara Italic"/>
          <w:sz w:val="18"/>
          <w:szCs w:val="16"/>
        </w:rPr>
        <w:t>Journal of Social Service Research, 21</w:t>
      </w:r>
      <w:r w:rsidRPr="0096752A">
        <w:rPr>
          <w:rFonts w:ascii="Candara" w:hAnsi="Candara"/>
          <w:sz w:val="18"/>
          <w:szCs w:val="16"/>
        </w:rPr>
        <w:t>(4), 37-59.</w:t>
      </w:r>
    </w:p>
    <w:p w:rsidR="00D9179F" w:rsidRPr="0096752A" w:rsidRDefault="00D9179F" w:rsidP="00D9179F">
      <w:pPr>
        <w:pStyle w:val="FormalivreA"/>
        <w:spacing w:after="60"/>
        <w:ind w:left="426" w:hanging="426"/>
        <w:jc w:val="both"/>
        <w:rPr>
          <w:rFonts w:ascii="Candara" w:hAnsi="Candara"/>
          <w:sz w:val="18"/>
          <w:szCs w:val="16"/>
        </w:rPr>
      </w:pPr>
      <w:proofErr w:type="spellStart"/>
      <w:proofErr w:type="gramStart"/>
      <w:r w:rsidRPr="0096752A">
        <w:rPr>
          <w:rFonts w:ascii="Candara" w:hAnsi="Candara"/>
          <w:sz w:val="18"/>
          <w:szCs w:val="16"/>
        </w:rPr>
        <w:t>Rosnow</w:t>
      </w:r>
      <w:proofErr w:type="spellEnd"/>
      <w:r w:rsidRPr="0096752A">
        <w:rPr>
          <w:rFonts w:ascii="Candara" w:hAnsi="Candara"/>
          <w:sz w:val="18"/>
          <w:szCs w:val="16"/>
        </w:rPr>
        <w:t>, R. L. e Rosenthal, R. (1989).</w:t>
      </w:r>
      <w:proofErr w:type="gramEnd"/>
      <w:r w:rsidRPr="0096752A">
        <w:rPr>
          <w:rFonts w:ascii="Candara" w:hAnsi="Candara"/>
          <w:sz w:val="18"/>
          <w:szCs w:val="16"/>
        </w:rPr>
        <w:t xml:space="preserve"> </w:t>
      </w:r>
      <w:proofErr w:type="gramStart"/>
      <w:r w:rsidRPr="0096752A">
        <w:rPr>
          <w:rFonts w:ascii="Candara" w:hAnsi="Candara"/>
          <w:sz w:val="18"/>
          <w:szCs w:val="16"/>
        </w:rPr>
        <w:t>Statistical procedures and the justification of knowledge in psychological science.</w:t>
      </w:r>
      <w:proofErr w:type="gramEnd"/>
      <w:r w:rsidRPr="0096752A">
        <w:rPr>
          <w:rFonts w:ascii="Candara" w:hAnsi="Candara"/>
          <w:sz w:val="18"/>
          <w:szCs w:val="16"/>
        </w:rPr>
        <w:t xml:space="preserve"> </w:t>
      </w:r>
      <w:r w:rsidRPr="0096752A">
        <w:rPr>
          <w:rFonts w:ascii="Candara Italic" w:hAnsi="Candara Italic"/>
          <w:sz w:val="18"/>
          <w:szCs w:val="16"/>
        </w:rPr>
        <w:t>The American Psychologist</w:t>
      </w:r>
      <w:r w:rsidRPr="0096752A">
        <w:rPr>
          <w:rFonts w:ascii="Candara" w:hAnsi="Candara"/>
          <w:sz w:val="18"/>
          <w:szCs w:val="16"/>
        </w:rPr>
        <w:t xml:space="preserve">, </w:t>
      </w:r>
      <w:r w:rsidRPr="0096752A">
        <w:rPr>
          <w:rFonts w:ascii="Candara Italic" w:hAnsi="Candara Italic"/>
          <w:sz w:val="18"/>
          <w:szCs w:val="16"/>
        </w:rPr>
        <w:t>44</w:t>
      </w:r>
      <w:r w:rsidRPr="0096752A">
        <w:rPr>
          <w:rFonts w:ascii="Candara" w:hAnsi="Candara"/>
          <w:sz w:val="18"/>
          <w:szCs w:val="16"/>
        </w:rPr>
        <w:t>(10), 1276-1284.</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t xml:space="preserve">Rosnow, R. L., Rosenthal, R. e Rubin, D. B. (2000). </w:t>
      </w:r>
      <w:proofErr w:type="gramStart"/>
      <w:r w:rsidRPr="0096752A">
        <w:rPr>
          <w:rFonts w:ascii="Candara" w:hAnsi="Candara"/>
          <w:sz w:val="18"/>
          <w:szCs w:val="16"/>
        </w:rPr>
        <w:t>Contrasts and correlations in effect-size estimation.</w:t>
      </w:r>
      <w:proofErr w:type="gramEnd"/>
      <w:r w:rsidRPr="0096752A">
        <w:rPr>
          <w:rFonts w:ascii="Candara" w:hAnsi="Candara"/>
          <w:sz w:val="18"/>
          <w:szCs w:val="16"/>
        </w:rPr>
        <w:t xml:space="preserve"> </w:t>
      </w:r>
      <w:r w:rsidRPr="0096752A">
        <w:rPr>
          <w:rFonts w:ascii="Candara Italic" w:hAnsi="Candara Italic"/>
          <w:sz w:val="18"/>
          <w:szCs w:val="16"/>
        </w:rPr>
        <w:t>Psychological Science</w:t>
      </w:r>
      <w:r w:rsidRPr="0096752A">
        <w:rPr>
          <w:rFonts w:ascii="Candara" w:hAnsi="Candara"/>
          <w:sz w:val="18"/>
          <w:szCs w:val="16"/>
        </w:rPr>
        <w:t xml:space="preserve">, </w:t>
      </w:r>
      <w:r w:rsidRPr="0096752A">
        <w:rPr>
          <w:rFonts w:ascii="Candara Italic" w:hAnsi="Candara Italic"/>
          <w:sz w:val="18"/>
          <w:szCs w:val="16"/>
        </w:rPr>
        <w:t>11</w:t>
      </w:r>
      <w:r w:rsidRPr="0096752A">
        <w:rPr>
          <w:rFonts w:ascii="Candara" w:hAnsi="Candara"/>
          <w:sz w:val="18"/>
          <w:szCs w:val="16"/>
        </w:rPr>
        <w:t>(6), 446–453.</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Salsburg</w:t>
      </w:r>
      <w:proofErr w:type="spellEnd"/>
      <w:r w:rsidRPr="0096752A">
        <w:rPr>
          <w:rFonts w:ascii="Candara" w:hAnsi="Candara"/>
          <w:sz w:val="18"/>
          <w:szCs w:val="16"/>
        </w:rPr>
        <w:t xml:space="preserve">, D. (2002). </w:t>
      </w:r>
      <w:proofErr w:type="gramStart"/>
      <w:r w:rsidRPr="0096752A">
        <w:rPr>
          <w:rFonts w:ascii="Candara Italic" w:hAnsi="Candara Italic"/>
          <w:sz w:val="18"/>
          <w:szCs w:val="16"/>
        </w:rPr>
        <w:t>The lady tasting tea</w:t>
      </w:r>
      <w:r w:rsidRPr="0096752A">
        <w:rPr>
          <w:rFonts w:ascii="Candara" w:hAnsi="Candara"/>
          <w:sz w:val="18"/>
          <w:szCs w:val="16"/>
        </w:rPr>
        <w:t>.</w:t>
      </w:r>
      <w:proofErr w:type="gramEnd"/>
      <w:r w:rsidRPr="0096752A">
        <w:rPr>
          <w:rFonts w:ascii="Candara" w:hAnsi="Candara"/>
          <w:sz w:val="18"/>
          <w:szCs w:val="16"/>
        </w:rPr>
        <w:t xml:space="preserve"> New York: Macmillan.</w:t>
      </w:r>
    </w:p>
    <w:p w:rsidR="00D9179F" w:rsidRPr="0096752A" w:rsidRDefault="00D9179F" w:rsidP="00D9179F">
      <w:pPr>
        <w:pStyle w:val="FormalivreA"/>
        <w:spacing w:after="60"/>
        <w:ind w:left="426" w:hanging="426"/>
        <w:jc w:val="both"/>
        <w:rPr>
          <w:rFonts w:ascii="Candara" w:hAnsi="Candara"/>
          <w:sz w:val="18"/>
          <w:szCs w:val="16"/>
        </w:rPr>
      </w:pPr>
      <w:proofErr w:type="spellStart"/>
      <w:proofErr w:type="gramStart"/>
      <w:r w:rsidRPr="00AA4AAB">
        <w:rPr>
          <w:rFonts w:ascii="Candara" w:hAnsi="Candara"/>
          <w:sz w:val="18"/>
          <w:szCs w:val="16"/>
        </w:rPr>
        <w:t>Sanabria</w:t>
      </w:r>
      <w:proofErr w:type="spellEnd"/>
      <w:r w:rsidRPr="00AA4AAB">
        <w:rPr>
          <w:rFonts w:ascii="Candara" w:hAnsi="Candara"/>
          <w:sz w:val="18"/>
          <w:szCs w:val="16"/>
        </w:rPr>
        <w:t>, F. e Killeen, P. R. (2007).</w:t>
      </w:r>
      <w:proofErr w:type="gramEnd"/>
      <w:r w:rsidRPr="00AA4AAB">
        <w:rPr>
          <w:rFonts w:ascii="Candara" w:hAnsi="Candara"/>
          <w:sz w:val="18"/>
          <w:szCs w:val="16"/>
        </w:rPr>
        <w:t xml:space="preserve"> </w:t>
      </w:r>
      <w:r w:rsidRPr="0096752A">
        <w:rPr>
          <w:rFonts w:ascii="Candara" w:hAnsi="Candara"/>
          <w:sz w:val="18"/>
          <w:szCs w:val="16"/>
        </w:rPr>
        <w:t xml:space="preserve">Better statistics for better decisions: rejecting null hypotheses statistical tests in favor of replication statistics. </w:t>
      </w:r>
      <w:r w:rsidRPr="0096752A">
        <w:rPr>
          <w:rFonts w:ascii="Candara Italic" w:hAnsi="Candara Italic"/>
          <w:sz w:val="18"/>
          <w:szCs w:val="16"/>
        </w:rPr>
        <w:t>Psychology in the Schools</w:t>
      </w:r>
      <w:r w:rsidRPr="0096752A">
        <w:rPr>
          <w:rFonts w:ascii="Candara" w:hAnsi="Candara"/>
          <w:sz w:val="18"/>
          <w:szCs w:val="16"/>
        </w:rPr>
        <w:t xml:space="preserve">, </w:t>
      </w:r>
      <w:r w:rsidRPr="0096752A">
        <w:rPr>
          <w:rFonts w:ascii="Candara Italic" w:hAnsi="Candara Italic"/>
          <w:sz w:val="18"/>
          <w:szCs w:val="16"/>
        </w:rPr>
        <w:t>44</w:t>
      </w:r>
      <w:r w:rsidRPr="0096752A">
        <w:rPr>
          <w:rFonts w:ascii="Candara" w:hAnsi="Candara"/>
          <w:sz w:val="18"/>
          <w:szCs w:val="16"/>
        </w:rPr>
        <w:t>(5), 471–481. doi:10.1002/pits.20239</w:t>
      </w:r>
    </w:p>
    <w:p w:rsidR="00D9179F" w:rsidRPr="0096752A" w:rsidRDefault="00D9179F" w:rsidP="00D9179F">
      <w:pPr>
        <w:pStyle w:val="FormalivreA"/>
        <w:spacing w:after="60"/>
        <w:ind w:left="426" w:hanging="426"/>
        <w:jc w:val="both"/>
        <w:rPr>
          <w:rFonts w:ascii="Candara" w:hAnsi="Candara"/>
          <w:sz w:val="18"/>
          <w:szCs w:val="16"/>
        </w:rPr>
      </w:pPr>
      <w:proofErr w:type="gramStart"/>
      <w:r w:rsidRPr="0096752A">
        <w:rPr>
          <w:rFonts w:ascii="Candara" w:hAnsi="Candara"/>
          <w:sz w:val="18"/>
          <w:szCs w:val="16"/>
        </w:rPr>
        <w:t xml:space="preserve">Schatz, P., Jay, K. A., </w:t>
      </w:r>
      <w:proofErr w:type="spellStart"/>
      <w:r w:rsidRPr="0096752A">
        <w:rPr>
          <w:rFonts w:ascii="Candara" w:hAnsi="Candara"/>
          <w:sz w:val="18"/>
          <w:szCs w:val="16"/>
        </w:rPr>
        <w:t>McComb</w:t>
      </w:r>
      <w:proofErr w:type="spellEnd"/>
      <w:r w:rsidRPr="0096752A">
        <w:rPr>
          <w:rFonts w:ascii="Candara" w:hAnsi="Candara"/>
          <w:sz w:val="18"/>
          <w:szCs w:val="16"/>
        </w:rPr>
        <w:t>, J. e McLaughlin, J. R. (2005).</w:t>
      </w:r>
      <w:proofErr w:type="gramEnd"/>
      <w:r w:rsidRPr="0096752A">
        <w:rPr>
          <w:rFonts w:ascii="Candara" w:hAnsi="Candara"/>
          <w:sz w:val="18"/>
          <w:szCs w:val="16"/>
        </w:rPr>
        <w:t xml:space="preserve"> Misuse of statistical tests in Archives of Clinical Neuropsychology publications. </w:t>
      </w:r>
      <w:r w:rsidRPr="0096752A">
        <w:rPr>
          <w:rFonts w:ascii="Candara Italic" w:hAnsi="Candara Italic"/>
          <w:sz w:val="18"/>
          <w:szCs w:val="16"/>
        </w:rPr>
        <w:t>Archives of Clinical Neuropsychology</w:t>
      </w:r>
      <w:r w:rsidRPr="0096752A">
        <w:rPr>
          <w:rFonts w:ascii="Candara" w:hAnsi="Candara"/>
          <w:sz w:val="18"/>
          <w:szCs w:val="16"/>
        </w:rPr>
        <w:t xml:space="preserve">, </w:t>
      </w:r>
      <w:r w:rsidRPr="0096752A">
        <w:rPr>
          <w:rFonts w:ascii="Candara Italic" w:hAnsi="Candara Italic"/>
          <w:sz w:val="18"/>
          <w:szCs w:val="16"/>
        </w:rPr>
        <w:t>20</w:t>
      </w:r>
      <w:r w:rsidRPr="0096752A">
        <w:rPr>
          <w:rFonts w:ascii="Candara" w:hAnsi="Candara"/>
          <w:sz w:val="18"/>
          <w:szCs w:val="16"/>
        </w:rPr>
        <w:t>(8), 1053–1059. doi:10.1016/j.acn.2005.06.006</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t xml:space="preserve">Schmidt, F. L. e Hunter, J. E. (2004). </w:t>
      </w:r>
      <w:proofErr w:type="gramStart"/>
      <w:r w:rsidRPr="0096752A">
        <w:rPr>
          <w:rFonts w:ascii="Candara Italic" w:hAnsi="Candara Italic"/>
          <w:sz w:val="18"/>
          <w:szCs w:val="16"/>
        </w:rPr>
        <w:t>Methods of Meta-Analysis</w:t>
      </w:r>
      <w:r w:rsidRPr="0096752A">
        <w:rPr>
          <w:rFonts w:ascii="Candara" w:hAnsi="Candara"/>
          <w:sz w:val="18"/>
          <w:szCs w:val="16"/>
        </w:rPr>
        <w:t>.</w:t>
      </w:r>
      <w:proofErr w:type="gramEnd"/>
      <w:r w:rsidRPr="0096752A">
        <w:rPr>
          <w:rFonts w:ascii="Candara" w:hAnsi="Candara"/>
          <w:sz w:val="18"/>
          <w:szCs w:val="16"/>
        </w:rPr>
        <w:t xml:space="preserve"> Thousand Oaks: SAGE Publications.</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t xml:space="preserve">Schneider, A. L. e Darcy, R. E. (1984). </w:t>
      </w:r>
      <w:proofErr w:type="gramStart"/>
      <w:r w:rsidRPr="0096752A">
        <w:rPr>
          <w:rFonts w:ascii="Candara" w:hAnsi="Candara"/>
          <w:sz w:val="18"/>
          <w:szCs w:val="16"/>
        </w:rPr>
        <w:t>Policy implications of using significance tests in evaluation research.</w:t>
      </w:r>
      <w:proofErr w:type="gramEnd"/>
      <w:r w:rsidRPr="0096752A">
        <w:rPr>
          <w:rFonts w:ascii="Candara" w:hAnsi="Candara"/>
          <w:sz w:val="18"/>
          <w:szCs w:val="16"/>
        </w:rPr>
        <w:t xml:space="preserve"> </w:t>
      </w:r>
      <w:r w:rsidRPr="0096752A">
        <w:rPr>
          <w:rFonts w:ascii="Candara Italic" w:hAnsi="Candara Italic"/>
          <w:sz w:val="18"/>
          <w:szCs w:val="16"/>
        </w:rPr>
        <w:t>Evaluation Review</w:t>
      </w:r>
      <w:r w:rsidRPr="0096752A">
        <w:rPr>
          <w:rFonts w:ascii="Candara" w:hAnsi="Candara"/>
          <w:sz w:val="18"/>
          <w:szCs w:val="16"/>
        </w:rPr>
        <w:t xml:space="preserve">, </w:t>
      </w:r>
      <w:r w:rsidRPr="0096752A">
        <w:rPr>
          <w:rFonts w:ascii="Candara Italic" w:hAnsi="Candara Italic"/>
          <w:sz w:val="18"/>
          <w:szCs w:val="16"/>
        </w:rPr>
        <w:t>8</w:t>
      </w:r>
      <w:r w:rsidRPr="0096752A">
        <w:rPr>
          <w:rFonts w:ascii="Candara" w:hAnsi="Candara"/>
          <w:sz w:val="18"/>
          <w:szCs w:val="16"/>
        </w:rPr>
        <w:t xml:space="preserve">(4), 573–582. </w:t>
      </w:r>
      <w:proofErr w:type="gramStart"/>
      <w:r w:rsidRPr="0096752A">
        <w:rPr>
          <w:rFonts w:ascii="Candara" w:hAnsi="Candara"/>
          <w:sz w:val="18"/>
          <w:szCs w:val="16"/>
        </w:rPr>
        <w:t>doi:</w:t>
      </w:r>
      <w:proofErr w:type="gramEnd"/>
      <w:r w:rsidRPr="0096752A">
        <w:rPr>
          <w:rFonts w:ascii="Candara" w:hAnsi="Candara"/>
          <w:sz w:val="18"/>
          <w:szCs w:val="16"/>
        </w:rPr>
        <w:t>10.1177/0193841X8400800407</w:t>
      </w:r>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Schünemann</w:t>
      </w:r>
      <w:proofErr w:type="spellEnd"/>
      <w:r w:rsidRPr="0096752A">
        <w:rPr>
          <w:rFonts w:ascii="Candara" w:hAnsi="Candara"/>
          <w:sz w:val="18"/>
          <w:szCs w:val="16"/>
        </w:rPr>
        <w:t xml:space="preserve">, H. J., </w:t>
      </w:r>
      <w:proofErr w:type="spellStart"/>
      <w:r w:rsidRPr="0096752A">
        <w:rPr>
          <w:rFonts w:ascii="Candara" w:hAnsi="Candara"/>
          <w:sz w:val="18"/>
          <w:szCs w:val="16"/>
        </w:rPr>
        <w:t>Oxman</w:t>
      </w:r>
      <w:proofErr w:type="spellEnd"/>
      <w:r w:rsidRPr="0096752A">
        <w:rPr>
          <w:rFonts w:ascii="Candara" w:hAnsi="Candara"/>
          <w:sz w:val="18"/>
          <w:szCs w:val="16"/>
        </w:rPr>
        <w:t xml:space="preserve">, A. D., </w:t>
      </w:r>
      <w:proofErr w:type="spellStart"/>
      <w:r w:rsidRPr="0096752A">
        <w:rPr>
          <w:rFonts w:ascii="Candara" w:hAnsi="Candara"/>
          <w:sz w:val="18"/>
          <w:szCs w:val="16"/>
        </w:rPr>
        <w:t>Vist</w:t>
      </w:r>
      <w:proofErr w:type="spellEnd"/>
      <w:r w:rsidRPr="0096752A">
        <w:rPr>
          <w:rFonts w:ascii="Candara" w:hAnsi="Candara"/>
          <w:sz w:val="18"/>
          <w:szCs w:val="16"/>
        </w:rPr>
        <w:t xml:space="preserve">, G. E., Higgins, J. P. T., </w:t>
      </w:r>
      <w:proofErr w:type="spellStart"/>
      <w:r w:rsidRPr="0096752A">
        <w:rPr>
          <w:rFonts w:ascii="Candara" w:hAnsi="Candara"/>
          <w:sz w:val="18"/>
          <w:szCs w:val="16"/>
        </w:rPr>
        <w:t>Deeks</w:t>
      </w:r>
      <w:proofErr w:type="spellEnd"/>
      <w:r w:rsidRPr="0096752A">
        <w:rPr>
          <w:rFonts w:ascii="Candara" w:hAnsi="Candara"/>
          <w:sz w:val="18"/>
          <w:szCs w:val="16"/>
        </w:rPr>
        <w:t xml:space="preserve">, J. J., </w:t>
      </w:r>
      <w:proofErr w:type="spellStart"/>
      <w:r w:rsidRPr="0096752A">
        <w:rPr>
          <w:rFonts w:ascii="Candara" w:hAnsi="Candara"/>
          <w:sz w:val="18"/>
          <w:szCs w:val="16"/>
        </w:rPr>
        <w:t>Glasziou</w:t>
      </w:r>
      <w:proofErr w:type="spellEnd"/>
      <w:r w:rsidRPr="0096752A">
        <w:rPr>
          <w:rFonts w:ascii="Candara" w:hAnsi="Candara"/>
          <w:sz w:val="18"/>
          <w:szCs w:val="16"/>
        </w:rPr>
        <w:t xml:space="preserve">, P. e </w:t>
      </w:r>
      <w:proofErr w:type="spellStart"/>
      <w:r w:rsidRPr="0096752A">
        <w:rPr>
          <w:rFonts w:ascii="Candara" w:hAnsi="Candara"/>
          <w:sz w:val="18"/>
          <w:szCs w:val="16"/>
        </w:rPr>
        <w:t>Guyatt</w:t>
      </w:r>
      <w:proofErr w:type="spellEnd"/>
      <w:r w:rsidRPr="0096752A">
        <w:rPr>
          <w:rFonts w:ascii="Candara" w:hAnsi="Candara"/>
          <w:sz w:val="18"/>
          <w:szCs w:val="16"/>
        </w:rPr>
        <w:t xml:space="preserve">, G. H. (2008). Interpreting results and drawing conclusions. </w:t>
      </w:r>
      <w:proofErr w:type="spellStart"/>
      <w:r w:rsidRPr="0096752A">
        <w:rPr>
          <w:rFonts w:ascii="Candara" w:hAnsi="Candara"/>
          <w:sz w:val="18"/>
          <w:szCs w:val="16"/>
        </w:rPr>
        <w:t>Em</w:t>
      </w:r>
      <w:proofErr w:type="spellEnd"/>
      <w:r w:rsidRPr="0096752A">
        <w:rPr>
          <w:rFonts w:ascii="Candara" w:hAnsi="Candara"/>
          <w:sz w:val="18"/>
          <w:szCs w:val="16"/>
        </w:rPr>
        <w:t xml:space="preserve"> J. P. T. Higgins e S. Green, </w:t>
      </w:r>
      <w:r w:rsidRPr="0096752A">
        <w:rPr>
          <w:rFonts w:ascii="Candara Italic" w:hAnsi="Candara Italic"/>
          <w:sz w:val="18"/>
          <w:szCs w:val="16"/>
        </w:rPr>
        <w:t>Cochrane Handbook for Systematic Reviews of Interventions: Cochrane Book Series</w:t>
      </w:r>
      <w:r w:rsidRPr="0096752A">
        <w:rPr>
          <w:rFonts w:ascii="Candara" w:hAnsi="Candara"/>
          <w:sz w:val="18"/>
          <w:szCs w:val="16"/>
        </w:rPr>
        <w:t xml:space="preserve"> (pp. 1–29). </w:t>
      </w:r>
      <w:proofErr w:type="gramStart"/>
      <w:r w:rsidRPr="0096752A">
        <w:rPr>
          <w:rFonts w:ascii="Candara" w:hAnsi="Candara"/>
          <w:sz w:val="18"/>
          <w:szCs w:val="16"/>
        </w:rPr>
        <w:t>The Cochrane Collaboration.</w:t>
      </w:r>
      <w:proofErr w:type="gramEnd"/>
    </w:p>
    <w:p w:rsidR="00D9179F" w:rsidRPr="0096752A" w:rsidRDefault="00D9179F" w:rsidP="00D9179F">
      <w:pPr>
        <w:pStyle w:val="FormalivreA"/>
        <w:spacing w:after="60"/>
        <w:ind w:left="426" w:hanging="426"/>
        <w:jc w:val="both"/>
        <w:rPr>
          <w:rFonts w:ascii="Candara" w:hAnsi="Candara"/>
          <w:sz w:val="18"/>
          <w:szCs w:val="16"/>
        </w:rPr>
      </w:pPr>
      <w:proofErr w:type="spellStart"/>
      <w:r w:rsidRPr="0096752A">
        <w:rPr>
          <w:rFonts w:ascii="Candara" w:hAnsi="Candara"/>
          <w:sz w:val="18"/>
          <w:szCs w:val="16"/>
        </w:rPr>
        <w:t>Sechrest</w:t>
      </w:r>
      <w:proofErr w:type="spellEnd"/>
      <w:r w:rsidRPr="0096752A">
        <w:rPr>
          <w:rFonts w:ascii="Candara" w:hAnsi="Candara"/>
          <w:sz w:val="18"/>
          <w:szCs w:val="16"/>
        </w:rPr>
        <w:t xml:space="preserve">, L. McKnight, P. e McKnight, K. (1996). </w:t>
      </w:r>
      <w:proofErr w:type="gramStart"/>
      <w:r w:rsidRPr="0096752A">
        <w:rPr>
          <w:rFonts w:ascii="Candara" w:hAnsi="Candara"/>
          <w:sz w:val="18"/>
          <w:szCs w:val="16"/>
        </w:rPr>
        <w:t>Calibration of measures in psychotherapy outcome studies.</w:t>
      </w:r>
      <w:proofErr w:type="gramEnd"/>
      <w:r w:rsidRPr="0096752A">
        <w:rPr>
          <w:rFonts w:ascii="Candara" w:hAnsi="Candara"/>
          <w:sz w:val="18"/>
          <w:szCs w:val="16"/>
        </w:rPr>
        <w:t xml:space="preserve"> </w:t>
      </w:r>
      <w:r w:rsidRPr="0096752A">
        <w:rPr>
          <w:rFonts w:ascii="Candara Italic" w:hAnsi="Candara Italic"/>
          <w:sz w:val="18"/>
          <w:szCs w:val="16"/>
        </w:rPr>
        <w:t>American Psychologist, 51,</w:t>
      </w:r>
      <w:r w:rsidRPr="0096752A">
        <w:rPr>
          <w:rFonts w:ascii="Candara" w:hAnsi="Candara"/>
          <w:sz w:val="18"/>
          <w:szCs w:val="16"/>
        </w:rPr>
        <w:t xml:space="preserve"> 1065-1071.</w:t>
      </w:r>
    </w:p>
    <w:p w:rsidR="00D9179F" w:rsidRPr="0096752A" w:rsidRDefault="00D9179F" w:rsidP="00D9179F">
      <w:pPr>
        <w:pStyle w:val="FormalivreA"/>
        <w:spacing w:after="60"/>
        <w:ind w:left="426" w:hanging="426"/>
        <w:jc w:val="both"/>
        <w:rPr>
          <w:rFonts w:ascii="Candara" w:hAnsi="Candara"/>
          <w:sz w:val="18"/>
          <w:szCs w:val="16"/>
        </w:rPr>
      </w:pPr>
      <w:r w:rsidRPr="00894C04">
        <w:rPr>
          <w:rFonts w:ascii="Candara" w:hAnsi="Candara"/>
          <w:sz w:val="18"/>
          <w:szCs w:val="16"/>
          <w:lang w:val="pt-PT"/>
        </w:rPr>
        <w:t xml:space="preserve">Sedlmeier, P. e Gigerenzer, G. (1989). </w:t>
      </w:r>
      <w:r w:rsidRPr="0096752A">
        <w:rPr>
          <w:rFonts w:ascii="Candara" w:hAnsi="Candara"/>
          <w:sz w:val="18"/>
          <w:szCs w:val="16"/>
        </w:rPr>
        <w:t xml:space="preserve">Do studies of statistical power have an effect on the power of studies? </w:t>
      </w:r>
      <w:r w:rsidRPr="0096752A">
        <w:rPr>
          <w:rFonts w:ascii="Candara Italic" w:hAnsi="Candara Italic"/>
          <w:sz w:val="18"/>
          <w:szCs w:val="16"/>
        </w:rPr>
        <w:t>Psychological Bulletin</w:t>
      </w:r>
      <w:r w:rsidRPr="0096752A">
        <w:rPr>
          <w:rFonts w:ascii="Candara" w:hAnsi="Candara"/>
          <w:sz w:val="18"/>
          <w:szCs w:val="16"/>
        </w:rPr>
        <w:t xml:space="preserve">, </w:t>
      </w:r>
      <w:r w:rsidRPr="0096752A">
        <w:rPr>
          <w:rFonts w:ascii="Candara Italic" w:hAnsi="Candara Italic"/>
          <w:sz w:val="18"/>
          <w:szCs w:val="16"/>
        </w:rPr>
        <w:t>105</w:t>
      </w:r>
      <w:r w:rsidRPr="0096752A">
        <w:rPr>
          <w:rFonts w:ascii="Candara" w:hAnsi="Candara"/>
          <w:sz w:val="18"/>
          <w:szCs w:val="16"/>
        </w:rPr>
        <w:t>(2), 309-316.</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rPr>
        <w:t xml:space="preserve">Snyder, P. e Lawson, S. (1993). Evaluating results using corrected and uncorrected effect size estimates. </w:t>
      </w:r>
      <w:r w:rsidRPr="0096752A">
        <w:rPr>
          <w:rFonts w:ascii="Candara Italic" w:hAnsi="Candara Italic"/>
          <w:sz w:val="18"/>
          <w:szCs w:val="16"/>
        </w:rPr>
        <w:t>The Journal of Experimental Education</w:t>
      </w:r>
      <w:r w:rsidRPr="0096752A">
        <w:rPr>
          <w:rFonts w:ascii="Candara" w:hAnsi="Candara"/>
          <w:sz w:val="18"/>
          <w:szCs w:val="16"/>
        </w:rPr>
        <w:t xml:space="preserve">, </w:t>
      </w:r>
      <w:r w:rsidRPr="0096752A">
        <w:rPr>
          <w:rFonts w:ascii="Candara Italic" w:hAnsi="Candara Italic"/>
          <w:sz w:val="18"/>
          <w:szCs w:val="16"/>
        </w:rPr>
        <w:t>61</w:t>
      </w:r>
      <w:r w:rsidRPr="0096752A">
        <w:rPr>
          <w:rFonts w:ascii="Candara" w:hAnsi="Candara"/>
          <w:sz w:val="18"/>
          <w:szCs w:val="16"/>
        </w:rPr>
        <w:t>(4), 334–349.</w:t>
      </w:r>
    </w:p>
    <w:p w:rsidR="00D9179F" w:rsidRPr="0096752A" w:rsidRDefault="00D9179F" w:rsidP="00D9179F">
      <w:pPr>
        <w:pStyle w:val="FormalivreA"/>
        <w:spacing w:after="60"/>
        <w:ind w:left="426" w:hanging="426"/>
        <w:jc w:val="both"/>
        <w:rPr>
          <w:rFonts w:ascii="Candara" w:hAnsi="Candara"/>
          <w:sz w:val="18"/>
          <w:szCs w:val="16"/>
        </w:rPr>
      </w:pPr>
      <w:r w:rsidRPr="0096752A">
        <w:rPr>
          <w:rFonts w:ascii="Candara" w:hAnsi="Candara"/>
          <w:sz w:val="18"/>
          <w:szCs w:val="16"/>
          <w:lang w:val="de-AT"/>
        </w:rPr>
        <w:lastRenderedPageBreak/>
        <w:t xml:space="preserve">Sun, S., Pan, W. e Wang, L. L. (2010). </w:t>
      </w:r>
      <w:proofErr w:type="gramStart"/>
      <w:r w:rsidRPr="0096752A">
        <w:rPr>
          <w:rFonts w:ascii="Candara" w:hAnsi="Candara"/>
          <w:sz w:val="18"/>
          <w:szCs w:val="16"/>
        </w:rPr>
        <w:t>A comprehensive review of effect size reporting and interpreting practices in academic journals in education and psychology.</w:t>
      </w:r>
      <w:proofErr w:type="gramEnd"/>
      <w:r w:rsidRPr="0096752A">
        <w:rPr>
          <w:rFonts w:ascii="Candara" w:hAnsi="Candara"/>
          <w:sz w:val="18"/>
          <w:szCs w:val="16"/>
        </w:rPr>
        <w:t xml:space="preserve"> </w:t>
      </w:r>
      <w:proofErr w:type="gramStart"/>
      <w:r w:rsidRPr="0096752A">
        <w:rPr>
          <w:rFonts w:ascii="Candara Italic" w:hAnsi="Candara Italic"/>
          <w:sz w:val="18"/>
          <w:szCs w:val="16"/>
        </w:rPr>
        <w:t>Journal of Educational Psychology</w:t>
      </w:r>
      <w:r w:rsidRPr="0096752A">
        <w:rPr>
          <w:rFonts w:ascii="Candara" w:hAnsi="Candara"/>
          <w:sz w:val="18"/>
          <w:szCs w:val="16"/>
        </w:rPr>
        <w:t xml:space="preserve">, </w:t>
      </w:r>
      <w:r w:rsidRPr="0096752A">
        <w:rPr>
          <w:rFonts w:ascii="Candara Italic" w:hAnsi="Candara Italic"/>
          <w:sz w:val="18"/>
          <w:szCs w:val="16"/>
        </w:rPr>
        <w:t>102</w:t>
      </w:r>
      <w:r w:rsidRPr="0096752A">
        <w:rPr>
          <w:rFonts w:ascii="Candara" w:hAnsi="Candara"/>
          <w:sz w:val="18"/>
          <w:szCs w:val="16"/>
        </w:rPr>
        <w:t>(4), 989-1004.</w:t>
      </w:r>
      <w:proofErr w:type="gramEnd"/>
    </w:p>
    <w:p w:rsidR="00D9179F" w:rsidRPr="0096752A" w:rsidRDefault="00D9179F" w:rsidP="00D9179F">
      <w:pPr>
        <w:pStyle w:val="FormalivreA"/>
        <w:spacing w:after="60"/>
        <w:ind w:left="426" w:hanging="426"/>
        <w:jc w:val="both"/>
        <w:rPr>
          <w:rFonts w:ascii="Candara" w:hAnsi="Candara"/>
          <w:sz w:val="18"/>
          <w:szCs w:val="16"/>
        </w:rPr>
      </w:pPr>
      <w:proofErr w:type="spellStart"/>
      <w:proofErr w:type="gramStart"/>
      <w:r w:rsidRPr="0096752A">
        <w:rPr>
          <w:rFonts w:ascii="Candara" w:hAnsi="Candara"/>
          <w:sz w:val="18"/>
          <w:szCs w:val="16"/>
        </w:rPr>
        <w:t>Tabachnick</w:t>
      </w:r>
      <w:proofErr w:type="spellEnd"/>
      <w:r w:rsidRPr="0096752A">
        <w:rPr>
          <w:rFonts w:ascii="Candara" w:hAnsi="Candara"/>
          <w:sz w:val="18"/>
          <w:szCs w:val="16"/>
        </w:rPr>
        <w:t xml:space="preserve">, B. G. e </w:t>
      </w:r>
      <w:proofErr w:type="spellStart"/>
      <w:r w:rsidRPr="0096752A">
        <w:rPr>
          <w:rFonts w:ascii="Candara" w:hAnsi="Candara"/>
          <w:sz w:val="18"/>
          <w:szCs w:val="16"/>
        </w:rPr>
        <w:t>Fidell</w:t>
      </w:r>
      <w:proofErr w:type="spellEnd"/>
      <w:r w:rsidRPr="0096752A">
        <w:rPr>
          <w:rFonts w:ascii="Candara" w:hAnsi="Candara"/>
          <w:sz w:val="18"/>
          <w:szCs w:val="16"/>
        </w:rPr>
        <w:t>, L. S. (2007).</w:t>
      </w:r>
      <w:proofErr w:type="gramEnd"/>
      <w:r w:rsidRPr="0096752A">
        <w:rPr>
          <w:rFonts w:ascii="Candara" w:hAnsi="Candara"/>
          <w:sz w:val="18"/>
          <w:szCs w:val="16"/>
        </w:rPr>
        <w:t xml:space="preserve"> </w:t>
      </w:r>
      <w:r w:rsidRPr="0096752A">
        <w:rPr>
          <w:rFonts w:ascii="Candara Italic" w:hAnsi="Candara Italic"/>
          <w:sz w:val="18"/>
          <w:szCs w:val="16"/>
        </w:rPr>
        <w:t>Using Multivariate Statistics</w:t>
      </w:r>
      <w:r w:rsidRPr="0096752A">
        <w:rPr>
          <w:rFonts w:ascii="Candara" w:hAnsi="Candara"/>
          <w:sz w:val="18"/>
          <w:szCs w:val="16"/>
        </w:rPr>
        <w:t xml:space="preserve"> (</w:t>
      </w:r>
      <w:r w:rsidR="00E54D72">
        <w:rPr>
          <w:rFonts w:ascii="Candara" w:hAnsi="Candara"/>
          <w:sz w:val="18"/>
          <w:szCs w:val="16"/>
        </w:rPr>
        <w:t>5.ª</w:t>
      </w:r>
      <w:r w:rsidRPr="0096752A">
        <w:rPr>
          <w:rFonts w:ascii="Candara" w:hAnsi="Candara"/>
          <w:sz w:val="18"/>
          <w:szCs w:val="16"/>
        </w:rPr>
        <w:t xml:space="preserve"> </w:t>
      </w:r>
      <w:proofErr w:type="gramStart"/>
      <w:r w:rsidRPr="0096752A">
        <w:rPr>
          <w:rFonts w:ascii="Candara" w:hAnsi="Candara"/>
          <w:sz w:val="18"/>
          <w:szCs w:val="16"/>
        </w:rPr>
        <w:t>ed</w:t>
      </w:r>
      <w:proofErr w:type="gramEnd"/>
      <w:r w:rsidRPr="0096752A">
        <w:rPr>
          <w:rFonts w:ascii="Candara" w:hAnsi="Candara"/>
          <w:sz w:val="18"/>
          <w:szCs w:val="16"/>
        </w:rPr>
        <w:t>.). Boston: Pearson.</w:t>
      </w:r>
    </w:p>
    <w:p w:rsidR="00432573" w:rsidRPr="0096752A" w:rsidRDefault="00432573" w:rsidP="00432573">
      <w:pPr>
        <w:pStyle w:val="FormalivreA"/>
        <w:spacing w:after="60"/>
        <w:jc w:val="both"/>
        <w:rPr>
          <w:rFonts w:ascii="Candara" w:hAnsi="Candara"/>
          <w:sz w:val="18"/>
          <w:szCs w:val="16"/>
        </w:rPr>
      </w:pPr>
    </w:p>
    <w:p w:rsidR="00D9179F" w:rsidRPr="0096752A" w:rsidRDefault="00D9179F" w:rsidP="00D9179F">
      <w:pPr>
        <w:autoSpaceDE w:val="0"/>
        <w:autoSpaceDN w:val="0"/>
        <w:adjustRightInd w:val="0"/>
        <w:spacing w:after="240" w:line="240" w:lineRule="auto"/>
        <w:jc w:val="center"/>
        <w:rPr>
          <w:rFonts w:ascii="Candara" w:hAnsi="Candara" w:cs="Mangal"/>
          <w:b/>
          <w:color w:val="0A615E"/>
          <w:sz w:val="24"/>
          <w:szCs w:val="14"/>
          <w:lang w:val="en-US"/>
        </w:rPr>
      </w:pPr>
    </w:p>
    <w:p w:rsidR="00432573" w:rsidRDefault="00D9179F" w:rsidP="00DF32E9">
      <w:pPr>
        <w:autoSpaceDE w:val="0"/>
        <w:autoSpaceDN w:val="0"/>
        <w:adjustRightInd w:val="0"/>
        <w:spacing w:after="240" w:line="240" w:lineRule="auto"/>
        <w:jc w:val="center"/>
        <w:rPr>
          <w:rFonts w:ascii="Candara" w:hAnsi="Candara" w:cs="Mangal"/>
          <w:b/>
          <w:color w:val="0A615E"/>
          <w:sz w:val="24"/>
          <w:szCs w:val="14"/>
          <w:lang w:val="en-US"/>
        </w:rPr>
      </w:pPr>
      <w:r w:rsidRPr="0096752A">
        <w:rPr>
          <w:rFonts w:ascii="Candara" w:hAnsi="Candara" w:cs="Mangal"/>
          <w:b/>
          <w:color w:val="0A615E"/>
          <w:sz w:val="24"/>
          <w:szCs w:val="14"/>
          <w:lang w:val="en-US"/>
        </w:rPr>
        <w:t>NOTAS</w:t>
      </w:r>
    </w:p>
    <w:sectPr w:rsidR="00432573" w:rsidSect="009C6935">
      <w:type w:val="continuous"/>
      <w:pgSz w:w="11906" w:h="16838"/>
      <w:pgMar w:top="720" w:right="720" w:bottom="720" w:left="720" w:header="708" w:footer="708"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1EA" w:rsidRDefault="00F071EA" w:rsidP="00830380">
      <w:pPr>
        <w:spacing w:after="0" w:line="240" w:lineRule="auto"/>
      </w:pPr>
      <w:r>
        <w:separator/>
      </w:r>
    </w:p>
  </w:endnote>
  <w:endnote w:type="continuationSeparator" w:id="0">
    <w:p w:rsidR="00F071EA" w:rsidRDefault="00F071EA" w:rsidP="00830380">
      <w:pPr>
        <w:spacing w:after="0" w:line="240" w:lineRule="auto"/>
      </w:pPr>
      <w:r>
        <w:continuationSeparator/>
      </w:r>
    </w:p>
  </w:endnote>
  <w:endnote w:id="1">
    <w:p w:rsidR="00080884" w:rsidRDefault="00080884" w:rsidP="00566781">
      <w:pPr>
        <w:pStyle w:val="TextodasnotasderodapA"/>
        <w:spacing w:before="120" w:line="192" w:lineRule="auto"/>
        <w:rPr>
          <w:rFonts w:ascii="Times New Roman" w:eastAsia="Times New Roman" w:hAnsi="Times New Roman"/>
          <w:color w:val="auto"/>
          <w:sz w:val="20"/>
          <w:vertAlign w:val="baseline"/>
        </w:rPr>
      </w:pPr>
      <w:r>
        <w:endnoteRef/>
      </w:r>
      <w:r>
        <w:t xml:space="preserve"> Um valor de </w:t>
      </w:r>
      <w:r>
        <w:rPr>
          <w:rFonts w:ascii="Candara Italic" w:hAnsi="Candara Italic"/>
        </w:rPr>
        <w:t>p</w:t>
      </w:r>
      <w:r>
        <w:t xml:space="preserve"> de 0,05 significa que as </w:t>
      </w:r>
      <w:proofErr w:type="gramStart"/>
      <w:r>
        <w:t>chances</w:t>
      </w:r>
      <w:proofErr w:type="gramEnd"/>
      <w:r>
        <w:t xml:space="preserve"> de obter uma diferença média dessa magnitude ou maior é de 1 em 20 e as chances de obter uma diferença média dessa magnitude ou menor é de 19 em 20 se as duas amostras representarem a mesma população (</w:t>
      </w:r>
      <w:proofErr w:type="spellStart"/>
      <w:r>
        <w:t>Carver</w:t>
      </w:r>
      <w:proofErr w:type="spellEnd"/>
      <w:r>
        <w:t xml:space="preserve">, 1978, p. 392). </w:t>
      </w:r>
    </w:p>
  </w:endnote>
  <w:endnote w:id="2">
    <w:p w:rsidR="00080884" w:rsidRDefault="00080884" w:rsidP="00566781">
      <w:pPr>
        <w:pStyle w:val="TextodasnotasderodapA"/>
        <w:spacing w:line="192" w:lineRule="auto"/>
        <w:rPr>
          <w:rFonts w:ascii="Times New Roman" w:eastAsia="Times New Roman" w:hAnsi="Times New Roman"/>
          <w:color w:val="auto"/>
          <w:sz w:val="20"/>
          <w:vertAlign w:val="baseline"/>
        </w:rPr>
      </w:pPr>
      <w:r>
        <w:endnoteRef/>
      </w:r>
      <w:r>
        <w:t xml:space="preserve"> Entre as alternativas ao nível de significância, queremos destacar a sugestão de estimar a probabilidade de replicação (</w:t>
      </w:r>
      <w:proofErr w:type="spellStart"/>
      <w:r>
        <w:t>Sanabria</w:t>
      </w:r>
      <w:proofErr w:type="spellEnd"/>
      <w:r>
        <w:t xml:space="preserve"> e </w:t>
      </w:r>
      <w:proofErr w:type="spellStart"/>
      <w:r>
        <w:t>Killeen</w:t>
      </w:r>
      <w:proofErr w:type="spellEnd"/>
      <w:r>
        <w:t>, 2007) e de replicar efetivamente o estudo com outras amostras (</w:t>
      </w:r>
      <w:proofErr w:type="spellStart"/>
      <w:r>
        <w:t>Carver</w:t>
      </w:r>
      <w:proofErr w:type="spellEnd"/>
      <w:r>
        <w:t xml:space="preserve">, 1978). Outra das alternativas propõe a aplicação do paradigma </w:t>
      </w:r>
      <w:proofErr w:type="spellStart"/>
      <w:r>
        <w:t>Bayesiano</w:t>
      </w:r>
      <w:proofErr w:type="spellEnd"/>
      <w:r>
        <w:t xml:space="preserve"> Lee e </w:t>
      </w:r>
      <w:proofErr w:type="spellStart"/>
      <w:r>
        <w:t>Wagenmakers</w:t>
      </w:r>
      <w:proofErr w:type="spellEnd"/>
      <w:r>
        <w:t xml:space="preserve">, 2005; </w:t>
      </w:r>
      <w:proofErr w:type="spellStart"/>
      <w:r>
        <w:t>Wagenmakers</w:t>
      </w:r>
      <w:proofErr w:type="spellEnd"/>
      <w:r>
        <w:t>, 2007).</w:t>
      </w:r>
    </w:p>
  </w:endnote>
  <w:endnote w:id="3">
    <w:p w:rsidR="00080884" w:rsidRDefault="00080884" w:rsidP="00566781">
      <w:pPr>
        <w:pStyle w:val="TextodasnotasderodapA"/>
        <w:spacing w:line="192" w:lineRule="auto"/>
        <w:rPr>
          <w:rFonts w:ascii="Times New Roman" w:eastAsia="Times New Roman" w:hAnsi="Times New Roman"/>
          <w:color w:val="auto"/>
          <w:sz w:val="20"/>
          <w:vertAlign w:val="baseline"/>
        </w:rPr>
      </w:pPr>
      <w:r>
        <w:endnoteRef/>
      </w:r>
      <w:r>
        <w:t xml:space="preserve"> “… Deus gosta do 0,06 quase tanto como do 0,05”.</w:t>
      </w:r>
    </w:p>
  </w:endnote>
  <w:endnote w:id="4">
    <w:p w:rsidR="00080884" w:rsidRDefault="00080884" w:rsidP="00566781">
      <w:pPr>
        <w:pStyle w:val="TextodasnotasderodapA"/>
        <w:spacing w:line="192" w:lineRule="auto"/>
        <w:rPr>
          <w:rFonts w:ascii="Times New Roman" w:eastAsia="Times New Roman" w:hAnsi="Times New Roman"/>
          <w:color w:val="auto"/>
          <w:sz w:val="20"/>
          <w:vertAlign w:val="baseline"/>
        </w:rPr>
      </w:pPr>
      <w:r>
        <w:endnoteRef/>
      </w:r>
      <w:r>
        <w:t xml:space="preserve"> “</w:t>
      </w:r>
      <w:proofErr w:type="gramStart"/>
      <w:r>
        <w:t>não</w:t>
      </w:r>
      <w:proofErr w:type="gramEnd"/>
      <w:r>
        <w:t xml:space="preserve"> há uma razão lógica forte por detrás desta opção”.</w:t>
      </w:r>
    </w:p>
  </w:endnote>
  <w:endnote w:id="5">
    <w:p w:rsidR="00080884" w:rsidRDefault="00080884" w:rsidP="00566781">
      <w:pPr>
        <w:pStyle w:val="TextodasnotasderodapA"/>
        <w:spacing w:line="192" w:lineRule="auto"/>
        <w:rPr>
          <w:rFonts w:ascii="Times New Roman" w:eastAsia="Times New Roman" w:hAnsi="Times New Roman"/>
          <w:color w:val="auto"/>
          <w:sz w:val="20"/>
          <w:vertAlign w:val="baseline"/>
        </w:rPr>
      </w:pPr>
      <w:r>
        <w:endnoteRef/>
      </w:r>
      <w:r>
        <w:t xml:space="preserve"> Nas palavras de </w:t>
      </w:r>
      <w:proofErr w:type="spellStart"/>
      <w:r>
        <w:t>Conn</w:t>
      </w:r>
      <w:proofErr w:type="spellEnd"/>
      <w:r>
        <w:t xml:space="preserve"> (2014, p. 291): força a tomada de decisões binárias (tipo </w:t>
      </w:r>
      <w:proofErr w:type="gramStart"/>
      <w:r>
        <w:t>sim-não )</w:t>
      </w:r>
      <w:proofErr w:type="gramEnd"/>
      <w:r>
        <w:t xml:space="preserve"> para dados contínuos.</w:t>
      </w:r>
    </w:p>
  </w:endnote>
  <w:endnote w:id="6">
    <w:p w:rsidR="00080884" w:rsidRDefault="00080884" w:rsidP="00566781">
      <w:pPr>
        <w:pStyle w:val="TextodasnotasderodapA"/>
        <w:spacing w:line="192" w:lineRule="auto"/>
      </w:pPr>
      <w:r>
        <w:endnoteRef/>
      </w:r>
      <w:r>
        <w:t xml:space="preserve"> Para aprofundar a temática do poder dos testes, o leitor interessado pode recorrer aos textos de Cohen (1988, pp. 14-19; 1992b, p. 100) e de </w:t>
      </w:r>
      <w:proofErr w:type="spellStart"/>
      <w:r>
        <w:t>Kline</w:t>
      </w:r>
      <w:proofErr w:type="spellEnd"/>
      <w:r>
        <w:t xml:space="preserve"> (2004, pp. 76-81).</w:t>
      </w:r>
    </w:p>
    <w:p w:rsidR="00080884" w:rsidRDefault="00080884" w:rsidP="00566781">
      <w:pPr>
        <w:pStyle w:val="TextodasnotasderodapA"/>
        <w:spacing w:line="192" w:lineRule="auto"/>
        <w:ind w:left="0" w:firstLine="0"/>
        <w:rPr>
          <w:rFonts w:ascii="Times New Roman" w:eastAsia="Times New Roman" w:hAnsi="Times New Roman"/>
          <w:color w:val="auto"/>
          <w:sz w:val="20"/>
          <w:vertAlign w:val="baseline"/>
        </w:rPr>
      </w:pPr>
    </w:p>
  </w:endnote>
  <w:endnote w:id="7">
    <w:p w:rsidR="00080884" w:rsidRDefault="00080884" w:rsidP="00566781">
      <w:pPr>
        <w:pStyle w:val="TextodasnotasderodapA"/>
        <w:spacing w:line="192" w:lineRule="auto"/>
        <w:rPr>
          <w:rFonts w:ascii="Times New Roman" w:eastAsia="Times New Roman" w:hAnsi="Times New Roman"/>
          <w:color w:val="auto"/>
          <w:sz w:val="20"/>
          <w:vertAlign w:val="baseline"/>
        </w:rPr>
      </w:pPr>
      <w:r>
        <w:endnoteRef/>
      </w:r>
      <w:r>
        <w:t xml:space="preserve"> Qual é a probabilidade de obter uma pessoa morta (etiquete esta parte </w:t>
      </w:r>
      <w:proofErr w:type="gramStart"/>
      <w:r>
        <w:t>D) dado</w:t>
      </w:r>
      <w:proofErr w:type="gramEnd"/>
      <w:r>
        <w:t xml:space="preserve"> que a pessoa foi enforcada (rotule esta parte H); isto é, na forma de símbolo, o que é </w:t>
      </w:r>
      <w:proofErr w:type="gramStart"/>
      <w:r>
        <w:rPr>
          <w:rFonts w:ascii="Candara Italic" w:hAnsi="Candara Italic"/>
        </w:rPr>
        <w:t>p</w:t>
      </w:r>
      <w:r>
        <w:t>(D|H</w:t>
      </w:r>
      <w:proofErr w:type="gramEnd"/>
      <w:r>
        <w:t>)? Obviamente, que vai ser muito alta, talvez 0,97 ou superior. Agora, vamos inverter a pergunta. Qual é a probabilidade de uma pessoa ter sido enforcada (</w:t>
      </w:r>
      <w:proofErr w:type="gramStart"/>
      <w:r>
        <w:t>H) dado</w:t>
      </w:r>
      <w:proofErr w:type="gramEnd"/>
      <w:r>
        <w:t xml:space="preserve"> que a pessoa está morta (D); isto é, o que é </w:t>
      </w:r>
      <w:proofErr w:type="gramStart"/>
      <w:r>
        <w:rPr>
          <w:rFonts w:ascii="Candara Italic" w:hAnsi="Candara Italic"/>
        </w:rPr>
        <w:t>p</w:t>
      </w:r>
      <w:r>
        <w:t>(H|D</w:t>
      </w:r>
      <w:proofErr w:type="gramEnd"/>
      <w:r>
        <w:t>)? Desta vez, a probabilidade será, sem dúvida, muito baixa, talvez 0,01 ou inferior.</w:t>
      </w:r>
    </w:p>
  </w:endnote>
  <w:endnote w:id="8">
    <w:p w:rsidR="00080884" w:rsidRDefault="00080884" w:rsidP="00566781">
      <w:pPr>
        <w:pStyle w:val="TextodasnotasderodapA"/>
        <w:spacing w:line="192" w:lineRule="auto"/>
        <w:rPr>
          <w:rFonts w:ascii="Times New Roman" w:eastAsia="Times New Roman" w:hAnsi="Times New Roman"/>
          <w:color w:val="auto"/>
          <w:sz w:val="20"/>
          <w:vertAlign w:val="baseline"/>
        </w:rPr>
      </w:pPr>
      <w:r>
        <w:endnoteRef/>
      </w:r>
      <w:r>
        <w:t xml:space="preserve"> Ainda que se deva ter cuidado com amostras pequenas, pois há uma tendência para obter tamanhos do efeito maiores com amostras pequenas (</w:t>
      </w:r>
      <w:proofErr w:type="spellStart"/>
      <w:r>
        <w:t>Kühberger</w:t>
      </w:r>
      <w:proofErr w:type="spellEnd"/>
      <w:r>
        <w:t xml:space="preserve">, </w:t>
      </w:r>
      <w:proofErr w:type="spellStart"/>
      <w:r>
        <w:t>Fritz</w:t>
      </w:r>
      <w:proofErr w:type="spellEnd"/>
      <w:r>
        <w:t xml:space="preserve"> e </w:t>
      </w:r>
      <w:proofErr w:type="spellStart"/>
      <w:r>
        <w:t>Scherndl</w:t>
      </w:r>
      <w:proofErr w:type="spellEnd"/>
      <w:r>
        <w:t>, 2014). Por isso, se sugere que se faça a análise sistemática dos TDE em diferentes estudos por forma a determinar até que ponto o tamanho da amostra influencia os resultados (</w:t>
      </w:r>
      <w:proofErr w:type="spellStart"/>
      <w:r>
        <w:t>Snyder</w:t>
      </w:r>
      <w:proofErr w:type="spellEnd"/>
      <w:r>
        <w:t>, 1993).</w:t>
      </w:r>
    </w:p>
  </w:endnote>
  <w:endnote w:id="9">
    <w:p w:rsidR="00080884" w:rsidRDefault="00080884" w:rsidP="00566781">
      <w:pPr>
        <w:pStyle w:val="TextodasnotasderodapA"/>
        <w:spacing w:line="192" w:lineRule="auto"/>
        <w:rPr>
          <w:rFonts w:ascii="Times New Roman" w:eastAsia="Times New Roman" w:hAnsi="Times New Roman"/>
          <w:color w:val="auto"/>
          <w:sz w:val="20"/>
          <w:vertAlign w:val="baseline"/>
        </w:rPr>
      </w:pPr>
      <w:r>
        <w:endnoteRef/>
      </w:r>
      <w:r>
        <w:t xml:space="preserve"> “</w:t>
      </w:r>
      <w:proofErr w:type="gramStart"/>
      <w:r>
        <w:t>apresente</w:t>
      </w:r>
      <w:proofErr w:type="gramEnd"/>
      <w:r>
        <w:t xml:space="preserve"> sempre o tamanho do efeito para resultados primários”.</w:t>
      </w:r>
    </w:p>
  </w:endnote>
  <w:endnote w:id="10">
    <w:p w:rsidR="00080884" w:rsidRDefault="00080884" w:rsidP="00566781">
      <w:pPr>
        <w:pStyle w:val="TextodasnotasderodapA"/>
        <w:spacing w:line="192" w:lineRule="auto"/>
        <w:rPr>
          <w:rFonts w:ascii="Times New Roman" w:eastAsia="Times New Roman" w:hAnsi="Times New Roman"/>
          <w:color w:val="auto"/>
          <w:sz w:val="20"/>
          <w:vertAlign w:val="baseline"/>
        </w:rPr>
      </w:pPr>
      <w:r>
        <w:endnoteRef/>
      </w:r>
      <w:r>
        <w:t xml:space="preserve"> “</w:t>
      </w:r>
      <w:proofErr w:type="gramStart"/>
      <w:r>
        <w:t>a</w:t>
      </w:r>
      <w:proofErr w:type="gramEnd"/>
      <w:r>
        <w:t xml:space="preserve"> notificação e interpretação dos TDE [tamanhos do efeito] no contexto dos efeitos previamente relatados é essencial para uma boa pesquisa”.</w:t>
      </w:r>
    </w:p>
  </w:endnote>
  <w:endnote w:id="11">
    <w:p w:rsidR="00080884" w:rsidRDefault="00080884" w:rsidP="00566781">
      <w:pPr>
        <w:pStyle w:val="TextodasnotasderodapA"/>
        <w:spacing w:line="192" w:lineRule="auto"/>
        <w:rPr>
          <w:rFonts w:ascii="Times New Roman" w:eastAsia="Times New Roman" w:hAnsi="Times New Roman"/>
          <w:color w:val="auto"/>
          <w:sz w:val="20"/>
          <w:vertAlign w:val="baseline"/>
        </w:rPr>
      </w:pPr>
      <w:r>
        <w:endnoteRef/>
      </w:r>
      <w:r>
        <w:t xml:space="preserve"> Para reduzir potenciais efeitos de enviesamento de artefactos estatísticos e aproximar o TDE, baseado numa amostra, a um TDE populacional, vejam-se as sugestões de </w:t>
      </w:r>
      <w:proofErr w:type="spellStart"/>
      <w:r>
        <w:t>Breaugh</w:t>
      </w:r>
      <w:proofErr w:type="spellEnd"/>
      <w:r>
        <w:t xml:space="preserve"> (2003, p. 94-95) ou, de forma mais detalhada, as de Schmidt e </w:t>
      </w:r>
      <w:proofErr w:type="spellStart"/>
      <w:r>
        <w:t>Hunter</w:t>
      </w:r>
      <w:proofErr w:type="spellEnd"/>
      <w:r>
        <w:t xml:space="preserve"> (2004).</w:t>
      </w:r>
    </w:p>
  </w:endnote>
  <w:endnote w:id="12">
    <w:p w:rsidR="00080884" w:rsidRDefault="00080884" w:rsidP="00DF5881">
      <w:pPr>
        <w:pStyle w:val="TextodasnotasderodapA"/>
        <w:spacing w:line="192" w:lineRule="auto"/>
        <w:rPr>
          <w:rFonts w:ascii="Times New Roman" w:eastAsia="Times New Roman" w:hAnsi="Times New Roman"/>
          <w:color w:val="auto"/>
          <w:sz w:val="20"/>
          <w:vertAlign w:val="baseline"/>
        </w:rPr>
      </w:pPr>
      <w:r>
        <w:endnoteRef/>
      </w:r>
      <w:r>
        <w:t xml:space="preserve"> O </w:t>
      </w:r>
      <w:r>
        <w:rPr>
          <w:rFonts w:ascii="Candara Italic" w:hAnsi="Candara Italic"/>
        </w:rPr>
        <w:t>tamanho da amostra</w:t>
      </w:r>
      <w:r>
        <w:t xml:space="preserve"> depende do </w:t>
      </w:r>
      <w:r>
        <w:rPr>
          <w:rFonts w:ascii="Candara Italic" w:hAnsi="Candara Italic"/>
        </w:rPr>
        <w:t>nível de significância</w:t>
      </w:r>
      <w:r>
        <w:t xml:space="preserve"> (pode ser α = 0,05), do erro padrão (para isso obtêm-se os desvios-padrão obtidos por outros estudos que usaram a mesma medição e depois divide-se o desvio-padrão pelo </w:t>
      </w:r>
      <w:r>
        <w:rPr>
          <w:rFonts w:ascii="Candara Italic" w:hAnsi="Candara Italic"/>
        </w:rPr>
        <w:t>n</w:t>
      </w:r>
      <w:r>
        <w:t xml:space="preserve"> para obter o erro padrão) e do </w:t>
      </w:r>
      <w:r>
        <w:rPr>
          <w:rFonts w:ascii="Candara Italic" w:hAnsi="Candara Italic"/>
        </w:rPr>
        <w:t>poder</w:t>
      </w:r>
      <w:r>
        <w:t xml:space="preserve"> do teste (sugere-se o valor de 0,90 ou mesmo de 0,95) e do tamanho da população (Cohen, 1992a). Para um poder de 80%, são necessários 393 sujeitos para um efeito pequeno, 64 para um médio e 26 para um grande.</w:t>
      </w:r>
    </w:p>
  </w:endnote>
  <w:endnote w:id="13">
    <w:p w:rsidR="00080884" w:rsidRDefault="00080884" w:rsidP="00DF5881">
      <w:pPr>
        <w:pStyle w:val="TextodasnotasderodapA"/>
        <w:spacing w:line="192" w:lineRule="auto"/>
        <w:rPr>
          <w:rFonts w:ascii="Times New Roman" w:eastAsia="Times New Roman" w:hAnsi="Times New Roman"/>
          <w:color w:val="auto"/>
          <w:sz w:val="20"/>
          <w:vertAlign w:val="baseline"/>
        </w:rPr>
      </w:pPr>
      <w:r>
        <w:endnoteRef/>
      </w:r>
      <w:r>
        <w:t xml:space="preserve"> “</w:t>
      </w:r>
      <w:proofErr w:type="gramStart"/>
      <w:r>
        <w:t>há</w:t>
      </w:r>
      <w:proofErr w:type="gramEnd"/>
      <w:r>
        <w:t xml:space="preserve"> um certo risco inerente em oferecer definições operacionais convencionais para esses termos a usar na análise do poder num campo de investigação tão diverso como é a ciência comportamental”.</w:t>
      </w:r>
    </w:p>
  </w:endnote>
  <w:endnote w:id="14">
    <w:p w:rsidR="00080884" w:rsidRDefault="00080884" w:rsidP="00DF5881">
      <w:pPr>
        <w:pStyle w:val="TextodasnotasderodapA"/>
        <w:spacing w:line="192" w:lineRule="auto"/>
        <w:rPr>
          <w:rFonts w:ascii="Times New Roman" w:eastAsia="Times New Roman" w:hAnsi="Times New Roman"/>
          <w:color w:val="auto"/>
          <w:sz w:val="20"/>
          <w:vertAlign w:val="baseline"/>
        </w:rPr>
      </w:pPr>
      <w:r>
        <w:endnoteRef/>
      </w:r>
      <w:r>
        <w:t xml:space="preserve"> “</w:t>
      </w:r>
      <w:proofErr w:type="gramStart"/>
      <w:r>
        <w:t>algum</w:t>
      </w:r>
      <w:proofErr w:type="gramEnd"/>
      <w:r>
        <w:t xml:space="preserve"> sentido à sua escala [do TDE]”</w:t>
      </w:r>
    </w:p>
  </w:endnote>
  <w:endnote w:id="15">
    <w:p w:rsidR="00080884" w:rsidRDefault="00080884" w:rsidP="00DF5881">
      <w:pPr>
        <w:pStyle w:val="TextodasnotasderodapA"/>
        <w:spacing w:line="192" w:lineRule="auto"/>
        <w:rPr>
          <w:rFonts w:ascii="Times New Roman" w:eastAsia="Times New Roman" w:hAnsi="Times New Roman"/>
          <w:color w:val="auto"/>
          <w:sz w:val="20"/>
          <w:vertAlign w:val="baseline"/>
        </w:rPr>
      </w:pPr>
      <w:r>
        <w:endnoteRef/>
      </w:r>
      <w:r>
        <w:t xml:space="preserve"> “</w:t>
      </w:r>
      <w:proofErr w:type="gramStart"/>
      <w:r>
        <w:t>um</w:t>
      </w:r>
      <w:proofErr w:type="gramEnd"/>
      <w:r>
        <w:t xml:space="preserve"> índice atrativo do tamanho do efeito que não requer um conhecimento prévio de estatística para o entender”.</w:t>
      </w:r>
    </w:p>
  </w:endnote>
  <w:endnote w:id="16">
    <w:p w:rsidR="00080884" w:rsidRDefault="00080884" w:rsidP="00D9179F">
      <w:pPr>
        <w:pStyle w:val="TextodasnotasderodapA"/>
        <w:spacing w:line="192" w:lineRule="auto"/>
        <w:rPr>
          <w:rFonts w:ascii="Times New Roman" w:eastAsia="Times New Roman" w:hAnsi="Times New Roman"/>
          <w:color w:val="auto"/>
          <w:sz w:val="20"/>
          <w:vertAlign w:val="baseline"/>
        </w:rPr>
      </w:pPr>
      <w:r>
        <w:endnoteRef/>
      </w:r>
      <w:r>
        <w:t xml:space="preserve"> De acordo com a revisão de </w:t>
      </w:r>
      <w:proofErr w:type="spellStart"/>
      <w:r>
        <w:t>Jacobson</w:t>
      </w:r>
      <w:proofErr w:type="spellEnd"/>
      <w:r>
        <w:t xml:space="preserve"> (1991, p. 12), no domínio da intervenção psicoterapêutica, os critérios para a significância clínica devem incluir: uma grande percentagem de melhoria; um grau de mudança reconhecível pelas pessoas significativas; a eliminação do problema; níveis normativos de funcionamento; ou mudanças que reduzam o risco de outros problemas de saúde.</w:t>
      </w:r>
    </w:p>
  </w:endnote>
  <w:endnote w:id="17">
    <w:p w:rsidR="00080884" w:rsidRDefault="00080884" w:rsidP="00D9179F">
      <w:pPr>
        <w:pStyle w:val="TextodasnotasderodapA"/>
        <w:spacing w:line="192" w:lineRule="auto"/>
        <w:rPr>
          <w:rFonts w:ascii="Times New Roman" w:eastAsia="Times New Roman" w:hAnsi="Times New Roman"/>
          <w:color w:val="auto"/>
          <w:sz w:val="20"/>
          <w:vertAlign w:val="baseline"/>
        </w:rPr>
      </w:pPr>
      <w:r>
        <w:endnoteRef/>
      </w:r>
      <w:r>
        <w:t xml:space="preserve"> Assume-se que 20% do grupo de comparação tenha “resultados favoráveis”, melhorando acima de um ponto de corte definido.</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venir Black">
    <w:charset w:val="00"/>
    <w:family w:val="auto"/>
    <w:pitch w:val="variable"/>
    <w:sig w:usb0="800000AF" w:usb1="5000204A" w:usb2="00000000" w:usb3="00000000" w:csb0="0000009B" w:csb1="00000000"/>
  </w:font>
  <w:font w:name="Shruti">
    <w:panose1 w:val="020B0502040204020203"/>
    <w:charset w:val="00"/>
    <w:family w:val="swiss"/>
    <w:pitch w:val="variable"/>
    <w:sig w:usb0="0004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Candara Bold">
    <w:panose1 w:val="020E0702030303020204"/>
    <w:charset w:val="00"/>
    <w:family w:val="auto"/>
    <w:pitch w:val="variable"/>
    <w:sig w:usb0="A00002EF" w:usb1="4000A44B" w:usb2="00000000" w:usb3="00000000" w:csb0="00000001" w:csb1="00000000"/>
  </w:font>
  <w:font w:name="Avenir Book">
    <w:altName w:val="Corbel"/>
    <w:charset w:val="00"/>
    <w:family w:val="auto"/>
    <w:pitch w:val="variable"/>
    <w:sig w:usb0="00000001" w:usb1="5000204A" w:usb2="00000000" w:usb3="00000000" w:csb0="0000009B" w:csb1="00000000"/>
  </w:font>
  <w:font w:name="Candara Italic">
    <w:panose1 w:val="020E0502030303090204"/>
    <w:charset w:val="00"/>
    <w:family w:val="auto"/>
    <w:pitch w:val="variable"/>
    <w:sig w:usb0="A00002EF" w:usb1="4000A44B" w:usb2="00000000" w:usb3="00000000" w:csb0="0000019F" w:csb1="00000000"/>
  </w:font>
  <w:font w:name="Candara Bold Italic">
    <w:panose1 w:val="020E070203030309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7538"/>
      <w:docPartObj>
        <w:docPartGallery w:val="Page Numbers (Bottom of Page)"/>
        <w:docPartUnique/>
      </w:docPartObj>
    </w:sdtPr>
    <w:sdtContent>
      <w:p w:rsidR="00080884" w:rsidRDefault="00E333CB">
        <w:pPr>
          <w:pStyle w:val="Rodap"/>
          <w:jc w:val="center"/>
        </w:pPr>
        <w:r w:rsidRPr="00C16B1E">
          <w:rPr>
            <w:color w:val="595959" w:themeColor="text1" w:themeTint="A6"/>
            <w:sz w:val="18"/>
          </w:rPr>
          <w:fldChar w:fldCharType="begin"/>
        </w:r>
        <w:r w:rsidR="00080884" w:rsidRPr="00C16B1E">
          <w:rPr>
            <w:color w:val="595959" w:themeColor="text1" w:themeTint="A6"/>
            <w:sz w:val="18"/>
          </w:rPr>
          <w:instrText xml:space="preserve"> PAGE   \* MERGEFORMAT </w:instrText>
        </w:r>
        <w:r w:rsidRPr="00C16B1E">
          <w:rPr>
            <w:color w:val="595959" w:themeColor="text1" w:themeTint="A6"/>
            <w:sz w:val="18"/>
          </w:rPr>
          <w:fldChar w:fldCharType="separate"/>
        </w:r>
        <w:r w:rsidR="00894C04">
          <w:rPr>
            <w:noProof/>
            <w:color w:val="595959" w:themeColor="text1" w:themeTint="A6"/>
            <w:sz w:val="18"/>
          </w:rPr>
          <w:t>16</w:t>
        </w:r>
        <w:r w:rsidRPr="00C16B1E">
          <w:rPr>
            <w:color w:val="595959" w:themeColor="text1" w:themeTint="A6"/>
            <w:sz w:val="18"/>
          </w:rPr>
          <w:fldChar w:fldCharType="end"/>
        </w:r>
      </w:p>
    </w:sdtContent>
  </w:sdt>
  <w:p w:rsidR="00080884" w:rsidRDefault="000808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7543"/>
      <w:docPartObj>
        <w:docPartGallery w:val="Page Numbers (Bottom of Page)"/>
        <w:docPartUnique/>
      </w:docPartObj>
    </w:sdtPr>
    <w:sdtContent>
      <w:p w:rsidR="00080884" w:rsidRDefault="00E333CB">
        <w:pPr>
          <w:pStyle w:val="Rodap"/>
          <w:jc w:val="center"/>
        </w:pPr>
        <w:r w:rsidRPr="00C16B1E">
          <w:rPr>
            <w:color w:val="595959" w:themeColor="text1" w:themeTint="A6"/>
            <w:sz w:val="18"/>
          </w:rPr>
          <w:fldChar w:fldCharType="begin"/>
        </w:r>
        <w:r w:rsidR="00080884" w:rsidRPr="00C16B1E">
          <w:rPr>
            <w:color w:val="595959" w:themeColor="text1" w:themeTint="A6"/>
            <w:sz w:val="18"/>
          </w:rPr>
          <w:instrText xml:space="preserve"> PAGE   \* MERGEFORMAT </w:instrText>
        </w:r>
        <w:r w:rsidRPr="00C16B1E">
          <w:rPr>
            <w:color w:val="595959" w:themeColor="text1" w:themeTint="A6"/>
            <w:sz w:val="18"/>
          </w:rPr>
          <w:fldChar w:fldCharType="separate"/>
        </w:r>
        <w:r w:rsidR="00894C04">
          <w:rPr>
            <w:noProof/>
            <w:color w:val="595959" w:themeColor="text1" w:themeTint="A6"/>
            <w:sz w:val="18"/>
          </w:rPr>
          <w:t>15</w:t>
        </w:r>
        <w:r w:rsidRPr="00C16B1E">
          <w:rPr>
            <w:color w:val="595959" w:themeColor="text1" w:themeTint="A6"/>
            <w:sz w:val="18"/>
          </w:rPr>
          <w:fldChar w:fldCharType="end"/>
        </w:r>
      </w:p>
    </w:sdtContent>
  </w:sdt>
  <w:p w:rsidR="00080884" w:rsidRPr="00CD1E23" w:rsidRDefault="00080884" w:rsidP="00132C89">
    <w:pPr>
      <w:autoSpaceDE w:val="0"/>
      <w:autoSpaceDN w:val="0"/>
      <w:adjustRightInd w:val="0"/>
      <w:spacing w:after="0" w:line="240" w:lineRule="auto"/>
      <w:rPr>
        <w:rFonts w:ascii="Shruti" w:hAnsi="Shruti" w:cs="Shruti"/>
        <w:color w:val="404040" w:themeColor="text1" w:themeTint="BF"/>
        <w:sz w:val="14"/>
        <w:szCs w:val="14"/>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25" w:rsidRDefault="00805B2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1EA" w:rsidRDefault="00F071EA" w:rsidP="00830380">
      <w:pPr>
        <w:spacing w:after="0" w:line="240" w:lineRule="auto"/>
      </w:pPr>
      <w:r>
        <w:separator/>
      </w:r>
    </w:p>
  </w:footnote>
  <w:footnote w:type="continuationSeparator" w:id="0">
    <w:p w:rsidR="00F071EA" w:rsidRDefault="00F071EA" w:rsidP="00830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884" w:rsidRPr="00FC13CF" w:rsidRDefault="00080884" w:rsidP="00BD6CAF">
    <w:pPr>
      <w:pStyle w:val="Formalivre"/>
      <w:jc w:val="right"/>
      <w:rPr>
        <w:rFonts w:ascii="Candara" w:hAnsi="Candara"/>
        <w:color w:val="595959" w:themeColor="text1" w:themeTint="A6"/>
        <w:sz w:val="14"/>
      </w:rPr>
    </w:pPr>
    <w:r w:rsidRPr="00FC13CF">
      <w:rPr>
        <w:rFonts w:ascii="Candara" w:hAnsi="Candara"/>
        <w:color w:val="595959" w:themeColor="text1" w:themeTint="A6"/>
        <w:sz w:val="14"/>
      </w:rPr>
      <w:t>Calcular e apresentar tamanhos do efeito em trabalhos científicos</w:t>
    </w:r>
  </w:p>
  <w:p w:rsidR="00080884" w:rsidRPr="008951A9" w:rsidRDefault="00080884" w:rsidP="000A35B7">
    <w:pPr>
      <w:autoSpaceDE w:val="0"/>
      <w:autoSpaceDN w:val="0"/>
      <w:adjustRightInd w:val="0"/>
      <w:spacing w:after="0" w:line="240" w:lineRule="auto"/>
      <w:jc w:val="right"/>
      <w:rPr>
        <w:rFonts w:ascii="Candara" w:eastAsia="ヒラギノ角ゴ Pro W3" w:hAnsi="Candara" w:cs="Times New Roman"/>
        <w:color w:val="595959" w:themeColor="text1" w:themeTint="A6"/>
        <w:sz w:val="14"/>
        <w:szCs w:val="20"/>
        <w:lang w:eastAsia="en-US"/>
      </w:rPr>
    </w:pPr>
    <w:r w:rsidRPr="00FC13CF">
      <w:rPr>
        <w:rFonts w:ascii="Candara" w:hAnsi="Candara"/>
        <w:color w:val="595959" w:themeColor="text1" w:themeTint="A6"/>
        <w:sz w:val="14"/>
      </w:rPr>
      <w:t>Espírito-Santo, H. &amp; Daniel, F.</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884" w:rsidRPr="00106682" w:rsidRDefault="00080884" w:rsidP="00734A61">
    <w:pPr>
      <w:spacing w:after="0" w:line="240" w:lineRule="auto"/>
      <w:jc w:val="right"/>
      <w:rPr>
        <w:rFonts w:ascii="Candara" w:hAnsi="Candara" w:cs="Shruti"/>
        <w:color w:val="595959" w:themeColor="text1" w:themeTint="A6"/>
        <w:sz w:val="14"/>
        <w:szCs w:val="14"/>
      </w:rPr>
    </w:pPr>
    <w:r w:rsidRPr="00106682">
      <w:rPr>
        <w:rFonts w:ascii="Candara" w:hAnsi="Candara" w:cs="Shruti"/>
        <w:color w:val="595959" w:themeColor="text1" w:themeTint="A6"/>
        <w:sz w:val="14"/>
        <w:szCs w:val="14"/>
      </w:rPr>
      <w:t>Revista Portuguesa de Investigação</w:t>
    </w:r>
    <w:r>
      <w:rPr>
        <w:rFonts w:ascii="Candara" w:hAnsi="Candara" w:cs="Shruti"/>
        <w:color w:val="595959" w:themeColor="text1" w:themeTint="A6"/>
        <w:sz w:val="14"/>
        <w:szCs w:val="14"/>
      </w:rPr>
      <w:t xml:space="preserve"> Comportamental e </w:t>
    </w:r>
    <w:proofErr w:type="gramStart"/>
    <w:r>
      <w:rPr>
        <w:rFonts w:ascii="Candara" w:hAnsi="Candara" w:cs="Shruti"/>
        <w:color w:val="595959" w:themeColor="text1" w:themeTint="A6"/>
        <w:sz w:val="14"/>
        <w:szCs w:val="14"/>
      </w:rPr>
      <w:t>Social   2015</w:t>
    </w:r>
    <w:proofErr w:type="gramEnd"/>
    <w:r>
      <w:rPr>
        <w:rFonts w:ascii="Candara" w:hAnsi="Candara" w:cs="Shruti"/>
        <w:color w:val="595959" w:themeColor="text1" w:themeTint="A6"/>
        <w:sz w:val="14"/>
        <w:szCs w:val="14"/>
      </w:rPr>
      <w:t>, Vol. 1 (1)</w:t>
    </w:r>
    <w:r w:rsidRPr="00106682">
      <w:rPr>
        <w:rFonts w:ascii="Candara" w:hAnsi="Candara" w:cs="Shruti"/>
        <w:color w:val="595959" w:themeColor="text1" w:themeTint="A6"/>
        <w:sz w:val="14"/>
        <w:szCs w:val="14"/>
      </w:rPr>
      <w:t xml:space="preserve">: </w:t>
    </w:r>
    <w:r>
      <w:rPr>
        <w:rFonts w:ascii="Candara" w:hAnsi="Candara" w:cs="Shruti"/>
        <w:color w:val="595959" w:themeColor="text1" w:themeTint="A6"/>
        <w:sz w:val="14"/>
        <w:szCs w:val="14"/>
      </w:rPr>
      <w:t>3-16</w:t>
    </w:r>
  </w:p>
  <w:p w:rsidR="00080884" w:rsidRPr="00734A61" w:rsidRDefault="00080884" w:rsidP="00734A61">
    <w:pPr>
      <w:spacing w:after="120" w:line="240" w:lineRule="auto"/>
      <w:jc w:val="right"/>
      <w:rPr>
        <w:rFonts w:ascii="Candara" w:hAnsi="Candara" w:cs="Shruti"/>
        <w:color w:val="595959" w:themeColor="text1" w:themeTint="A6"/>
        <w:sz w:val="14"/>
        <w:szCs w:val="14"/>
        <w:lang w:val="en-US"/>
      </w:rPr>
    </w:pPr>
    <w:r w:rsidRPr="00A46F5A">
      <w:rPr>
        <w:rFonts w:ascii="Candara" w:hAnsi="Candara" w:cs="Shruti"/>
        <w:color w:val="595959" w:themeColor="text1" w:themeTint="A6"/>
        <w:sz w:val="14"/>
        <w:szCs w:val="14"/>
        <w:lang w:val="en-US"/>
      </w:rPr>
      <w:t>Portuguese Journal of Behavioral and Social Research</w:t>
    </w:r>
    <w:r>
      <w:rPr>
        <w:rFonts w:ascii="Candara" w:hAnsi="Candara" w:cs="Shruti"/>
        <w:color w:val="595959" w:themeColor="text1" w:themeTint="A6"/>
        <w:sz w:val="14"/>
        <w:szCs w:val="14"/>
        <w:lang w:val="en-US"/>
      </w:rPr>
      <w:t xml:space="preserve">  </w:t>
    </w:r>
    <w:r w:rsidRPr="00A46F5A">
      <w:rPr>
        <w:rFonts w:ascii="Candara" w:hAnsi="Candara" w:cs="Shruti"/>
        <w:color w:val="595959" w:themeColor="text1" w:themeTint="A6"/>
        <w:sz w:val="14"/>
        <w:szCs w:val="14"/>
        <w:lang w:val="en-US"/>
      </w:rPr>
      <w:t xml:space="preserve"> 2015, Vol. 1</w:t>
    </w:r>
    <w:r w:rsidR="00805B25">
      <w:rPr>
        <w:rFonts w:ascii="Candara" w:hAnsi="Candara" w:cs="Shruti"/>
        <w:color w:val="595959" w:themeColor="text1" w:themeTint="A6"/>
        <w:sz w:val="14"/>
        <w:szCs w:val="14"/>
        <w:lang w:val="en-US"/>
      </w:rPr>
      <w:t xml:space="preserve"> </w:t>
    </w:r>
    <w:r w:rsidRPr="00A46F5A">
      <w:rPr>
        <w:rFonts w:ascii="Candara" w:hAnsi="Candara" w:cs="Shruti"/>
        <w:color w:val="595959" w:themeColor="text1" w:themeTint="A6"/>
        <w:sz w:val="14"/>
        <w:szCs w:val="14"/>
        <w:lang w:val="en-US"/>
      </w:rPr>
      <w:t xml:space="preserve">(1): </w:t>
    </w:r>
    <w:r>
      <w:rPr>
        <w:rFonts w:ascii="Candara" w:hAnsi="Candara" w:cs="Shruti"/>
        <w:color w:val="595959" w:themeColor="text1" w:themeTint="A6"/>
        <w:sz w:val="14"/>
        <w:szCs w:val="14"/>
        <w:lang w:val="en-US"/>
      </w:rPr>
      <w:t>3-16</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25" w:rsidRDefault="00805B2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5BC0C04"/>
    <w:lvl w:ilvl="0">
      <w:start w:val="1"/>
      <w:numFmt w:val="decimal"/>
      <w:isLgl/>
      <w:lvlText w:val="%1."/>
      <w:lvlJc w:val="left"/>
      <w:pPr>
        <w:tabs>
          <w:tab w:val="num" w:pos="378"/>
        </w:tabs>
        <w:ind w:left="378" w:firstLine="0"/>
      </w:pPr>
      <w:rPr>
        <w:rFonts w:hint="default"/>
        <w:color w:val="000000"/>
        <w:position w:val="0"/>
        <w:sz w:val="18"/>
      </w:rPr>
    </w:lvl>
    <w:lvl w:ilvl="1">
      <w:start w:val="1"/>
      <w:numFmt w:val="bullet"/>
      <w:suff w:val="nothing"/>
      <w:lvlText w:val=""/>
      <w:lvlJc w:val="left"/>
      <w:pPr>
        <w:ind w:left="0" w:firstLine="960"/>
      </w:pPr>
      <w:rPr>
        <w:rFonts w:hint="default"/>
        <w:color w:val="000000"/>
        <w:position w:val="0"/>
        <w:sz w:val="24"/>
      </w:rPr>
    </w:lvl>
    <w:lvl w:ilvl="2">
      <w:start w:val="1"/>
      <w:numFmt w:val="bullet"/>
      <w:suff w:val="nothing"/>
      <w:lvlText w:val=""/>
      <w:lvlJc w:val="left"/>
      <w:pPr>
        <w:ind w:left="0" w:firstLine="1920"/>
      </w:pPr>
      <w:rPr>
        <w:rFont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
      <w:lvlJc w:val="left"/>
      <w:pPr>
        <w:ind w:left="0" w:firstLine="3840"/>
      </w:pPr>
      <w:rPr>
        <w:rFonts w:hint="default"/>
        <w:color w:val="000000"/>
        <w:position w:val="0"/>
        <w:sz w:val="24"/>
      </w:rPr>
    </w:lvl>
    <w:lvl w:ilvl="5">
      <w:start w:val="1"/>
      <w:numFmt w:val="bullet"/>
      <w:suff w:val="nothing"/>
      <w:lvlText w:val=""/>
      <w:lvlJc w:val="left"/>
      <w:pPr>
        <w:ind w:left="0" w:firstLine="4800"/>
      </w:pPr>
      <w:rPr>
        <w:rFonts w:hint="default"/>
        <w:color w:val="000000"/>
        <w:position w:val="0"/>
        <w:sz w:val="24"/>
      </w:rPr>
    </w:lvl>
    <w:lvl w:ilvl="6">
      <w:start w:val="1"/>
      <w:numFmt w:val="bullet"/>
      <w:suff w:val="nothing"/>
      <w:lvlText w:val=""/>
      <w:lvlJc w:val="left"/>
      <w:pPr>
        <w:ind w:left="0" w:firstLine="5760"/>
      </w:pPr>
      <w:rPr>
        <w:rFonts w:hint="default"/>
        <w:color w:val="000000"/>
        <w:position w:val="0"/>
        <w:sz w:val="24"/>
      </w:rPr>
    </w:lvl>
    <w:lvl w:ilvl="7">
      <w:start w:val="1"/>
      <w:numFmt w:val="bullet"/>
      <w:suff w:val="nothing"/>
      <w:lvlText w:val=""/>
      <w:lvlJc w:val="left"/>
      <w:pPr>
        <w:ind w:left="0" w:firstLine="6720"/>
      </w:pPr>
      <w:rPr>
        <w:rFonts w:hint="default"/>
        <w:color w:val="000000"/>
        <w:position w:val="0"/>
        <w:sz w:val="24"/>
      </w:rPr>
    </w:lvl>
    <w:lvl w:ilvl="8">
      <w:start w:val="1"/>
      <w:numFmt w:val="bullet"/>
      <w:suff w:val="nothing"/>
      <w:lvlText w:val=""/>
      <w:lvlJc w:val="left"/>
      <w:pPr>
        <w:ind w:left="0" w:firstLine="7680"/>
      </w:pPr>
      <w:rPr>
        <w:rFonts w:hint="default"/>
        <w:color w:val="000000"/>
        <w:position w:val="0"/>
        <w:sz w:val="24"/>
      </w:rPr>
    </w:lvl>
  </w:abstractNum>
  <w:abstractNum w:abstractNumId="1">
    <w:nsid w:val="00000002"/>
    <w:multiLevelType w:val="multilevel"/>
    <w:tmpl w:val="C84812C4"/>
    <w:lvl w:ilvl="0">
      <w:start w:val="1"/>
      <w:numFmt w:val="decimal"/>
      <w:isLgl/>
      <w:suff w:val="nothing"/>
      <w:lvlText w:val="%1."/>
      <w:lvlJc w:val="left"/>
      <w:pPr>
        <w:ind w:left="0" w:firstLine="378"/>
      </w:pPr>
      <w:rPr>
        <w:rFonts w:hint="default"/>
        <w:color w:val="000000"/>
        <w:position w:val="0"/>
        <w:sz w:val="24"/>
      </w:rPr>
    </w:lvl>
    <w:lvl w:ilvl="1">
      <w:start w:val="1"/>
      <w:numFmt w:val="lowerLetter"/>
      <w:lvlText w:val="%2."/>
      <w:lvlJc w:val="left"/>
      <w:pPr>
        <w:tabs>
          <w:tab w:val="num" w:pos="378"/>
        </w:tabs>
        <w:ind w:left="378" w:firstLine="283"/>
      </w:pPr>
      <w:rPr>
        <w:rFonts w:hint="default"/>
        <w:color w:val="000000"/>
        <w:position w:val="0"/>
        <w:sz w:val="18"/>
      </w:rPr>
    </w:lvl>
    <w:lvl w:ilvl="2">
      <w:start w:val="1"/>
      <w:numFmt w:val="bullet"/>
      <w:suff w:val="nothing"/>
      <w:lvlText w:val=""/>
      <w:lvlJc w:val="left"/>
      <w:pPr>
        <w:ind w:left="0" w:firstLine="1920"/>
      </w:pPr>
      <w:rPr>
        <w:rFont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
      <w:lvlJc w:val="left"/>
      <w:pPr>
        <w:ind w:left="0" w:firstLine="3840"/>
      </w:pPr>
      <w:rPr>
        <w:rFonts w:hint="default"/>
        <w:color w:val="000000"/>
        <w:position w:val="0"/>
        <w:sz w:val="24"/>
      </w:rPr>
    </w:lvl>
    <w:lvl w:ilvl="5">
      <w:start w:val="1"/>
      <w:numFmt w:val="bullet"/>
      <w:suff w:val="nothing"/>
      <w:lvlText w:val=""/>
      <w:lvlJc w:val="left"/>
      <w:pPr>
        <w:ind w:left="0" w:firstLine="4800"/>
      </w:pPr>
      <w:rPr>
        <w:rFonts w:hint="default"/>
        <w:color w:val="000000"/>
        <w:position w:val="0"/>
        <w:sz w:val="24"/>
      </w:rPr>
    </w:lvl>
    <w:lvl w:ilvl="6">
      <w:start w:val="1"/>
      <w:numFmt w:val="bullet"/>
      <w:suff w:val="nothing"/>
      <w:lvlText w:val=""/>
      <w:lvlJc w:val="left"/>
      <w:pPr>
        <w:ind w:left="0" w:firstLine="5760"/>
      </w:pPr>
      <w:rPr>
        <w:rFonts w:hint="default"/>
        <w:color w:val="000000"/>
        <w:position w:val="0"/>
        <w:sz w:val="24"/>
      </w:rPr>
    </w:lvl>
    <w:lvl w:ilvl="7">
      <w:start w:val="1"/>
      <w:numFmt w:val="bullet"/>
      <w:suff w:val="nothing"/>
      <w:lvlText w:val=""/>
      <w:lvlJc w:val="left"/>
      <w:pPr>
        <w:ind w:left="0" w:firstLine="6720"/>
      </w:pPr>
      <w:rPr>
        <w:rFonts w:hint="default"/>
        <w:color w:val="000000"/>
        <w:position w:val="0"/>
        <w:sz w:val="24"/>
      </w:rPr>
    </w:lvl>
    <w:lvl w:ilvl="8">
      <w:start w:val="1"/>
      <w:numFmt w:val="bullet"/>
      <w:suff w:val="nothing"/>
      <w:lvlText w:val=""/>
      <w:lvlJc w:val="left"/>
      <w:pPr>
        <w:ind w:left="0" w:firstLine="7680"/>
      </w:pPr>
      <w:rPr>
        <w:rFonts w:hint="default"/>
        <w:color w:val="000000"/>
        <w:position w:val="0"/>
        <w:sz w:val="24"/>
      </w:rPr>
    </w:lvl>
  </w:abstractNum>
  <w:abstractNum w:abstractNumId="2">
    <w:nsid w:val="00000003"/>
    <w:multiLevelType w:val="multilevel"/>
    <w:tmpl w:val="1786C72E"/>
    <w:lvl w:ilvl="0">
      <w:start w:val="8"/>
      <w:numFmt w:val="decimal"/>
      <w:isLgl/>
      <w:lvlText w:val="%1."/>
      <w:lvlJc w:val="left"/>
      <w:pPr>
        <w:tabs>
          <w:tab w:val="num" w:pos="378"/>
        </w:tabs>
        <w:ind w:left="378" w:firstLine="0"/>
      </w:pPr>
      <w:rPr>
        <w:rFonts w:hint="default"/>
        <w:color w:val="000000"/>
        <w:position w:val="0"/>
        <w:sz w:val="18"/>
        <w:lang w:val="en-US"/>
      </w:rPr>
    </w:lvl>
    <w:lvl w:ilvl="1">
      <w:start w:val="1"/>
      <w:numFmt w:val="lowerLetter"/>
      <w:suff w:val="nothing"/>
      <w:lvlText w:val="%2."/>
      <w:lvlJc w:val="left"/>
      <w:pPr>
        <w:ind w:left="0" w:firstLine="661"/>
      </w:pPr>
      <w:rPr>
        <w:rFonts w:hint="default"/>
        <w:color w:val="000000"/>
        <w:position w:val="0"/>
        <w:sz w:val="24"/>
      </w:rPr>
    </w:lvl>
    <w:lvl w:ilvl="2">
      <w:start w:val="1"/>
      <w:numFmt w:val="bullet"/>
      <w:suff w:val="nothing"/>
      <w:lvlText w:val=""/>
      <w:lvlJc w:val="left"/>
      <w:pPr>
        <w:ind w:left="0" w:firstLine="1920"/>
      </w:pPr>
      <w:rPr>
        <w:rFont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
      <w:lvlJc w:val="left"/>
      <w:pPr>
        <w:ind w:left="0" w:firstLine="3840"/>
      </w:pPr>
      <w:rPr>
        <w:rFonts w:hint="default"/>
        <w:color w:val="000000"/>
        <w:position w:val="0"/>
        <w:sz w:val="24"/>
      </w:rPr>
    </w:lvl>
    <w:lvl w:ilvl="5">
      <w:start w:val="1"/>
      <w:numFmt w:val="bullet"/>
      <w:suff w:val="nothing"/>
      <w:lvlText w:val=""/>
      <w:lvlJc w:val="left"/>
      <w:pPr>
        <w:ind w:left="0" w:firstLine="4800"/>
      </w:pPr>
      <w:rPr>
        <w:rFonts w:hint="default"/>
        <w:color w:val="000000"/>
        <w:position w:val="0"/>
        <w:sz w:val="24"/>
      </w:rPr>
    </w:lvl>
    <w:lvl w:ilvl="6">
      <w:start w:val="1"/>
      <w:numFmt w:val="bullet"/>
      <w:suff w:val="nothing"/>
      <w:lvlText w:val=""/>
      <w:lvlJc w:val="left"/>
      <w:pPr>
        <w:ind w:left="0" w:firstLine="5760"/>
      </w:pPr>
      <w:rPr>
        <w:rFonts w:hint="default"/>
        <w:color w:val="000000"/>
        <w:position w:val="0"/>
        <w:sz w:val="24"/>
      </w:rPr>
    </w:lvl>
    <w:lvl w:ilvl="7">
      <w:start w:val="1"/>
      <w:numFmt w:val="bullet"/>
      <w:suff w:val="nothing"/>
      <w:lvlText w:val=""/>
      <w:lvlJc w:val="left"/>
      <w:pPr>
        <w:ind w:left="0" w:firstLine="6720"/>
      </w:pPr>
      <w:rPr>
        <w:rFonts w:hint="default"/>
        <w:color w:val="000000"/>
        <w:position w:val="0"/>
        <w:sz w:val="24"/>
      </w:rPr>
    </w:lvl>
    <w:lvl w:ilvl="8">
      <w:start w:val="1"/>
      <w:numFmt w:val="bullet"/>
      <w:suff w:val="nothing"/>
      <w:lvlText w:val=""/>
      <w:lvlJc w:val="left"/>
      <w:pPr>
        <w:ind w:left="0" w:firstLine="7680"/>
      </w:pPr>
      <w:rPr>
        <w:rFonts w:hint="default"/>
        <w:color w:val="000000"/>
        <w:position w:val="0"/>
        <w:sz w:val="24"/>
      </w:rPr>
    </w:lvl>
  </w:abstractNum>
  <w:abstractNum w:abstractNumId="3">
    <w:nsid w:val="00000004"/>
    <w:multiLevelType w:val="multilevel"/>
    <w:tmpl w:val="1548B892"/>
    <w:lvl w:ilvl="0">
      <w:start w:val="1"/>
      <w:numFmt w:val="decimal"/>
      <w:isLgl/>
      <w:suff w:val="nothing"/>
      <w:lvlText w:val="%1."/>
      <w:lvlJc w:val="left"/>
      <w:pPr>
        <w:ind w:left="0" w:firstLine="378"/>
      </w:pPr>
      <w:rPr>
        <w:rFonts w:hint="default"/>
        <w:color w:val="000000"/>
        <w:position w:val="0"/>
        <w:sz w:val="24"/>
      </w:rPr>
    </w:lvl>
    <w:lvl w:ilvl="1">
      <w:start w:val="1"/>
      <w:numFmt w:val="lowerLetter"/>
      <w:lvlText w:val="%2."/>
      <w:lvlJc w:val="left"/>
      <w:pPr>
        <w:tabs>
          <w:tab w:val="num" w:pos="378"/>
        </w:tabs>
        <w:ind w:left="378" w:firstLine="283"/>
      </w:pPr>
      <w:rPr>
        <w:rFonts w:hint="default"/>
        <w:color w:val="000000"/>
        <w:position w:val="0"/>
        <w:sz w:val="18"/>
      </w:rPr>
    </w:lvl>
    <w:lvl w:ilvl="2">
      <w:start w:val="1"/>
      <w:numFmt w:val="bullet"/>
      <w:suff w:val="nothing"/>
      <w:lvlText w:val=""/>
      <w:lvlJc w:val="left"/>
      <w:pPr>
        <w:ind w:left="0" w:firstLine="1920"/>
      </w:pPr>
      <w:rPr>
        <w:rFont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
      <w:lvlJc w:val="left"/>
      <w:pPr>
        <w:ind w:left="0" w:firstLine="3840"/>
      </w:pPr>
      <w:rPr>
        <w:rFonts w:hint="default"/>
        <w:color w:val="000000"/>
        <w:position w:val="0"/>
        <w:sz w:val="24"/>
      </w:rPr>
    </w:lvl>
    <w:lvl w:ilvl="5">
      <w:start w:val="1"/>
      <w:numFmt w:val="bullet"/>
      <w:suff w:val="nothing"/>
      <w:lvlText w:val=""/>
      <w:lvlJc w:val="left"/>
      <w:pPr>
        <w:ind w:left="0" w:firstLine="4800"/>
      </w:pPr>
      <w:rPr>
        <w:rFonts w:hint="default"/>
        <w:color w:val="000000"/>
        <w:position w:val="0"/>
        <w:sz w:val="24"/>
      </w:rPr>
    </w:lvl>
    <w:lvl w:ilvl="6">
      <w:start w:val="1"/>
      <w:numFmt w:val="bullet"/>
      <w:suff w:val="nothing"/>
      <w:lvlText w:val=""/>
      <w:lvlJc w:val="left"/>
      <w:pPr>
        <w:ind w:left="0" w:firstLine="5760"/>
      </w:pPr>
      <w:rPr>
        <w:rFonts w:hint="default"/>
        <w:color w:val="000000"/>
        <w:position w:val="0"/>
        <w:sz w:val="24"/>
      </w:rPr>
    </w:lvl>
    <w:lvl w:ilvl="7">
      <w:start w:val="1"/>
      <w:numFmt w:val="bullet"/>
      <w:suff w:val="nothing"/>
      <w:lvlText w:val=""/>
      <w:lvlJc w:val="left"/>
      <w:pPr>
        <w:ind w:left="0" w:firstLine="6720"/>
      </w:pPr>
      <w:rPr>
        <w:rFonts w:hint="default"/>
        <w:color w:val="000000"/>
        <w:position w:val="0"/>
        <w:sz w:val="24"/>
      </w:rPr>
    </w:lvl>
    <w:lvl w:ilvl="8">
      <w:start w:val="1"/>
      <w:numFmt w:val="bullet"/>
      <w:suff w:val="nothing"/>
      <w:lvlText w:val=""/>
      <w:lvlJc w:val="left"/>
      <w:pPr>
        <w:ind w:left="0" w:firstLine="7680"/>
      </w:pPr>
      <w:rPr>
        <w:rFonts w:hint="default"/>
        <w:color w:val="000000"/>
        <w:position w:val="0"/>
        <w:sz w:val="24"/>
      </w:rPr>
    </w:lvl>
  </w:abstractNum>
  <w:abstractNum w:abstractNumId="4">
    <w:nsid w:val="00000005"/>
    <w:multiLevelType w:val="multilevel"/>
    <w:tmpl w:val="59463A3E"/>
    <w:lvl w:ilvl="0">
      <w:start w:val="9"/>
      <w:numFmt w:val="decimal"/>
      <w:isLgl/>
      <w:lvlText w:val="%1."/>
      <w:lvlJc w:val="left"/>
      <w:pPr>
        <w:tabs>
          <w:tab w:val="num" w:pos="378"/>
        </w:tabs>
        <w:ind w:left="378" w:firstLine="0"/>
      </w:pPr>
      <w:rPr>
        <w:rFonts w:hint="default"/>
        <w:color w:val="000000"/>
        <w:position w:val="0"/>
        <w:sz w:val="18"/>
      </w:rPr>
    </w:lvl>
    <w:lvl w:ilvl="1">
      <w:start w:val="1"/>
      <w:numFmt w:val="lowerLetter"/>
      <w:suff w:val="nothing"/>
      <w:lvlText w:val="%2."/>
      <w:lvlJc w:val="left"/>
      <w:pPr>
        <w:ind w:left="0" w:firstLine="661"/>
      </w:pPr>
      <w:rPr>
        <w:rFonts w:hint="default"/>
        <w:color w:val="000000"/>
        <w:position w:val="0"/>
        <w:sz w:val="24"/>
      </w:rPr>
    </w:lvl>
    <w:lvl w:ilvl="2">
      <w:start w:val="1"/>
      <w:numFmt w:val="bullet"/>
      <w:suff w:val="nothing"/>
      <w:lvlText w:val=""/>
      <w:lvlJc w:val="left"/>
      <w:pPr>
        <w:ind w:left="0" w:firstLine="1920"/>
      </w:pPr>
      <w:rPr>
        <w:rFont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
      <w:lvlJc w:val="left"/>
      <w:pPr>
        <w:ind w:left="0" w:firstLine="3840"/>
      </w:pPr>
      <w:rPr>
        <w:rFonts w:hint="default"/>
        <w:color w:val="000000"/>
        <w:position w:val="0"/>
        <w:sz w:val="24"/>
      </w:rPr>
    </w:lvl>
    <w:lvl w:ilvl="5">
      <w:start w:val="1"/>
      <w:numFmt w:val="bullet"/>
      <w:suff w:val="nothing"/>
      <w:lvlText w:val=""/>
      <w:lvlJc w:val="left"/>
      <w:pPr>
        <w:ind w:left="0" w:firstLine="4800"/>
      </w:pPr>
      <w:rPr>
        <w:rFonts w:hint="default"/>
        <w:color w:val="000000"/>
        <w:position w:val="0"/>
        <w:sz w:val="24"/>
      </w:rPr>
    </w:lvl>
    <w:lvl w:ilvl="6">
      <w:start w:val="1"/>
      <w:numFmt w:val="bullet"/>
      <w:suff w:val="nothing"/>
      <w:lvlText w:val=""/>
      <w:lvlJc w:val="left"/>
      <w:pPr>
        <w:ind w:left="0" w:firstLine="5760"/>
      </w:pPr>
      <w:rPr>
        <w:rFonts w:hint="default"/>
        <w:color w:val="000000"/>
        <w:position w:val="0"/>
        <w:sz w:val="24"/>
      </w:rPr>
    </w:lvl>
    <w:lvl w:ilvl="7">
      <w:start w:val="1"/>
      <w:numFmt w:val="bullet"/>
      <w:suff w:val="nothing"/>
      <w:lvlText w:val=""/>
      <w:lvlJc w:val="left"/>
      <w:pPr>
        <w:ind w:left="0" w:firstLine="6720"/>
      </w:pPr>
      <w:rPr>
        <w:rFonts w:hint="default"/>
        <w:color w:val="000000"/>
        <w:position w:val="0"/>
        <w:sz w:val="24"/>
      </w:rPr>
    </w:lvl>
    <w:lvl w:ilvl="8">
      <w:start w:val="1"/>
      <w:numFmt w:val="bullet"/>
      <w:suff w:val="nothing"/>
      <w:lvlText w:val=""/>
      <w:lvlJc w:val="left"/>
      <w:pPr>
        <w:ind w:left="0" w:firstLine="7680"/>
      </w:pPr>
      <w:rPr>
        <w:rFonts w:hint="default"/>
        <w:color w:val="000000"/>
        <w:position w:val="0"/>
        <w:sz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CC172D"/>
    <w:rsid w:val="0000782B"/>
    <w:rsid w:val="000122BB"/>
    <w:rsid w:val="0001623D"/>
    <w:rsid w:val="00033CAA"/>
    <w:rsid w:val="00043891"/>
    <w:rsid w:val="000540C1"/>
    <w:rsid w:val="0006780E"/>
    <w:rsid w:val="00070200"/>
    <w:rsid w:val="000725EB"/>
    <w:rsid w:val="00074D77"/>
    <w:rsid w:val="00080884"/>
    <w:rsid w:val="00093A48"/>
    <w:rsid w:val="000A35B7"/>
    <w:rsid w:val="000A3665"/>
    <w:rsid w:val="000B01FA"/>
    <w:rsid w:val="000B158F"/>
    <w:rsid w:val="000C109B"/>
    <w:rsid w:val="000C238C"/>
    <w:rsid w:val="000D4FCF"/>
    <w:rsid w:val="000F25E7"/>
    <w:rsid w:val="000F514C"/>
    <w:rsid w:val="000F6E63"/>
    <w:rsid w:val="00103E2A"/>
    <w:rsid w:val="00104C2A"/>
    <w:rsid w:val="00106682"/>
    <w:rsid w:val="00116C28"/>
    <w:rsid w:val="00123EFA"/>
    <w:rsid w:val="00132C89"/>
    <w:rsid w:val="00136A1A"/>
    <w:rsid w:val="00141A18"/>
    <w:rsid w:val="00142FA9"/>
    <w:rsid w:val="00147945"/>
    <w:rsid w:val="00151867"/>
    <w:rsid w:val="00152A15"/>
    <w:rsid w:val="00166182"/>
    <w:rsid w:val="0017239A"/>
    <w:rsid w:val="00190F49"/>
    <w:rsid w:val="0019297E"/>
    <w:rsid w:val="00195EFD"/>
    <w:rsid w:val="0019685C"/>
    <w:rsid w:val="001A3626"/>
    <w:rsid w:val="001B1E3C"/>
    <w:rsid w:val="001B2B5F"/>
    <w:rsid w:val="001B31BA"/>
    <w:rsid w:val="001B5755"/>
    <w:rsid w:val="001B774F"/>
    <w:rsid w:val="001C668E"/>
    <w:rsid w:val="001D74C0"/>
    <w:rsid w:val="001E6D60"/>
    <w:rsid w:val="001F0D95"/>
    <w:rsid w:val="001F6956"/>
    <w:rsid w:val="00210A92"/>
    <w:rsid w:val="0021413C"/>
    <w:rsid w:val="00225170"/>
    <w:rsid w:val="00225E8C"/>
    <w:rsid w:val="002302ED"/>
    <w:rsid w:val="00275ACD"/>
    <w:rsid w:val="00283864"/>
    <w:rsid w:val="00296017"/>
    <w:rsid w:val="002A7240"/>
    <w:rsid w:val="002B1FC0"/>
    <w:rsid w:val="002C19CC"/>
    <w:rsid w:val="002C1C62"/>
    <w:rsid w:val="002C5848"/>
    <w:rsid w:val="002D295C"/>
    <w:rsid w:val="002D302A"/>
    <w:rsid w:val="002D55EE"/>
    <w:rsid w:val="002D61C6"/>
    <w:rsid w:val="002F4DFD"/>
    <w:rsid w:val="002F7441"/>
    <w:rsid w:val="00306B77"/>
    <w:rsid w:val="00332006"/>
    <w:rsid w:val="003410BA"/>
    <w:rsid w:val="003764DE"/>
    <w:rsid w:val="00391C1B"/>
    <w:rsid w:val="003A0690"/>
    <w:rsid w:val="003A456C"/>
    <w:rsid w:val="003B5859"/>
    <w:rsid w:val="003B7494"/>
    <w:rsid w:val="003D082D"/>
    <w:rsid w:val="003E388D"/>
    <w:rsid w:val="003F548E"/>
    <w:rsid w:val="0041448D"/>
    <w:rsid w:val="00415E74"/>
    <w:rsid w:val="00422CBB"/>
    <w:rsid w:val="00432573"/>
    <w:rsid w:val="00436631"/>
    <w:rsid w:val="00440411"/>
    <w:rsid w:val="00440523"/>
    <w:rsid w:val="00454081"/>
    <w:rsid w:val="0046115E"/>
    <w:rsid w:val="00466219"/>
    <w:rsid w:val="00483A1C"/>
    <w:rsid w:val="00485B1B"/>
    <w:rsid w:val="00494E85"/>
    <w:rsid w:val="004A1BC7"/>
    <w:rsid w:val="004B4BEA"/>
    <w:rsid w:val="004B5FAA"/>
    <w:rsid w:val="004B7E88"/>
    <w:rsid w:val="004C0162"/>
    <w:rsid w:val="004D39EF"/>
    <w:rsid w:val="004E4459"/>
    <w:rsid w:val="004E7205"/>
    <w:rsid w:val="004F16A4"/>
    <w:rsid w:val="004F6E74"/>
    <w:rsid w:val="004F7C1F"/>
    <w:rsid w:val="00511A01"/>
    <w:rsid w:val="00513B50"/>
    <w:rsid w:val="00517AF2"/>
    <w:rsid w:val="00522EC2"/>
    <w:rsid w:val="00527A00"/>
    <w:rsid w:val="0056225E"/>
    <w:rsid w:val="00565961"/>
    <w:rsid w:val="00566781"/>
    <w:rsid w:val="005671CD"/>
    <w:rsid w:val="00582D95"/>
    <w:rsid w:val="00584AE1"/>
    <w:rsid w:val="00594081"/>
    <w:rsid w:val="005964DA"/>
    <w:rsid w:val="005C14A7"/>
    <w:rsid w:val="005D238E"/>
    <w:rsid w:val="005D2835"/>
    <w:rsid w:val="005F51A5"/>
    <w:rsid w:val="006215A8"/>
    <w:rsid w:val="006409B0"/>
    <w:rsid w:val="00663488"/>
    <w:rsid w:val="00670024"/>
    <w:rsid w:val="00674BBF"/>
    <w:rsid w:val="0067759F"/>
    <w:rsid w:val="00691E52"/>
    <w:rsid w:val="00692D2E"/>
    <w:rsid w:val="00693099"/>
    <w:rsid w:val="0069498C"/>
    <w:rsid w:val="00697409"/>
    <w:rsid w:val="006A6D07"/>
    <w:rsid w:val="006C775B"/>
    <w:rsid w:val="006E5A41"/>
    <w:rsid w:val="006F2E3D"/>
    <w:rsid w:val="0070424C"/>
    <w:rsid w:val="00704432"/>
    <w:rsid w:val="00712D63"/>
    <w:rsid w:val="00715D76"/>
    <w:rsid w:val="00734A61"/>
    <w:rsid w:val="00740176"/>
    <w:rsid w:val="00744B59"/>
    <w:rsid w:val="00751D41"/>
    <w:rsid w:val="00753651"/>
    <w:rsid w:val="0078769A"/>
    <w:rsid w:val="007964BF"/>
    <w:rsid w:val="007A5DE4"/>
    <w:rsid w:val="007A7582"/>
    <w:rsid w:val="007B5009"/>
    <w:rsid w:val="007D5E5A"/>
    <w:rsid w:val="007D61D9"/>
    <w:rsid w:val="007E0E55"/>
    <w:rsid w:val="007E1054"/>
    <w:rsid w:val="007E2B41"/>
    <w:rsid w:val="007F0126"/>
    <w:rsid w:val="007F1487"/>
    <w:rsid w:val="007F3129"/>
    <w:rsid w:val="00803851"/>
    <w:rsid w:val="00805B25"/>
    <w:rsid w:val="008258FB"/>
    <w:rsid w:val="00830380"/>
    <w:rsid w:val="00830C8C"/>
    <w:rsid w:val="00835ABD"/>
    <w:rsid w:val="00842194"/>
    <w:rsid w:val="00852B81"/>
    <w:rsid w:val="0085694A"/>
    <w:rsid w:val="008601FD"/>
    <w:rsid w:val="00894C04"/>
    <w:rsid w:val="008951A9"/>
    <w:rsid w:val="008A6989"/>
    <w:rsid w:val="008B6EDB"/>
    <w:rsid w:val="008C1D53"/>
    <w:rsid w:val="008C3AE6"/>
    <w:rsid w:val="008C41BB"/>
    <w:rsid w:val="008C5588"/>
    <w:rsid w:val="008C630D"/>
    <w:rsid w:val="008D3642"/>
    <w:rsid w:val="008E7361"/>
    <w:rsid w:val="008F1718"/>
    <w:rsid w:val="008F60F4"/>
    <w:rsid w:val="008F6AA8"/>
    <w:rsid w:val="009044C9"/>
    <w:rsid w:val="009106C3"/>
    <w:rsid w:val="00914ED8"/>
    <w:rsid w:val="00925B6B"/>
    <w:rsid w:val="00931CD1"/>
    <w:rsid w:val="00940D53"/>
    <w:rsid w:val="00941AFD"/>
    <w:rsid w:val="00963E0C"/>
    <w:rsid w:val="0096752A"/>
    <w:rsid w:val="00973F0C"/>
    <w:rsid w:val="00974745"/>
    <w:rsid w:val="00975A94"/>
    <w:rsid w:val="009855C7"/>
    <w:rsid w:val="009871C3"/>
    <w:rsid w:val="00990221"/>
    <w:rsid w:val="009A0387"/>
    <w:rsid w:val="009A0786"/>
    <w:rsid w:val="009A0D74"/>
    <w:rsid w:val="009B08D4"/>
    <w:rsid w:val="009C3BFE"/>
    <w:rsid w:val="009C6935"/>
    <w:rsid w:val="009E1922"/>
    <w:rsid w:val="009E2B78"/>
    <w:rsid w:val="009F2EDB"/>
    <w:rsid w:val="009F40D7"/>
    <w:rsid w:val="00A0102F"/>
    <w:rsid w:val="00A03210"/>
    <w:rsid w:val="00A0343A"/>
    <w:rsid w:val="00A10BA1"/>
    <w:rsid w:val="00A1430A"/>
    <w:rsid w:val="00A16503"/>
    <w:rsid w:val="00A30225"/>
    <w:rsid w:val="00A33860"/>
    <w:rsid w:val="00A37508"/>
    <w:rsid w:val="00A46F5A"/>
    <w:rsid w:val="00A479A4"/>
    <w:rsid w:val="00A53741"/>
    <w:rsid w:val="00A5375C"/>
    <w:rsid w:val="00A60DF3"/>
    <w:rsid w:val="00A678FB"/>
    <w:rsid w:val="00A90ED3"/>
    <w:rsid w:val="00A919D4"/>
    <w:rsid w:val="00A939AF"/>
    <w:rsid w:val="00AA4AAB"/>
    <w:rsid w:val="00AA7206"/>
    <w:rsid w:val="00AB7788"/>
    <w:rsid w:val="00AB7CE9"/>
    <w:rsid w:val="00AC1A65"/>
    <w:rsid w:val="00AE0D64"/>
    <w:rsid w:val="00B000F2"/>
    <w:rsid w:val="00B137EC"/>
    <w:rsid w:val="00B2171A"/>
    <w:rsid w:val="00B276ED"/>
    <w:rsid w:val="00B27DD5"/>
    <w:rsid w:val="00B3122B"/>
    <w:rsid w:val="00B42B0E"/>
    <w:rsid w:val="00B66435"/>
    <w:rsid w:val="00B718AD"/>
    <w:rsid w:val="00B84512"/>
    <w:rsid w:val="00B858E7"/>
    <w:rsid w:val="00BD6CAF"/>
    <w:rsid w:val="00BE7B9C"/>
    <w:rsid w:val="00C12A0A"/>
    <w:rsid w:val="00C16B1E"/>
    <w:rsid w:val="00C22537"/>
    <w:rsid w:val="00C2519E"/>
    <w:rsid w:val="00C45944"/>
    <w:rsid w:val="00C53F91"/>
    <w:rsid w:val="00C57710"/>
    <w:rsid w:val="00C72FF7"/>
    <w:rsid w:val="00C84D72"/>
    <w:rsid w:val="00CB2F1A"/>
    <w:rsid w:val="00CC0C4E"/>
    <w:rsid w:val="00CC172D"/>
    <w:rsid w:val="00CC26EF"/>
    <w:rsid w:val="00CC4A96"/>
    <w:rsid w:val="00CD1E23"/>
    <w:rsid w:val="00CD2262"/>
    <w:rsid w:val="00CD3B4A"/>
    <w:rsid w:val="00CD5372"/>
    <w:rsid w:val="00CE0AFA"/>
    <w:rsid w:val="00CF3FEE"/>
    <w:rsid w:val="00D10C13"/>
    <w:rsid w:val="00D2014E"/>
    <w:rsid w:val="00D235FC"/>
    <w:rsid w:val="00D25FCF"/>
    <w:rsid w:val="00D3110E"/>
    <w:rsid w:val="00D32979"/>
    <w:rsid w:val="00D34456"/>
    <w:rsid w:val="00D45FC6"/>
    <w:rsid w:val="00D47D0B"/>
    <w:rsid w:val="00D47DB2"/>
    <w:rsid w:val="00D52673"/>
    <w:rsid w:val="00D74E86"/>
    <w:rsid w:val="00D9179F"/>
    <w:rsid w:val="00DA0DE1"/>
    <w:rsid w:val="00DA317C"/>
    <w:rsid w:val="00DB24CF"/>
    <w:rsid w:val="00DB5411"/>
    <w:rsid w:val="00DB6DE8"/>
    <w:rsid w:val="00DC40BB"/>
    <w:rsid w:val="00DE0C9E"/>
    <w:rsid w:val="00DE2EE5"/>
    <w:rsid w:val="00DF32E9"/>
    <w:rsid w:val="00DF5881"/>
    <w:rsid w:val="00E03420"/>
    <w:rsid w:val="00E333CB"/>
    <w:rsid w:val="00E337AA"/>
    <w:rsid w:val="00E34367"/>
    <w:rsid w:val="00E4266C"/>
    <w:rsid w:val="00E54D72"/>
    <w:rsid w:val="00E6653E"/>
    <w:rsid w:val="00E67A0D"/>
    <w:rsid w:val="00E75521"/>
    <w:rsid w:val="00E77E5C"/>
    <w:rsid w:val="00E86557"/>
    <w:rsid w:val="00E91667"/>
    <w:rsid w:val="00E91957"/>
    <w:rsid w:val="00EC39AF"/>
    <w:rsid w:val="00EE31CC"/>
    <w:rsid w:val="00EE3C39"/>
    <w:rsid w:val="00EE3ECA"/>
    <w:rsid w:val="00EF4528"/>
    <w:rsid w:val="00F06135"/>
    <w:rsid w:val="00F068F2"/>
    <w:rsid w:val="00F071EA"/>
    <w:rsid w:val="00F126C0"/>
    <w:rsid w:val="00F13E14"/>
    <w:rsid w:val="00F268C6"/>
    <w:rsid w:val="00F372E1"/>
    <w:rsid w:val="00F4077C"/>
    <w:rsid w:val="00F56D8B"/>
    <w:rsid w:val="00F63003"/>
    <w:rsid w:val="00F7332D"/>
    <w:rsid w:val="00F77D3D"/>
    <w:rsid w:val="00F8702A"/>
    <w:rsid w:val="00F90861"/>
    <w:rsid w:val="00F93ACE"/>
    <w:rsid w:val="00F93B13"/>
    <w:rsid w:val="00FA6973"/>
    <w:rsid w:val="00FE0933"/>
    <w:rsid w:val="00FE1AB2"/>
    <w:rsid w:val="00FE5B34"/>
    <w:rsid w:val="00FF427C"/>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A8"/>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EF4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83038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830380"/>
  </w:style>
  <w:style w:type="paragraph" w:styleId="Rodap">
    <w:name w:val="footer"/>
    <w:basedOn w:val="Normal"/>
    <w:link w:val="RodapCarcter"/>
    <w:uiPriority w:val="99"/>
    <w:unhideWhenUsed/>
    <w:rsid w:val="0083038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830380"/>
  </w:style>
  <w:style w:type="paragraph" w:customStyle="1" w:styleId="FormalivreA">
    <w:name w:val="Forma livre A"/>
    <w:rsid w:val="003A0690"/>
    <w:pPr>
      <w:spacing w:after="0" w:line="240" w:lineRule="auto"/>
    </w:pPr>
    <w:rPr>
      <w:rFonts w:ascii="Helvetica" w:eastAsia="ヒラギノ角ゴ Pro W3" w:hAnsi="Helvetica" w:cs="Times New Roman"/>
      <w:color w:val="000000"/>
      <w:sz w:val="24"/>
      <w:szCs w:val="20"/>
      <w:lang w:val="en-US"/>
    </w:rPr>
  </w:style>
  <w:style w:type="paragraph" w:customStyle="1" w:styleId="Formalivre">
    <w:name w:val="Forma livre"/>
    <w:rsid w:val="00415E74"/>
    <w:pPr>
      <w:spacing w:after="0" w:line="240" w:lineRule="auto"/>
    </w:pPr>
    <w:rPr>
      <w:rFonts w:ascii="Helvetica" w:eastAsia="ヒラギノ角ゴ Pro W3" w:hAnsi="Helvetica" w:cs="Times New Roman"/>
      <w:color w:val="000000"/>
      <w:sz w:val="24"/>
      <w:szCs w:val="20"/>
      <w:lang w:eastAsia="en-US"/>
    </w:rPr>
  </w:style>
  <w:style w:type="paragraph" w:styleId="PargrafodaLista">
    <w:name w:val="List Paragraph"/>
    <w:basedOn w:val="Normal"/>
    <w:uiPriority w:val="34"/>
    <w:qFormat/>
    <w:rsid w:val="00296017"/>
    <w:pPr>
      <w:ind w:left="720"/>
      <w:contextualSpacing/>
    </w:pPr>
  </w:style>
  <w:style w:type="character" w:styleId="Refdecomentrio">
    <w:name w:val="annotation reference"/>
    <w:basedOn w:val="Tipodeletrapredefinidodopargrafo"/>
    <w:uiPriority w:val="99"/>
    <w:semiHidden/>
    <w:unhideWhenUsed/>
    <w:rsid w:val="00DB5411"/>
    <w:rPr>
      <w:sz w:val="16"/>
      <w:szCs w:val="16"/>
    </w:rPr>
  </w:style>
  <w:style w:type="paragraph" w:styleId="Textodecomentrio">
    <w:name w:val="annotation text"/>
    <w:basedOn w:val="Normal"/>
    <w:link w:val="TextodecomentrioCarcter"/>
    <w:uiPriority w:val="99"/>
    <w:semiHidden/>
    <w:unhideWhenUsed/>
    <w:rsid w:val="00DB5411"/>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DB5411"/>
    <w:rPr>
      <w:sz w:val="20"/>
      <w:szCs w:val="20"/>
    </w:rPr>
  </w:style>
  <w:style w:type="paragraph" w:styleId="Assuntodecomentrio">
    <w:name w:val="annotation subject"/>
    <w:basedOn w:val="Textodecomentrio"/>
    <w:next w:val="Textodecomentrio"/>
    <w:link w:val="AssuntodecomentrioCarcter"/>
    <w:uiPriority w:val="99"/>
    <w:semiHidden/>
    <w:unhideWhenUsed/>
    <w:rsid w:val="00DB5411"/>
    <w:rPr>
      <w:b/>
      <w:bCs/>
    </w:rPr>
  </w:style>
  <w:style w:type="character" w:customStyle="1" w:styleId="AssuntodecomentrioCarcter">
    <w:name w:val="Assunto de comentário Carácter"/>
    <w:basedOn w:val="TextodecomentrioCarcter"/>
    <w:link w:val="Assuntodecomentrio"/>
    <w:uiPriority w:val="99"/>
    <w:semiHidden/>
    <w:rsid w:val="00DB5411"/>
    <w:rPr>
      <w:b/>
      <w:bCs/>
      <w:sz w:val="20"/>
      <w:szCs w:val="20"/>
    </w:rPr>
  </w:style>
  <w:style w:type="paragraph" w:styleId="Textodebalo">
    <w:name w:val="Balloon Text"/>
    <w:basedOn w:val="Normal"/>
    <w:link w:val="TextodebaloCarcter"/>
    <w:uiPriority w:val="99"/>
    <w:semiHidden/>
    <w:unhideWhenUsed/>
    <w:rsid w:val="00DB5411"/>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B5411"/>
    <w:rPr>
      <w:rFonts w:ascii="Tahoma" w:hAnsi="Tahoma" w:cs="Tahoma"/>
      <w:sz w:val="16"/>
      <w:szCs w:val="16"/>
    </w:rPr>
  </w:style>
  <w:style w:type="character" w:styleId="Hiperligao">
    <w:name w:val="Hyperlink"/>
    <w:basedOn w:val="Tipodeletrapredefinidodopargrafo"/>
    <w:uiPriority w:val="99"/>
    <w:unhideWhenUsed/>
    <w:rsid w:val="001B31BA"/>
    <w:rPr>
      <w:color w:val="0000FF" w:themeColor="hyperlink"/>
      <w:u w:val="single"/>
    </w:rPr>
  </w:style>
  <w:style w:type="character" w:customStyle="1" w:styleId="Unknown0">
    <w:name w:val="Unknown 0"/>
    <w:rsid w:val="002302ED"/>
    <w:rPr>
      <w:rFonts w:ascii="Lucida Grande" w:eastAsia="ヒラギノ角ゴ Pro W3" w:hAnsi="Lucida Grande"/>
      <w:b/>
      <w:i w:val="0"/>
      <w:caps w:val="0"/>
      <w:smallCaps w:val="0"/>
      <w:strike w:val="0"/>
      <w:dstrike w:val="0"/>
      <w:vanish w:val="0"/>
      <w:color w:val="000000"/>
      <w:spacing w:val="0"/>
      <w:kern w:val="0"/>
      <w:position w:val="0"/>
      <w:sz w:val="20"/>
      <w:vertAlign w:val="baseline"/>
    </w:rPr>
  </w:style>
  <w:style w:type="paragraph" w:customStyle="1" w:styleId="Ttulo2A">
    <w:name w:val="Título 2 A"/>
    <w:next w:val="CorpoA"/>
    <w:rsid w:val="002302ED"/>
    <w:pPr>
      <w:keepNext/>
      <w:spacing w:after="0" w:line="240" w:lineRule="auto"/>
      <w:outlineLvl w:val="1"/>
    </w:pPr>
    <w:rPr>
      <w:rFonts w:ascii="Helvetica" w:eastAsia="ヒラギノ角ゴ Pro W3" w:hAnsi="Helvetica" w:cs="Times New Roman"/>
      <w:b/>
      <w:color w:val="000000"/>
      <w:sz w:val="24"/>
      <w:szCs w:val="20"/>
    </w:rPr>
  </w:style>
  <w:style w:type="paragraph" w:customStyle="1" w:styleId="CorpoA">
    <w:name w:val="Corpo A"/>
    <w:rsid w:val="002302ED"/>
    <w:pPr>
      <w:spacing w:after="0" w:line="240" w:lineRule="auto"/>
    </w:pPr>
    <w:rPr>
      <w:rFonts w:ascii="Helvetica" w:eastAsia="ヒラギノ角ゴ Pro W3" w:hAnsi="Helvetica" w:cs="Times New Roman"/>
      <w:color w:val="000000"/>
      <w:sz w:val="24"/>
      <w:szCs w:val="20"/>
    </w:rPr>
  </w:style>
  <w:style w:type="paragraph" w:customStyle="1" w:styleId="Corpo">
    <w:name w:val="Corpo"/>
    <w:rsid w:val="00D45FC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emEspaamento1">
    <w:name w:val="Sem Espaçamento1"/>
    <w:uiPriority w:val="99"/>
    <w:rsid w:val="002C1C62"/>
    <w:pPr>
      <w:spacing w:after="0" w:line="240" w:lineRule="auto"/>
    </w:pPr>
    <w:rPr>
      <w:rFonts w:ascii="Times New Roman" w:eastAsia="Times New Roman" w:hAnsi="Times New Roman" w:cs="Times New Roman"/>
      <w:sz w:val="24"/>
      <w:szCs w:val="24"/>
      <w:lang w:eastAsia="en-US"/>
    </w:rPr>
  </w:style>
  <w:style w:type="paragraph" w:customStyle="1" w:styleId="PargrafodaLista1">
    <w:name w:val="Parágrafo da Lista1"/>
    <w:basedOn w:val="Normal"/>
    <w:uiPriority w:val="99"/>
    <w:rsid w:val="002C1C62"/>
    <w:pPr>
      <w:spacing w:after="0" w:line="240" w:lineRule="auto"/>
      <w:ind w:left="720"/>
      <w:contextualSpacing/>
    </w:pPr>
    <w:rPr>
      <w:rFonts w:ascii="Times New Roman" w:eastAsia="Calibri" w:hAnsi="Times New Roman" w:cs="Times New Roman"/>
      <w:sz w:val="24"/>
      <w:szCs w:val="24"/>
    </w:rPr>
  </w:style>
  <w:style w:type="paragraph" w:customStyle="1" w:styleId="Normal2">
    <w:name w:val="Normal2"/>
    <w:rsid w:val="002C1C62"/>
    <w:pPr>
      <w:widowControl w:val="0"/>
      <w:suppressAutoHyphens/>
      <w:autoSpaceDN w:val="0"/>
      <w:spacing w:after="0" w:line="100" w:lineRule="atLeast"/>
    </w:pPr>
    <w:rPr>
      <w:rFonts w:ascii="Times New Roman" w:eastAsia="SimSun" w:hAnsi="Times New Roman" w:cs="Mangal"/>
      <w:kern w:val="3"/>
      <w:sz w:val="24"/>
      <w:szCs w:val="24"/>
      <w:lang w:eastAsia="hi-IN" w:bidi="hi-IN"/>
    </w:rPr>
  </w:style>
  <w:style w:type="character" w:customStyle="1" w:styleId="reference-text">
    <w:name w:val="reference-text"/>
    <w:basedOn w:val="Tipodeletrapredefinidodopargrafo"/>
    <w:rsid w:val="00D10C13"/>
  </w:style>
  <w:style w:type="character" w:styleId="nfase">
    <w:name w:val="Emphasis"/>
    <w:basedOn w:val="Tipodeletrapredefinidodopargrafo"/>
    <w:uiPriority w:val="20"/>
    <w:qFormat/>
    <w:rsid w:val="00D10C13"/>
    <w:rPr>
      <w:i/>
      <w:iCs/>
    </w:rPr>
  </w:style>
  <w:style w:type="paragraph" w:styleId="Mapadodocumento">
    <w:name w:val="Document Map"/>
    <w:basedOn w:val="Normal"/>
    <w:link w:val="MapadodocumentoCarcter"/>
    <w:uiPriority w:val="99"/>
    <w:semiHidden/>
    <w:unhideWhenUsed/>
    <w:rsid w:val="00744B59"/>
    <w:pPr>
      <w:spacing w:after="0" w:line="240" w:lineRule="auto"/>
    </w:pPr>
    <w:rPr>
      <w:rFonts w:ascii="Tahoma" w:hAnsi="Tahoma" w:cs="Tahoma"/>
      <w:sz w:val="16"/>
      <w:szCs w:val="16"/>
    </w:rPr>
  </w:style>
  <w:style w:type="character" w:customStyle="1" w:styleId="MapadodocumentoCarcter">
    <w:name w:val="Mapa do documento Carácter"/>
    <w:basedOn w:val="Tipodeletrapredefinidodopargrafo"/>
    <w:link w:val="Mapadodocumento"/>
    <w:uiPriority w:val="99"/>
    <w:semiHidden/>
    <w:rsid w:val="00744B59"/>
    <w:rPr>
      <w:rFonts w:ascii="Tahoma" w:hAnsi="Tahoma" w:cs="Tahoma"/>
      <w:sz w:val="16"/>
      <w:szCs w:val="16"/>
    </w:rPr>
  </w:style>
  <w:style w:type="table" w:customStyle="1" w:styleId="Tabelacomgrelha1">
    <w:name w:val="Tabela com grelha1"/>
    <w:basedOn w:val="Tabelanormal"/>
    <w:next w:val="Tabelacomgrelha"/>
    <w:uiPriority w:val="59"/>
    <w:rsid w:val="001D74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dasnotasderodapA">
    <w:name w:val="Texto das notas de rodapé A"/>
    <w:rsid w:val="00566781"/>
    <w:pPr>
      <w:spacing w:after="0" w:line="240" w:lineRule="auto"/>
      <w:ind w:left="227" w:hanging="227"/>
      <w:jc w:val="both"/>
    </w:pPr>
    <w:rPr>
      <w:rFonts w:ascii="Candara" w:eastAsia="ヒラギノ角ゴ Pro W3" w:hAnsi="Candara" w:cs="Times New Roman"/>
      <w:color w:val="000000"/>
      <w:sz w:val="24"/>
      <w:szCs w:val="20"/>
      <w:vertAlign w:val="superscript"/>
    </w:rPr>
  </w:style>
  <w:style w:type="paragraph" w:customStyle="1" w:styleId="Ttulo1">
    <w:name w:val="Título1"/>
    <w:rsid w:val="00566781"/>
    <w:pPr>
      <w:spacing w:before="180" w:after="180" w:line="240" w:lineRule="auto"/>
      <w:jc w:val="center"/>
      <w:outlineLvl w:val="0"/>
    </w:pPr>
    <w:rPr>
      <w:rFonts w:ascii="Avenir Black" w:eastAsia="ヒラギノ角ゴ Pro W3" w:hAnsi="Avenir Black" w:cs="Times New Roman"/>
      <w:color w:val="000000"/>
      <w:sz w:val="28"/>
      <w:szCs w:val="20"/>
    </w:rPr>
  </w:style>
  <w:style w:type="paragraph" w:customStyle="1" w:styleId="Ttulo11">
    <w:name w:val="Título 11"/>
    <w:rsid w:val="00566781"/>
    <w:pPr>
      <w:spacing w:before="180" w:after="0" w:line="360" w:lineRule="auto"/>
      <w:jc w:val="both"/>
      <w:outlineLvl w:val="0"/>
    </w:pPr>
    <w:rPr>
      <w:rFonts w:ascii="Avenir Black" w:eastAsia="ヒラギノ角ゴ Pro W3" w:hAnsi="Avenir Black" w:cs="Times New Roman"/>
      <w:color w:val="000000"/>
      <w:sz w:val="26"/>
      <w:szCs w:val="20"/>
    </w:rPr>
  </w:style>
  <w:style w:type="character" w:customStyle="1" w:styleId="Unknown3">
    <w:name w:val="Unknown 3"/>
    <w:autoRedefine/>
    <w:rsid w:val="000D4FCF"/>
    <w:rPr>
      <w:rFonts w:ascii="Lucida Grande" w:eastAsia="ヒラギノ角ゴ Pro W3" w:hAnsi="Lucida Grande"/>
      <w:b/>
      <w:i w:val="0"/>
      <w:caps w:val="0"/>
      <w:smallCaps w:val="0"/>
      <w:strike w:val="0"/>
      <w:dstrike w:val="0"/>
      <w:vanish w:val="0"/>
      <w:color w:val="000000"/>
      <w:spacing w:val="0"/>
      <w:kern w:val="0"/>
      <w:position w:val="0"/>
      <w:sz w:val="20"/>
      <w:vertAlign w:val="baseline"/>
      <w:lang w:val="pt-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4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3038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30380"/>
  </w:style>
  <w:style w:type="paragraph" w:styleId="Footer">
    <w:name w:val="footer"/>
    <w:basedOn w:val="Normal"/>
    <w:link w:val="FooterChar"/>
    <w:uiPriority w:val="99"/>
    <w:unhideWhenUsed/>
    <w:rsid w:val="0083038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30380"/>
  </w:style>
  <w:style w:type="paragraph" w:customStyle="1" w:styleId="FormalivreA">
    <w:name w:val="Forma livre A"/>
    <w:rsid w:val="003A0690"/>
    <w:pPr>
      <w:spacing w:after="0" w:line="240" w:lineRule="auto"/>
    </w:pPr>
    <w:rPr>
      <w:rFonts w:ascii="Helvetica" w:eastAsia="ヒラギノ角ゴ Pro W3" w:hAnsi="Helvetica" w:cs="Times New Roman"/>
      <w:color w:val="000000"/>
      <w:sz w:val="24"/>
      <w:szCs w:val="20"/>
      <w:lang w:val="en-US"/>
    </w:rPr>
  </w:style>
  <w:style w:type="paragraph" w:customStyle="1" w:styleId="Formalivre">
    <w:name w:val="Forma livre"/>
    <w:rsid w:val="00415E74"/>
    <w:pPr>
      <w:spacing w:after="0" w:line="240" w:lineRule="auto"/>
    </w:pPr>
    <w:rPr>
      <w:rFonts w:ascii="Helvetica" w:eastAsia="ヒラギノ角ゴ Pro W3" w:hAnsi="Helvetica" w:cs="Times New Roman"/>
      <w:color w:val="000000"/>
      <w:sz w:val="24"/>
      <w:szCs w:val="20"/>
      <w:lang w:eastAsia="en-US"/>
    </w:rPr>
  </w:style>
  <w:style w:type="paragraph" w:styleId="ListParagraph">
    <w:name w:val="List Paragraph"/>
    <w:basedOn w:val="Normal"/>
    <w:uiPriority w:val="34"/>
    <w:qFormat/>
    <w:rsid w:val="00296017"/>
    <w:pPr>
      <w:ind w:left="720"/>
      <w:contextualSpacing/>
    </w:pPr>
  </w:style>
  <w:style w:type="character" w:styleId="CommentReference">
    <w:name w:val="annotation reference"/>
    <w:basedOn w:val="DefaultParagraphFont"/>
    <w:uiPriority w:val="99"/>
    <w:semiHidden/>
    <w:unhideWhenUsed/>
    <w:rsid w:val="00DB5411"/>
    <w:rPr>
      <w:sz w:val="16"/>
      <w:szCs w:val="16"/>
    </w:rPr>
  </w:style>
  <w:style w:type="paragraph" w:styleId="CommentText">
    <w:name w:val="annotation text"/>
    <w:basedOn w:val="Normal"/>
    <w:link w:val="CommentTextChar"/>
    <w:uiPriority w:val="99"/>
    <w:semiHidden/>
    <w:unhideWhenUsed/>
    <w:rsid w:val="00DB5411"/>
    <w:pPr>
      <w:spacing w:line="240" w:lineRule="auto"/>
    </w:pPr>
    <w:rPr>
      <w:sz w:val="20"/>
      <w:szCs w:val="20"/>
    </w:rPr>
  </w:style>
  <w:style w:type="character" w:customStyle="1" w:styleId="CommentTextChar">
    <w:name w:val="Comment Text Char"/>
    <w:basedOn w:val="DefaultParagraphFont"/>
    <w:link w:val="CommentText"/>
    <w:uiPriority w:val="99"/>
    <w:semiHidden/>
    <w:rsid w:val="00DB5411"/>
    <w:rPr>
      <w:sz w:val="20"/>
      <w:szCs w:val="20"/>
    </w:rPr>
  </w:style>
  <w:style w:type="paragraph" w:styleId="CommentSubject">
    <w:name w:val="annotation subject"/>
    <w:basedOn w:val="CommentText"/>
    <w:next w:val="CommentText"/>
    <w:link w:val="CommentSubjectChar"/>
    <w:uiPriority w:val="99"/>
    <w:semiHidden/>
    <w:unhideWhenUsed/>
    <w:rsid w:val="00DB5411"/>
    <w:rPr>
      <w:b/>
      <w:bCs/>
    </w:rPr>
  </w:style>
  <w:style w:type="character" w:customStyle="1" w:styleId="CommentSubjectChar">
    <w:name w:val="Comment Subject Char"/>
    <w:basedOn w:val="CommentTextChar"/>
    <w:link w:val="CommentSubject"/>
    <w:uiPriority w:val="99"/>
    <w:semiHidden/>
    <w:rsid w:val="00DB5411"/>
    <w:rPr>
      <w:b/>
      <w:bCs/>
      <w:sz w:val="20"/>
      <w:szCs w:val="20"/>
    </w:rPr>
  </w:style>
  <w:style w:type="paragraph" w:styleId="BalloonText">
    <w:name w:val="Balloon Text"/>
    <w:basedOn w:val="Normal"/>
    <w:link w:val="BalloonTextChar"/>
    <w:uiPriority w:val="99"/>
    <w:semiHidden/>
    <w:unhideWhenUsed/>
    <w:rsid w:val="00DB5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11"/>
    <w:rPr>
      <w:rFonts w:ascii="Tahoma" w:hAnsi="Tahoma" w:cs="Tahoma"/>
      <w:sz w:val="16"/>
      <w:szCs w:val="16"/>
    </w:rPr>
  </w:style>
  <w:style w:type="character" w:styleId="Hyperlink">
    <w:name w:val="Hyperlink"/>
    <w:basedOn w:val="DefaultParagraphFont"/>
    <w:uiPriority w:val="99"/>
    <w:unhideWhenUsed/>
    <w:rsid w:val="001B31BA"/>
    <w:rPr>
      <w:color w:val="0000FF" w:themeColor="hyperlink"/>
      <w:u w:val="single"/>
    </w:rPr>
  </w:style>
  <w:style w:type="character" w:customStyle="1" w:styleId="Unknown0">
    <w:name w:val="Unknown 0"/>
    <w:rsid w:val="002302ED"/>
    <w:rPr>
      <w:rFonts w:ascii="Lucida Grande" w:eastAsia="ヒラギノ角ゴ Pro W3" w:hAnsi="Lucida Grande"/>
      <w:b/>
      <w:i w:val="0"/>
      <w:caps w:val="0"/>
      <w:smallCaps w:val="0"/>
      <w:strike w:val="0"/>
      <w:dstrike w:val="0"/>
      <w:vanish w:val="0"/>
      <w:color w:val="000000"/>
      <w:spacing w:val="0"/>
      <w:kern w:val="0"/>
      <w:position w:val="0"/>
      <w:sz w:val="20"/>
      <w:vertAlign w:val="baseline"/>
    </w:rPr>
  </w:style>
  <w:style w:type="paragraph" w:customStyle="1" w:styleId="Ttulo2A">
    <w:name w:val="Título 2 A"/>
    <w:next w:val="CorpoA"/>
    <w:rsid w:val="002302ED"/>
    <w:pPr>
      <w:keepNext/>
      <w:spacing w:after="0" w:line="240" w:lineRule="auto"/>
      <w:outlineLvl w:val="1"/>
    </w:pPr>
    <w:rPr>
      <w:rFonts w:ascii="Helvetica" w:eastAsia="ヒラギノ角ゴ Pro W3" w:hAnsi="Helvetica" w:cs="Times New Roman"/>
      <w:b/>
      <w:color w:val="000000"/>
      <w:sz w:val="24"/>
      <w:szCs w:val="20"/>
    </w:rPr>
  </w:style>
  <w:style w:type="paragraph" w:customStyle="1" w:styleId="CorpoA">
    <w:name w:val="Corpo A"/>
    <w:rsid w:val="002302ED"/>
    <w:pPr>
      <w:spacing w:after="0" w:line="240" w:lineRule="auto"/>
    </w:pPr>
    <w:rPr>
      <w:rFonts w:ascii="Helvetica" w:eastAsia="ヒラギノ角ゴ Pro W3" w:hAnsi="Helvetica" w:cs="Times New Roman"/>
      <w:color w:val="000000"/>
      <w:sz w:val="24"/>
      <w:szCs w:val="20"/>
    </w:rPr>
  </w:style>
  <w:style w:type="paragraph" w:customStyle="1" w:styleId="Corpo">
    <w:name w:val="Corpo"/>
    <w:rsid w:val="00D45FC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emEspaamento1">
    <w:name w:val="Sem Espaçamento1"/>
    <w:uiPriority w:val="99"/>
    <w:rsid w:val="002C1C62"/>
    <w:pPr>
      <w:spacing w:after="0" w:line="240" w:lineRule="auto"/>
    </w:pPr>
    <w:rPr>
      <w:rFonts w:ascii="Times New Roman" w:eastAsia="Times New Roman" w:hAnsi="Times New Roman" w:cs="Times New Roman"/>
      <w:sz w:val="24"/>
      <w:szCs w:val="24"/>
      <w:lang w:eastAsia="en-US"/>
    </w:rPr>
  </w:style>
  <w:style w:type="paragraph" w:customStyle="1" w:styleId="PargrafodaLista1">
    <w:name w:val="Parágrafo da Lista1"/>
    <w:basedOn w:val="Normal"/>
    <w:uiPriority w:val="99"/>
    <w:rsid w:val="002C1C62"/>
    <w:pPr>
      <w:spacing w:after="0" w:line="240" w:lineRule="auto"/>
      <w:ind w:left="720"/>
      <w:contextualSpacing/>
    </w:pPr>
    <w:rPr>
      <w:rFonts w:ascii="Times New Roman" w:eastAsia="Calibri" w:hAnsi="Times New Roman" w:cs="Times New Roman"/>
      <w:sz w:val="24"/>
      <w:szCs w:val="24"/>
    </w:rPr>
  </w:style>
  <w:style w:type="paragraph" w:customStyle="1" w:styleId="Normal2">
    <w:name w:val="Normal2"/>
    <w:rsid w:val="002C1C62"/>
    <w:pPr>
      <w:widowControl w:val="0"/>
      <w:suppressAutoHyphens/>
      <w:autoSpaceDN w:val="0"/>
      <w:spacing w:after="0" w:line="100" w:lineRule="atLeast"/>
    </w:pPr>
    <w:rPr>
      <w:rFonts w:ascii="Times New Roman" w:eastAsia="SimSun" w:hAnsi="Times New Roman" w:cs="Mangal"/>
      <w:kern w:val="3"/>
      <w:sz w:val="24"/>
      <w:szCs w:val="24"/>
      <w:lang w:eastAsia="hi-IN" w:bidi="hi-IN"/>
    </w:rPr>
  </w:style>
  <w:style w:type="character" w:customStyle="1" w:styleId="reference-text">
    <w:name w:val="reference-text"/>
    <w:basedOn w:val="DefaultParagraphFont"/>
    <w:rsid w:val="00D10C13"/>
  </w:style>
  <w:style w:type="character" w:styleId="Emphasis">
    <w:name w:val="Emphasis"/>
    <w:basedOn w:val="DefaultParagraphFont"/>
    <w:uiPriority w:val="20"/>
    <w:qFormat/>
    <w:rsid w:val="00D10C13"/>
    <w:rPr>
      <w:i/>
      <w:iCs/>
    </w:rPr>
  </w:style>
  <w:style w:type="paragraph" w:styleId="DocumentMap">
    <w:name w:val="Document Map"/>
    <w:basedOn w:val="Normal"/>
    <w:link w:val="DocumentMapChar"/>
    <w:uiPriority w:val="99"/>
    <w:semiHidden/>
    <w:unhideWhenUsed/>
    <w:rsid w:val="00744B5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44B59"/>
    <w:rPr>
      <w:rFonts w:ascii="Tahoma" w:hAnsi="Tahoma" w:cs="Tahoma"/>
      <w:sz w:val="16"/>
      <w:szCs w:val="16"/>
    </w:rPr>
  </w:style>
  <w:style w:type="table" w:customStyle="1" w:styleId="Tabelacomgrelha1">
    <w:name w:val="Tabela com grelha1"/>
    <w:basedOn w:val="TableNormal"/>
    <w:next w:val="TableGrid"/>
    <w:uiPriority w:val="59"/>
    <w:rsid w:val="001D74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dasnotasderodapA">
    <w:name w:val="Texto das notas de rodapé A"/>
    <w:rsid w:val="00566781"/>
    <w:pPr>
      <w:spacing w:after="0" w:line="240" w:lineRule="auto"/>
      <w:ind w:left="227" w:hanging="227"/>
      <w:jc w:val="both"/>
    </w:pPr>
    <w:rPr>
      <w:rFonts w:ascii="Candara" w:eastAsia="ヒラギノ角ゴ Pro W3" w:hAnsi="Candara" w:cs="Times New Roman"/>
      <w:color w:val="000000"/>
      <w:sz w:val="24"/>
      <w:szCs w:val="20"/>
      <w:vertAlign w:val="superscript"/>
    </w:rPr>
  </w:style>
  <w:style w:type="paragraph" w:customStyle="1" w:styleId="Ttulo1">
    <w:name w:val="Título1"/>
    <w:rsid w:val="00566781"/>
    <w:pPr>
      <w:spacing w:before="180" w:after="180" w:line="240" w:lineRule="auto"/>
      <w:jc w:val="center"/>
      <w:outlineLvl w:val="0"/>
    </w:pPr>
    <w:rPr>
      <w:rFonts w:ascii="Avenir Black" w:eastAsia="ヒラギノ角ゴ Pro W3" w:hAnsi="Avenir Black" w:cs="Times New Roman"/>
      <w:color w:val="000000"/>
      <w:sz w:val="28"/>
      <w:szCs w:val="20"/>
    </w:rPr>
  </w:style>
  <w:style w:type="paragraph" w:customStyle="1" w:styleId="Ttulo11">
    <w:name w:val="Título 11"/>
    <w:rsid w:val="00566781"/>
    <w:pPr>
      <w:spacing w:before="180" w:after="0" w:line="360" w:lineRule="auto"/>
      <w:jc w:val="both"/>
      <w:outlineLvl w:val="0"/>
    </w:pPr>
    <w:rPr>
      <w:rFonts w:ascii="Avenir Black" w:eastAsia="ヒラギノ角ゴ Pro W3" w:hAnsi="Avenir Black" w:cs="Times New Roman"/>
      <w:color w:val="000000"/>
      <w:sz w:val="26"/>
      <w:szCs w:val="20"/>
    </w:rPr>
  </w:style>
  <w:style w:type="character" w:customStyle="1" w:styleId="Unknown3">
    <w:name w:val="Unknown 3"/>
    <w:autoRedefine/>
    <w:rsid w:val="000D4FCF"/>
    <w:rPr>
      <w:rFonts w:ascii="Lucida Grande" w:eastAsia="ヒラギノ角ゴ Pro W3" w:hAnsi="Lucida Grande"/>
      <w:b/>
      <w:i w:val="0"/>
      <w:caps w:val="0"/>
      <w:smallCaps w:val="0"/>
      <w:strike w:val="0"/>
      <w:dstrike w:val="0"/>
      <w:vanish w:val="0"/>
      <w:color w:val="000000"/>
      <w:spacing w:val="0"/>
      <w:kern w:val="0"/>
      <w:position w:val="0"/>
      <w:sz w:val="20"/>
      <w:vertAlign w:val="baseline"/>
      <w:lang w:val="pt-PT"/>
      <w14:textOutline w14:w="0" w14:cap="rnd" w14:cmpd="sng" w14:algn="ctr">
        <w14:noFill/>
        <w14:prstDash w14:val="solid"/>
        <w14:bevel/>
      </w14:textOutline>
    </w:rPr>
  </w:style>
</w:styles>
</file>

<file path=word/webSettings.xml><?xml version="1.0" encoding="utf-8"?>
<w:webSettings xmlns:r="http://schemas.openxmlformats.org/officeDocument/2006/relationships" xmlns:w="http://schemas.openxmlformats.org/wordprocessingml/2006/main">
  <w:divs>
    <w:div w:id="3828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9D54F-B6A8-4D80-8550-2202FBBF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10004</Words>
  <Characters>54026</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Sónia</dc:creator>
  <cp:lastModifiedBy>Sónia Abreu</cp:lastModifiedBy>
  <cp:revision>19</cp:revision>
  <cp:lastPrinted>2015-02-24T13:40:00Z</cp:lastPrinted>
  <dcterms:created xsi:type="dcterms:W3CDTF">2015-02-23T18:25:00Z</dcterms:created>
  <dcterms:modified xsi:type="dcterms:W3CDTF">2015-02-24T13:41:00Z</dcterms:modified>
</cp:coreProperties>
</file>