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A2E"/>
          <w:sz w:val="52"/>
          <w:szCs w:val="52"/>
        </w:rPr>
        <w:t xml:space="preserve">Ricky Castillo</w:t>
      </w:r>
    </w:p>
    <w:p>
      <w:pPr>
        <w:spacing w:after="60" w:before="0"/>
      </w:pPr>
      <w:r>
        <w:rPr>
          <w:rFonts w:ascii="Arial" w:cs="Arial" w:eastAsia="Arial" w:hAnsi="Arial"/>
          <w:color w:val="666666"/>
          <w:sz w:val="24"/>
          <w:szCs w:val="24"/>
        </w:rPr>
        <w:t xml:space="preserve">Product Designer</w:t>
      </w:r>
    </w:p>
    <w:p>
      <w:pPr>
        <w:spacing w:after="160" w:before="0"/>
      </w:pPr>
      <w:r>
        <w:rPr>
          <w:rFonts w:ascii="Arial" w:cs="Arial" w:eastAsia="Arial" w:hAnsi="Arial"/>
          <w:color w:val="666666"/>
          <w:sz w:val="19"/>
          <w:szCs w:val="19"/>
        </w:rPr>
        <w:t xml:space="preserve">Burnaby, BC</w:t>
      </w:r>
      <w:r>
        <w:rPr>
          <w:rFonts w:ascii="Arial" w:cs="Arial" w:eastAsia="Arial" w:hAnsi="Arial"/>
          <w:color w:val="CCCCCC"/>
          <w:sz w:val="19"/>
          <w:szCs w:val="19"/>
        </w:rPr>
        <w:t xml:space="preserve">  |  </w:t>
      </w:r>
      <w:r>
        <w:rPr>
          <w:rFonts w:ascii="Arial" w:cs="Arial" w:eastAsia="Arial" w:hAnsi="Arial"/>
          <w:color w:val="666666"/>
          <w:sz w:val="19"/>
          <w:szCs w:val="19"/>
        </w:rPr>
        <w:t xml:space="preserve">604-690-1605</w:t>
      </w:r>
      <w:r>
        <w:rPr>
          <w:rFonts w:ascii="Arial" w:cs="Arial" w:eastAsia="Arial" w:hAnsi="Arial"/>
          <w:color w:val="CCCCCC"/>
          <w:sz w:val="19"/>
          <w:szCs w:val="19"/>
        </w:rPr>
        <w:t xml:space="preserve">  |  </w:t>
      </w:r>
      <w:r>
        <w:rPr>
          <w:rFonts w:ascii="Arial" w:cs="Arial" w:eastAsia="Arial" w:hAnsi="Arial"/>
          <w:color w:val="666666"/>
          <w:sz w:val="19"/>
          <w:szCs w:val="19"/>
        </w:rPr>
        <w:t xml:space="preserve">r.castillo1226@gmail.com</w:t>
      </w:r>
      <w:r>
        <w:rPr>
          <w:rFonts w:ascii="Arial" w:cs="Arial" w:eastAsia="Arial" w:hAnsi="Arial"/>
          <w:color w:val="CCCCCC"/>
          <w:sz w:val="19"/>
          <w:szCs w:val="19"/>
        </w:rPr>
        <w:t xml:space="preserve">  |  </w:t>
      </w:r>
      <w:r>
        <w:rPr>
          <w:rFonts w:ascii="Arial" w:cs="Arial" w:eastAsia="Arial" w:hAnsi="Arial"/>
          <w:color w:val="666666"/>
          <w:sz w:val="19"/>
          <w:szCs w:val="19"/>
        </w:rPr>
        <w:t xml:space="preserve">rickycastillo.ca</w:t>
      </w:r>
      <w:r>
        <w:rPr>
          <w:rFonts w:ascii="Arial" w:cs="Arial" w:eastAsia="Arial" w:hAnsi="Arial"/>
          <w:color w:val="CCCCCC"/>
          <w:sz w:val="19"/>
          <w:szCs w:val="19"/>
        </w:rPr>
        <w:t xml:space="preserve">  |  </w:t>
      </w:r>
      <w:r>
        <w:rPr>
          <w:rFonts w:ascii="Arial" w:cs="Arial" w:eastAsia="Arial" w:hAnsi="Arial"/>
          <w:color w:val="666666"/>
          <w:sz w:val="19"/>
          <w:szCs w:val="19"/>
        </w:rPr>
        <w:t xml:space="preserve">US Citizen  |  Canadian Open Work Permit  |  No Sponsorship Required</w:t>
      </w:r>
    </w:p>
    <w:p>
      <w:pPr>
        <w:pBdr>
          <w:bottom w:val="single" w:color="CCCCCC" w:sz="4" w:space="1"/>
        </w:pBdr>
        <w:spacing w:after="80" w:before="200"/>
      </w:pPr>
      <w:r>
        <w:rPr>
          <w:rFonts w:ascii="Arial" w:cs="Arial" w:eastAsia="Arial" w:hAnsi="Arial"/>
          <w:b/>
          <w:bCs/>
          <w:color w:val="1A1A2E"/>
          <w:sz w:val="18"/>
          <w:szCs w:val="18"/>
        </w:rPr>
        <w:t xml:space="preserve">PROFILE</w:t>
      </w:r>
    </w:p>
    <w:p>
      <w:pPr>
        <w:spacing w:after="160" w:before="80"/>
      </w:pPr>
      <w:r>
        <w:rPr>
          <w:rFonts w:ascii="Arial" w:cs="Arial" w:eastAsia="Arial" w:hAnsi="Arial"/>
          <w:color w:val="444444"/>
          <w:sz w:val="20"/>
          <w:szCs w:val="20"/>
        </w:rPr>
        <w:t xml:space="preserve">Product designer with 8+ years designing tools and experiences for complex, high-stakes environments at Constant Contact and Wayfair. Background spans information architecture, interaction design, design systems, and cross-functional collaboration across engineering, sales, and operations teams. Consistent track record of identifying real user needs through direct observation and field research, then translating those insights into structured, adoptable experiences. Comfortable owning design end-to-end in environments where decisions have direct product impact.</w:t>
      </w:r>
    </w:p>
    <w:p>
      <w:pPr>
        <w:pBdr>
          <w:bottom w:val="single" w:color="CCCCCC" w:sz="4" w:space="1"/>
        </w:pBdr>
        <w:spacing w:after="80" w:before="200"/>
      </w:pPr>
      <w:r>
        <w:rPr>
          <w:rFonts w:ascii="Arial" w:cs="Arial" w:eastAsia="Arial" w:hAnsi="Arial"/>
          <w:b/>
          <w:bCs/>
          <w:color w:val="1A1A2E"/>
          <w:sz w:val="18"/>
          <w:szCs w:val="18"/>
        </w:rPr>
        <w:t xml:space="preserve">EXPERIENCE</w:t>
      </w:r>
    </w:p>
    <w:p>
      <w:pPr>
        <w:spacing w:after="0" w:before="120"/>
      </w:pPr>
      <w:r>
        <w:rPr>
          <w:rFonts w:ascii="Arial" w:cs="Arial" w:eastAsia="Arial" w:hAnsi="Arial"/>
          <w:b/>
          <w:bCs/>
          <w:color w:val="1A1A2E"/>
          <w:sz w:val="22"/>
          <w:szCs w:val="22"/>
        </w:rPr>
        <w:t xml:space="preserve">Independent Product Designer</w:t>
      </w:r>
      <w:r>
        <w:rPr>
          <w:rFonts w:ascii="Arial" w:cs="Arial" w:eastAsia="Arial" w:hAnsi="Arial"/>
          <w:color w:val="666666"/>
          <w:sz w:val="20"/>
          <w:szCs w:val="20"/>
        </w:rPr>
        <w:t xml:space="preserve">   Self-Directed</w:t>
      </w:r>
    </w:p>
    <w:p>
      <w:pPr>
        <w:spacing w:after="60" w:before="0"/>
      </w:pPr>
      <w:r>
        <w:rPr>
          <w:rFonts w:ascii="Arial" w:cs="Arial" w:eastAsia="Arial" w:hAnsi="Arial"/>
          <w:color w:val="666666"/>
          <w:sz w:val="19"/>
          <w:szCs w:val="19"/>
        </w:rPr>
        <w:t xml:space="preserve">Oct 2024 – Present  |  Vancouver, BC</w:t>
      </w:r>
    </w:p>
    <w:p>
      <w:pPr>
        <w:pStyle w:val="ListParagraph"/>
        <w:numPr>
          <w:ilvl w:val="0"/>
          <w:numId w:val="2"/>
        </w:numPr>
        <w:spacing w:after="40" w:before="40"/>
      </w:pPr>
      <w:r>
        <w:rPr>
          <w:rFonts w:ascii="Arial" w:cs="Arial" w:eastAsia="Arial" w:hAnsi="Arial"/>
          <w:color w:val="444444"/>
          <w:sz w:val="20"/>
          <w:szCs w:val="20"/>
        </w:rPr>
        <w:t xml:space="preserve">Completed a personal UI redesign study of Edge of Eternity, an indie RPG: restructured a 13-item flat menu system to 7 items using genre conventions from Persona 5, FF16, and Baldur's Gate 3 as reference, extracted the palette from the game's own environment art, and produced a fully annotated case study covering moodboard, wireframes, and high-fidelity screens.</w:t>
      </w:r>
    </w:p>
    <w:p>
      <w:pPr>
        <w:pStyle w:val="ListParagraph"/>
        <w:numPr>
          <w:ilvl w:val="0"/>
          <w:numId w:val="2"/>
        </w:numPr>
        <w:spacing w:after="40" w:before="40"/>
      </w:pPr>
      <w:r>
        <w:rPr>
          <w:rFonts w:ascii="Arial" w:cs="Arial" w:eastAsia="Arial" w:hAnsi="Arial"/>
          <w:color w:val="444444"/>
          <w:sz w:val="20"/>
          <w:szCs w:val="20"/>
        </w:rPr>
        <w:t xml:space="preserve">Self-directed rebuild of a past enterprise platform as a 2026 Figma design system: full token architecture, component library, and structured documentation across multiple sessions, treating the project as both a portfolio artifact and a live systems design exercise.</w:t>
      </w:r>
    </w:p>
    <w:p>
      <w:pPr>
        <w:pStyle w:val="ListParagraph"/>
        <w:numPr>
          <w:ilvl w:val="0"/>
          <w:numId w:val="2"/>
        </w:numPr>
        <w:spacing w:after="40" w:before="40"/>
      </w:pPr>
      <w:r>
        <w:rPr>
          <w:rFonts w:ascii="Arial" w:cs="Arial" w:eastAsia="Arial" w:hAnsi="Arial"/>
          <w:color w:val="444444"/>
          <w:sz w:val="20"/>
          <w:szCs w:val="20"/>
        </w:rPr>
        <w:t xml:space="preserve">Using Claude, Figma Make, and Figma AI daily to accelerate prototyping, explore AI-assisted design workflows, and stress-test design decisions before execution.</w:t>
      </w:r>
    </w:p>
    <w:p>
      <w:pPr>
        <w:spacing w:after="0" w:before="160"/>
      </w:pPr>
      <w:r>
        <w:rPr>
          <w:rFonts w:ascii="Arial" w:cs="Arial" w:eastAsia="Arial" w:hAnsi="Arial"/>
          <w:b/>
          <w:bCs/>
          <w:color w:val="1A1A2E"/>
          <w:sz w:val="22"/>
          <w:szCs w:val="22"/>
        </w:rPr>
        <w:t xml:space="preserve">Senior UX &amp; Systems Designer</w:t>
      </w:r>
      <w:r>
        <w:rPr>
          <w:rFonts w:ascii="Arial" w:cs="Arial" w:eastAsia="Arial" w:hAnsi="Arial"/>
          <w:color w:val="666666"/>
          <w:sz w:val="20"/>
          <w:szCs w:val="20"/>
        </w:rPr>
        <w:t xml:space="preserve">   Wayfair</w:t>
      </w:r>
    </w:p>
    <w:p>
      <w:pPr>
        <w:spacing w:after="60" w:before="0"/>
      </w:pPr>
      <w:r>
        <w:rPr>
          <w:rFonts w:ascii="Arial" w:cs="Arial" w:eastAsia="Arial" w:hAnsi="Arial"/>
          <w:color w:val="666666"/>
          <w:sz w:val="19"/>
          <w:szCs w:val="19"/>
        </w:rPr>
        <w:t xml:space="preserve">Jun 2023 – Sep 2024  |  Boston, MA</w:t>
      </w:r>
    </w:p>
    <w:p>
      <w:pPr>
        <w:pStyle w:val="ListParagraph"/>
        <w:numPr>
          <w:ilvl w:val="0"/>
          <w:numId w:val="2"/>
        </w:numPr>
        <w:spacing w:after="40" w:before="40"/>
      </w:pPr>
      <w:r>
        <w:rPr>
          <w:rFonts w:ascii="Arial" w:cs="Arial" w:eastAsia="Arial" w:hAnsi="Arial"/>
          <w:color w:val="444444"/>
          <w:sz w:val="20"/>
          <w:szCs w:val="20"/>
        </w:rPr>
        <w:t xml:space="preserve">Built a multi-surface mapping system from scratch for Wayfair's 150,000 sq. ft. flagship retail launch: 28 maps, 26 departments, and 1,200+ product placements across print, web, and handheld devices.</w:t>
      </w:r>
    </w:p>
    <w:p>
      <w:pPr>
        <w:pStyle w:val="ListParagraph"/>
        <w:numPr>
          <w:ilvl w:val="0"/>
          <w:numId w:val="2"/>
        </w:numPr>
        <w:spacing w:after="40" w:before="40"/>
      </w:pPr>
      <w:r>
        <w:rPr>
          <w:rFonts w:ascii="Arial" w:cs="Arial" w:eastAsia="Arial" w:hAnsi="Arial"/>
          <w:color w:val="444444"/>
          <w:sz w:val="20"/>
          <w:szCs w:val="20"/>
        </w:rPr>
        <w:t xml:space="preserve">Visited the store pre-launch with a working draft, observed how staff navigated the space, and discovered every map was oriented differently. Standardized all maps to a single entrance perspective before launch, eliminating a systemic orientation problem that would have compounded at scale.</w:t>
      </w:r>
    </w:p>
    <w:p>
      <w:pPr>
        <w:pStyle w:val="ListParagraph"/>
        <w:numPr>
          <w:ilvl w:val="0"/>
          <w:numId w:val="2"/>
        </w:numPr>
        <w:spacing w:after="40" w:before="40"/>
      </w:pPr>
      <w:r>
        <w:rPr>
          <w:rFonts w:ascii="Arial" w:cs="Arial" w:eastAsia="Arial" w:hAnsi="Arial"/>
          <w:color w:val="444444"/>
          <w:sz w:val="20"/>
          <w:szCs w:val="20"/>
        </w:rPr>
        <w:t xml:space="preserve">Built the system in Adobe InDesign with department color mapping and standardized labeling, then migrated to Google Slides under launch pressure when leadership required broad accessibility, maintaining system integrity across the switch.</w:t>
      </w:r>
    </w:p>
    <w:p>
      <w:pPr>
        <w:pStyle w:val="ListParagraph"/>
        <w:numPr>
          <w:ilvl w:val="0"/>
          <w:numId w:val="2"/>
        </w:numPr>
        <w:spacing w:after="40" w:before="40"/>
      </w:pPr>
      <w:r>
        <w:rPr>
          <w:rFonts w:ascii="Arial" w:cs="Arial" w:eastAsia="Arial" w:hAnsi="Arial"/>
          <w:color w:val="444444"/>
          <w:sz w:val="20"/>
          <w:szCs w:val="20"/>
        </w:rPr>
        <w:t xml:space="preserve">Prototyped a mobile app concept at leadership's request, collapsing a two-document workflow into a single interface with live inventory integration and color-coded status indicators.</w:t>
      </w:r>
    </w:p>
    <w:p>
      <w:pPr>
        <w:pStyle w:val="ListParagraph"/>
        <w:numPr>
          <w:ilvl w:val="0"/>
          <w:numId w:val="2"/>
        </w:numPr>
        <w:spacing w:after="40" w:before="40"/>
      </w:pPr>
      <w:r>
        <w:rPr>
          <w:rFonts w:ascii="Arial" w:cs="Arial" w:eastAsia="Arial" w:hAnsi="Arial"/>
          <w:color w:val="444444"/>
          <w:sz w:val="20"/>
          <w:szCs w:val="20"/>
        </w:rPr>
        <w:t xml:space="preserve">Iterated on all design decisions through structured feedback from operations, merchandising, and engineering stakeholders throughout the project.</w:t>
      </w:r>
    </w:p>
    <w:p>
      <w:pPr>
        <w:spacing w:after="0" w:before="160"/>
      </w:pPr>
      <w:r>
        <w:rPr>
          <w:rFonts w:ascii="Arial" w:cs="Arial" w:eastAsia="Arial" w:hAnsi="Arial"/>
          <w:b/>
          <w:bCs/>
          <w:color w:val="1A1A2E"/>
          <w:sz w:val="22"/>
          <w:szCs w:val="22"/>
        </w:rPr>
        <w:t xml:space="preserve">Graphic &amp; Systems Designer</w:t>
      </w:r>
      <w:r>
        <w:rPr>
          <w:rFonts w:ascii="Arial" w:cs="Arial" w:eastAsia="Arial" w:hAnsi="Arial"/>
          <w:color w:val="666666"/>
          <w:sz w:val="20"/>
          <w:szCs w:val="20"/>
        </w:rPr>
        <w:t xml:space="preserve">   Constant Contact</w:t>
      </w:r>
    </w:p>
    <w:p>
      <w:pPr>
        <w:spacing w:after="60" w:before="0"/>
      </w:pPr>
      <w:r>
        <w:rPr>
          <w:rFonts w:ascii="Arial" w:cs="Arial" w:eastAsia="Arial" w:hAnsi="Arial"/>
          <w:color w:val="666666"/>
          <w:sz w:val="19"/>
          <w:szCs w:val="19"/>
        </w:rPr>
        <w:t xml:space="preserve">May 2015 – Jan 2023  |  Waltham, MA</w:t>
      </w:r>
    </w:p>
    <w:p>
      <w:pPr>
        <w:pStyle w:val="ListParagraph"/>
        <w:numPr>
          <w:ilvl w:val="0"/>
          <w:numId w:val="2"/>
        </w:numPr>
        <w:spacing w:after="40" w:before="40"/>
      </w:pPr>
      <w:r>
        <w:rPr>
          <w:rFonts w:ascii="Arial" w:cs="Arial" w:eastAsia="Arial" w:hAnsi="Arial"/>
          <w:color w:val="444444"/>
          <w:sz w:val="20"/>
          <w:szCs w:val="20"/>
        </w:rPr>
        <w:t xml:space="preserve">Identified that a 100+ page sales resource had been abandoned and self-directed a full redesign into the Sales Success Map: a structured two-tier web platform serving 200-500+ distributed users across sales and customer success globally, formally recognized by the Chief Sales Officer.</w:t>
      </w:r>
    </w:p>
    <w:p>
      <w:pPr>
        <w:pStyle w:val="ListParagraph"/>
        <w:numPr>
          <w:ilvl w:val="0"/>
          <w:numId w:val="2"/>
        </w:numPr>
        <w:spacing w:after="40" w:before="40"/>
      </w:pPr>
      <w:r>
        <w:rPr>
          <w:rFonts w:ascii="Arial" w:cs="Arial" w:eastAsia="Arial" w:hAnsi="Arial"/>
          <w:color w:val="444444"/>
          <w:sz w:val="20"/>
          <w:szCs w:val="20"/>
        </w:rPr>
        <w:t xml:space="preserve">Spent time on the sales floor directly and gathered ongoing feedback from reps and channel enablement teams, using those insights to shape the IA around how people actually worked during live calls rather than how content was organized internally.</w:t>
      </w:r>
    </w:p>
    <w:p>
      <w:pPr>
        <w:pStyle w:val="ListParagraph"/>
        <w:numPr>
          <w:ilvl w:val="0"/>
          <w:numId w:val="2"/>
        </w:numPr>
        <w:spacing w:after="40" w:before="40"/>
      </w:pPr>
      <w:r>
        <w:rPr>
          <w:rFonts w:ascii="Arial" w:cs="Arial" w:eastAsia="Arial" w:hAnsi="Arial"/>
          <w:color w:val="444444"/>
          <w:sz w:val="20"/>
          <w:szCs w:val="20"/>
        </w:rPr>
        <w:t xml:space="preserve">Built and maintained design systems across multiple internal products, establishing shared components, tokens, and documentation that enabled consistent delivery across distributed teams at scale.</w:t>
      </w:r>
    </w:p>
    <w:p>
      <w:pPr>
        <w:pStyle w:val="ListParagraph"/>
        <w:numPr>
          <w:ilvl w:val="0"/>
          <w:numId w:val="2"/>
        </w:numPr>
        <w:spacing w:after="40" w:before="40"/>
      </w:pPr>
      <w:r>
        <w:rPr>
          <w:rFonts w:ascii="Arial" w:cs="Arial" w:eastAsia="Arial" w:hAnsi="Arial"/>
          <w:color w:val="444444"/>
          <w:sz w:val="20"/>
          <w:szCs w:val="20"/>
        </w:rPr>
        <w:t xml:space="preserve">Designed instructional materials and onboarding flows for new platform features in collaboration with SMEs and sales leadership, applying adult learning principles to reduce time-to-competency across a globally distributed team.</w:t>
      </w:r>
    </w:p>
    <w:p>
      <w:pPr>
        <w:pStyle w:val="ListParagraph"/>
        <w:numPr>
          <w:ilvl w:val="0"/>
          <w:numId w:val="2"/>
        </w:numPr>
        <w:spacing w:after="40" w:before="40"/>
      </w:pPr>
      <w:r>
        <w:rPr>
          <w:rFonts w:ascii="Arial" w:cs="Arial" w:eastAsia="Arial" w:hAnsi="Arial"/>
          <w:color w:val="444444"/>
          <w:sz w:val="20"/>
          <w:szCs w:val="20"/>
        </w:rPr>
        <w:t xml:space="preserve">Worked cross-functionally across instructional design, channel enablement, sales, and CS teams to ensure design decisions reflected real workflow needs.</w:t>
      </w:r>
    </w:p>
    <w:p>
      <w:pPr>
        <w:pBdr>
          <w:bottom w:val="single" w:color="CCCCCC" w:sz="4" w:space="1"/>
        </w:pBdr>
        <w:spacing w:after="80" w:before="200"/>
      </w:pPr>
      <w:r>
        <w:rPr>
          <w:rFonts w:ascii="Arial" w:cs="Arial" w:eastAsia="Arial" w:hAnsi="Arial"/>
          <w:b/>
          <w:bCs/>
          <w:color w:val="1A1A2E"/>
          <w:sz w:val="18"/>
          <w:szCs w:val="18"/>
        </w:rPr>
        <w:t xml:space="preserve">SKILLS &amp; TOOLING</w:t>
      </w:r>
    </w:p>
    <w:p>
      <w:pPr>
        <w:spacing w:after="40" w:before="80"/>
      </w:pPr>
      <w:r>
        <w:t xml:space="preserve"/>
      </w:r>
    </w:p>
    <w:tbl>
      <w:tblPr>
        <w:tblW w:type="dxa" w:w="9360"/>
        <w:tblBorders>
          <w:top w:val="none"/>
          <w:left w:val="none"/>
          <w:bottom w:val="none"/>
          <w:right w:val="none"/>
          <w:insideH w:val="single" w:color="auto" w:sz="4"/>
          <w:insideV w:val="single" w:color="auto" w:sz="4"/>
        </w:tblBorders>
      </w:tblPr>
      <w:tblGrid>
        <w:gridCol w:w="1800"/>
        <w:gridCol w:w="7560"/>
      </w:tblGrid>
      <w:tr>
        <w:tc>
          <w:tcPr>
            <w:tcW w:type="dxa" w:w="1800"/>
            <w:tcBorders>
              <w:top w:val="none"/>
              <w:left w:val="none"/>
              <w:bottom w:val="none"/>
              <w:right w:val="none"/>
            </w:tcBorders>
            <w:tcMar>
              <w:top w:type="dxa" w:w="60"/>
              <w:left w:type="dxa" w:w="0"/>
              <w:bottom w:type="dxa" w:w="60"/>
              <w:right w:type="dxa" w:w="120"/>
            </w:tcMar>
          </w:tcPr>
          <w:p>
            <w:r>
              <w:rPr>
                <w:rFonts w:ascii="Arial" w:cs="Arial" w:eastAsia="Arial" w:hAnsi="Arial"/>
                <w:b/>
                <w:bCs/>
                <w:color w:val="1A1A2E"/>
                <w:sz w:val="20"/>
                <w:szCs w:val="20"/>
              </w:rPr>
              <w:t xml:space="preserve">Product Design</w:t>
            </w:r>
          </w:p>
        </w:tc>
        <w:tc>
          <w:tcPr>
            <w:tcW w:type="dxa" w:w="7560"/>
            <w:tcBorders>
              <w:top w:val="none"/>
              <w:left w:val="none"/>
              <w:bottom w:val="none"/>
              <w:right w:val="none"/>
            </w:tcBorders>
            <w:tcMar>
              <w:top w:type="dxa" w:w="60"/>
              <w:left w:type="dxa" w:w="120"/>
              <w:bottom w:type="dxa" w:w="60"/>
              <w:right w:type="dxa" w:w="0"/>
            </w:tcMar>
          </w:tcPr>
          <w:p>
            <w:r>
              <w:rPr>
                <w:rFonts w:ascii="Arial" w:cs="Arial" w:eastAsia="Arial" w:hAnsi="Arial"/>
                <w:color w:val="444444"/>
                <w:sz w:val="20"/>
                <w:szCs w:val="20"/>
              </w:rPr>
              <w:t xml:space="preserve">End-to-End Ownership  |  Information Architecture  |  Interaction Design  |  Visual Design</w:t>
            </w:r>
          </w:p>
        </w:tc>
      </w:tr>
      <w:tr>
        <w:tc>
          <w:tcPr>
            <w:tcW w:type="dxa" w:w="1800"/>
            <w:tcBorders>
              <w:top w:val="none"/>
              <w:left w:val="none"/>
              <w:bottom w:val="none"/>
              <w:right w:val="none"/>
            </w:tcBorders>
            <w:tcMar>
              <w:top w:type="dxa" w:w="60"/>
              <w:left w:type="dxa" w:w="0"/>
              <w:bottom w:type="dxa" w:w="60"/>
              <w:right w:type="dxa" w:w="120"/>
            </w:tcMar>
          </w:tcPr>
          <w:p>
            <w:r>
              <w:rPr>
                <w:rFonts w:ascii="Arial" w:cs="Arial" w:eastAsia="Arial" w:hAnsi="Arial"/>
                <w:b/>
                <w:bCs/>
                <w:color w:val="1A1A2E"/>
                <w:sz w:val="20"/>
                <w:szCs w:val="20"/>
              </w:rPr>
              <w:t xml:space="preserve">Research</w:t>
            </w:r>
          </w:p>
        </w:tc>
        <w:tc>
          <w:tcPr>
            <w:tcW w:type="dxa" w:w="7560"/>
            <w:tcBorders>
              <w:top w:val="none"/>
              <w:left w:val="none"/>
              <w:bottom w:val="none"/>
              <w:right w:val="none"/>
            </w:tcBorders>
            <w:tcMar>
              <w:top w:type="dxa" w:w="60"/>
              <w:left w:type="dxa" w:w="120"/>
              <w:bottom w:type="dxa" w:w="60"/>
              <w:right w:type="dxa" w:w="0"/>
            </w:tcMar>
          </w:tcPr>
          <w:p>
            <w:r>
              <w:rPr>
                <w:rFonts w:ascii="Arial" w:cs="Arial" w:eastAsia="Arial" w:hAnsi="Arial"/>
                <w:color w:val="444444"/>
                <w:sz w:val="20"/>
                <w:szCs w:val="20"/>
              </w:rPr>
              <w:t xml:space="preserve">Field Research  |  On-Site Observation  |  User Feedback Synthesis  |  Iterative Design</w:t>
            </w:r>
          </w:p>
        </w:tc>
      </w:tr>
      <w:tr>
        <w:tc>
          <w:tcPr>
            <w:tcW w:type="dxa" w:w="1800"/>
            <w:tcBorders>
              <w:top w:val="none"/>
              <w:left w:val="none"/>
              <w:bottom w:val="none"/>
              <w:right w:val="none"/>
            </w:tcBorders>
            <w:tcMar>
              <w:top w:type="dxa" w:w="60"/>
              <w:left w:type="dxa" w:w="0"/>
              <w:bottom w:type="dxa" w:w="60"/>
              <w:right w:type="dxa" w:w="120"/>
            </w:tcMar>
          </w:tcPr>
          <w:p>
            <w:r>
              <w:rPr>
                <w:rFonts w:ascii="Arial" w:cs="Arial" w:eastAsia="Arial" w:hAnsi="Arial"/>
                <w:b/>
                <w:bCs/>
                <w:color w:val="1A1A2E"/>
                <w:sz w:val="20"/>
                <w:szCs w:val="20"/>
              </w:rPr>
              <w:t xml:space="preserve">Design Systems</w:t>
            </w:r>
          </w:p>
        </w:tc>
        <w:tc>
          <w:tcPr>
            <w:tcW w:type="dxa" w:w="7560"/>
            <w:tcBorders>
              <w:top w:val="none"/>
              <w:left w:val="none"/>
              <w:bottom w:val="none"/>
              <w:right w:val="none"/>
            </w:tcBorders>
            <w:tcMar>
              <w:top w:type="dxa" w:w="60"/>
              <w:left w:type="dxa" w:w="120"/>
              <w:bottom w:type="dxa" w:w="60"/>
              <w:right w:type="dxa" w:w="0"/>
            </w:tcMar>
          </w:tcPr>
          <w:p>
            <w:r>
              <w:rPr>
                <w:rFonts w:ascii="Arial" w:cs="Arial" w:eastAsia="Arial" w:hAnsi="Arial"/>
                <w:color w:val="444444"/>
                <w:sz w:val="20"/>
                <w:szCs w:val="20"/>
              </w:rPr>
              <w:t xml:space="preserve">Component Libraries  |  Design Tokens  |  Style Guides  |  Governance  |  Engineering Handoff</w:t>
            </w:r>
          </w:p>
        </w:tc>
      </w:tr>
      <w:tr>
        <w:tc>
          <w:tcPr>
            <w:tcW w:type="dxa" w:w="1800"/>
            <w:tcBorders>
              <w:top w:val="none"/>
              <w:left w:val="none"/>
              <w:bottom w:val="none"/>
              <w:right w:val="none"/>
            </w:tcBorders>
            <w:tcMar>
              <w:top w:type="dxa" w:w="60"/>
              <w:left w:type="dxa" w:w="0"/>
              <w:bottom w:type="dxa" w:w="60"/>
              <w:right w:type="dxa" w:w="120"/>
            </w:tcMar>
          </w:tcPr>
          <w:p>
            <w:r>
              <w:rPr>
                <w:rFonts w:ascii="Arial" w:cs="Arial" w:eastAsia="Arial" w:hAnsi="Arial"/>
                <w:b/>
                <w:bCs/>
                <w:color w:val="1A1A2E"/>
                <w:sz w:val="20"/>
                <w:szCs w:val="20"/>
              </w:rPr>
              <w:t xml:space="preserve">Figma</w:t>
            </w:r>
          </w:p>
        </w:tc>
        <w:tc>
          <w:tcPr>
            <w:tcW w:type="dxa" w:w="7560"/>
            <w:tcBorders>
              <w:top w:val="none"/>
              <w:left w:val="none"/>
              <w:bottom w:val="none"/>
              <w:right w:val="none"/>
            </w:tcBorders>
            <w:tcMar>
              <w:top w:type="dxa" w:w="60"/>
              <w:left w:type="dxa" w:w="120"/>
              <w:bottom w:type="dxa" w:w="60"/>
              <w:right w:type="dxa" w:w="0"/>
            </w:tcMar>
          </w:tcPr>
          <w:p>
            <w:r>
              <w:rPr>
                <w:rFonts w:ascii="Arial" w:cs="Arial" w:eastAsia="Arial" w:hAnsi="Arial"/>
                <w:color w:val="444444"/>
                <w:sz w:val="20"/>
                <w:szCs w:val="20"/>
              </w:rPr>
              <w:t xml:space="preserve">Wireframes through Hi-Fi  |  Auto Layout  |  Components  |  Variables  |  Prototyping  |  Figma AI</w:t>
            </w:r>
          </w:p>
        </w:tc>
      </w:tr>
      <w:tr>
        <w:tc>
          <w:tcPr>
            <w:tcW w:type="dxa" w:w="1800"/>
            <w:tcBorders>
              <w:top w:val="none"/>
              <w:left w:val="none"/>
              <w:bottom w:val="none"/>
              <w:right w:val="none"/>
            </w:tcBorders>
            <w:tcMar>
              <w:top w:type="dxa" w:w="60"/>
              <w:left w:type="dxa" w:w="0"/>
              <w:bottom w:type="dxa" w:w="60"/>
              <w:right w:type="dxa" w:w="120"/>
            </w:tcMar>
          </w:tcPr>
          <w:p>
            <w:r>
              <w:rPr>
                <w:rFonts w:ascii="Arial" w:cs="Arial" w:eastAsia="Arial" w:hAnsi="Arial"/>
                <w:b/>
                <w:bCs/>
                <w:color w:val="1A1A2E"/>
                <w:sz w:val="20"/>
                <w:szCs w:val="20"/>
              </w:rPr>
              <w:t xml:space="preserve">Collaboration</w:t>
            </w:r>
          </w:p>
        </w:tc>
        <w:tc>
          <w:tcPr>
            <w:tcW w:type="dxa" w:w="7560"/>
            <w:tcBorders>
              <w:top w:val="none"/>
              <w:left w:val="none"/>
              <w:bottom w:val="none"/>
              <w:right w:val="none"/>
            </w:tcBorders>
            <w:tcMar>
              <w:top w:type="dxa" w:w="60"/>
              <w:left w:type="dxa" w:w="120"/>
              <w:bottom w:type="dxa" w:w="60"/>
              <w:right w:type="dxa" w:w="0"/>
            </w:tcMar>
          </w:tcPr>
          <w:p>
            <w:r>
              <w:rPr>
                <w:rFonts w:ascii="Arial" w:cs="Arial" w:eastAsia="Arial" w:hAnsi="Arial"/>
                <w:color w:val="444444"/>
                <w:sz w:val="20"/>
                <w:szCs w:val="20"/>
              </w:rPr>
              <w:t xml:space="preserve">Engineering  |  Sales &amp; CS  |  SME Partnerships  |  Stakeholder Alignment  |  Agile Delivery</w:t>
            </w:r>
          </w:p>
        </w:tc>
      </w:tr>
      <w:tr>
        <w:tc>
          <w:tcPr>
            <w:tcW w:type="dxa" w:w="1800"/>
            <w:tcBorders>
              <w:top w:val="none"/>
              <w:left w:val="none"/>
              <w:bottom w:val="none"/>
              <w:right w:val="none"/>
            </w:tcBorders>
            <w:tcMar>
              <w:top w:type="dxa" w:w="60"/>
              <w:left w:type="dxa" w:w="0"/>
              <w:bottom w:type="dxa" w:w="60"/>
              <w:right w:type="dxa" w:w="120"/>
            </w:tcMar>
          </w:tcPr>
          <w:p>
            <w:r>
              <w:rPr>
                <w:rFonts w:ascii="Arial" w:cs="Arial" w:eastAsia="Arial" w:hAnsi="Arial"/>
                <w:b/>
                <w:bCs/>
                <w:color w:val="1A1A2E"/>
                <w:sz w:val="20"/>
                <w:szCs w:val="20"/>
              </w:rPr>
              <w:t xml:space="preserve">AI Tools</w:t>
            </w:r>
          </w:p>
        </w:tc>
        <w:tc>
          <w:tcPr>
            <w:tcW w:type="dxa" w:w="7560"/>
            <w:tcBorders>
              <w:top w:val="none"/>
              <w:left w:val="none"/>
              <w:bottom w:val="none"/>
              <w:right w:val="none"/>
            </w:tcBorders>
            <w:tcMar>
              <w:top w:type="dxa" w:w="60"/>
              <w:left w:type="dxa" w:w="120"/>
              <w:bottom w:type="dxa" w:w="60"/>
              <w:right w:type="dxa" w:w="0"/>
            </w:tcMar>
          </w:tcPr>
          <w:p>
            <w:r>
              <w:rPr>
                <w:rFonts w:ascii="Arial" w:cs="Arial" w:eastAsia="Arial" w:hAnsi="Arial"/>
                <w:color w:val="444444"/>
                <w:sz w:val="20"/>
                <w:szCs w:val="20"/>
              </w:rPr>
              <w:t xml:space="preserve">Claude  |  Claude Code  |  Cursor  |  Figma Make  |  Figma AI: daily use in design workflow</w:t>
            </w:r>
          </w:p>
        </w:tc>
      </w:tr>
      <w:tr>
        <w:tc>
          <w:tcPr>
            <w:tcW w:type="dxa" w:w="1800"/>
            <w:tcBorders>
              <w:top w:val="none"/>
              <w:left w:val="none"/>
              <w:bottom w:val="none"/>
              <w:right w:val="none"/>
            </w:tcBorders>
            <w:tcMar>
              <w:top w:type="dxa" w:w="60"/>
              <w:left w:type="dxa" w:w="0"/>
              <w:bottom w:type="dxa" w:w="60"/>
              <w:right w:type="dxa" w:w="120"/>
            </w:tcMar>
          </w:tcPr>
          <w:p>
            <w:r>
              <w:rPr>
                <w:rFonts w:ascii="Arial" w:cs="Arial" w:eastAsia="Arial" w:hAnsi="Arial"/>
                <w:b/>
                <w:bCs/>
                <w:color w:val="1A1A2E"/>
                <w:sz w:val="20"/>
                <w:szCs w:val="20"/>
              </w:rPr>
              <w:t xml:space="preserve">Technical</w:t>
            </w:r>
          </w:p>
        </w:tc>
        <w:tc>
          <w:tcPr>
            <w:tcW w:type="dxa" w:w="7560"/>
            <w:tcBorders>
              <w:top w:val="none"/>
              <w:left w:val="none"/>
              <w:bottom w:val="none"/>
              <w:right w:val="none"/>
            </w:tcBorders>
            <w:tcMar>
              <w:top w:type="dxa" w:w="60"/>
              <w:left w:type="dxa" w:w="120"/>
              <w:bottom w:type="dxa" w:w="60"/>
              <w:right w:type="dxa" w:w="0"/>
            </w:tcMar>
          </w:tcPr>
          <w:p>
            <w:r>
              <w:rPr>
                <w:rFonts w:ascii="Arial" w:cs="Arial" w:eastAsia="Arial" w:hAnsi="Arial"/>
                <w:color w:val="444444"/>
                <w:sz w:val="20"/>
                <w:szCs w:val="20"/>
              </w:rPr>
              <w:t xml:space="preserve">Adobe InDesign, Illustrator, Photoshop  |  HTML &amp; CSS (working knowledge)  |  WCAG 2</w:t>
            </w:r>
          </w:p>
        </w:tc>
      </w:tr>
    </w:tbl>
    <w:p>
      <w:pPr>
        <w:pBdr>
          <w:bottom w:val="single" w:color="CCCCCC" w:sz="4" w:space="1"/>
        </w:pBdr>
        <w:spacing w:after="80" w:before="200"/>
      </w:pPr>
      <w:r>
        <w:rPr>
          <w:rFonts w:ascii="Arial" w:cs="Arial" w:eastAsia="Arial" w:hAnsi="Arial"/>
          <w:b/>
          <w:bCs/>
          <w:color w:val="1A1A2E"/>
          <w:sz w:val="18"/>
          <w:szCs w:val="18"/>
        </w:rPr>
        <w:t xml:space="preserve">EDUCATION</w:t>
      </w:r>
    </w:p>
    <w:p>
      <w:pPr>
        <w:spacing w:after="0" w:before="80"/>
      </w:pPr>
      <w:r>
        <w:rPr>
          <w:rFonts w:ascii="Arial" w:cs="Arial" w:eastAsia="Arial" w:hAnsi="Arial"/>
          <w:b/>
          <w:bCs/>
          <w:color w:val="1A1A2E"/>
          <w:sz w:val="20"/>
          <w:szCs w:val="20"/>
        </w:rPr>
        <w:t xml:space="preserve">BFA, Digital Arts and Animation   </w:t>
      </w:r>
      <w:r>
        <w:rPr>
          <w:rFonts w:ascii="Arial" w:cs="Arial" w:eastAsia="Arial" w:hAnsi="Arial"/>
          <w:color w:val="444444"/>
          <w:sz w:val="20"/>
          <w:szCs w:val="20"/>
        </w:rPr>
        <w:t xml:space="preserve">Northeastern University, Boston, MA</w:t>
      </w:r>
    </w:p>
    <w:p>
      <w:pPr>
        <w:spacing w:after="80" w:before="40"/>
      </w:pPr>
      <w:r>
        <w:rPr>
          <w:rFonts w:ascii="Arial" w:cs="Arial" w:eastAsia="Arial" w:hAnsi="Arial"/>
          <w:color w:val="666666"/>
          <w:sz w:val="20"/>
          <w:szCs w:val="20"/>
        </w:rPr>
        <w:t xml:space="preserve">Visual design, typography, color theory, graphic design, web design, photography, and foundational coding.</w:t>
      </w:r>
    </w:p>
    <w:p>
      <w:pPr>
        <w:pBdr>
          <w:top w:val="single" w:color="CCCCCC" w:sz="4" w:space="1"/>
        </w:pBdr>
        <w:spacing w:after="0" w:before="100"/>
      </w:pPr>
      <w:r>
        <w:rPr>
          <w:rFonts w:ascii="Arial" w:cs="Arial" w:eastAsia="Arial" w:hAnsi="Arial"/>
          <w:color w:val="666666"/>
          <w:sz w:val="18"/>
          <w:szCs w:val="18"/>
        </w:rPr>
        <w:t xml:space="preserve">Portfolio: rickycastillo.ca  |  US Citizen  |  Canadian Open Work Permit (valid to 2028)  |  No Sponsorship Required  |  Available Immediately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2026-05-20T22:33:33.465Z</dcterms:created>
  <dcterms:modified xsi:type="dcterms:W3CDTF">2026-05-20T22:33:33.479Z</dcterms:modified>
</cp:coreProperties>
</file>

<file path=docProps/custom.xml><?xml version="1.0" encoding="utf-8"?>
<Properties xmlns="http://schemas.openxmlformats.org/officeDocument/2006/custom-properties" xmlns:vt="http://schemas.openxmlformats.org/officeDocument/2006/docPropsVTypes"/>
</file>