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EB168" w14:textId="77777777" w:rsidR="00B526FB" w:rsidRDefault="00B526FB" w:rsidP="00B526FB">
      <w:r>
        <w:t>Historia del Dashboard Financiero – Enero 2022</w:t>
      </w:r>
    </w:p>
    <w:tbl>
      <w:tblPr>
        <w:tblStyle w:val="TableGrid"/>
        <w:tblW w:w="0" w:type="auto"/>
        <w:tblLook w:val="04A0" w:firstRow="1" w:lastRow="0" w:firstColumn="1" w:lastColumn="0" w:noHBand="0" w:noVBand="1"/>
      </w:tblPr>
      <w:tblGrid>
        <w:gridCol w:w="9016"/>
      </w:tblGrid>
      <w:tr w:rsidR="00190E6A" w14:paraId="279D90A9" w14:textId="77777777" w:rsidTr="00190E6A">
        <w:tc>
          <w:tcPr>
            <w:tcW w:w="9016" w:type="dxa"/>
          </w:tcPr>
          <w:p w14:paraId="511ED9FD" w14:textId="0D9C91AD" w:rsidR="00190E6A" w:rsidRDefault="00556BAE" w:rsidP="00190E6A">
            <w:pPr>
              <w:rPr>
                <w:b/>
                <w:bCs/>
              </w:rPr>
            </w:pPr>
            <w:r>
              <w:rPr>
                <w:b/>
                <w:bCs/>
                <w:noProof/>
              </w:rPr>
              <w:drawing>
                <wp:inline distT="0" distB="0" distL="0" distR="0" wp14:anchorId="4A8D4528" wp14:editId="392E19C5">
                  <wp:extent cx="5731510" cy="3228975"/>
                  <wp:effectExtent l="0" t="0" r="2540" b="9525"/>
                  <wp:docPr id="1465242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242567" name="Picture 1465242567"/>
                          <pic:cNvPicPr/>
                        </pic:nvPicPr>
                        <pic:blipFill>
                          <a:blip r:embed="rId5">
                            <a:extLst>
                              <a:ext uri="{28A0092B-C50C-407E-A947-70E740481C1C}">
                                <a14:useLocalDpi xmlns:a14="http://schemas.microsoft.com/office/drawing/2010/main" val="0"/>
                              </a:ext>
                            </a:extLst>
                          </a:blip>
                          <a:stretch>
                            <a:fillRect/>
                          </a:stretch>
                        </pic:blipFill>
                        <pic:spPr>
                          <a:xfrm>
                            <a:off x="0" y="0"/>
                            <a:ext cx="5731510" cy="3228975"/>
                          </a:xfrm>
                          <a:prstGeom prst="rect">
                            <a:avLst/>
                          </a:prstGeom>
                        </pic:spPr>
                      </pic:pic>
                    </a:graphicData>
                  </a:graphic>
                </wp:inline>
              </w:drawing>
            </w:r>
          </w:p>
        </w:tc>
      </w:tr>
    </w:tbl>
    <w:p w14:paraId="138853C9" w14:textId="77777777" w:rsidR="00190E6A" w:rsidRDefault="00190E6A" w:rsidP="00190E6A">
      <w:pPr>
        <w:rPr>
          <w:b/>
          <w:bCs/>
        </w:rPr>
      </w:pPr>
    </w:p>
    <w:p w14:paraId="05688631" w14:textId="77777777" w:rsidR="00556BAE" w:rsidRPr="00556BAE" w:rsidRDefault="00556BAE" w:rsidP="00556BAE">
      <w:pPr>
        <w:ind w:left="360"/>
        <w:rPr>
          <w:b/>
          <w:bCs/>
        </w:rPr>
      </w:pPr>
      <w:r w:rsidRPr="00556BAE">
        <w:rPr>
          <w:b/>
          <w:bCs/>
        </w:rPr>
        <w:t>Historia del Dashboard Financiero – Enero 2022</w:t>
      </w:r>
    </w:p>
    <w:p w14:paraId="15F0C6EB" w14:textId="77777777" w:rsidR="00556BAE" w:rsidRDefault="00556BAE" w:rsidP="00556BAE">
      <w:pPr>
        <w:ind w:left="360"/>
      </w:pPr>
    </w:p>
    <w:p w14:paraId="510BD2ED" w14:textId="77777777" w:rsidR="00556BAE" w:rsidRDefault="00556BAE" w:rsidP="00556BAE">
      <w:pPr>
        <w:ind w:left="360"/>
      </w:pPr>
      <w:r>
        <w:t>Propósito del Proyecto Este dashboard fue diseñado para ofrecer una visión integral del desempeño financiero de la empresa en enero de 2022, comparando resultados con el mismo periodo del año anterior. Su objetivo principal es facilitar decisiones estratégicas basadas en datos confiables, visualmente organizados y enfocados en rentabilidad, crecimiento y desempeño comercial.</w:t>
      </w:r>
    </w:p>
    <w:p w14:paraId="4DA7B8B8" w14:textId="77777777" w:rsidR="00556BAE" w:rsidRDefault="00556BAE" w:rsidP="00556BAE">
      <w:pPr>
        <w:ind w:left="360"/>
      </w:pPr>
    </w:p>
    <w:p w14:paraId="366656E4" w14:textId="77777777" w:rsidR="00556BAE" w:rsidRDefault="00556BAE" w:rsidP="00556BAE">
      <w:pPr>
        <w:ind w:left="360"/>
      </w:pPr>
      <w:r>
        <w:t>Evolución y Hallazgos Clave Durante enero, la empresa alcanzó ventas por RD$90.77M, superando en RD$15M las cifras del año anterior, lo que representa una variación positiva del 19.29%. Este crecimiento se tradujo en una utilidad de RD$33.53M y un margen del 36.94%, reflejando una gestión eficiente en costos y precios.</w:t>
      </w:r>
    </w:p>
    <w:p w14:paraId="0F203FD3" w14:textId="77777777" w:rsidR="00556BAE" w:rsidRDefault="00556BAE" w:rsidP="00556BAE">
      <w:pPr>
        <w:ind w:left="360"/>
      </w:pPr>
    </w:p>
    <w:p w14:paraId="633D30B5" w14:textId="77777777" w:rsidR="00556BAE" w:rsidRDefault="00556BAE" w:rsidP="00556BAE">
      <w:pPr>
        <w:ind w:left="360"/>
      </w:pPr>
      <w:r>
        <w:t>El análisis por vendedor revela desempeños sobresalientes, especialmente de Diego Mora Posada y Lina Cecilia Cardona, quienes lograron incrementos superiores a RD$7M respecto al año anterior. Destaca también Paula Andrea Arteaga, quien generó RD$6.17M en ventas sin registros previos, lo que sugiere una incorporación reciente con alto impacto.</w:t>
      </w:r>
    </w:p>
    <w:p w14:paraId="3D826C4A" w14:textId="77777777" w:rsidR="00556BAE" w:rsidRDefault="00556BAE" w:rsidP="00556BAE">
      <w:pPr>
        <w:ind w:left="360"/>
      </w:pPr>
    </w:p>
    <w:p w14:paraId="4F81393C" w14:textId="77777777" w:rsidR="00556BAE" w:rsidRDefault="00556BAE" w:rsidP="00556BAE">
      <w:pPr>
        <w:ind w:left="360"/>
      </w:pPr>
      <w:r>
        <w:lastRenderedPageBreak/>
        <w:t>En cuanto a productos, el segundo ítem lidera con RD$70.95M en ventas y una utilidad de RD$24.25M, consolidando su posición como motor financiero. Sin embargo, el producto con mayor margen fue el cuarto, alcanzando un impresionante 59.78%, lo que lo convierte en un referente de rentabilidad.</w:t>
      </w:r>
    </w:p>
    <w:p w14:paraId="2B7D9148" w14:textId="77777777" w:rsidR="00556BAE" w:rsidRDefault="00556BAE" w:rsidP="00556BAE">
      <w:pPr>
        <w:ind w:left="360"/>
      </w:pPr>
    </w:p>
    <w:p w14:paraId="0B3B52DF" w14:textId="77777777" w:rsidR="00556BAE" w:rsidRDefault="00556BAE" w:rsidP="00556BAE">
      <w:pPr>
        <w:ind w:left="360"/>
      </w:pPr>
      <w:r>
        <w:t>La segmentación por línea de producto muestra que “AC” domina con RD$24M, seguido por “FIT” y “POST”. Aunque “KIDS” presenta una leve caída del -1.2%, su volumen aún representa una oportunidad de mejora.</w:t>
      </w:r>
    </w:p>
    <w:p w14:paraId="7DE6F512" w14:textId="77777777" w:rsidR="00556BAE" w:rsidRDefault="00556BAE" w:rsidP="00556BAE">
      <w:pPr>
        <w:ind w:left="360"/>
      </w:pPr>
    </w:p>
    <w:p w14:paraId="11AA258D" w14:textId="2054BF5C" w:rsidR="00465419" w:rsidRPr="00465419" w:rsidRDefault="00556BAE" w:rsidP="00556BAE">
      <w:pPr>
        <w:ind w:left="360"/>
      </w:pPr>
      <w:r>
        <w:t>Valor Estratégico Este dashboard no solo cuantifica resultados, sino que revela patrones de comportamiento comercial, identifica oportunidades de mejora y reconoce el aporte individual de cada actor en la cadena de valor. Su estructura visual permite una lectura rápida y profunda, ideal para reuniones ejecutivas, análisis de desempeño y planificación comercial.</w:t>
      </w:r>
    </w:p>
    <w:p w14:paraId="6B4E6DD9" w14:textId="77777777" w:rsidR="00465419" w:rsidRDefault="00465419" w:rsidP="00B526FB"/>
    <w:p w14:paraId="790A6A85" w14:textId="71781A8D" w:rsidR="00B526FB" w:rsidRDefault="00190E6A" w:rsidP="00B526FB">
      <w:pPr>
        <w:rPr>
          <w:b/>
          <w:bCs/>
        </w:rPr>
      </w:pPr>
      <w:r w:rsidRPr="00190E6A">
        <w:rPr>
          <w:b/>
          <w:bCs/>
        </w:rPr>
        <w:t>Medidas Utilizadas</w:t>
      </w:r>
    </w:p>
    <w:tbl>
      <w:tblPr>
        <w:tblStyle w:val="TableGrid"/>
        <w:tblW w:w="0" w:type="auto"/>
        <w:tblLook w:val="04A0" w:firstRow="1" w:lastRow="0" w:firstColumn="1" w:lastColumn="0" w:noHBand="0" w:noVBand="1"/>
      </w:tblPr>
      <w:tblGrid>
        <w:gridCol w:w="2080"/>
        <w:gridCol w:w="6936"/>
      </w:tblGrid>
      <w:tr w:rsidR="00190E6A" w14:paraId="7747A819" w14:textId="77777777" w:rsidTr="00190E6A">
        <w:tc>
          <w:tcPr>
            <w:tcW w:w="2263" w:type="dxa"/>
          </w:tcPr>
          <w:p w14:paraId="4C1E5DB5" w14:textId="7E6B0E94" w:rsidR="00190E6A" w:rsidRDefault="00190E6A" w:rsidP="00B526FB">
            <w:pPr>
              <w:rPr>
                <w:b/>
                <w:bCs/>
              </w:rPr>
            </w:pPr>
            <w:r w:rsidRPr="00190E6A">
              <w:rPr>
                <w:b/>
                <w:bCs/>
              </w:rPr>
              <w:t>Diferencia$</w:t>
            </w:r>
          </w:p>
        </w:tc>
        <w:tc>
          <w:tcPr>
            <w:tcW w:w="6753" w:type="dxa"/>
          </w:tcPr>
          <w:p w14:paraId="43FDB64E" w14:textId="0D455132" w:rsidR="00190E6A" w:rsidRDefault="00190E6A" w:rsidP="00B526FB">
            <w:pPr>
              <w:rPr>
                <w:b/>
                <w:bCs/>
              </w:rPr>
            </w:pPr>
            <w:r w:rsidRPr="00190E6A">
              <w:rPr>
                <w:b/>
                <w:bCs/>
              </w:rPr>
              <w:t>=[Ventas] - [Venta Año Anterior]</w:t>
            </w:r>
          </w:p>
        </w:tc>
      </w:tr>
      <w:tr w:rsidR="00190E6A" w14:paraId="5A32E413" w14:textId="77777777" w:rsidTr="00190E6A">
        <w:tc>
          <w:tcPr>
            <w:tcW w:w="2263" w:type="dxa"/>
          </w:tcPr>
          <w:p w14:paraId="59E09079" w14:textId="799D8DD4" w:rsidR="00190E6A" w:rsidRPr="00190E6A" w:rsidRDefault="00190E6A" w:rsidP="00B526FB">
            <w:pPr>
              <w:rPr>
                <w:b/>
                <w:bCs/>
              </w:rPr>
            </w:pPr>
            <w:r w:rsidRPr="00190E6A">
              <w:rPr>
                <w:b/>
                <w:bCs/>
              </w:rPr>
              <w:t>Margen</w:t>
            </w:r>
            <w:r>
              <w:rPr>
                <w:b/>
                <w:bCs/>
              </w:rPr>
              <w:t>%</w:t>
            </w:r>
          </w:p>
        </w:tc>
        <w:tc>
          <w:tcPr>
            <w:tcW w:w="6753" w:type="dxa"/>
          </w:tcPr>
          <w:p w14:paraId="17134B0D" w14:textId="49B799FB" w:rsidR="00190E6A" w:rsidRPr="00190E6A" w:rsidRDefault="00190E6A" w:rsidP="00B526FB">
            <w:pPr>
              <w:rPr>
                <w:b/>
                <w:bCs/>
              </w:rPr>
            </w:pPr>
            <w:r w:rsidRPr="00190E6A">
              <w:rPr>
                <w:b/>
                <w:bCs/>
              </w:rPr>
              <w:t>=</w:t>
            </w:r>
            <w:r w:rsidRPr="00024448">
              <w:rPr>
                <w:b/>
                <w:bCs/>
                <w:color w:val="70AD47" w:themeColor="accent6"/>
              </w:rPr>
              <w:t>DIVIDE</w:t>
            </w:r>
            <w:r w:rsidRPr="00190E6A">
              <w:rPr>
                <w:b/>
                <w:bCs/>
              </w:rPr>
              <w:t>([MUtilidad];[Ventas])</w:t>
            </w:r>
          </w:p>
        </w:tc>
      </w:tr>
      <w:tr w:rsidR="00190E6A" w:rsidRPr="00556BAE" w14:paraId="50D74433" w14:textId="77777777" w:rsidTr="00190E6A">
        <w:tc>
          <w:tcPr>
            <w:tcW w:w="2263" w:type="dxa"/>
          </w:tcPr>
          <w:p w14:paraId="1A19EA66" w14:textId="68A31414" w:rsidR="00190E6A" w:rsidRPr="00190E6A" w:rsidRDefault="00190E6A" w:rsidP="00B526FB">
            <w:pPr>
              <w:rPr>
                <w:b/>
                <w:bCs/>
              </w:rPr>
            </w:pPr>
            <w:r w:rsidRPr="00190E6A">
              <w:rPr>
                <w:b/>
                <w:bCs/>
              </w:rPr>
              <w:t>Margen PY</w:t>
            </w:r>
          </w:p>
        </w:tc>
        <w:tc>
          <w:tcPr>
            <w:tcW w:w="6753" w:type="dxa"/>
          </w:tcPr>
          <w:p w14:paraId="6F41F816" w14:textId="7CA67F7F" w:rsidR="00190E6A" w:rsidRPr="00190E6A" w:rsidRDefault="00190E6A" w:rsidP="00B526FB">
            <w:pPr>
              <w:rPr>
                <w:b/>
                <w:bCs/>
                <w:lang w:val="en-US"/>
              </w:rPr>
            </w:pPr>
            <w:r w:rsidRPr="00190E6A">
              <w:rPr>
                <w:b/>
                <w:bCs/>
                <w:lang w:val="en-US"/>
              </w:rPr>
              <w:t>=</w:t>
            </w:r>
            <w:r w:rsidRPr="00024448">
              <w:rPr>
                <w:b/>
                <w:bCs/>
                <w:color w:val="70AD47" w:themeColor="accent6"/>
                <w:lang w:val="en-US"/>
              </w:rPr>
              <w:t>CALCULATE</w:t>
            </w:r>
            <w:r w:rsidRPr="00190E6A">
              <w:rPr>
                <w:b/>
                <w:bCs/>
                <w:lang w:val="en-US"/>
              </w:rPr>
              <w:t>([Margen];</w:t>
            </w:r>
            <w:r w:rsidRPr="00024448">
              <w:rPr>
                <w:b/>
                <w:bCs/>
                <w:color w:val="70AD47" w:themeColor="accent6"/>
                <w:lang w:val="en-US"/>
              </w:rPr>
              <w:t>SAMEPERIODLASTYEAR</w:t>
            </w:r>
            <w:r w:rsidRPr="00190E6A">
              <w:rPr>
                <w:b/>
                <w:bCs/>
                <w:lang w:val="en-US"/>
              </w:rPr>
              <w:t>('Calendar'[Date]))</w:t>
            </w:r>
          </w:p>
        </w:tc>
      </w:tr>
      <w:tr w:rsidR="00190E6A" w:rsidRPr="00465419" w14:paraId="42520441" w14:textId="77777777" w:rsidTr="00190E6A">
        <w:tc>
          <w:tcPr>
            <w:tcW w:w="2263" w:type="dxa"/>
          </w:tcPr>
          <w:p w14:paraId="52B531CF" w14:textId="5C2F9FA0" w:rsidR="00190E6A" w:rsidRPr="00190E6A" w:rsidRDefault="00465419" w:rsidP="00B526FB">
            <w:pPr>
              <w:rPr>
                <w:b/>
                <w:bCs/>
              </w:rPr>
            </w:pPr>
            <w:r w:rsidRPr="00465419">
              <w:rPr>
                <w:b/>
                <w:bCs/>
              </w:rPr>
              <w:t>MCantidad</w:t>
            </w:r>
          </w:p>
        </w:tc>
        <w:tc>
          <w:tcPr>
            <w:tcW w:w="6753" w:type="dxa"/>
          </w:tcPr>
          <w:p w14:paraId="0C44B149" w14:textId="18EBC556" w:rsidR="00190E6A" w:rsidRPr="00465419" w:rsidRDefault="00465419" w:rsidP="00B526FB">
            <w:pPr>
              <w:rPr>
                <w:b/>
                <w:bCs/>
              </w:rPr>
            </w:pPr>
            <w:r w:rsidRPr="00465419">
              <w:rPr>
                <w:b/>
                <w:bCs/>
              </w:rPr>
              <w:t>=</w:t>
            </w:r>
            <w:r w:rsidRPr="00024448">
              <w:rPr>
                <w:b/>
                <w:bCs/>
                <w:color w:val="70AD47" w:themeColor="accent6"/>
              </w:rPr>
              <w:t>SUM</w:t>
            </w:r>
            <w:r w:rsidRPr="00465419">
              <w:rPr>
                <w:b/>
                <w:bCs/>
              </w:rPr>
              <w:t>(Tb_Origen_Dato[Cantidad])</w:t>
            </w:r>
          </w:p>
        </w:tc>
      </w:tr>
      <w:tr w:rsidR="00465419" w:rsidRPr="00465419" w14:paraId="40C28226" w14:textId="77777777" w:rsidTr="00190E6A">
        <w:tc>
          <w:tcPr>
            <w:tcW w:w="2263" w:type="dxa"/>
          </w:tcPr>
          <w:p w14:paraId="5AA31055" w14:textId="368CD6EC" w:rsidR="00465419" w:rsidRPr="00465419" w:rsidRDefault="00465419" w:rsidP="00B526FB">
            <w:pPr>
              <w:rPr>
                <w:b/>
                <w:bCs/>
              </w:rPr>
            </w:pPr>
            <w:r w:rsidRPr="00465419">
              <w:rPr>
                <w:b/>
                <w:bCs/>
              </w:rPr>
              <w:t>MCostos</w:t>
            </w:r>
          </w:p>
        </w:tc>
        <w:tc>
          <w:tcPr>
            <w:tcW w:w="6753" w:type="dxa"/>
          </w:tcPr>
          <w:p w14:paraId="3CB682BE" w14:textId="072269F5" w:rsidR="00465419" w:rsidRPr="00465419" w:rsidRDefault="00465419" w:rsidP="00B526FB">
            <w:pPr>
              <w:rPr>
                <w:b/>
                <w:bCs/>
              </w:rPr>
            </w:pPr>
            <w:r w:rsidRPr="00465419">
              <w:rPr>
                <w:b/>
                <w:bCs/>
              </w:rPr>
              <w:t>=</w:t>
            </w:r>
            <w:r w:rsidRPr="00024448">
              <w:rPr>
                <w:b/>
                <w:bCs/>
                <w:color w:val="70AD47" w:themeColor="accent6"/>
              </w:rPr>
              <w:t>SUM</w:t>
            </w:r>
            <w:r w:rsidRPr="00465419">
              <w:rPr>
                <w:b/>
                <w:bCs/>
              </w:rPr>
              <w:t>(Tb_Origen_Dato[Costos])</w:t>
            </w:r>
          </w:p>
        </w:tc>
      </w:tr>
      <w:tr w:rsidR="00465419" w:rsidRPr="00465419" w14:paraId="48CA0F73" w14:textId="77777777" w:rsidTr="00190E6A">
        <w:tc>
          <w:tcPr>
            <w:tcW w:w="2263" w:type="dxa"/>
          </w:tcPr>
          <w:p w14:paraId="1FD85003" w14:textId="4BE62ED4" w:rsidR="00465419" w:rsidRPr="00465419" w:rsidRDefault="00465419" w:rsidP="00B526FB">
            <w:pPr>
              <w:rPr>
                <w:b/>
                <w:bCs/>
              </w:rPr>
            </w:pPr>
            <w:r w:rsidRPr="00465419">
              <w:rPr>
                <w:b/>
                <w:bCs/>
              </w:rPr>
              <w:t>MUtilidad</w:t>
            </w:r>
          </w:p>
        </w:tc>
        <w:tc>
          <w:tcPr>
            <w:tcW w:w="6753" w:type="dxa"/>
          </w:tcPr>
          <w:p w14:paraId="48824627" w14:textId="5BA27985" w:rsidR="00465419" w:rsidRPr="00465419" w:rsidRDefault="00465419" w:rsidP="00B526FB">
            <w:pPr>
              <w:rPr>
                <w:b/>
                <w:bCs/>
              </w:rPr>
            </w:pPr>
            <w:r w:rsidRPr="00465419">
              <w:rPr>
                <w:b/>
                <w:bCs/>
              </w:rPr>
              <w:t>=[Ventas] - [MCostos]</w:t>
            </w:r>
          </w:p>
        </w:tc>
      </w:tr>
      <w:tr w:rsidR="00024448" w:rsidRPr="00465419" w14:paraId="0D36D1C5" w14:textId="77777777" w:rsidTr="00190E6A">
        <w:tc>
          <w:tcPr>
            <w:tcW w:w="2263" w:type="dxa"/>
          </w:tcPr>
          <w:p w14:paraId="269C0700" w14:textId="5CDBF0E3" w:rsidR="00024448" w:rsidRPr="00465419" w:rsidRDefault="00024448" w:rsidP="00B526FB">
            <w:pPr>
              <w:rPr>
                <w:b/>
                <w:bCs/>
              </w:rPr>
            </w:pPr>
            <w:r w:rsidRPr="00024448">
              <w:rPr>
                <w:b/>
                <w:bCs/>
              </w:rPr>
              <w:t>Precio Unit</w:t>
            </w:r>
          </w:p>
        </w:tc>
        <w:tc>
          <w:tcPr>
            <w:tcW w:w="6753" w:type="dxa"/>
          </w:tcPr>
          <w:p w14:paraId="4AC546B8" w14:textId="2BB1CE2D" w:rsidR="00024448" w:rsidRPr="00465419" w:rsidRDefault="00024448" w:rsidP="00B526FB">
            <w:pPr>
              <w:rPr>
                <w:b/>
                <w:bCs/>
              </w:rPr>
            </w:pPr>
            <w:r w:rsidRPr="00024448">
              <w:rPr>
                <w:b/>
                <w:bCs/>
              </w:rPr>
              <w:t>=</w:t>
            </w:r>
            <w:r w:rsidRPr="00024448">
              <w:rPr>
                <w:b/>
                <w:bCs/>
                <w:color w:val="70AD47" w:themeColor="accent6"/>
              </w:rPr>
              <w:t>DIVIDE</w:t>
            </w:r>
            <w:r w:rsidRPr="00024448">
              <w:rPr>
                <w:b/>
                <w:bCs/>
              </w:rPr>
              <w:t>([Ventas];[MCantidad])</w:t>
            </w:r>
          </w:p>
        </w:tc>
      </w:tr>
      <w:tr w:rsidR="00024448" w:rsidRPr="00465419" w14:paraId="6C610796" w14:textId="77777777" w:rsidTr="00190E6A">
        <w:tc>
          <w:tcPr>
            <w:tcW w:w="2263" w:type="dxa"/>
          </w:tcPr>
          <w:p w14:paraId="6047AF00" w14:textId="0BEFC3EF" w:rsidR="00024448" w:rsidRPr="00024448" w:rsidRDefault="00024448" w:rsidP="00B526FB">
            <w:pPr>
              <w:rPr>
                <w:b/>
                <w:bCs/>
              </w:rPr>
            </w:pPr>
            <w:r w:rsidRPr="00024448">
              <w:rPr>
                <w:b/>
                <w:bCs/>
              </w:rPr>
              <w:t>Utilidad Año Anterior</w:t>
            </w:r>
          </w:p>
        </w:tc>
        <w:tc>
          <w:tcPr>
            <w:tcW w:w="6753" w:type="dxa"/>
          </w:tcPr>
          <w:p w14:paraId="39116BCA" w14:textId="5DB95300" w:rsidR="00024448" w:rsidRPr="00024448" w:rsidRDefault="00024448" w:rsidP="00B526FB">
            <w:pPr>
              <w:rPr>
                <w:b/>
                <w:bCs/>
              </w:rPr>
            </w:pPr>
            <w:r w:rsidRPr="00024448">
              <w:rPr>
                <w:b/>
                <w:bCs/>
              </w:rPr>
              <w:t>=</w:t>
            </w:r>
            <w:r w:rsidRPr="00024448">
              <w:rPr>
                <w:b/>
                <w:bCs/>
                <w:color w:val="70AD47" w:themeColor="accent6"/>
              </w:rPr>
              <w:t>CALCULATE</w:t>
            </w:r>
            <w:r w:rsidRPr="00024448">
              <w:rPr>
                <w:b/>
                <w:bCs/>
              </w:rPr>
              <w:t>([MUtilidad];</w:t>
            </w:r>
            <w:r w:rsidRPr="00024448">
              <w:rPr>
                <w:b/>
                <w:bCs/>
                <w:color w:val="70AD47" w:themeColor="accent6"/>
              </w:rPr>
              <w:t>SAMEPERIODLASTYEAR</w:t>
            </w:r>
            <w:r w:rsidRPr="00024448">
              <w:rPr>
                <w:b/>
                <w:bCs/>
              </w:rPr>
              <w:t>('Calendar'[Date]))</w:t>
            </w:r>
          </w:p>
        </w:tc>
      </w:tr>
      <w:tr w:rsidR="00024448" w:rsidRPr="00465419" w14:paraId="0B703F0E" w14:textId="77777777" w:rsidTr="00190E6A">
        <w:tc>
          <w:tcPr>
            <w:tcW w:w="2263" w:type="dxa"/>
          </w:tcPr>
          <w:p w14:paraId="62E9A861" w14:textId="363BC7A8" w:rsidR="00024448" w:rsidRPr="00024448" w:rsidRDefault="00024448" w:rsidP="00B526FB">
            <w:pPr>
              <w:rPr>
                <w:b/>
                <w:bCs/>
              </w:rPr>
            </w:pPr>
            <w:r w:rsidRPr="00024448">
              <w:rPr>
                <w:b/>
                <w:bCs/>
              </w:rPr>
              <w:t>Variacion%</w:t>
            </w:r>
          </w:p>
        </w:tc>
        <w:tc>
          <w:tcPr>
            <w:tcW w:w="6753" w:type="dxa"/>
          </w:tcPr>
          <w:p w14:paraId="38ED8767" w14:textId="51798146" w:rsidR="00024448" w:rsidRPr="00024448" w:rsidRDefault="00024448" w:rsidP="00B526FB">
            <w:pPr>
              <w:rPr>
                <w:b/>
                <w:bCs/>
              </w:rPr>
            </w:pPr>
            <w:r w:rsidRPr="00024448">
              <w:rPr>
                <w:b/>
                <w:bCs/>
              </w:rPr>
              <w:t>=</w:t>
            </w:r>
            <w:r w:rsidRPr="00024448">
              <w:rPr>
                <w:b/>
                <w:bCs/>
                <w:color w:val="70AD47" w:themeColor="accent6"/>
              </w:rPr>
              <w:t>DIVIDE</w:t>
            </w:r>
            <w:r w:rsidRPr="00024448">
              <w:rPr>
                <w:b/>
                <w:bCs/>
              </w:rPr>
              <w:t>([Ventas];[Venta Año Anterior]) -1</w:t>
            </w:r>
          </w:p>
        </w:tc>
      </w:tr>
      <w:tr w:rsidR="00024448" w:rsidRPr="00465419" w14:paraId="2C719AA0" w14:textId="77777777" w:rsidTr="00190E6A">
        <w:tc>
          <w:tcPr>
            <w:tcW w:w="2263" w:type="dxa"/>
          </w:tcPr>
          <w:p w14:paraId="12E96194" w14:textId="26BA603B" w:rsidR="00024448" w:rsidRPr="00024448" w:rsidRDefault="00024448" w:rsidP="00B526FB">
            <w:pPr>
              <w:rPr>
                <w:b/>
                <w:bCs/>
              </w:rPr>
            </w:pPr>
            <w:r w:rsidRPr="00024448">
              <w:rPr>
                <w:b/>
                <w:bCs/>
              </w:rPr>
              <w:t>Venta Año Anterior</w:t>
            </w:r>
          </w:p>
        </w:tc>
        <w:tc>
          <w:tcPr>
            <w:tcW w:w="6753" w:type="dxa"/>
          </w:tcPr>
          <w:p w14:paraId="1E51352C" w14:textId="24A97CF7" w:rsidR="00024448" w:rsidRPr="00024448" w:rsidRDefault="00024448" w:rsidP="00B526FB">
            <w:pPr>
              <w:rPr>
                <w:b/>
                <w:bCs/>
              </w:rPr>
            </w:pPr>
            <w:r w:rsidRPr="00024448">
              <w:rPr>
                <w:b/>
                <w:bCs/>
              </w:rPr>
              <w:t>=</w:t>
            </w:r>
            <w:r w:rsidRPr="00024448">
              <w:rPr>
                <w:b/>
                <w:bCs/>
                <w:color w:val="70AD47" w:themeColor="accent6"/>
              </w:rPr>
              <w:t>CALCULATE</w:t>
            </w:r>
            <w:r w:rsidRPr="00024448">
              <w:rPr>
                <w:b/>
                <w:bCs/>
              </w:rPr>
              <w:t>([Ventas];</w:t>
            </w:r>
            <w:r w:rsidRPr="00024448">
              <w:rPr>
                <w:b/>
                <w:bCs/>
                <w:color w:val="70AD47" w:themeColor="accent6"/>
              </w:rPr>
              <w:t>SAMEPERIODLASTYEAR</w:t>
            </w:r>
            <w:r w:rsidRPr="00024448">
              <w:rPr>
                <w:b/>
                <w:bCs/>
              </w:rPr>
              <w:t>('Calendar'[Date]))</w:t>
            </w:r>
          </w:p>
        </w:tc>
      </w:tr>
      <w:tr w:rsidR="00024448" w:rsidRPr="00465419" w14:paraId="7E29CB84" w14:textId="77777777" w:rsidTr="00190E6A">
        <w:tc>
          <w:tcPr>
            <w:tcW w:w="2263" w:type="dxa"/>
          </w:tcPr>
          <w:p w14:paraId="6DCDF025" w14:textId="37701971" w:rsidR="00024448" w:rsidRPr="00024448" w:rsidRDefault="00024448" w:rsidP="00B526FB">
            <w:pPr>
              <w:rPr>
                <w:b/>
                <w:bCs/>
              </w:rPr>
            </w:pPr>
            <w:r w:rsidRPr="00024448">
              <w:rPr>
                <w:b/>
                <w:bCs/>
              </w:rPr>
              <w:t>Ventas</w:t>
            </w:r>
          </w:p>
        </w:tc>
        <w:tc>
          <w:tcPr>
            <w:tcW w:w="6753" w:type="dxa"/>
          </w:tcPr>
          <w:p w14:paraId="10829F66" w14:textId="706192CA" w:rsidR="00024448" w:rsidRPr="00024448" w:rsidRDefault="00024448" w:rsidP="00B526FB">
            <w:pPr>
              <w:rPr>
                <w:b/>
                <w:bCs/>
              </w:rPr>
            </w:pPr>
            <w:r w:rsidRPr="00024448">
              <w:rPr>
                <w:b/>
                <w:bCs/>
              </w:rPr>
              <w:t>=</w:t>
            </w:r>
            <w:r w:rsidRPr="00024448">
              <w:rPr>
                <w:b/>
                <w:bCs/>
                <w:color w:val="70AD47" w:themeColor="accent6"/>
              </w:rPr>
              <w:t>SUM</w:t>
            </w:r>
            <w:r w:rsidRPr="00024448">
              <w:rPr>
                <w:b/>
                <w:bCs/>
              </w:rPr>
              <w:t>(Tb_Origen_Dato[Venta])</w:t>
            </w:r>
          </w:p>
        </w:tc>
      </w:tr>
      <w:tr w:rsidR="00024448" w:rsidRPr="00465419" w14:paraId="43FE00E6" w14:textId="77777777" w:rsidTr="00190E6A">
        <w:tc>
          <w:tcPr>
            <w:tcW w:w="2263" w:type="dxa"/>
          </w:tcPr>
          <w:p w14:paraId="098D3E6B" w14:textId="77777777" w:rsidR="00024448" w:rsidRPr="00024448" w:rsidRDefault="00024448" w:rsidP="00B526FB">
            <w:pPr>
              <w:rPr>
                <w:b/>
                <w:bCs/>
              </w:rPr>
            </w:pPr>
          </w:p>
        </w:tc>
        <w:tc>
          <w:tcPr>
            <w:tcW w:w="6753" w:type="dxa"/>
          </w:tcPr>
          <w:p w14:paraId="0AA05588" w14:textId="55B36C76" w:rsidR="00024448" w:rsidRPr="00024448" w:rsidRDefault="00556BAE" w:rsidP="00B526FB">
            <w:pPr>
              <w:rPr>
                <w:b/>
                <w:bCs/>
              </w:rPr>
            </w:pPr>
            <w:r>
              <w:rPr>
                <w:noProof/>
              </w:rPr>
              <w:drawing>
                <wp:inline distT="0" distB="0" distL="0" distR="0" wp14:anchorId="5F54C71A" wp14:editId="6180B7C4">
                  <wp:extent cx="4219575" cy="3070016"/>
                  <wp:effectExtent l="0" t="0" r="0" b="0"/>
                  <wp:docPr id="1854481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481463" name=""/>
                          <pic:cNvPicPr/>
                        </pic:nvPicPr>
                        <pic:blipFill>
                          <a:blip r:embed="rId6"/>
                          <a:stretch>
                            <a:fillRect/>
                          </a:stretch>
                        </pic:blipFill>
                        <pic:spPr>
                          <a:xfrm>
                            <a:off x="0" y="0"/>
                            <a:ext cx="4239687" cy="3084649"/>
                          </a:xfrm>
                          <a:prstGeom prst="rect">
                            <a:avLst/>
                          </a:prstGeom>
                        </pic:spPr>
                      </pic:pic>
                    </a:graphicData>
                  </a:graphic>
                </wp:inline>
              </w:drawing>
            </w:r>
          </w:p>
        </w:tc>
      </w:tr>
    </w:tbl>
    <w:p w14:paraId="304F09B1" w14:textId="77777777" w:rsidR="00190E6A" w:rsidRPr="00465419" w:rsidRDefault="00190E6A" w:rsidP="00B526FB">
      <w:pPr>
        <w:rPr>
          <w:b/>
          <w:bCs/>
        </w:rPr>
      </w:pPr>
    </w:p>
    <w:p w14:paraId="16DFF6E2" w14:textId="77777777" w:rsidR="00465419" w:rsidRPr="00465419" w:rsidRDefault="00465419" w:rsidP="00465419">
      <w:pPr>
        <w:rPr>
          <w:b/>
          <w:bCs/>
        </w:rPr>
      </w:pPr>
      <w:r w:rsidRPr="00465419">
        <w:rPr>
          <w:b/>
          <w:bCs/>
        </w:rPr>
        <w:t>Conclusión</w:t>
      </w:r>
    </w:p>
    <w:p w14:paraId="290EEA56" w14:textId="3BB8C793" w:rsidR="00465419" w:rsidRPr="00465419" w:rsidRDefault="00465419" w:rsidP="00465419">
      <w:r w:rsidRPr="00465419">
        <w:t>Este dashboard es más que una herramienta de visualización: es una plataforma estratégica que transforma datos en decisiones. ha logrado convertir su información financiera en una historia de crecimiento, eficiencia y liderazgo comercial. Es un ejemplo de cómo el análisis visual puede empoderar a las organizaciones para alcanzar sus metas con claridad y precisión.</w:t>
      </w:r>
    </w:p>
    <w:p w14:paraId="494BB046" w14:textId="406FC261" w:rsidR="001A77B0" w:rsidRDefault="001A77B0" w:rsidP="00B526FB"/>
    <w:sectPr w:rsidR="001A7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C637C"/>
    <w:multiLevelType w:val="multilevel"/>
    <w:tmpl w:val="BDBE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771387"/>
    <w:multiLevelType w:val="multilevel"/>
    <w:tmpl w:val="B440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BC7497"/>
    <w:multiLevelType w:val="multilevel"/>
    <w:tmpl w:val="47EC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235100">
    <w:abstractNumId w:val="1"/>
  </w:num>
  <w:num w:numId="2" w16cid:durableId="1963144728">
    <w:abstractNumId w:val="0"/>
  </w:num>
  <w:num w:numId="3" w16cid:durableId="3459860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7B0"/>
    <w:rsid w:val="00024448"/>
    <w:rsid w:val="00190E6A"/>
    <w:rsid w:val="001A77B0"/>
    <w:rsid w:val="00465419"/>
    <w:rsid w:val="0048216E"/>
    <w:rsid w:val="00556BAE"/>
    <w:rsid w:val="0060703B"/>
    <w:rsid w:val="009C6DB6"/>
    <w:rsid w:val="00B526FB"/>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713E4"/>
  <w15:chartTrackingRefBased/>
  <w15:docId w15:val="{FE1987F2-BB9F-4283-8D05-1FF0C102A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D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7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77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77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77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77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77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77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77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77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7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77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77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77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77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77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77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77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77B0"/>
    <w:rPr>
      <w:rFonts w:eastAsiaTheme="majorEastAsia" w:cstheme="majorBidi"/>
      <w:color w:val="272727" w:themeColor="text1" w:themeTint="D8"/>
    </w:rPr>
  </w:style>
  <w:style w:type="paragraph" w:styleId="Title">
    <w:name w:val="Title"/>
    <w:basedOn w:val="Normal"/>
    <w:next w:val="Normal"/>
    <w:link w:val="TitleChar"/>
    <w:uiPriority w:val="10"/>
    <w:qFormat/>
    <w:rsid w:val="001A77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7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77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77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77B0"/>
    <w:pPr>
      <w:spacing w:before="160"/>
      <w:jc w:val="center"/>
    </w:pPr>
    <w:rPr>
      <w:i/>
      <w:iCs/>
      <w:color w:val="404040" w:themeColor="text1" w:themeTint="BF"/>
    </w:rPr>
  </w:style>
  <w:style w:type="character" w:customStyle="1" w:styleId="QuoteChar">
    <w:name w:val="Quote Char"/>
    <w:basedOn w:val="DefaultParagraphFont"/>
    <w:link w:val="Quote"/>
    <w:uiPriority w:val="29"/>
    <w:rsid w:val="001A77B0"/>
    <w:rPr>
      <w:i/>
      <w:iCs/>
      <w:color w:val="404040" w:themeColor="text1" w:themeTint="BF"/>
    </w:rPr>
  </w:style>
  <w:style w:type="paragraph" w:styleId="ListParagraph">
    <w:name w:val="List Paragraph"/>
    <w:basedOn w:val="Normal"/>
    <w:uiPriority w:val="34"/>
    <w:qFormat/>
    <w:rsid w:val="001A77B0"/>
    <w:pPr>
      <w:ind w:left="720"/>
      <w:contextualSpacing/>
    </w:pPr>
  </w:style>
  <w:style w:type="character" w:styleId="IntenseEmphasis">
    <w:name w:val="Intense Emphasis"/>
    <w:basedOn w:val="DefaultParagraphFont"/>
    <w:uiPriority w:val="21"/>
    <w:qFormat/>
    <w:rsid w:val="001A77B0"/>
    <w:rPr>
      <w:i/>
      <w:iCs/>
      <w:color w:val="2F5496" w:themeColor="accent1" w:themeShade="BF"/>
    </w:rPr>
  </w:style>
  <w:style w:type="paragraph" w:styleId="IntenseQuote">
    <w:name w:val="Intense Quote"/>
    <w:basedOn w:val="Normal"/>
    <w:next w:val="Normal"/>
    <w:link w:val="IntenseQuoteChar"/>
    <w:uiPriority w:val="30"/>
    <w:qFormat/>
    <w:rsid w:val="001A77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77B0"/>
    <w:rPr>
      <w:i/>
      <w:iCs/>
      <w:color w:val="2F5496" w:themeColor="accent1" w:themeShade="BF"/>
    </w:rPr>
  </w:style>
  <w:style w:type="character" w:styleId="IntenseReference">
    <w:name w:val="Intense Reference"/>
    <w:basedOn w:val="DefaultParagraphFont"/>
    <w:uiPriority w:val="32"/>
    <w:qFormat/>
    <w:rsid w:val="001A77B0"/>
    <w:rPr>
      <w:b/>
      <w:bCs/>
      <w:smallCaps/>
      <w:color w:val="2F5496" w:themeColor="accent1" w:themeShade="BF"/>
      <w:spacing w:val="5"/>
    </w:rPr>
  </w:style>
  <w:style w:type="table" w:styleId="TableGrid">
    <w:name w:val="Table Grid"/>
    <w:basedOn w:val="TableNormal"/>
    <w:uiPriority w:val="39"/>
    <w:rsid w:val="00190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457</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castillo castillo</dc:creator>
  <cp:keywords/>
  <dc:description/>
  <cp:lastModifiedBy>roberto castillo castillo</cp:lastModifiedBy>
  <cp:revision>7</cp:revision>
  <dcterms:created xsi:type="dcterms:W3CDTF">2025-08-20T17:30:00Z</dcterms:created>
  <dcterms:modified xsi:type="dcterms:W3CDTF">2025-08-20T19:11:00Z</dcterms:modified>
</cp:coreProperties>
</file>