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4E79"/>
          <w:sz w:val="60"/>
          <w:szCs w:val="60"/>
        </w:rPr>
        <w:t xml:space="preserve">GUIDE FONCTIONNEL</w:t>
      </w:r>
    </w:p>
    <w:p>
      <w:pPr>
        <w:spacing w:after="120"/>
        <w:jc w:val="center"/>
      </w:pPr>
      <w:r>
        <w:rPr>
          <w:b/>
          <w:bCs/>
          <w:sz w:val="34"/>
          <w:szCs w:val="34"/>
        </w:rPr>
        <w:t xml:space="preserve">Plateforme KYC — KYC Portal v3.0</w:t>
      </w:r>
    </w:p>
    <w:p>
      <w:pPr>
        <w:spacing w:after="600"/>
        <w:jc w:val="center"/>
      </w:pPr>
      <w:r>
        <w:rPr>
          <w:color w:val="555555"/>
          <w:sz w:val="26"/>
          <w:szCs w:val="26"/>
        </w:rPr>
        <w:t xml:space="preserve">BOA Group — Fiabilisation des données KYC</w:t>
      </w:r>
    </w:p>
    <w:p>
      <w:pPr>
        <w:spacing w:after="100"/>
        <w:jc w:val="center"/>
      </w:pPr>
      <w:r>
        <w:rPr>
          <w:sz w:val="22"/>
          <w:szCs w:val="22"/>
        </w:rPr>
        <w:t xml:space="preserve">Public : utilisateurs métier et administrateurs / support</w:t>
      </w:r>
    </w:p>
    <w:p>
      <w:pPr>
        <w:spacing w:after="100"/>
        <w:jc w:val="center"/>
      </w:pPr>
      <w:r>
        <w:rPr>
          <w:sz w:val="22"/>
          <w:szCs w:val="22"/>
        </w:rPr>
        <w:t xml:space="preserve">Version du document : 1.0</w:t>
      </w:r>
    </w:p>
    <w:p>
      <w:pPr>
        <w:spacing w:after="100"/>
        <w:jc w:val="center"/>
      </w:pPr>
      <w:r>
        <w:rPr>
          <w:sz w:val="22"/>
          <w:szCs w:val="22"/>
        </w:rPr>
        <w:t xml:space="preserve">Date : septembre 2026</w:t>
      </w:r>
    </w:p>
    <w:p>
      <w:pPr>
        <w:spacing w:after="100"/>
        <w:jc w:val="center"/>
      </w:pPr>
      <w:r>
        <w:rPr>
          <w:i/>
          <w:iCs/>
          <w:sz w:val="22"/>
          <w:szCs w:val="22"/>
        </w:rPr>
        <w:t xml:space="preserve">Diffusion : interne — confidentiel</w:t>
      </w:r>
    </w:p>
    <w:p>
      <w:r>
        <w:br w:type="page"/>
      </w:r>
    </w:p>
    <w:p>
      <w:pPr>
        <w:pStyle w:val="Heading1"/>
        <w:spacing w:after="160"/>
      </w:pPr>
      <w:r>
        <w:rPr>
          <w:b/>
          <w:bCs/>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spacing w:before="120"/>
      </w:pPr>
      <w:r>
        <w:rPr>
          <w:i/>
          <w:iCs/>
          <w:color w:val="555555"/>
          <w:sz w:val="18"/>
          <w:szCs w:val="18"/>
        </w:rPr>
        <w:t xml:space="preserve">Astuce : sous Word, clic droit sur le sommaire → « Mettre à jour les champs » pour recalculer la pagination après insertion des captures.</w:t>
      </w:r>
    </w:p>
    <w:p>
      <w:r>
        <w:br w:type="page"/>
      </w:r>
    </w:p>
    <w:p>
      <w:pPr>
        <w:pStyle w:val="Heading1"/>
        <w:spacing w:after="160" w:before="360"/>
      </w:pPr>
      <w:r>
        <w:rPr>
          <w:b/>
          <w:bCs/>
        </w:rPr>
        <w:t xml:space="preserve">Comment lire ce guide</w:t>
      </w:r>
    </w:p>
    <w:p>
      <w:pPr>
        <w:spacing w:after="120" w:line="300"/>
        <w:jc w:val="both"/>
      </w:pPr>
      <w:r>
        <w:rPr>
          <w:i w:val="false"/>
          <w:iCs w:val="false"/>
        </w:rPr>
        <w:t xml:space="preserve">Ce guide décrit, écran par écran, l'ensemble des fonctions de la plateforme KYC. Il couvre deux usages :</w:t>
      </w:r>
    </w:p>
    <w:p>
      <w:pPr>
        <w:pStyle w:val="ListParagraph"/>
        <w:numPr>
          <w:ilvl w:val="0"/>
          <w:numId w:val="2"/>
        </w:numPr>
        <w:spacing w:after="80" w:line="290"/>
      </w:pPr>
      <w:r>
        <w:rPr>
          <w:b/>
          <w:bCs/>
        </w:rPr>
        <w:t xml:space="preserve">Partie utilisateur métier (chap. 1 à 6). </w:t>
      </w:r>
      <w:r>
        <w:t xml:space="preserve">Consultation des tableaux de bord qualité, suivi des champs non renseignés, notations d'agents, conformité (PPE, comptes spécifiques) et screening documentaire.</w:t>
      </w:r>
    </w:p>
    <w:p>
      <w:pPr>
        <w:pStyle w:val="ListParagraph"/>
        <w:numPr>
          <w:ilvl w:val="0"/>
          <w:numId w:val="2"/>
        </w:numPr>
        <w:spacing w:after="80" w:line="290"/>
      </w:pPr>
      <w:r>
        <w:rPr>
          <w:b/>
          <w:bCs/>
        </w:rPr>
        <w:t xml:space="preserve">Partie administration / support (chap. 7 à 10). </w:t>
      </w:r>
      <w:r>
        <w:t xml:space="preserve">Gestion des comptes et des habilitations, moteur de règles de qualité, configuration des filiales et des champs KYC, rappels de scoring, pilotage, audit, traitements automatiques quotidiens.</w:t>
      </w:r>
    </w:p>
    <w:tbl>
      <w:tblPr>
        <w:tblW w:type="dxa" w:w="9360"/>
        <w:tblBorders>
          <w:top w:val="single" w:color="1F4E79" w:sz="4"/>
          <w:left w:val="single" w:color="1F4E79" w:sz="18"/>
          <w:bottom w:val="single" w:color="1F4E79" w:sz="4"/>
          <w:right w:val="single" w:color="1F4E79" w:sz="4"/>
          <w:insideH w:val="single" w:color="1F4E79" w:sz="4"/>
          <w:insideV w:val="single" w:color="1F4E79" w:sz="4"/>
        </w:tblBorders>
      </w:tblPr>
      <w:tblGrid>
        <w:gridCol w:w="9360"/>
      </w:tblGrid>
      <w:tr>
        <w:tc>
          <w:tcPr>
            <w:tcW w:type="dxa" w:w="9360"/>
            <w:shd w:fill="EAF2FB" w:color="auto" w:val="clear"/>
            <w:tcMar>
              <w:top w:type="dxa" w:w="120"/>
              <w:left w:type="dxa" w:w="160"/>
              <w:bottom w:type="dxa" w:w="120"/>
              <w:right w:type="dxa" w:w="160"/>
            </w:tcMar>
          </w:tcPr>
          <w:p>
            <w:pPr>
              <w:spacing w:line="290"/>
            </w:pPr>
            <w:r>
              <w:rPr>
                <w:b/>
                <w:bCs/>
                <w:color w:val="1F4E79"/>
              </w:rPr>
              <w:t xml:space="preserve">Emplacements de captures — </w:t>
            </w:r>
            <w:r>
              <w:t xml:space="preserve">Chaque écran comporte un cadre jaune « CAPTURE D'ÉCRAN à insérer ». Remplacez ce cadre par la copie d'écran correspondante (menu Insertion → Images dans Word), en conservant la légende située en dessous.</w:t>
            </w:r>
          </w:p>
        </w:tc>
      </w:tr>
    </w:tbl>
    <w:tbl>
      <w:tblPr>
        <w:tblW w:type="dxa" w:w="9360"/>
        <w:tblBorders>
          <w:top w:val="single" w:color="8A6D00" w:sz="4"/>
          <w:left w:val="single" w:color="8A6D00" w:sz="18"/>
          <w:bottom w:val="single" w:color="8A6D00" w:sz="4"/>
          <w:right w:val="single" w:color="8A6D00" w:sz="4"/>
          <w:insideH w:val="single" w:color="8A6D00" w:sz="4"/>
          <w:insideV w:val="single" w:color="8A6D00" w:sz="4"/>
        </w:tblBorders>
      </w:tblPr>
      <w:tblGrid>
        <w:gridCol w:w="9360"/>
      </w:tblGrid>
      <w:tr>
        <w:tc>
          <w:tcPr>
            <w:tcW w:type="dxa" w:w="9360"/>
            <w:shd w:fill="FFF4E5" w:color="auto" w:val="clear"/>
            <w:tcMar>
              <w:top w:type="dxa" w:w="120"/>
              <w:left w:type="dxa" w:w="160"/>
              <w:bottom w:type="dxa" w:w="120"/>
              <w:right w:type="dxa" w:w="160"/>
            </w:tcMar>
          </w:tcPr>
          <w:p>
            <w:pPr>
              <w:spacing w:line="290"/>
            </w:pPr>
            <w:r>
              <w:rPr>
                <w:b/>
                <w:bCs/>
                <w:color w:val="8A6D00"/>
              </w:rPr>
              <w:t xml:space="preserve">Périmètre (scope) — </w:t>
            </w:r>
            <w:r>
              <w:t xml:space="preserve">Tout le contenu affiché est filtré par le périmètre effectif de l'utilisateur connecté (groupe / filiale / agence / chargé de client). Deux utilisateurs de niveaux différents ne voient donc pas les mêmes chiffres ni les mêmes entrées de menu.</w:t>
            </w:r>
          </w:p>
        </w:tc>
      </w:tr>
    </w:tbl>
    <w:p>
      <w:r>
        <w:br w:type="page"/>
      </w:r>
    </w:p>
    <w:p>
      <w:pPr>
        <w:pStyle w:val="Heading1"/>
        <w:spacing w:after="160" w:before="360"/>
      </w:pPr>
      <w:r>
        <w:rPr>
          <w:b/>
          <w:bCs/>
        </w:rPr>
        <w:t xml:space="preserve">1. Présentation générale</w:t>
      </w:r>
    </w:p>
    <w:p>
      <w:pPr>
        <w:pStyle w:val="Heading2"/>
        <w:spacing w:after="120" w:before="260"/>
      </w:pPr>
      <w:r>
        <w:rPr>
          <w:b/>
          <w:bCs/>
        </w:rPr>
        <w:t xml:space="preserve">1.1 Objet de la plateforme</w:t>
      </w:r>
    </w:p>
    <w:p>
      <w:pPr>
        <w:spacing w:after="120" w:line="300"/>
        <w:jc w:val="both"/>
      </w:pPr>
      <w:r>
        <w:rPr>
          <w:i w:val="false"/>
          <w:iCs w:val="false"/>
        </w:rPr>
        <w:t xml:space="preserve">La plateforme KYC (« KYC Portal v3.0 ») centralise le pilotage de la qualité des données de connaissance client (Know Your Customer) pour les filiales du groupe BOA. Elle s'appuie sur deux référentiels : les particuliers (Kyc_pp, environ 1,1 million de lignes) et les personnes morales (Kyc_pm).</w:t>
      </w:r>
    </w:p>
    <w:p>
      <w:pPr>
        <w:spacing w:after="120" w:line="300"/>
        <w:jc w:val="both"/>
      </w:pPr>
      <w:r>
        <w:rPr>
          <w:i w:val="false"/>
          <w:iCs w:val="false"/>
        </w:rPr>
        <w:t xml:space="preserve">Elle permet notamment de :</w:t>
      </w:r>
    </w:p>
    <w:p>
      <w:pPr>
        <w:pStyle w:val="ListParagraph"/>
        <w:numPr>
          <w:ilvl w:val="0"/>
          <w:numId w:val="2"/>
        </w:numPr>
        <w:spacing w:after="80" w:line="290"/>
      </w:pPr>
      <w:r>
        <w:t xml:space="preserve">suivre les taux de complétude et de qualité des données, en stock et en flux, par filiale, agence et chargé de client ;</w:t>
      </w:r>
    </w:p>
    <w:p>
      <w:pPr>
        <w:pStyle w:val="ListParagraph"/>
        <w:numPr>
          <w:ilvl w:val="0"/>
          <w:numId w:val="2"/>
        </w:numPr>
        <w:spacing w:after="80" w:line="290"/>
      </w:pPr>
      <w:r>
        <w:t xml:space="preserve">identifier les clients dont des champs obligatoires sont non renseignés ou en anomalie ;</w:t>
      </w:r>
    </w:p>
    <w:p>
      <w:pPr>
        <w:pStyle w:val="ListParagraph"/>
        <w:numPr>
          <w:ilvl w:val="0"/>
          <w:numId w:val="2"/>
        </w:numPr>
        <w:spacing w:after="80" w:line="290"/>
      </w:pPr>
      <w:r>
        <w:t xml:space="preserve">noter les agents sur la qualité de saisie et suivre l'appréciation globale ;</w:t>
      </w:r>
    </w:p>
    <w:p>
      <w:pPr>
        <w:pStyle w:val="ListParagraph"/>
        <w:numPr>
          <w:ilvl w:val="0"/>
          <w:numId w:val="2"/>
        </w:numPr>
        <w:spacing w:after="80" w:line="290"/>
      </w:pPr>
      <w:r>
        <w:t xml:space="preserve">gérer la conformité : personnes politiquement exposées (PPE), comptes en devise, non-résidents ;</w:t>
      </w:r>
    </w:p>
    <w:p>
      <w:pPr>
        <w:pStyle w:val="ListParagraph"/>
        <w:numPr>
          <w:ilvl w:val="0"/>
          <w:numId w:val="2"/>
        </w:numPr>
        <w:spacing w:after="80" w:line="290"/>
      </w:pPr>
      <w:r>
        <w:t xml:space="preserve">réaliser le screening documentaire (extraction OCR d'une pièce d'identité puis rapprochement avec la fiche client) ;</w:t>
      </w:r>
    </w:p>
    <w:p>
      <w:pPr>
        <w:pStyle w:val="ListParagraph"/>
        <w:numPr>
          <w:ilvl w:val="0"/>
          <w:numId w:val="2"/>
        </w:numPr>
        <w:spacing w:after="80" w:line="290"/>
      </w:pPr>
      <w:r>
        <w:t xml:space="preserve">administrer les règles de qualité, les habilitations, la configuration des filiales et les rappels de révision (DATEREV).</w:t>
      </w:r>
    </w:p>
    <w:p>
      <w:pPr>
        <w:pStyle w:val="Heading2"/>
        <w:spacing w:after="120" w:before="260"/>
      </w:pPr>
      <w:r>
        <w:rPr>
          <w:b/>
          <w:bCs/>
        </w:rPr>
        <w:t xml:space="preserve">1.2 Publics et rôles</w:t>
      </w:r>
    </w:p>
    <w:p>
      <w:pPr>
        <w:spacing w:after="120" w:line="300"/>
        <w:jc w:val="both"/>
      </w:pPr>
      <w:r>
        <w:rPr>
          <w:i w:val="false"/>
          <w:iCs w:val="false"/>
        </w:rPr>
        <w:t xml:space="preserve">Le rôle fonctionnel d'un utilisateur est dérivé de son organe de rattachement. Le périmètre effectif prend l'une des valeurs suivantes :</w:t>
      </w:r>
    </w:p>
    <w:tbl>
      <w:tblPr>
        <w:tblW w:type="dxa" w:w="9360"/>
        <w:tblBorders>
          <w:top w:val="single" w:color="AAAAAA" w:sz="3"/>
          <w:left w:val="single" w:color="AAAAAA" w:sz="3"/>
          <w:bottom w:val="single" w:color="AAAAAA" w:sz="3"/>
          <w:right w:val="single" w:color="AAAAAA" w:sz="3"/>
          <w:insideH w:val="single" w:color="AAAAAA" w:sz="3"/>
          <w:insideV w:val="single" w:color="AAAAAA" w:sz="3"/>
        </w:tblBorders>
      </w:tblPr>
      <w:tblGrid>
        <w:gridCol w:w="1700"/>
        <w:gridCol w:w="3600"/>
        <w:gridCol w:w="4060"/>
      </w:tblGrid>
      <w:tr>
        <w:trPr>
          <w:tblHeader/>
        </w:trPr>
        <w:tc>
          <w:tcPr>
            <w:tcW w:type="dxa" w:w="1700"/>
            <w:shd w:fill="1F4E79" w:color="auto" w:val="clear"/>
            <w:tcMar>
              <w:top w:type="dxa" w:w="60"/>
              <w:left w:type="dxa" w:w="100"/>
              <w:bottom w:type="dxa" w:w="60"/>
              <w:right w:type="dxa" w:w="100"/>
            </w:tcMar>
          </w:tcPr>
          <w:p>
            <w:r>
              <w:rPr>
                <w:b/>
                <w:bCs/>
                <w:color w:val="FFFFFF"/>
                <w:sz w:val="18"/>
                <w:szCs w:val="18"/>
              </w:rPr>
              <w:t xml:space="preserve">Niveau</w:t>
            </w:r>
          </w:p>
        </w:tc>
        <w:tc>
          <w:tcPr>
            <w:tcW w:type="dxa" w:w="3600"/>
            <w:shd w:fill="1F4E79" w:color="auto" w:val="clear"/>
            <w:tcMar>
              <w:top w:type="dxa" w:w="60"/>
              <w:left w:type="dxa" w:w="100"/>
              <w:bottom w:type="dxa" w:w="60"/>
              <w:right w:type="dxa" w:w="100"/>
            </w:tcMar>
          </w:tcPr>
          <w:p>
            <w:r>
              <w:rPr>
                <w:b/>
                <w:bCs/>
                <w:color w:val="FFFFFF"/>
                <w:sz w:val="18"/>
                <w:szCs w:val="18"/>
              </w:rPr>
              <w:t xml:space="preserve">Organe(s) typique(s)</w:t>
            </w:r>
          </w:p>
        </w:tc>
        <w:tc>
          <w:tcPr>
            <w:tcW w:type="dxa" w:w="4060"/>
            <w:shd w:fill="1F4E79" w:color="auto" w:val="clear"/>
            <w:tcMar>
              <w:top w:type="dxa" w:w="60"/>
              <w:left w:type="dxa" w:w="100"/>
              <w:bottom w:type="dxa" w:w="60"/>
              <w:right w:type="dxa" w:w="100"/>
            </w:tcMar>
          </w:tcPr>
          <w:p>
            <w:r>
              <w:rPr>
                <w:b/>
                <w:bCs/>
                <w:color w:val="FFFFFF"/>
                <w:sz w:val="18"/>
                <w:szCs w:val="18"/>
              </w:rPr>
              <w:t xml:space="preserve">Ce que l'utilisateur voit</w:t>
            </w:r>
          </w:p>
        </w:tc>
      </w:tr>
      <w:tr>
        <w:tc>
          <w:tcPr>
            <w:tcW w:type="dxa" w:w="1700"/>
            <w:shd w:fill="FFFFFF" w:color="auto" w:val="clear"/>
            <w:tcMar>
              <w:top w:type="dxa" w:w="60"/>
              <w:left w:type="dxa" w:w="100"/>
              <w:bottom w:type="dxa" w:w="60"/>
              <w:right w:type="dxa" w:w="100"/>
            </w:tcMar>
          </w:tcPr>
          <w:p>
            <w:r>
              <w:rPr>
                <w:sz w:val="18"/>
                <w:szCs w:val="18"/>
              </w:rPr>
              <w:t xml:space="preserve">Groupe / Zone</w:t>
            </w:r>
          </w:p>
        </w:tc>
        <w:tc>
          <w:tcPr>
            <w:tcW w:type="dxa" w:w="3600"/>
            <w:shd w:fill="FFFFFF" w:color="auto" w:val="clear"/>
            <w:tcMar>
              <w:top w:type="dxa" w:w="60"/>
              <w:left w:type="dxa" w:w="100"/>
              <w:bottom w:type="dxa" w:w="60"/>
              <w:right w:type="dxa" w:w="100"/>
            </w:tcMar>
          </w:tcPr>
          <w:p>
            <w:r>
              <w:rPr>
                <w:sz w:val="18"/>
                <w:szCs w:val="18"/>
              </w:rPr>
              <w:t xml:space="preserve">Organes groupe, zone, PASS</w:t>
            </w:r>
          </w:p>
        </w:tc>
        <w:tc>
          <w:tcPr>
            <w:tcW w:type="dxa" w:w="4060"/>
            <w:shd w:fill="FFFFFF" w:color="auto" w:val="clear"/>
            <w:tcMar>
              <w:top w:type="dxa" w:w="60"/>
              <w:left w:type="dxa" w:w="100"/>
              <w:bottom w:type="dxa" w:w="60"/>
              <w:right w:type="dxa" w:w="100"/>
            </w:tcMar>
          </w:tcPr>
          <w:p>
            <w:r>
              <w:rPr>
                <w:sz w:val="18"/>
                <w:szCs w:val="18"/>
              </w:rPr>
              <w:t xml:space="preserve">Toutes les filiales du périmètre</w:t>
            </w:r>
          </w:p>
        </w:tc>
      </w:tr>
      <w:tr>
        <w:tc>
          <w:tcPr>
            <w:tcW w:type="dxa" w:w="1700"/>
            <w:shd w:fill="F2F5F9" w:color="auto" w:val="clear"/>
            <w:tcMar>
              <w:top w:type="dxa" w:w="60"/>
              <w:left w:type="dxa" w:w="100"/>
              <w:bottom w:type="dxa" w:w="60"/>
              <w:right w:type="dxa" w:w="100"/>
            </w:tcMar>
          </w:tcPr>
          <w:p>
            <w:r>
              <w:rPr>
                <w:sz w:val="18"/>
                <w:szCs w:val="18"/>
              </w:rPr>
              <w:t xml:space="preserve">Filiale</w:t>
            </w:r>
          </w:p>
        </w:tc>
        <w:tc>
          <w:tcPr>
            <w:tcW w:type="dxa" w:w="3600"/>
            <w:shd w:fill="F2F5F9" w:color="auto" w:val="clear"/>
            <w:tcMar>
              <w:top w:type="dxa" w:w="60"/>
              <w:left w:type="dxa" w:w="100"/>
              <w:bottom w:type="dxa" w:w="60"/>
              <w:right w:type="dxa" w:w="100"/>
            </w:tcMar>
          </w:tcPr>
          <w:p>
            <w:r>
              <w:rPr>
                <w:sz w:val="18"/>
                <w:szCs w:val="18"/>
              </w:rPr>
              <w:t xml:space="preserve">Conformité, Contrôle Permanent, Qualité, Risques, DAI, DSI, Directeur Réseau</w:t>
            </w:r>
          </w:p>
        </w:tc>
        <w:tc>
          <w:tcPr>
            <w:tcW w:type="dxa" w:w="4060"/>
            <w:shd w:fill="F2F5F9" w:color="auto" w:val="clear"/>
            <w:tcMar>
              <w:top w:type="dxa" w:w="60"/>
              <w:left w:type="dxa" w:w="100"/>
              <w:bottom w:type="dxa" w:w="60"/>
              <w:right w:type="dxa" w:w="100"/>
            </w:tcMar>
          </w:tcPr>
          <w:p>
            <w:r>
              <w:rPr>
                <w:sz w:val="18"/>
                <w:szCs w:val="18"/>
              </w:rPr>
              <w:t xml:space="preserve">Une filiale entière (toutes agences)</w:t>
            </w:r>
          </w:p>
        </w:tc>
      </w:tr>
      <w:tr>
        <w:tc>
          <w:tcPr>
            <w:tcW w:type="dxa" w:w="1700"/>
            <w:shd w:fill="FFFFFF" w:color="auto" w:val="clear"/>
            <w:tcMar>
              <w:top w:type="dxa" w:w="60"/>
              <w:left w:type="dxa" w:w="100"/>
              <w:bottom w:type="dxa" w:w="60"/>
              <w:right w:type="dxa" w:w="100"/>
            </w:tcMar>
          </w:tcPr>
          <w:p>
            <w:r>
              <w:rPr>
                <w:sz w:val="18"/>
                <w:szCs w:val="18"/>
              </w:rPr>
              <w:t xml:space="preserve">Agence</w:t>
            </w:r>
          </w:p>
        </w:tc>
        <w:tc>
          <w:tcPr>
            <w:tcW w:type="dxa" w:w="3600"/>
            <w:shd w:fill="FFFFFF" w:color="auto" w:val="clear"/>
            <w:tcMar>
              <w:top w:type="dxa" w:w="60"/>
              <w:left w:type="dxa" w:w="100"/>
              <w:bottom w:type="dxa" w:w="60"/>
              <w:right w:type="dxa" w:w="100"/>
            </w:tcMar>
          </w:tcPr>
          <w:p>
            <w:r>
              <w:rPr>
                <w:sz w:val="18"/>
                <w:szCs w:val="18"/>
              </w:rPr>
              <w:t xml:space="preserve">Directeur Agence</w:t>
            </w:r>
          </w:p>
        </w:tc>
        <w:tc>
          <w:tcPr>
            <w:tcW w:type="dxa" w:w="4060"/>
            <w:shd w:fill="FFFFFF" w:color="auto" w:val="clear"/>
            <w:tcMar>
              <w:top w:type="dxa" w:w="60"/>
              <w:left w:type="dxa" w:w="100"/>
              <w:bottom w:type="dxa" w:w="60"/>
              <w:right w:type="dxa" w:w="100"/>
            </w:tcMar>
          </w:tcPr>
          <w:p>
            <w:r>
              <w:rPr>
                <w:sz w:val="18"/>
                <w:szCs w:val="18"/>
              </w:rPr>
              <w:t xml:space="preserve">Une seule agence de la filiale</w:t>
            </w:r>
          </w:p>
        </w:tc>
      </w:tr>
      <w:tr>
        <w:tc>
          <w:tcPr>
            <w:tcW w:type="dxa" w:w="1700"/>
            <w:shd w:fill="F2F5F9" w:color="auto" w:val="clear"/>
            <w:tcMar>
              <w:top w:type="dxa" w:w="60"/>
              <w:left w:type="dxa" w:w="100"/>
              <w:bottom w:type="dxa" w:w="60"/>
              <w:right w:type="dxa" w:w="100"/>
            </w:tcMar>
          </w:tcPr>
          <w:p>
            <w:r>
              <w:rPr>
                <w:sz w:val="18"/>
                <w:szCs w:val="18"/>
              </w:rPr>
              <w:t xml:space="preserve">Chargé de client</w:t>
            </w:r>
          </w:p>
        </w:tc>
        <w:tc>
          <w:tcPr>
            <w:tcW w:type="dxa" w:w="3600"/>
            <w:shd w:fill="F2F5F9" w:color="auto" w:val="clear"/>
            <w:tcMar>
              <w:top w:type="dxa" w:w="60"/>
              <w:left w:type="dxa" w:w="100"/>
              <w:bottom w:type="dxa" w:w="60"/>
              <w:right w:type="dxa" w:w="100"/>
            </w:tcMar>
          </w:tcPr>
          <w:p>
            <w:r>
              <w:rPr>
                <w:sz w:val="18"/>
                <w:szCs w:val="18"/>
              </w:rPr>
              <w:t xml:space="preserve">Chargé Client</w:t>
            </w:r>
          </w:p>
        </w:tc>
        <w:tc>
          <w:tcPr>
            <w:tcW w:type="dxa" w:w="4060"/>
            <w:shd w:fill="F2F5F9" w:color="auto" w:val="clear"/>
            <w:tcMar>
              <w:top w:type="dxa" w:w="60"/>
              <w:left w:type="dxa" w:w="100"/>
              <w:bottom w:type="dxa" w:w="60"/>
              <w:right w:type="dxa" w:w="100"/>
            </w:tcMar>
          </w:tcPr>
          <w:p>
            <w:r>
              <w:rPr>
                <w:sz w:val="18"/>
                <w:szCs w:val="18"/>
              </w:rPr>
              <w:t xml:space="preserve">Uniquement son portefeuille (code exploitant)</w:t>
            </w:r>
          </w:p>
        </w:tc>
      </w:tr>
    </w:tbl>
    <w:p>
      <w:pPr>
        <w:pStyle w:val="Heading2"/>
        <w:spacing w:after="120" w:before="260"/>
      </w:pPr>
      <w:r>
        <w:rPr>
          <w:b/>
          <w:bCs/>
        </w:rPr>
        <w:t xml:space="preserve">1.3 Périmètre (scope) et couches d'habilitation</w:t>
      </w:r>
    </w:p>
    <w:p>
      <w:pPr>
        <w:spacing w:after="120" w:line="300"/>
        <w:jc w:val="both"/>
      </w:pPr>
      <w:r>
        <w:rPr>
          <w:i w:val="false"/>
          <w:iCs w:val="false"/>
        </w:rPr>
        <w:t xml:space="preserve">Trois couches se cumulent pour déterminer ce qu'un utilisateur peut voir et faire :</w:t>
      </w:r>
    </w:p>
    <w:p>
      <w:pPr>
        <w:pStyle w:val="ListParagraph"/>
        <w:numPr>
          <w:ilvl w:val="0"/>
          <w:numId w:val="2"/>
        </w:numPr>
        <w:spacing w:after="80" w:line="290"/>
      </w:pPr>
      <w:r>
        <w:rPr>
          <w:b/>
          <w:bCs/>
        </w:rPr>
        <w:t xml:space="preserve">SidebarAccess (par organe). </w:t>
      </w:r>
      <w:r>
        <w:t xml:space="preserve">Visibilité de chaque entrée de menu. En l'absence de ligne dédiée, un jeu de droits historique est appliqué par défaut.</w:t>
      </w:r>
    </w:p>
    <w:p>
      <w:pPr>
        <w:pStyle w:val="ListParagraph"/>
        <w:numPr>
          <w:ilvl w:val="0"/>
          <w:numId w:val="2"/>
        </w:numPr>
        <w:spacing w:after="80" w:line="290"/>
      </w:pPr>
      <w:r>
        <w:rPr>
          <w:b/>
          <w:bCs/>
        </w:rPr>
        <w:t xml:space="preserve">KycScreeningAccess (par organe). </w:t>
      </w:r>
      <w:r>
        <w:t xml:space="preserve">Accès aux onglets du Screening KYC ID, au chargement de lots et au lancement du rapprochement.</w:t>
      </w:r>
    </w:p>
    <w:p>
      <w:pPr>
        <w:pStyle w:val="ListParagraph"/>
        <w:numPr>
          <w:ilvl w:val="0"/>
          <w:numId w:val="2"/>
        </w:numPr>
        <w:spacing w:after="80" w:line="290"/>
      </w:pPr>
      <w:r>
        <w:rPr>
          <w:b/>
          <w:bCs/>
        </w:rPr>
        <w:t xml:space="preserve">FilialeModuleConfig / KycFieldVisibilityConfig. </w:t>
      </w:r>
      <w:r>
        <w:t xml:space="preserve">Modules et champs KYC activés filiale par filiale.</w:t>
      </w:r>
    </w:p>
    <w:tbl>
      <w:tblPr>
        <w:tblW w:type="dxa" w:w="9360"/>
        <w:tblBorders>
          <w:top w:val="single" w:color="8A6D00" w:sz="4"/>
          <w:left w:val="single" w:color="8A6D00" w:sz="18"/>
          <w:bottom w:val="single" w:color="8A6D00" w:sz="4"/>
          <w:right w:val="single" w:color="8A6D00" w:sz="4"/>
          <w:insideH w:val="single" w:color="8A6D00" w:sz="4"/>
          <w:insideV w:val="single" w:color="8A6D00" w:sz="4"/>
        </w:tblBorders>
      </w:tblPr>
      <w:tblGrid>
        <w:gridCol w:w="9360"/>
      </w:tblGrid>
      <w:tr>
        <w:tc>
          <w:tcPr>
            <w:tcW w:type="dxa" w:w="9360"/>
            <w:shd w:fill="FFF4E5" w:color="auto" w:val="clear"/>
            <w:tcMar>
              <w:top w:type="dxa" w:w="120"/>
              <w:left w:type="dxa" w:w="160"/>
              <w:bottom w:type="dxa" w:w="120"/>
              <w:right w:type="dxa" w:w="160"/>
            </w:tcMar>
          </w:tcPr>
          <w:p>
            <w:pPr>
              <w:spacing w:line="290"/>
            </w:pPr>
            <w:r>
              <w:rPr>
                <w:b/>
                <w:bCs/>
                <w:color w:val="8A6D00"/>
              </w:rPr>
              <w:t xml:space="preserve">Comptes superutilisateur — </w:t>
            </w:r>
            <w:r>
              <w:t xml:space="preserve">Un compte superutilisateur voit tout : il ne doit jamais servir à valider une configuration d'habilitation (le résultat serait faussement permissif).</w:t>
            </w:r>
          </w:p>
        </w:tc>
      </w:tr>
    </w:tbl>
    <w:p>
      <w:pPr>
        <w:pStyle w:val="Heading2"/>
        <w:spacing w:after="120" w:before="260"/>
      </w:pPr>
      <w:r>
        <w:rPr>
          <w:b/>
          <w:bCs/>
        </w:rPr>
        <w:t xml:space="preserve">1.4 Navigation générale</w:t>
      </w:r>
    </w:p>
    <w:p>
      <w:pPr>
        <w:spacing w:after="120" w:line="300"/>
        <w:jc w:val="both"/>
      </w:pPr>
      <w:r>
        <w:rPr>
          <w:i w:val="false"/>
          <w:iCs w:val="false"/>
        </w:rPr>
        <w:t xml:space="preserve">Une fois connecté, l'écran se compose d'une barre latérale gauche et d'une zone de contenu principale.</w:t>
      </w:r>
    </w:p>
    <w:p>
      <w:pPr>
        <w:pStyle w:val="ListParagraph"/>
        <w:numPr>
          <w:ilvl w:val="0"/>
          <w:numId w:val="2"/>
        </w:numPr>
        <w:spacing w:after="80" w:line="290"/>
      </w:pPr>
      <w:r>
        <w:rPr>
          <w:b/>
          <w:bCs/>
        </w:rPr>
        <w:t xml:space="preserve">Carte profil (en haut de la barre). </w:t>
      </w:r>
      <w:r>
        <w:t xml:space="preserve">Initiales, nom, organe, filiale (avec drapeau) et agence. Un clic ouvre la page profil.</w:t>
      </w:r>
    </w:p>
    <w:p>
      <w:pPr>
        <w:pStyle w:val="ListParagraph"/>
        <w:numPr>
          <w:ilvl w:val="0"/>
          <w:numId w:val="2"/>
        </w:numPr>
        <w:spacing w:after="80" w:line="290"/>
      </w:pPr>
      <w:r>
        <w:rPr>
          <w:b/>
          <w:bCs/>
        </w:rPr>
        <w:t xml:space="preserve">Bandeau d'appréciation. </w:t>
      </w:r>
      <w:r>
        <w:t xml:space="preserve">Affiche l'appréciation globale du trimestre (Bon / Moyen / Faible) ou, à défaut, la dernière note de flux (Très Bien, Bien, Passable, Insuffisant).</w:t>
      </w:r>
    </w:p>
    <w:p>
      <w:pPr>
        <w:pStyle w:val="ListParagraph"/>
        <w:numPr>
          <w:ilvl w:val="0"/>
          <w:numId w:val="2"/>
        </w:numPr>
        <w:spacing w:after="80" w:line="290"/>
      </w:pPr>
      <w:r>
        <w:rPr>
          <w:b/>
          <w:bCs/>
        </w:rPr>
        <w:t xml:space="preserve">Menu par sections. </w:t>
      </w:r>
      <w:r>
        <w:t xml:space="preserve">« Analyse &amp; Suivi », « Notations », « Conformité », « Administration ». Chaque entrée n'apparaît que si l'habilitation correspondante est accordée.</w:t>
      </w:r>
    </w:p>
    <w:p>
      <w:pPr>
        <w:pStyle w:val="ListParagraph"/>
        <w:numPr>
          <w:ilvl w:val="0"/>
          <w:numId w:val="2"/>
        </w:numPr>
        <w:spacing w:after="80" w:line="290"/>
      </w:pPr>
      <w:r>
        <w:rPr>
          <w:b/>
          <w:bCs/>
        </w:rPr>
        <w:t xml:space="preserve">Sélecteur de langue FR / EN. </w:t>
      </w:r>
      <w:r>
        <w:t xml:space="preserve">En bas de la barre ; bascule immédiate de l'interface.</w:t>
      </w:r>
    </w:p>
    <w:p>
      <w:pPr>
        <w:pStyle w:val="ListParagraph"/>
        <w:numPr>
          <w:ilvl w:val="0"/>
          <w:numId w:val="2"/>
        </w:numPr>
        <w:spacing w:after="80" w:line="290"/>
      </w:pPr>
      <w:r>
        <w:rPr>
          <w:b/>
          <w:bCs/>
        </w:rPr>
        <w:t xml:space="preserve">Déconnexion. </w:t>
      </w:r>
      <w:r>
        <w:t xml:space="preserve">Bouton rouge en bas de la barre latérale.</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Écran d'accueil connecté : barre latérale complète + zone de contenu</w:t>
            </w:r>
          </w:p>
          <w:p>
            <w:pPr>
              <w:spacing w:after="40"/>
              <w:jc w:val="center"/>
            </w:pPr>
            <w:r>
              <w:rPr>
                <w:i/>
                <w:iCs/>
                <w:color w:val="555555"/>
                <w:sz w:val="18"/>
                <w:szCs w:val="18"/>
              </w:rPr>
              <w:t xml:space="preserve">Accès : Toute page après connexion</w:t>
            </w:r>
          </w:p>
          <w:p>
            <w:pPr>
              <w:jc w:val="center"/>
            </w:pPr>
            <w:r>
              <w:rPr>
                <w:i/>
                <w:iCs/>
                <w:color w:val="555555"/>
                <w:sz w:val="18"/>
                <w:szCs w:val="18"/>
              </w:rPr>
              <w:t xml:space="preserve">Cadrer la barre latérale entière (carte profil, bandeau d'appréciation, sections de menu, sélecteur FR/EN).</w:t>
            </w:r>
          </w:p>
        </w:tc>
      </w:tr>
    </w:tbl>
    <w:p>
      <w:r>
        <w:br w:type="page"/>
      </w:r>
    </w:p>
    <w:p>
      <w:pPr>
        <w:pStyle w:val="Heading1"/>
        <w:spacing w:after="160" w:before="360"/>
      </w:pPr>
      <w:r>
        <w:rPr>
          <w:b/>
          <w:bCs/>
        </w:rPr>
        <w:t xml:space="preserve">2. Connexion et compte utilisateur</w:t>
      </w:r>
    </w:p>
    <w:p>
      <w:pPr>
        <w:pStyle w:val="Heading2"/>
        <w:spacing w:after="120" w:before="260"/>
      </w:pPr>
      <w:r>
        <w:rPr>
          <w:b/>
          <w:bCs/>
        </w:rPr>
        <w:t xml:space="preserve">2.1 Se connecter</w:t>
      </w:r>
    </w:p>
    <w:p>
      <w:pPr>
        <w:pStyle w:val="ListParagraph"/>
        <w:numPr>
          <w:ilvl w:val="0"/>
          <w:numId w:val="3"/>
        </w:numPr>
        <w:spacing w:after="80" w:line="290"/>
      </w:pPr>
      <w:r>
        <w:t xml:space="preserve">Ouvrir l'URL de la plateforme dans un navigateur récent (Chrome, Edge, Firefox).</w:t>
      </w:r>
    </w:p>
    <w:p>
      <w:pPr>
        <w:pStyle w:val="ListParagraph"/>
        <w:numPr>
          <w:ilvl w:val="0"/>
          <w:numId w:val="3"/>
        </w:numPr>
        <w:spacing w:after="80" w:line="290"/>
      </w:pPr>
      <w:r>
        <w:t xml:space="preserve">Saisir l'adresse courriel professionnelle et le mot de passe.</w:t>
      </w:r>
    </w:p>
    <w:p>
      <w:pPr>
        <w:pStyle w:val="ListParagraph"/>
        <w:numPr>
          <w:ilvl w:val="0"/>
          <w:numId w:val="3"/>
        </w:numPr>
        <w:spacing w:after="80" w:line="290"/>
      </w:pPr>
      <w:r>
        <w:t xml:space="preserve">Valider. En cas d'identifiants incorrects, le message « Adresse courriel ou mot de passe invalide » s'affiche.</w:t>
      </w:r>
    </w:p>
    <w:p>
      <w:pPr>
        <w:pStyle w:val="ListParagraph"/>
        <w:numPr>
          <w:ilvl w:val="0"/>
          <w:numId w:val="3"/>
        </w:numPr>
        <w:spacing w:after="80" w:line="290"/>
      </w:pPr>
      <w:r>
        <w:t xml:space="preserve">À la première connexion réussie, l'utilisateur est redirigé vers sa page profil.</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Page de connexion</w:t>
            </w:r>
          </w:p>
          <w:p>
            <w:pPr>
              <w:spacing w:after="40"/>
              <w:jc w:val="center"/>
            </w:pPr>
            <w:r>
              <w:rPr>
                <w:i/>
                <w:iCs/>
                <w:color w:val="555555"/>
                <w:sz w:val="18"/>
                <w:szCs w:val="18"/>
              </w:rPr>
              <w:t xml:space="preserve">Accès : URL racine de la plateforme</w:t>
            </w:r>
          </w:p>
          <w:p>
            <w:pPr>
              <w:jc w:val="center"/>
            </w:pPr>
            <w:r>
              <w:rPr>
                <w:i/>
                <w:iCs/>
                <w:color w:val="555555"/>
                <w:sz w:val="18"/>
                <w:szCs w:val="18"/>
              </w:rPr>
              <w:t xml:space="preserve">Formulaire e-mail + mot de passe, lien « Mot de passe oublié ».</w:t>
            </w:r>
          </w:p>
        </w:tc>
      </w:tr>
    </w:tbl>
    <w:p>
      <w:pPr>
        <w:pStyle w:val="Heading2"/>
        <w:spacing w:after="120" w:before="260"/>
      </w:pPr>
      <w:r>
        <w:rPr>
          <w:b/>
          <w:bCs/>
        </w:rPr>
        <w:t xml:space="preserve">2.2 Changement de mot de passe obligatoire (première connexion)</w:t>
      </w:r>
    </w:p>
    <w:p>
      <w:pPr>
        <w:spacing w:after="120" w:line="300"/>
        <w:jc w:val="both"/>
      </w:pPr>
      <w:r>
        <w:rPr>
          <w:i w:val="false"/>
          <w:iCs w:val="false"/>
        </w:rPr>
        <w:t xml:space="preserve">Si le compte est marqué « force_password_change » (compte créé par un administrateur), l'utilisateur est dirigé vers un écran de définition de nouveau mot de passe avant tout accès. Après validation, il est connecté automatiquement et l'indicateur est levé.</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Écran « Définir un nouveau mot de passe »</w:t>
            </w:r>
          </w:p>
          <w:p>
            <w:pPr>
              <w:spacing w:after="40"/>
              <w:jc w:val="center"/>
            </w:pPr>
            <w:r>
              <w:rPr>
                <w:i/>
                <w:iCs/>
                <w:color w:val="555555"/>
                <w:sz w:val="18"/>
                <w:szCs w:val="18"/>
              </w:rPr>
              <w:t xml:space="preserve">Accès : Redirection automatique à la première connexion</w:t>
            </w:r>
          </w:p>
          <w:p>
            <w:pPr>
              <w:jc w:val="center"/>
            </w:pPr>
            <w:r>
              <w:rPr>
                <w:i/>
                <w:iCs/>
                <w:color w:val="555555"/>
                <w:sz w:val="18"/>
                <w:szCs w:val="18"/>
              </w:rPr>
              <w:t xml:space="preserve">Champs « Nouveau mot de passe » et « Confirmation ».</w:t>
            </w:r>
          </w:p>
        </w:tc>
      </w:tr>
    </w:tbl>
    <w:p>
      <w:pPr>
        <w:pStyle w:val="Heading2"/>
        <w:spacing w:after="120" w:before="260"/>
      </w:pPr>
      <w:r>
        <w:rPr>
          <w:b/>
          <w:bCs/>
        </w:rPr>
        <w:t xml:space="preserve">2.3 Mot de passe oublié</w:t>
      </w:r>
    </w:p>
    <w:p>
      <w:pPr>
        <w:pStyle w:val="ListParagraph"/>
        <w:numPr>
          <w:ilvl w:val="0"/>
          <w:numId w:val="4"/>
        </w:numPr>
        <w:spacing w:after="80" w:line="290"/>
      </w:pPr>
      <w:r>
        <w:t xml:space="preserve">Depuis la page de connexion, cliquer sur « Mot de passe oublié ».</w:t>
      </w:r>
    </w:p>
    <w:p>
      <w:pPr>
        <w:pStyle w:val="ListParagraph"/>
        <w:numPr>
          <w:ilvl w:val="0"/>
          <w:numId w:val="4"/>
        </w:numPr>
        <w:spacing w:after="80" w:line="290"/>
      </w:pPr>
      <w:r>
        <w:t xml:space="preserve">Saisir l'adresse courriel du compte et valider.</w:t>
      </w:r>
    </w:p>
    <w:p>
      <w:pPr>
        <w:pStyle w:val="ListParagraph"/>
        <w:numPr>
          <w:ilvl w:val="0"/>
          <w:numId w:val="4"/>
        </w:numPr>
        <w:spacing w:after="80" w:line="290"/>
      </w:pPr>
      <w:r>
        <w:t xml:space="preserve">Un courriel contenant un lien de réinitialisation est envoyé ; le lien ouvre l'écran de nouveau mot de passe.</w:t>
      </w:r>
    </w:p>
    <w:p>
      <w:pPr>
        <w:pStyle w:val="ListParagraph"/>
        <w:numPr>
          <w:ilvl w:val="0"/>
          <w:numId w:val="4"/>
        </w:numPr>
        <w:spacing w:after="80" w:line="290"/>
      </w:pPr>
      <w:r>
        <w:t xml:space="preserve">Après définition du mot de passe, un écran de confirmation invite à se reconnecter.</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Demande de réinitialisation de mot de passe</w:t>
            </w:r>
          </w:p>
          <w:p>
            <w:pPr>
              <w:spacing w:after="40"/>
              <w:jc w:val="center"/>
            </w:pPr>
            <w:r>
              <w:rPr>
                <w:i/>
                <w:iCs/>
                <w:color w:val="555555"/>
                <w:sz w:val="18"/>
                <w:szCs w:val="18"/>
              </w:rPr>
              <w:t xml:space="preserve">Accès : Page de connexion → « Mot de passe oublié »</w:t>
            </w:r>
          </w:p>
          <w:p>
            <w:pPr>
              <w:jc w:val="center"/>
            </w:pPr>
            <w:r>
              <w:rPr>
                <w:i/>
                <w:iCs/>
                <w:color w:val="555555"/>
                <w:sz w:val="18"/>
                <w:szCs w:val="18"/>
              </w:rPr>
              <w:t xml:space="preserve">Champ e-mail + bouton d'envoi ; puis écran « e-mail envoyé ».</w:t>
            </w:r>
          </w:p>
        </w:tc>
      </w:tr>
    </w:tbl>
    <w:p>
      <w:pPr>
        <w:pStyle w:val="Heading2"/>
        <w:spacing w:after="120" w:before="260"/>
      </w:pPr>
      <w:r>
        <w:rPr>
          <w:b/>
          <w:bCs/>
        </w:rPr>
        <w:t xml:space="preserve">2.4 Verrouillage de compte</w:t>
      </w:r>
    </w:p>
    <w:p>
      <w:pPr>
        <w:spacing w:after="120" w:line="300"/>
        <w:jc w:val="both"/>
      </w:pPr>
      <w:r>
        <w:rPr>
          <w:i w:val="false"/>
          <w:iCs w:val="false"/>
        </w:rPr>
        <w:t xml:space="preserve">La protection anti-force brute (django-axes) verrouille temporairement un compte après plusieurs échecs consécutifs. Le déverrouillage se fait par expiration du délai ou par un administrateur depuis la console d'administration.</w:t>
      </w:r>
    </w:p>
    <w:tbl>
      <w:tblPr>
        <w:tblW w:type="dxa" w:w="9360"/>
        <w:tblBorders>
          <w:top w:val="single" w:color="1F4E79" w:sz="4"/>
          <w:left w:val="single" w:color="1F4E79" w:sz="18"/>
          <w:bottom w:val="single" w:color="1F4E79" w:sz="4"/>
          <w:right w:val="single" w:color="1F4E79" w:sz="4"/>
          <w:insideH w:val="single" w:color="1F4E79" w:sz="4"/>
          <w:insideV w:val="single" w:color="1F4E79" w:sz="4"/>
        </w:tblBorders>
      </w:tblPr>
      <w:tblGrid>
        <w:gridCol w:w="9360"/>
      </w:tblGrid>
      <w:tr>
        <w:tc>
          <w:tcPr>
            <w:tcW w:type="dxa" w:w="9360"/>
            <w:shd w:fill="EAF2FB" w:color="auto" w:val="clear"/>
            <w:tcMar>
              <w:top w:type="dxa" w:w="120"/>
              <w:left w:type="dxa" w:w="160"/>
              <w:bottom w:type="dxa" w:w="120"/>
              <w:right w:type="dxa" w:w="160"/>
            </w:tcMar>
          </w:tcPr>
          <w:p>
            <w:pPr>
              <w:spacing w:line="290"/>
            </w:pPr>
            <w:r>
              <w:rPr>
                <w:b/>
                <w:bCs/>
                <w:color w:val="1F4E79"/>
              </w:rPr>
              <w:t xml:space="preserve">Support — </w:t>
            </w:r>
            <w:r>
              <w:t xml:space="preserve">En cas de verrouillage persistant, l'administrateur peut réinitialiser le compteur d'échecs et le mot de passe depuis /admin ou depuis l'écran Paramétrage Utilisateurs (chap. 7.1).</w:t>
            </w:r>
          </w:p>
        </w:tc>
      </w:tr>
    </w:tbl>
    <w:p>
      <w:pPr>
        <w:pStyle w:val="Heading2"/>
        <w:spacing w:after="120" w:before="260"/>
      </w:pPr>
      <w:r>
        <w:rPr>
          <w:b/>
          <w:bCs/>
        </w:rPr>
        <w:t xml:space="preserve">2.5 Ma page profil, modifier mon profil, changer mon mot de passe</w:t>
      </w:r>
    </w:p>
    <w:p>
      <w:pPr>
        <w:pStyle w:val="ListParagraph"/>
        <w:numPr>
          <w:ilvl w:val="0"/>
          <w:numId w:val="2"/>
        </w:numPr>
        <w:spacing w:after="80" w:line="290"/>
      </w:pPr>
      <w:r>
        <w:rPr>
          <w:b/>
          <w:bCs/>
        </w:rPr>
        <w:t xml:space="preserve">Page profil. </w:t>
      </w:r>
      <w:r>
        <w:t xml:space="preserve">Récapitulatif du compte et des dernières notations ; point d'entrée après connexion.</w:t>
      </w:r>
    </w:p>
    <w:p>
      <w:pPr>
        <w:pStyle w:val="ListParagraph"/>
        <w:numPr>
          <w:ilvl w:val="0"/>
          <w:numId w:val="2"/>
        </w:numPr>
        <w:spacing w:after="80" w:line="290"/>
      </w:pPr>
      <w:r>
        <w:rPr>
          <w:b/>
          <w:bCs/>
        </w:rPr>
        <w:t xml:space="preserve">Modifier mon profil. </w:t>
      </w:r>
      <w:r>
        <w:t xml:space="preserve">Mise à jour des informations autorisées ; message de confirmation « Votre profil a été modifié avec succès ».</w:t>
      </w:r>
    </w:p>
    <w:p>
      <w:pPr>
        <w:pStyle w:val="ListParagraph"/>
        <w:numPr>
          <w:ilvl w:val="0"/>
          <w:numId w:val="2"/>
        </w:numPr>
        <w:spacing w:after="80" w:line="290"/>
      </w:pPr>
      <w:r>
        <w:rPr>
          <w:b/>
          <w:bCs/>
        </w:rPr>
        <w:t xml:space="preserve">Changer mon mot de passe. </w:t>
      </w:r>
      <w:r>
        <w:t xml:space="preserve">Ancien mot de passe + nouveau ; message « Votre mot de passe a été changé avec succès ».</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Page profil utilisateur</w:t>
            </w:r>
          </w:p>
          <w:p>
            <w:pPr>
              <w:spacing w:after="40"/>
              <w:jc w:val="center"/>
            </w:pPr>
            <w:r>
              <w:rPr>
                <w:i/>
                <w:iCs/>
                <w:color w:val="555555"/>
                <w:sz w:val="18"/>
                <w:szCs w:val="18"/>
              </w:rPr>
              <w:t xml:space="preserve">Accès : Carte profil de la barre latérale → clic</w:t>
            </w:r>
          </w:p>
          <w:p>
            <w:pPr>
              <w:jc w:val="center"/>
            </w:pPr>
            <w:r>
              <w:rPr>
                <w:i/>
                <w:iCs/>
                <w:color w:val="555555"/>
                <w:sz w:val="18"/>
                <w:szCs w:val="18"/>
              </w:rPr>
              <w:t xml:space="preserve">Bloc identité + dernières notes.</w:t>
            </w:r>
          </w:p>
        </w:tc>
      </w:tr>
    </w:tbl>
    <w:p>
      <w:pPr>
        <w:pStyle w:val="Heading2"/>
        <w:spacing w:after="120" w:before="260"/>
      </w:pPr>
      <w:r>
        <w:rPr>
          <w:b/>
          <w:bCs/>
        </w:rPr>
        <w:t xml:space="preserve">2.6 Déconnexion</w:t>
      </w:r>
    </w:p>
    <w:p>
      <w:pPr>
        <w:spacing w:after="120" w:line="300"/>
        <w:jc w:val="both"/>
      </w:pPr>
      <w:r>
        <w:rPr>
          <w:i w:val="false"/>
          <w:iCs w:val="false"/>
        </w:rPr>
        <w:t xml:space="preserve">Le bouton « Déconnexion » (bas de la barre latérale) ferme la session et renvoie vers la page d'accueil publique.</w:t>
      </w:r>
    </w:p>
    <w:p>
      <w:r>
        <w:br w:type="page"/>
      </w:r>
    </w:p>
    <w:p>
      <w:pPr>
        <w:pStyle w:val="Heading1"/>
        <w:spacing w:after="160" w:before="360"/>
      </w:pPr>
      <w:r>
        <w:rPr>
          <w:b/>
          <w:bCs/>
        </w:rPr>
        <w:t xml:space="preserve">3. Analyse &amp; Suivi</w:t>
      </w:r>
    </w:p>
    <w:p>
      <w:pPr>
        <w:spacing w:after="120" w:line="300"/>
        <w:jc w:val="both"/>
      </w:pPr>
      <w:r>
        <w:rPr>
          <w:i w:val="false"/>
          <w:iCs w:val="false"/>
        </w:rPr>
        <w:t xml:space="preserve">Section principale de suivi de la qualité. Les entrées visibles dépendent des droits SidebarAccess (dashboard, agents_notes, champs_non_renseignes, clients_anomalie, scoring_clients, screening_kyc).</w:t>
      </w:r>
    </w:p>
    <w:p>
      <w:pPr>
        <w:pStyle w:val="Heading2"/>
        <w:spacing w:after="120" w:before="260"/>
      </w:pPr>
      <w:r>
        <w:rPr>
          <w:b/>
          <w:bCs/>
        </w:rPr>
        <w:t xml:space="preserve">3.1 Tableau de bord</w:t>
      </w:r>
    </w:p>
    <w:p>
      <w:pPr>
        <w:spacing w:after="120" w:line="300"/>
        <w:jc w:val="both"/>
      </w:pPr>
      <w:r>
        <w:rPr>
          <w:i w:val="false"/>
          <w:iCs w:val="false"/>
        </w:rPr>
        <w:t xml:space="preserve">Le tableau de bord présente l'évolution des taux de qualité PP et PM sous forme de courbes (stock et flux), avec la dernière valeur mise en évidence. Selon le niveau de l'utilisateur, la page ouverte est :</w:t>
      </w:r>
    </w:p>
    <w:p>
      <w:pPr>
        <w:pStyle w:val="ListParagraph"/>
        <w:numPr>
          <w:ilvl w:val="0"/>
          <w:numId w:val="2"/>
        </w:numPr>
        <w:spacing w:after="80" w:line="290"/>
      </w:pPr>
      <w:r>
        <w:rPr>
          <w:b/>
          <w:bCs/>
        </w:rPr>
        <w:t xml:space="preserve">Vue « statistiques ». </w:t>
      </w:r>
      <w:r>
        <w:t xml:space="preserve">Pour les organes disposant de statistiques agrégées (groupe / filiale) : synthèse multi-filiales ou filiale, sélecteur de filiale, courbes stock/flux PP &amp; PM.</w:t>
      </w:r>
    </w:p>
    <w:p>
      <w:pPr>
        <w:pStyle w:val="ListParagraph"/>
        <w:numPr>
          <w:ilvl w:val="0"/>
          <w:numId w:val="2"/>
        </w:numPr>
        <w:spacing w:after="80" w:line="290"/>
      </w:pPr>
      <w:r>
        <w:rPr>
          <w:b/>
          <w:bCs/>
        </w:rPr>
        <w:t xml:space="preserve">Vue « évolution par filiale ». </w:t>
      </w:r>
      <w:r>
        <w:t xml:space="preserve">Pour les autres profils : évolution détaillée d'une filiale.</w:t>
      </w:r>
    </w:p>
    <w:p>
      <w:pPr>
        <w:pStyle w:val="ListParagraph"/>
        <w:numPr>
          <w:ilvl w:val="0"/>
          <w:numId w:val="2"/>
        </w:numPr>
        <w:spacing w:after="80" w:line="290"/>
      </w:pPr>
      <w:r>
        <w:t xml:space="preserve">Les taux affichés proviennent d'un instantané précalculé chaque matin (table TauxQualite) ; en son absence, un calcul de repli est effectué.</w:t>
      </w:r>
    </w:p>
    <w:p>
      <w:pPr>
        <w:pStyle w:val="ListParagraph"/>
        <w:numPr>
          <w:ilvl w:val="0"/>
          <w:numId w:val="2"/>
        </w:numPr>
        <w:spacing w:after="80" w:line="290"/>
      </w:pPr>
      <w:r>
        <w:t xml:space="preserve">Les pages lourdes sont mises en cache par périmètre effectif et par paramètres d'URL ; une injection de données matinale invalide automatiquement le cache.</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Tableau de bord — courbes stock &amp; flux PP/PM</w:t>
            </w:r>
          </w:p>
          <w:p>
            <w:pPr>
              <w:spacing w:after="40"/>
              <w:jc w:val="center"/>
            </w:pPr>
            <w:r>
              <w:rPr>
                <w:i/>
                <w:iCs/>
                <w:color w:val="555555"/>
                <w:sz w:val="18"/>
                <w:szCs w:val="18"/>
              </w:rPr>
              <w:t xml:space="preserve">Accès : Menu « Analyse &amp; Suivi » → « Tableau de bord »</w:t>
            </w:r>
          </w:p>
          <w:p>
            <w:pPr>
              <w:jc w:val="center"/>
            </w:pPr>
            <w:r>
              <w:rPr>
                <w:i/>
                <w:iCs/>
                <w:color w:val="555555"/>
                <w:sz w:val="18"/>
                <w:szCs w:val="18"/>
              </w:rPr>
              <w:t xml:space="preserve">Cadrer les deux graphiques + les tuiles de dernière valeur.</w:t>
            </w:r>
          </w:p>
        </w:tc>
      </w:tr>
    </w:tbl>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Tableau de bord — sélecteur de filiale (profils groupe/filiale)</w:t>
            </w:r>
          </w:p>
          <w:p>
            <w:pPr>
              <w:spacing w:after="40"/>
              <w:jc w:val="center"/>
            </w:pPr>
            <w:r>
              <w:rPr>
                <w:i/>
                <w:iCs/>
                <w:color w:val="555555"/>
                <w:sz w:val="18"/>
                <w:szCs w:val="18"/>
              </w:rPr>
              <w:t xml:space="preserve">Accès : Menu « Tableau de bord » → liste déroulante « Filiale »</w:t>
            </w:r>
          </w:p>
          <w:p>
            <w:pPr>
              <w:jc w:val="center"/>
            </w:pPr>
            <w:r>
              <w:rPr>
                <w:i/>
                <w:iCs/>
                <w:color w:val="555555"/>
                <w:sz w:val="18"/>
                <w:szCs w:val="18"/>
              </w:rPr>
              <w:t xml:space="preserve">Montrer le menu déroulant ouvert.</w:t>
            </w:r>
          </w:p>
        </w:tc>
      </w:tr>
    </w:tbl>
    <w:p>
      <w:pPr>
        <w:pStyle w:val="Heading2"/>
        <w:spacing w:after="120" w:before="260"/>
      </w:pPr>
      <w:r>
        <w:rPr>
          <w:b/>
          <w:bCs/>
        </w:rPr>
        <w:t xml:space="preserve">3.2 Agents notés</w:t>
      </w:r>
    </w:p>
    <w:p>
      <w:pPr>
        <w:spacing w:after="120" w:line="300"/>
        <w:jc w:val="both"/>
      </w:pPr>
      <w:r>
        <w:rPr>
          <w:i w:val="false"/>
          <w:iCs w:val="false"/>
        </w:rPr>
        <w:t xml:space="preserve">Liste des agents ayant reçu une notation de flux, restreinte au périmètre : filiale pour les organes de contrôle, agence pour un Directeur Agence. Un champ de recherche filtre par code exploitant. La dernière note de chaque agent est conservée. Un export Excel est disponible.</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Liste « Agents notés »</w:t>
            </w:r>
          </w:p>
          <w:p>
            <w:pPr>
              <w:spacing w:after="40"/>
              <w:jc w:val="center"/>
            </w:pPr>
            <w:r>
              <w:rPr>
                <w:i/>
                <w:iCs/>
                <w:color w:val="555555"/>
                <w:sz w:val="18"/>
                <w:szCs w:val="18"/>
              </w:rPr>
              <w:t xml:space="preserve">Accès : Menu « Analyse &amp; Suivi » → « Agents notés »</w:t>
            </w:r>
          </w:p>
          <w:p>
            <w:pPr>
              <w:jc w:val="center"/>
            </w:pPr>
            <w:r>
              <w:rPr>
                <w:i/>
                <w:iCs/>
                <w:color w:val="555555"/>
                <w:sz w:val="18"/>
                <w:szCs w:val="18"/>
              </w:rPr>
              <w:t xml:space="preserve">Tableau + champ de recherche + bouton d'export.</w:t>
            </w:r>
          </w:p>
        </w:tc>
      </w:tr>
    </w:tbl>
    <w:p>
      <w:pPr>
        <w:pStyle w:val="Heading2"/>
        <w:spacing w:after="120" w:before="260"/>
      </w:pPr>
      <w:r>
        <w:rPr>
          <w:b/>
          <w:bCs/>
        </w:rPr>
        <w:t xml:space="preserve">3.3 Champs non renseignés (PP et PM)</w:t>
      </w:r>
    </w:p>
    <w:p>
      <w:pPr>
        <w:spacing w:after="120" w:line="300"/>
        <w:jc w:val="both"/>
      </w:pPr>
      <w:r>
        <w:rPr>
          <w:i w:val="false"/>
          <w:iCs w:val="false"/>
        </w:rPr>
        <w:t xml:space="preserve">Recense les clients dont au moins un champ KYC obligatoire est vide, avec le détail des champs manquants. Deux vues : particuliers (PP) et personnes morales (PM).</w:t>
      </w:r>
    </w:p>
    <w:p>
      <w:pPr>
        <w:pStyle w:val="ListParagraph"/>
        <w:numPr>
          <w:ilvl w:val="0"/>
          <w:numId w:val="2"/>
        </w:numPr>
        <w:spacing w:after="80" w:line="290"/>
      </w:pPr>
      <w:r>
        <w:rPr>
          <w:b/>
          <w:bCs/>
        </w:rPr>
        <w:t xml:space="preserve">Filtres. </w:t>
      </w:r>
      <w:r>
        <w:t xml:space="preserve">Filiale, agence, code exploitant, période d'ouverture de compte, selon le périmètre autorisé.</w:t>
      </w:r>
    </w:p>
    <w:p>
      <w:pPr>
        <w:pStyle w:val="ListParagraph"/>
        <w:numPr>
          <w:ilvl w:val="0"/>
          <w:numId w:val="2"/>
        </w:numPr>
        <w:spacing w:after="80" w:line="290"/>
      </w:pPr>
      <w:r>
        <w:rPr>
          <w:b/>
          <w:bCs/>
        </w:rPr>
        <w:t xml:space="preserve">Pagination. </w:t>
      </w:r>
      <w:r>
        <w:t xml:space="preserve">Chargement de page sans rechargement complet (AJAX) avec voile de chargement.</w:t>
      </w:r>
    </w:p>
    <w:p>
      <w:pPr>
        <w:pStyle w:val="ListParagraph"/>
        <w:numPr>
          <w:ilvl w:val="0"/>
          <w:numId w:val="2"/>
        </w:numPr>
        <w:spacing w:after="80" w:line="290"/>
      </w:pPr>
      <w:r>
        <w:rPr>
          <w:b/>
          <w:bCs/>
        </w:rPr>
        <w:t xml:space="preserve">Exports. </w:t>
      </w:r>
      <w:r>
        <w:t xml:space="preserve">CSV particuliers et CSV personnes morales ; exports de taux de complétude par agence et par agent.</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Champs non renseignés — particuliers (PP)</w:t>
            </w:r>
          </w:p>
          <w:p>
            <w:pPr>
              <w:spacing w:after="40"/>
              <w:jc w:val="center"/>
            </w:pPr>
            <w:r>
              <w:rPr>
                <w:i/>
                <w:iCs/>
                <w:color w:val="555555"/>
                <w:sz w:val="18"/>
                <w:szCs w:val="18"/>
              </w:rPr>
              <w:t xml:space="preserve">Accès : Menu « Analyse &amp; Suivi » → « Champs non-renseignés »</w:t>
            </w:r>
          </w:p>
          <w:p>
            <w:pPr>
              <w:jc w:val="center"/>
            </w:pPr>
            <w:r>
              <w:rPr>
                <w:i/>
                <w:iCs/>
                <w:color w:val="555555"/>
                <w:sz w:val="18"/>
                <w:szCs w:val="18"/>
              </w:rPr>
              <w:t xml:space="preserve">Tableau + barre de filtres + pagination.</w:t>
            </w:r>
          </w:p>
        </w:tc>
      </w:tr>
    </w:tbl>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Champs non renseignés — personnes morales (PM)</w:t>
            </w:r>
          </w:p>
          <w:p>
            <w:pPr>
              <w:spacing w:after="40"/>
              <w:jc w:val="center"/>
            </w:pPr>
            <w:r>
              <w:rPr>
                <w:i/>
                <w:iCs/>
                <w:color w:val="555555"/>
                <w:sz w:val="18"/>
                <w:szCs w:val="18"/>
              </w:rPr>
              <w:t xml:space="preserve">Accès : Même écran, bascule PM</w:t>
            </w:r>
          </w:p>
          <w:p>
            <w:pPr>
              <w:jc w:val="center"/>
            </w:pPr>
            <w:r>
              <w:rPr>
                <w:i/>
                <w:iCs/>
                <w:color w:val="555555"/>
                <w:sz w:val="18"/>
                <w:szCs w:val="18"/>
              </w:rPr>
              <w:t xml:space="preserve">Tableau PM.</w:t>
            </w:r>
          </w:p>
        </w:tc>
      </w:tr>
    </w:tbl>
    <w:p>
      <w:pPr>
        <w:pStyle w:val="Heading2"/>
        <w:spacing w:after="120" w:before="260"/>
      </w:pPr>
      <w:r>
        <w:rPr>
          <w:b/>
          <w:bCs/>
        </w:rPr>
        <w:t xml:space="preserve">3.4 Clients en anomalie</w:t>
      </w:r>
    </w:p>
    <w:p>
      <w:pPr>
        <w:spacing w:after="120" w:line="300"/>
        <w:jc w:val="both"/>
      </w:pPr>
      <w:r>
        <w:rPr>
          <w:i w:val="false"/>
          <w:iCs w:val="false"/>
        </w:rPr>
        <w:t xml:space="preserve">Liste des clients présentant une incohérence de données (par exemple valeurs contradictoires entre champs). Filtrable par périmètre ; sert de base de travail aux équipes de fiabilisation.</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Liste « Clients en anomalie »</w:t>
            </w:r>
          </w:p>
          <w:p>
            <w:pPr>
              <w:spacing w:after="40"/>
              <w:jc w:val="center"/>
            </w:pPr>
            <w:r>
              <w:rPr>
                <w:i/>
                <w:iCs/>
                <w:color w:val="555555"/>
                <w:sz w:val="18"/>
                <w:szCs w:val="18"/>
              </w:rPr>
              <w:t xml:space="preserve">Accès : Menu « Analyse &amp; Suivi » → « Clients en anomalie »</w:t>
            </w:r>
          </w:p>
          <w:p>
            <w:pPr>
              <w:jc w:val="center"/>
            </w:pPr>
            <w:r>
              <w:rPr>
                <w:i/>
                <w:iCs/>
                <w:color w:val="555555"/>
                <w:sz w:val="18"/>
                <w:szCs w:val="18"/>
              </w:rPr>
              <w:t xml:space="preserve">Tableau + filtres.</w:t>
            </w:r>
          </w:p>
        </w:tc>
      </w:tr>
    </w:tbl>
    <w:p>
      <w:pPr>
        <w:pStyle w:val="Heading2"/>
        <w:spacing w:after="120" w:before="260"/>
      </w:pPr>
      <w:r>
        <w:rPr>
          <w:b/>
          <w:bCs/>
        </w:rPr>
        <w:t xml:space="preserve">3.5 Scoring Clients</w:t>
      </w:r>
    </w:p>
    <w:p>
      <w:pPr>
        <w:spacing w:after="120" w:line="300"/>
        <w:jc w:val="both"/>
      </w:pPr>
      <w:r>
        <w:rPr>
          <w:i w:val="false"/>
          <w:iCs w:val="false"/>
        </w:rPr>
        <w:t xml:space="preserve">Présente le classement de risque des clients (scoring) et, en complément, la liste des clients « sans classe » (non encore scorés). Exports CSV du scoring particuliers, du scoring PPE et de la liste des clients à scorer.</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Écran « Scoring Clients »</w:t>
            </w:r>
          </w:p>
          <w:p>
            <w:pPr>
              <w:spacing w:after="40"/>
              <w:jc w:val="center"/>
            </w:pPr>
            <w:r>
              <w:rPr>
                <w:i/>
                <w:iCs/>
                <w:color w:val="555555"/>
                <w:sz w:val="18"/>
                <w:szCs w:val="18"/>
              </w:rPr>
              <w:t xml:space="preserve">Accès : Menu « Analyse &amp; Suivi » → « Scoring Clients »</w:t>
            </w:r>
          </w:p>
          <w:p>
            <w:pPr>
              <w:jc w:val="center"/>
            </w:pPr>
            <w:r>
              <w:rPr>
                <w:i/>
                <w:iCs/>
                <w:color w:val="555555"/>
                <w:sz w:val="18"/>
                <w:szCs w:val="18"/>
              </w:rPr>
              <w:t xml:space="preserve">Répartition par classe de risque + accès « sans classe » + boutons d'export.</w:t>
            </w:r>
          </w:p>
        </w:tc>
      </w:tr>
    </w:tbl>
    <w:p>
      <w:pPr>
        <w:pStyle w:val="Heading2"/>
        <w:spacing w:after="120" w:before="260"/>
      </w:pPr>
      <w:r>
        <w:rPr>
          <w:b/>
          <w:bCs/>
        </w:rPr>
        <w:t xml:space="preserve">3.6 Screening KYC ID</w:t>
      </w:r>
    </w:p>
    <w:p>
      <w:pPr>
        <w:spacing w:after="120" w:line="300"/>
        <w:jc w:val="both"/>
      </w:pPr>
      <w:r>
        <w:rPr>
          <w:i w:val="false"/>
          <w:iCs w:val="false"/>
        </w:rPr>
        <w:t xml:space="preserve">Entrée visible si le module payant est activé pour la filiale et si l'habilitation screening_kyc est accordée. Le fonctionnement complet est décrit au chapitre 6.</w:t>
      </w:r>
    </w:p>
    <w:p>
      <w:r>
        <w:br w:type="page"/>
      </w:r>
    </w:p>
    <w:p>
      <w:pPr>
        <w:pStyle w:val="Heading1"/>
        <w:spacing w:after="160" w:before="360"/>
      </w:pPr>
      <w:r>
        <w:rPr>
          <w:b/>
          <w:bCs/>
        </w:rPr>
        <w:t xml:space="preserve">4. Notations</w:t>
      </w:r>
    </w:p>
    <w:p>
      <w:pPr>
        <w:spacing w:after="120" w:line="300"/>
        <w:jc w:val="both"/>
      </w:pPr>
      <w:r>
        <w:rPr>
          <w:i w:val="false"/>
          <w:iCs w:val="false"/>
        </w:rPr>
        <w:t xml:space="preserve">Section visible selon les droits nouvelle_notation et historique_notation.</w:t>
      </w:r>
    </w:p>
    <w:p>
      <w:pPr>
        <w:pStyle w:val="Heading2"/>
        <w:spacing w:after="120" w:before="260"/>
      </w:pPr>
      <w:r>
        <w:rPr>
          <w:b/>
          <w:bCs/>
        </w:rPr>
        <w:t xml:space="preserve">4.1 Nouvelle notation</w:t>
      </w:r>
    </w:p>
    <w:p>
      <w:pPr>
        <w:pStyle w:val="ListParagraph"/>
        <w:numPr>
          <w:ilvl w:val="0"/>
          <w:numId w:val="5"/>
        </w:numPr>
        <w:spacing w:after="80" w:line="290"/>
      </w:pPr>
      <w:r>
        <w:t xml:space="preserve">Ouvrir « Notations » → « Nouvelle Notation ».</w:t>
      </w:r>
    </w:p>
    <w:p>
      <w:pPr>
        <w:pStyle w:val="ListParagraph"/>
        <w:numPr>
          <w:ilvl w:val="0"/>
          <w:numId w:val="5"/>
        </w:numPr>
        <w:spacing w:after="80" w:line="290"/>
      </w:pPr>
      <w:r>
        <w:t xml:space="preserve">Saisir le code exploitant (EXPL) de l'agent à noter puis rechercher.</w:t>
      </w:r>
    </w:p>
    <w:p>
      <w:pPr>
        <w:pStyle w:val="ListParagraph"/>
        <w:numPr>
          <w:ilvl w:val="0"/>
          <w:numId w:val="5"/>
        </w:numPr>
        <w:spacing w:after="80" w:line="290"/>
      </w:pPr>
      <w:r>
        <w:t xml:space="preserve">Vérifier les informations de l'agent affichées (exploitant, agence).</w:t>
      </w:r>
    </w:p>
    <w:p>
      <w:pPr>
        <w:pStyle w:val="ListParagraph"/>
        <w:numPr>
          <w:ilvl w:val="0"/>
          <w:numId w:val="5"/>
        </w:numPr>
        <w:spacing w:after="80" w:line="290"/>
      </w:pPr>
      <w:r>
        <w:t xml:space="preserve">Renseigner le formulaire de notation puis valider.</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Écran « Nouvelle Notation »</w:t>
            </w:r>
          </w:p>
          <w:p>
            <w:pPr>
              <w:spacing w:after="40"/>
              <w:jc w:val="center"/>
            </w:pPr>
            <w:r>
              <w:rPr>
                <w:i/>
                <w:iCs/>
                <w:color w:val="555555"/>
                <w:sz w:val="18"/>
                <w:szCs w:val="18"/>
              </w:rPr>
              <w:t xml:space="preserve">Accès : Menu « Notations » → « Nouvelle Notation »</w:t>
            </w:r>
          </w:p>
          <w:p>
            <w:pPr>
              <w:jc w:val="center"/>
            </w:pPr>
            <w:r>
              <w:rPr>
                <w:i/>
                <w:iCs/>
                <w:color w:val="555555"/>
                <w:sz w:val="18"/>
                <w:szCs w:val="18"/>
              </w:rPr>
              <w:t xml:space="preserve">Champ code exploitant + bloc informations agent + formulaire de note.</w:t>
            </w:r>
          </w:p>
        </w:tc>
      </w:tr>
    </w:tbl>
    <w:p>
      <w:pPr>
        <w:pStyle w:val="Heading2"/>
        <w:spacing w:after="120" w:before="260"/>
      </w:pPr>
      <w:r>
        <w:rPr>
          <w:b/>
          <w:bCs/>
        </w:rPr>
        <w:t xml:space="preserve">4.2 Historique</w:t>
      </w:r>
    </w:p>
    <w:p>
      <w:pPr>
        <w:spacing w:after="120" w:line="300"/>
        <w:jc w:val="both"/>
      </w:pPr>
      <w:r>
        <w:rPr>
          <w:i w:val="false"/>
          <w:iCs w:val="false"/>
        </w:rPr>
        <w:t xml:space="preserve">Affiche l'historique des notations réalisées, avec la date et la note attribuée. Permet le suivi dans le temps de la qualité de saisie d'un agent ou d'un portefeuille.</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Écran « Historique » des notations</w:t>
            </w:r>
          </w:p>
          <w:p>
            <w:pPr>
              <w:spacing w:after="40"/>
              <w:jc w:val="center"/>
            </w:pPr>
            <w:r>
              <w:rPr>
                <w:i/>
                <w:iCs/>
                <w:color w:val="555555"/>
                <w:sz w:val="18"/>
                <w:szCs w:val="18"/>
              </w:rPr>
              <w:t xml:space="preserve">Accès : Menu « Notations » → « Historique »</w:t>
            </w:r>
          </w:p>
          <w:p>
            <w:pPr>
              <w:jc w:val="center"/>
            </w:pPr>
            <w:r>
              <w:rPr>
                <w:i/>
                <w:iCs/>
                <w:color w:val="555555"/>
                <w:sz w:val="18"/>
                <w:szCs w:val="18"/>
              </w:rPr>
              <w:t xml:space="preserve">Tableau daté des notes.</w:t>
            </w:r>
          </w:p>
        </w:tc>
      </w:tr>
    </w:tbl>
    <w:p>
      <w:r>
        <w:br w:type="page"/>
      </w:r>
    </w:p>
    <w:p>
      <w:pPr>
        <w:pStyle w:val="Heading1"/>
        <w:spacing w:after="160" w:before="360"/>
      </w:pPr>
      <w:r>
        <w:rPr>
          <w:b/>
          <w:bCs/>
        </w:rPr>
        <w:t xml:space="preserve">5. Conformité</w:t>
      </w:r>
    </w:p>
    <w:p>
      <w:pPr>
        <w:spacing w:after="120" w:line="300"/>
        <w:jc w:val="both"/>
      </w:pPr>
      <w:r>
        <w:rPr>
          <w:i w:val="false"/>
          <w:iCs w:val="false"/>
        </w:rPr>
        <w:t xml:space="preserve">Section visible selon les droits ppe et comptes_specifiques.</w:t>
      </w:r>
    </w:p>
    <w:p>
      <w:pPr>
        <w:pStyle w:val="Heading2"/>
        <w:spacing w:after="120" w:before="260"/>
      </w:pPr>
      <w:r>
        <w:rPr>
          <w:b/>
          <w:bCs/>
        </w:rPr>
        <w:t xml:space="preserve">5.1 PPE — Personnes politiquement exposées</w:t>
      </w:r>
    </w:p>
    <w:p>
      <w:pPr>
        <w:pStyle w:val="ListParagraph"/>
        <w:numPr>
          <w:ilvl w:val="0"/>
          <w:numId w:val="2"/>
        </w:numPr>
        <w:spacing w:after="80" w:line="290"/>
      </w:pPr>
      <w:r>
        <w:rPr>
          <w:b/>
          <w:bCs/>
        </w:rPr>
        <w:t xml:space="preserve">Liste PPE. </w:t>
      </w:r>
      <w:r>
        <w:t xml:space="preserve">Clients identifiés comme PPE dans le périmètre, avec leurs attributs KYC clés.</w:t>
      </w:r>
    </w:p>
    <w:p>
      <w:pPr>
        <w:pStyle w:val="ListParagraph"/>
        <w:numPr>
          <w:ilvl w:val="0"/>
          <w:numId w:val="2"/>
        </w:numPr>
        <w:spacing w:after="80" w:line="290"/>
      </w:pPr>
      <w:r>
        <w:rPr>
          <w:b/>
          <w:bCs/>
        </w:rPr>
        <w:t xml:space="preserve">DATEREV PPE. </w:t>
      </w:r>
      <w:r>
        <w:t xml:space="preserve">Sous-vue de suivi des dates de révision (DATEREV) des PPE : échéances dépassées et à venir.</w:t>
      </w:r>
    </w:p>
    <w:p>
      <w:pPr>
        <w:pStyle w:val="ListParagraph"/>
        <w:numPr>
          <w:ilvl w:val="0"/>
          <w:numId w:val="2"/>
        </w:numPr>
        <w:spacing w:after="80" w:line="290"/>
      </w:pPr>
      <w:r>
        <w:rPr>
          <w:b/>
          <w:bCs/>
        </w:rPr>
        <w:t xml:space="preserve">Exports. </w:t>
      </w:r>
      <w:r>
        <w:t xml:space="preserve">Export de la liste PPE et export CSV du scoring PPE.</w:t>
      </w:r>
    </w:p>
    <w:tbl>
      <w:tblPr>
        <w:tblW w:type="dxa" w:w="9360"/>
        <w:tblBorders>
          <w:top w:val="single" w:color="8A6D00" w:sz="4"/>
          <w:left w:val="single" w:color="8A6D00" w:sz="18"/>
          <w:bottom w:val="single" w:color="8A6D00" w:sz="4"/>
          <w:right w:val="single" w:color="8A6D00" w:sz="4"/>
          <w:insideH w:val="single" w:color="8A6D00" w:sz="4"/>
          <w:insideV w:val="single" w:color="8A6D00" w:sz="4"/>
        </w:tblBorders>
      </w:tblPr>
      <w:tblGrid>
        <w:gridCol w:w="9360"/>
      </w:tblGrid>
      <w:tr>
        <w:tc>
          <w:tcPr>
            <w:tcW w:type="dxa" w:w="9360"/>
            <w:shd w:fill="FFF4E5" w:color="auto" w:val="clear"/>
            <w:tcMar>
              <w:top w:type="dxa" w:w="120"/>
              <w:left w:type="dxa" w:w="160"/>
              <w:bottom w:type="dxa" w:w="120"/>
              <w:right w:type="dxa" w:w="160"/>
            </w:tcMar>
          </w:tcPr>
          <w:p>
            <w:pPr>
              <w:spacing w:line="290"/>
            </w:pPr>
            <w:r>
              <w:rPr>
                <w:b/>
                <w:bCs/>
                <w:color w:val="8A6D00"/>
              </w:rPr>
              <w:t xml:space="preserve">Dates au format ISO — </w:t>
            </w:r>
            <w:r>
              <w:t xml:space="preserve">Les dates KYC (DATEREV, DATOUV, DATNAIS, DATVALID) sont stockées en texte et comparées lexicalement : le format ISO (AAAA-MM-JJ) est donc obligatoire. Une date « échue » est strictement antérieure à la date du jour ; les fenêtres 3 mois / 6 mois / 1 an désignent un horizon futur.</w:t>
            </w:r>
          </w:p>
        </w:tc>
      </w:tr>
    </w:tbl>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Liste PPE</w:t>
            </w:r>
          </w:p>
          <w:p>
            <w:pPr>
              <w:spacing w:after="40"/>
              <w:jc w:val="center"/>
            </w:pPr>
            <w:r>
              <w:rPr>
                <w:i/>
                <w:iCs/>
                <w:color w:val="555555"/>
                <w:sz w:val="18"/>
                <w:szCs w:val="18"/>
              </w:rPr>
              <w:t xml:space="preserve">Accès : Menu « Conformité » → « PPE »</w:t>
            </w:r>
          </w:p>
          <w:p>
            <w:pPr>
              <w:jc w:val="center"/>
            </w:pPr>
            <w:r>
              <w:rPr>
                <w:i/>
                <w:iCs/>
                <w:color w:val="555555"/>
                <w:sz w:val="18"/>
                <w:szCs w:val="18"/>
              </w:rPr>
              <w:t xml:space="preserve">Tableau PPE + filtres.</w:t>
            </w:r>
          </w:p>
        </w:tc>
      </w:tr>
    </w:tbl>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Suivi DATEREV des PPE</w:t>
            </w:r>
          </w:p>
          <w:p>
            <w:pPr>
              <w:spacing w:after="40"/>
              <w:jc w:val="center"/>
            </w:pPr>
            <w:r>
              <w:rPr>
                <w:i/>
                <w:iCs/>
                <w:color w:val="555555"/>
                <w:sz w:val="18"/>
                <w:szCs w:val="18"/>
              </w:rPr>
              <w:t xml:space="preserve">Accès : Écran PPE → vue DATEREV</w:t>
            </w:r>
          </w:p>
          <w:p>
            <w:pPr>
              <w:jc w:val="center"/>
            </w:pPr>
            <w:r>
              <w:rPr>
                <w:i/>
                <w:iCs/>
                <w:color w:val="555555"/>
                <w:sz w:val="18"/>
                <w:szCs w:val="18"/>
              </w:rPr>
              <w:t xml:space="preserve">Colonnes d'échéance de révision.</w:t>
            </w:r>
          </w:p>
        </w:tc>
      </w:tr>
    </w:tbl>
    <w:p>
      <w:pPr>
        <w:pStyle w:val="Heading2"/>
        <w:spacing w:after="120" w:before="260"/>
      </w:pPr>
      <w:r>
        <w:rPr>
          <w:b/>
          <w:bCs/>
        </w:rPr>
        <w:t xml:space="preserve">5.2 Comptes spécifiques</w:t>
      </w:r>
    </w:p>
    <w:p>
      <w:pPr>
        <w:spacing w:after="120" w:line="300"/>
        <w:jc w:val="both"/>
      </w:pPr>
      <w:r>
        <w:rPr>
          <w:i w:val="false"/>
          <w:iCs w:val="false"/>
        </w:rPr>
        <w:t xml:space="preserve">Regroupe le suivi des comptes à traitement particulier :</w:t>
      </w:r>
    </w:p>
    <w:p>
      <w:pPr>
        <w:pStyle w:val="ListParagraph"/>
        <w:numPr>
          <w:ilvl w:val="0"/>
          <w:numId w:val="2"/>
        </w:numPr>
        <w:spacing w:after="80" w:line="290"/>
      </w:pPr>
      <w:r>
        <w:rPr>
          <w:b/>
          <w:bCs/>
        </w:rPr>
        <w:t xml:space="preserve">Comptes en devise — PP et PM. </w:t>
      </w:r>
      <w:r>
        <w:t xml:space="preserve">Clients détenant des comptes en devise ; vues séparées particuliers / personnes morales, avec export CSV pour chacune.</w:t>
      </w:r>
    </w:p>
    <w:p>
      <w:pPr>
        <w:pStyle w:val="ListParagraph"/>
        <w:numPr>
          <w:ilvl w:val="0"/>
          <w:numId w:val="2"/>
        </w:numPr>
        <w:spacing w:after="80" w:line="290"/>
      </w:pPr>
      <w:r>
        <w:rPr>
          <w:b/>
          <w:bCs/>
        </w:rPr>
        <w:t xml:space="preserve">Non-résidents — PP et PM. </w:t>
      </w:r>
      <w:r>
        <w:t xml:space="preserve">Clients non résidents ; vues séparées particuliers / personnes morales, avec export CSV pour chacune.</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Comptes spécifiques — Devise (PP)</w:t>
            </w:r>
          </w:p>
          <w:p>
            <w:pPr>
              <w:spacing w:after="40"/>
              <w:jc w:val="center"/>
            </w:pPr>
            <w:r>
              <w:rPr>
                <w:i/>
                <w:iCs/>
                <w:color w:val="555555"/>
                <w:sz w:val="18"/>
                <w:szCs w:val="18"/>
              </w:rPr>
              <w:t xml:space="preserve">Accès : Menu « Conformité » → « Comptes spécifiques »</w:t>
            </w:r>
          </w:p>
          <w:p>
            <w:pPr>
              <w:jc w:val="center"/>
            </w:pPr>
            <w:r>
              <w:rPr>
                <w:i/>
                <w:iCs/>
                <w:color w:val="555555"/>
                <w:sz w:val="18"/>
                <w:szCs w:val="18"/>
              </w:rPr>
              <w:t xml:space="preserve">Tableau devise particuliers + bouton d'export.</w:t>
            </w:r>
          </w:p>
        </w:tc>
      </w:tr>
    </w:tbl>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Comptes spécifiques — Non-résidents (PM)</w:t>
            </w:r>
          </w:p>
          <w:p>
            <w:pPr>
              <w:spacing w:after="40"/>
              <w:jc w:val="center"/>
            </w:pPr>
            <w:r>
              <w:rPr>
                <w:i/>
                <w:iCs/>
                <w:color w:val="555555"/>
                <w:sz w:val="18"/>
                <w:szCs w:val="18"/>
              </w:rPr>
              <w:t xml:space="preserve">Accès : Même écran, bascule Non-résidents / PM</w:t>
            </w:r>
          </w:p>
          <w:p>
            <w:pPr>
              <w:jc w:val="center"/>
            </w:pPr>
            <w:r>
              <w:rPr>
                <w:i/>
                <w:iCs/>
                <w:color w:val="555555"/>
                <w:sz w:val="18"/>
                <w:szCs w:val="18"/>
              </w:rPr>
              <w:t xml:space="preserve">Tableau non-résidents personnes morales.</w:t>
            </w:r>
          </w:p>
        </w:tc>
      </w:tr>
    </w:tbl>
    <w:p>
      <w:r>
        <w:br w:type="page"/>
      </w:r>
    </w:p>
    <w:p>
      <w:pPr>
        <w:pStyle w:val="Heading1"/>
        <w:spacing w:after="160" w:before="360"/>
      </w:pPr>
      <w:r>
        <w:rPr>
          <w:b/>
          <w:bCs/>
        </w:rPr>
        <w:t xml:space="preserve">6. Screening KYC ID (extraction documentaire)</w:t>
      </w:r>
    </w:p>
    <w:p>
      <w:pPr>
        <w:pStyle w:val="Heading2"/>
        <w:spacing w:after="120" w:before="260"/>
      </w:pPr>
      <w:r>
        <w:rPr>
          <w:b/>
          <w:bCs/>
        </w:rPr>
        <w:t xml:space="preserve">6.1 Principe et cycle de vie</w:t>
      </w:r>
    </w:p>
    <w:p>
      <w:pPr>
        <w:spacing w:after="120" w:line="300"/>
        <w:jc w:val="both"/>
      </w:pPr>
      <w:r>
        <w:rPr>
          <w:i w:val="false"/>
          <w:iCs w:val="false"/>
        </w:rPr>
        <w:t xml:space="preserve">Le module numérise et exploite une pièce d'identité, puis la rapproche automatiquement de la fiche client. Étapes :</w:t>
      </w:r>
    </w:p>
    <w:p>
      <w:pPr>
        <w:pStyle w:val="ListParagraph"/>
        <w:numPr>
          <w:ilvl w:val="0"/>
          <w:numId w:val="2"/>
        </w:numPr>
        <w:spacing w:after="80" w:line="290"/>
      </w:pPr>
      <w:r>
        <w:rPr>
          <w:b/>
          <w:bCs/>
        </w:rPr>
        <w:t xml:space="preserve">1. Chargement. </w:t>
      </w:r>
      <w:r>
        <w:t xml:space="preserve">Dépôt d'un ou plusieurs fichiers (PDF, images, archive ZIP).</w:t>
      </w:r>
    </w:p>
    <w:p>
      <w:pPr>
        <w:pStyle w:val="ListParagraph"/>
        <w:numPr>
          <w:ilvl w:val="0"/>
          <w:numId w:val="2"/>
        </w:numPr>
        <w:spacing w:after="80" w:line="290"/>
      </w:pPr>
      <w:r>
        <w:rPr>
          <w:b/>
          <w:bCs/>
        </w:rPr>
        <w:t xml:space="preserve">2. OCR asynchrone. </w:t>
      </w:r>
      <w:r>
        <w:t xml:space="preserve">Un worker extrait le texte (moteur RapidOCR, repli Tesseract), gère la rotation des pages et détecte le type de document.</w:t>
      </w:r>
    </w:p>
    <w:p>
      <w:pPr>
        <w:pStyle w:val="ListParagraph"/>
        <w:numPr>
          <w:ilvl w:val="0"/>
          <w:numId w:val="2"/>
        </w:numPr>
        <w:spacing w:after="80" w:line="290"/>
      </w:pPr>
      <w:r>
        <w:rPr>
          <w:b/>
          <w:bCs/>
        </w:rPr>
        <w:t xml:space="preserve">3. Rapprochement. </w:t>
      </w:r>
      <w:r>
        <w:t xml:space="preserve">Un job compare le document à la fiche client et calcule un score d'identité (pondérations paramétrables).</w:t>
      </w:r>
    </w:p>
    <w:p>
      <w:pPr>
        <w:pStyle w:val="ListParagraph"/>
        <w:numPr>
          <w:ilvl w:val="0"/>
          <w:numId w:val="2"/>
        </w:numPr>
        <w:spacing w:after="80" w:line="290"/>
      </w:pPr>
      <w:r>
        <w:rPr>
          <w:b/>
          <w:bCs/>
        </w:rPr>
        <w:t xml:space="preserve">4. Validation humaine. </w:t>
      </w:r>
      <w:r>
        <w:t xml:space="preserve">Un valideur habilité confirme ou rejette le rapprochement.</w:t>
      </w:r>
    </w:p>
    <w:p>
      <w:pPr>
        <w:pStyle w:val="Heading2"/>
        <w:spacing w:after="120" w:before="260"/>
      </w:pPr>
      <w:r>
        <w:rPr>
          <w:b/>
          <w:bCs/>
        </w:rPr>
        <w:t xml:space="preserve">6.2 Chargement de documents</w:t>
      </w:r>
    </w:p>
    <w:p>
      <w:pPr>
        <w:pStyle w:val="ListParagraph"/>
        <w:numPr>
          <w:ilvl w:val="0"/>
          <w:numId w:val="6"/>
        </w:numPr>
        <w:spacing w:after="80" w:line="290"/>
      </w:pPr>
      <w:r>
        <w:t xml:space="preserve">Ouvrir « Analyse &amp; Suivi » → « Screening KYC ID ».</w:t>
      </w:r>
    </w:p>
    <w:p>
      <w:pPr>
        <w:pStyle w:val="ListParagraph"/>
        <w:numPr>
          <w:ilvl w:val="0"/>
          <w:numId w:val="6"/>
        </w:numPr>
        <w:spacing w:after="80" w:line="290"/>
      </w:pPr>
      <w:r>
        <w:t xml:space="preserve">Sélectionner les fichiers à charger (PDF / images / ZIP).</w:t>
      </w:r>
    </w:p>
    <w:p>
      <w:pPr>
        <w:pStyle w:val="ListParagraph"/>
        <w:numPr>
          <w:ilvl w:val="0"/>
          <w:numId w:val="6"/>
        </w:numPr>
        <w:spacing w:after="80" w:line="290"/>
      </w:pPr>
      <w:r>
        <w:t xml:space="preserve">Lancer le chargement : la plateforme contrôle la taille et la signature de chaque fichier avant acceptation.</w:t>
      </w:r>
    </w:p>
    <w:p>
      <w:pPr>
        <w:pStyle w:val="ListParagraph"/>
        <w:numPr>
          <w:ilvl w:val="0"/>
          <w:numId w:val="6"/>
        </w:numPr>
        <w:spacing w:after="80" w:line="290"/>
      </w:pPr>
      <w:r>
        <w:t xml:space="preserve">Chaque fichier accepté crée une extraction en file d'attente OCR.</w:t>
      </w:r>
    </w:p>
    <w:tbl>
      <w:tblPr>
        <w:tblW w:type="dxa" w:w="9360"/>
        <w:tblBorders>
          <w:top w:val="single" w:color="1F4E79" w:sz="4"/>
          <w:left w:val="single" w:color="1F4E79" w:sz="18"/>
          <w:bottom w:val="single" w:color="1F4E79" w:sz="4"/>
          <w:right w:val="single" w:color="1F4E79" w:sz="4"/>
          <w:insideH w:val="single" w:color="1F4E79" w:sz="4"/>
          <w:insideV w:val="single" w:color="1F4E79" w:sz="4"/>
        </w:tblBorders>
      </w:tblPr>
      <w:tblGrid>
        <w:gridCol w:w="9360"/>
      </w:tblGrid>
      <w:tr>
        <w:tc>
          <w:tcPr>
            <w:tcW w:type="dxa" w:w="9360"/>
            <w:shd w:fill="EAF2FB" w:color="auto" w:val="clear"/>
            <w:tcMar>
              <w:top w:type="dxa" w:w="120"/>
              <w:left w:type="dxa" w:w="160"/>
              <w:bottom w:type="dxa" w:w="120"/>
              <w:right w:type="dxa" w:w="160"/>
            </w:tcMar>
          </w:tcPr>
          <w:p>
            <w:pPr>
              <w:spacing w:line="290"/>
            </w:pPr>
            <w:r>
              <w:rPr>
                <w:b/>
                <w:bCs/>
                <w:color w:val="1F4E79"/>
              </w:rPr>
              <w:t xml:space="preserve">Contrôles à l'import — </w:t>
            </w:r>
            <w:r>
              <w:t xml:space="preserve">Les fichiers dont la taille ou la signature binaire n'est pas conforme sont rejetés avec un message d'erreur. Un lot ZIP est décompressé côté serveur.</w:t>
            </w:r>
          </w:p>
        </w:tc>
      </w:tr>
    </w:tbl>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Screening KYC ID — zone de chargement de lot</w:t>
            </w:r>
          </w:p>
          <w:p>
            <w:pPr>
              <w:spacing w:after="40"/>
              <w:jc w:val="center"/>
            </w:pPr>
            <w:r>
              <w:rPr>
                <w:i/>
                <w:iCs/>
                <w:color w:val="555555"/>
                <w:sz w:val="18"/>
                <w:szCs w:val="18"/>
              </w:rPr>
              <w:t xml:space="preserve">Accès : Menu « Screening KYC ID »</w:t>
            </w:r>
          </w:p>
          <w:p>
            <w:pPr>
              <w:jc w:val="center"/>
            </w:pPr>
            <w:r>
              <w:rPr>
                <w:i/>
                <w:iCs/>
                <w:color w:val="555555"/>
                <w:sz w:val="18"/>
                <w:szCs w:val="18"/>
              </w:rPr>
              <w:t xml:space="preserve">Sélecteur de fichiers + bouton « Charger ».</w:t>
            </w:r>
          </w:p>
        </w:tc>
      </w:tr>
    </w:tbl>
    <w:p>
      <w:pPr>
        <w:pStyle w:val="Heading2"/>
        <w:spacing w:after="120" w:before="260"/>
      </w:pPr>
      <w:r>
        <w:rPr>
          <w:b/>
          <w:bCs/>
        </w:rPr>
        <w:t xml:space="preserve">6.3 File OCR et statut</w:t>
      </w:r>
    </w:p>
    <w:p>
      <w:pPr>
        <w:spacing w:after="120" w:line="300"/>
        <w:jc w:val="both"/>
      </w:pPr>
      <w:r>
        <w:rPr>
          <w:i w:val="false"/>
          <w:iCs w:val="false"/>
        </w:rPr>
        <w:t xml:space="preserve">Un indicateur de statut OCR permet de suivre l'avancement des extractions (en attente, en cours, terminé, en erreur). Le worker peut tourner en continu (boucle) avec plusieurs processus.</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Screening KYC ID — suivi du statut OCR</w:t>
            </w:r>
          </w:p>
          <w:p>
            <w:pPr>
              <w:spacing w:after="40"/>
              <w:jc w:val="center"/>
            </w:pPr>
            <w:r>
              <w:rPr>
                <w:i/>
                <w:iCs/>
                <w:color w:val="555555"/>
                <w:sz w:val="18"/>
                <w:szCs w:val="18"/>
              </w:rPr>
              <w:t xml:space="preserve">Accès : Écran Screening, zone statut OCR</w:t>
            </w:r>
          </w:p>
          <w:p>
            <w:pPr>
              <w:jc w:val="center"/>
            </w:pPr>
            <w:r>
              <w:rPr>
                <w:i/>
                <w:iCs/>
                <w:color w:val="555555"/>
                <w:sz w:val="18"/>
                <w:szCs w:val="18"/>
              </w:rPr>
              <w:t xml:space="preserve">Compteurs par état + rafraîchissement.</w:t>
            </w:r>
          </w:p>
        </w:tc>
      </w:tr>
    </w:tbl>
    <w:p>
      <w:pPr>
        <w:pStyle w:val="Heading2"/>
        <w:spacing w:after="120" w:before="260"/>
      </w:pPr>
      <w:r>
        <w:rPr>
          <w:b/>
          <w:bCs/>
        </w:rPr>
        <w:t xml:space="preserve">6.4 Rapprochement document ↔ client</w:t>
      </w:r>
    </w:p>
    <w:p>
      <w:pPr>
        <w:pStyle w:val="ListParagraph"/>
        <w:numPr>
          <w:ilvl w:val="0"/>
          <w:numId w:val="7"/>
        </w:numPr>
        <w:spacing w:after="80" w:line="290"/>
      </w:pPr>
      <w:r>
        <w:t xml:space="preserve">Depuis la liste des extractions, sélectionner celles à rapprocher.</w:t>
      </w:r>
    </w:p>
    <w:p>
      <w:pPr>
        <w:pStyle w:val="ListParagraph"/>
        <w:numPr>
          <w:ilvl w:val="0"/>
          <w:numId w:val="7"/>
        </w:numPr>
        <w:spacing w:after="80" w:line="290"/>
      </w:pPr>
      <w:r>
        <w:t xml:space="preserve">Lancer le job de rapprochement.</w:t>
      </w:r>
    </w:p>
    <w:p>
      <w:pPr>
        <w:pStyle w:val="ListParagraph"/>
        <w:numPr>
          <w:ilvl w:val="0"/>
          <w:numId w:val="7"/>
        </w:numPr>
        <w:spacing w:after="80" w:line="290"/>
      </w:pPr>
      <w:r>
        <w:t xml:space="preserve">Suivre l'état du job jusqu'à obtention des scores.</w:t>
      </w:r>
    </w:p>
    <w:p>
      <w:pPr>
        <w:pStyle w:val="ListParagraph"/>
        <w:numPr>
          <w:ilvl w:val="0"/>
          <w:numId w:val="7"/>
        </w:numPr>
        <w:spacing w:after="80" w:line="290"/>
      </w:pPr>
      <w:r>
        <w:t xml:space="preserve">Consulter, pour chaque document, le client candidat et son score d'identité.</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Screening KYC ID — résultats de rapprochement scorés</w:t>
            </w:r>
          </w:p>
          <w:p>
            <w:pPr>
              <w:spacing w:after="40"/>
              <w:jc w:val="center"/>
            </w:pPr>
            <w:r>
              <w:rPr>
                <w:i/>
                <w:iCs/>
                <w:color w:val="555555"/>
                <w:sz w:val="18"/>
                <w:szCs w:val="18"/>
              </w:rPr>
              <w:t xml:space="preserve">Accès : Écran Screening, après lancement du rapprochement</w:t>
            </w:r>
          </w:p>
          <w:p>
            <w:pPr>
              <w:jc w:val="center"/>
            </w:pPr>
            <w:r>
              <w:rPr>
                <w:i/>
                <w:iCs/>
                <w:color w:val="555555"/>
                <w:sz w:val="18"/>
                <w:szCs w:val="18"/>
              </w:rPr>
              <w:t xml:space="preserve">Tableau document / client / score.</w:t>
            </w:r>
          </w:p>
        </w:tc>
      </w:tr>
    </w:tbl>
    <w:p>
      <w:pPr>
        <w:pStyle w:val="Heading2"/>
        <w:spacing w:after="120" w:before="260"/>
      </w:pPr>
      <w:r>
        <w:rPr>
          <w:b/>
          <w:bCs/>
        </w:rPr>
        <w:t xml:space="preserve">6.5 Validation humaine</w:t>
      </w:r>
    </w:p>
    <w:p>
      <w:pPr>
        <w:spacing w:after="120" w:line="300"/>
        <w:jc w:val="both"/>
      </w:pPr>
      <w:r>
        <w:rPr>
          <w:i w:val="false"/>
          <w:iCs w:val="false"/>
        </w:rPr>
        <w:t xml:space="preserve">Les rapprochements sont soumis à décision (accepté / rejeté) par un utilisateur portant le rôle de valideur. La décision est tracée.</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Screening KYC ID — écran de décision de rapprochement</w:t>
            </w:r>
          </w:p>
          <w:p>
            <w:pPr>
              <w:spacing w:after="40"/>
              <w:jc w:val="center"/>
            </w:pPr>
            <w:r>
              <w:rPr>
                <w:i/>
                <w:iCs/>
                <w:color w:val="555555"/>
                <w:sz w:val="18"/>
                <w:szCs w:val="18"/>
              </w:rPr>
              <w:t xml:space="preserve">Accès : Écran Screening → action « Valider » sur une ligne</w:t>
            </w:r>
          </w:p>
          <w:p>
            <w:pPr>
              <w:jc w:val="center"/>
            </w:pPr>
            <w:r>
              <w:rPr>
                <w:i/>
                <w:iCs/>
                <w:color w:val="555555"/>
                <w:sz w:val="18"/>
                <w:szCs w:val="18"/>
              </w:rPr>
              <w:t xml:space="preserve">Comparatif champs document vs fiche client + boutons Accepter / Rejeter.</w:t>
            </w:r>
          </w:p>
        </w:tc>
      </w:tr>
    </w:tbl>
    <w:p>
      <w:pPr>
        <w:pStyle w:val="Heading2"/>
        <w:spacing w:after="120" w:before="260"/>
      </w:pPr>
      <w:r>
        <w:rPr>
          <w:b/>
          <w:bCs/>
        </w:rPr>
        <w:t xml:space="preserve">6.6 Export des rapprochements</w:t>
      </w:r>
    </w:p>
    <w:p>
      <w:pPr>
        <w:spacing w:after="120" w:line="300"/>
        <w:jc w:val="both"/>
      </w:pPr>
      <w:r>
        <w:rPr>
          <w:i w:val="false"/>
          <w:iCs w:val="false"/>
        </w:rPr>
        <w:t xml:space="preserve">Un export des rapprochements (et de leur statut de validation) est disponible depuis l'écran.</w:t>
      </w:r>
    </w:p>
    <w:p>
      <w:pPr>
        <w:pStyle w:val="Heading2"/>
        <w:spacing w:after="120" w:before="260"/>
      </w:pPr>
      <w:r>
        <w:rPr>
          <w:b/>
          <w:bCs/>
        </w:rPr>
        <w:t xml:space="preserve">6.7 Fichiers médias protégés</w:t>
      </w:r>
    </w:p>
    <w:p>
      <w:pPr>
        <w:spacing w:after="120" w:line="300"/>
        <w:jc w:val="both"/>
      </w:pPr>
      <w:r>
        <w:rPr>
          <w:i w:val="false"/>
          <w:iCs w:val="false"/>
        </w:rPr>
        <w:t xml:space="preserve">Les images et PDF d'extraction ne sont jamais servis en statique : ils transitent par un point d'accès protégé qui vérifie le périmètre de l'utilisateur avant de délivrer le fichier.</w:t>
      </w:r>
    </w:p>
    <w:p>
      <w:r>
        <w:br w:type="page"/>
      </w:r>
    </w:p>
    <w:p>
      <w:pPr>
        <w:pStyle w:val="Heading1"/>
        <w:spacing w:after="160" w:before="360"/>
      </w:pPr>
      <w:r>
        <w:rPr>
          <w:b/>
          <w:bCs/>
        </w:rPr>
        <w:t xml:space="preserve">7. Administration</w:t>
      </w:r>
    </w:p>
    <w:p>
      <w:pPr>
        <w:spacing w:after="120" w:line="300"/>
        <w:jc w:val="both"/>
      </w:pPr>
      <w:r>
        <w:rPr>
          <w:i w:val="false"/>
          <w:iCs w:val="false"/>
        </w:rPr>
        <w:t xml:space="preserve">Section visible selon les droits parametrage_utilisateurs, regles_qualite, champs_kyc, documents_screening, rappels_scoring, pilotage, audit.</w:t>
      </w:r>
    </w:p>
    <w:p>
      <w:pPr>
        <w:pStyle w:val="Heading2"/>
        <w:spacing w:after="120" w:before="260"/>
      </w:pPr>
      <w:r>
        <w:rPr>
          <w:b/>
          <w:bCs/>
        </w:rPr>
        <w:t xml:space="preserve">7.1 Paramétrage Utilisateurs</w:t>
      </w:r>
    </w:p>
    <w:p>
      <w:pPr>
        <w:pStyle w:val="ListParagraph"/>
        <w:numPr>
          <w:ilvl w:val="0"/>
          <w:numId w:val="2"/>
        </w:numPr>
        <w:spacing w:after="80" w:line="290"/>
      </w:pPr>
      <w:r>
        <w:rPr>
          <w:b/>
          <w:bCs/>
        </w:rPr>
        <w:t xml:space="preserve">Liste des utilisateurs. </w:t>
      </w:r>
      <w:r>
        <w:t xml:space="preserve">Recherche et consultation des comptes du périmètre.</w:t>
      </w:r>
    </w:p>
    <w:p>
      <w:pPr>
        <w:pStyle w:val="ListParagraph"/>
        <w:numPr>
          <w:ilvl w:val="0"/>
          <w:numId w:val="2"/>
        </w:numPr>
        <w:spacing w:after="80" w:line="290"/>
      </w:pPr>
      <w:r>
        <w:rPr>
          <w:b/>
          <w:bCs/>
        </w:rPr>
        <w:t xml:space="preserve">Créer un utilisateur. </w:t>
      </w:r>
      <w:r>
        <w:t xml:space="preserve">Formulaire d'inscription (organe, filiale, agence, code exploitant, indicateur de changement de mot de passe obligatoire).</w:t>
      </w:r>
    </w:p>
    <w:p>
      <w:pPr>
        <w:pStyle w:val="ListParagraph"/>
        <w:numPr>
          <w:ilvl w:val="0"/>
          <w:numId w:val="2"/>
        </w:numPr>
        <w:spacing w:after="80" w:line="290"/>
      </w:pPr>
      <w:r>
        <w:rPr>
          <w:b/>
          <w:bCs/>
        </w:rPr>
        <w:t xml:space="preserve">Éditer un utilisateur. </w:t>
      </w:r>
      <w:r>
        <w:t xml:space="preserve">Mise à jour des attributs de rattachement et de l'état du compte.</w:t>
      </w:r>
    </w:p>
    <w:p>
      <w:pPr>
        <w:pStyle w:val="ListParagraph"/>
        <w:numPr>
          <w:ilvl w:val="0"/>
          <w:numId w:val="2"/>
        </w:numPr>
        <w:spacing w:after="80" w:line="290"/>
      </w:pPr>
      <w:r>
        <w:rPr>
          <w:b/>
          <w:bCs/>
        </w:rPr>
        <w:t xml:space="preserve">Réinitialiser le mot de passe. </w:t>
      </w:r>
      <w:r>
        <w:t xml:space="preserve">Génère un mot de passe temporaire et force son changement à la prochaine connexion.</w:t>
      </w:r>
    </w:p>
    <w:p>
      <w:pPr>
        <w:pStyle w:val="ListParagraph"/>
        <w:numPr>
          <w:ilvl w:val="0"/>
          <w:numId w:val="2"/>
        </w:numPr>
        <w:spacing w:after="80" w:line="290"/>
      </w:pPr>
      <w:r>
        <w:rPr>
          <w:b/>
          <w:bCs/>
        </w:rPr>
        <w:t xml:space="preserve">Import en masse. </w:t>
      </w:r>
      <w:r>
        <w:t xml:space="preserve">Chargement d'un fichier Excel de comptes ; un modèle vierge est téléchargeable depuis l'écran.</w:t>
      </w:r>
    </w:p>
    <w:p>
      <w:pPr>
        <w:pStyle w:val="ListParagraph"/>
        <w:numPr>
          <w:ilvl w:val="0"/>
          <w:numId w:val="2"/>
        </w:numPr>
        <w:spacing w:after="80" w:line="290"/>
      </w:pPr>
      <w:r>
        <w:rPr>
          <w:b/>
          <w:bCs/>
        </w:rPr>
        <w:t xml:space="preserve">Statistiques utilisateurs. </w:t>
      </w:r>
      <w:r>
        <w:t xml:space="preserve">Vue d'usage (connexions, activité) accessible depuis la section.</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Paramétrage Utilisateurs — liste des comptes</w:t>
            </w:r>
          </w:p>
          <w:p>
            <w:pPr>
              <w:spacing w:after="40"/>
              <w:jc w:val="center"/>
            </w:pPr>
            <w:r>
              <w:rPr>
                <w:i/>
                <w:iCs/>
                <w:color w:val="555555"/>
                <w:sz w:val="18"/>
                <w:szCs w:val="18"/>
              </w:rPr>
              <w:t xml:space="preserve">Accès : Menu « Administration » → « Paramétrage Utilisateurs »</w:t>
            </w:r>
          </w:p>
          <w:p>
            <w:pPr>
              <w:jc w:val="center"/>
            </w:pPr>
            <w:r>
              <w:rPr>
                <w:i/>
                <w:iCs/>
                <w:color w:val="555555"/>
                <w:sz w:val="18"/>
                <w:szCs w:val="18"/>
              </w:rPr>
              <w:t xml:space="preserve">Tableau + recherche + boutons « Créer », « Import en masse ».</w:t>
            </w:r>
          </w:p>
        </w:tc>
      </w:tr>
    </w:tbl>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Création d'un utilisateur</w:t>
            </w:r>
          </w:p>
          <w:p>
            <w:pPr>
              <w:spacing w:after="40"/>
              <w:jc w:val="center"/>
            </w:pPr>
            <w:r>
              <w:rPr>
                <w:i/>
                <w:iCs/>
                <w:color w:val="555555"/>
                <w:sz w:val="18"/>
                <w:szCs w:val="18"/>
              </w:rPr>
              <w:t xml:space="preserve">Accès : Écran Paramétrage Utilisateurs → « Créer »</w:t>
            </w:r>
          </w:p>
          <w:p>
            <w:pPr>
              <w:jc w:val="center"/>
            </w:pPr>
            <w:r>
              <w:rPr>
                <w:i/>
                <w:iCs/>
                <w:color w:val="555555"/>
                <w:sz w:val="18"/>
                <w:szCs w:val="18"/>
              </w:rPr>
              <w:t xml:space="preserve">Formulaire complet (organe, filiale, agence, EXPL).</w:t>
            </w:r>
          </w:p>
        </w:tc>
      </w:tr>
    </w:tbl>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Import en masse d'utilisateurs</w:t>
            </w:r>
          </w:p>
          <w:p>
            <w:pPr>
              <w:spacing w:after="40"/>
              <w:jc w:val="center"/>
            </w:pPr>
            <w:r>
              <w:rPr>
                <w:i/>
                <w:iCs/>
                <w:color w:val="555555"/>
                <w:sz w:val="18"/>
                <w:szCs w:val="18"/>
              </w:rPr>
              <w:t xml:space="preserve">Accès : Écran Paramétrage Utilisateurs → « Import en masse »</w:t>
            </w:r>
          </w:p>
          <w:p>
            <w:pPr>
              <w:jc w:val="center"/>
            </w:pPr>
            <w:r>
              <w:rPr>
                <w:i/>
                <w:iCs/>
                <w:color w:val="555555"/>
                <w:sz w:val="18"/>
                <w:szCs w:val="18"/>
              </w:rPr>
              <w:t xml:space="preserve">Zone de dépôt du fichier + lien « Télécharger le modèle ».</w:t>
            </w:r>
          </w:p>
        </w:tc>
      </w:tr>
    </w:tbl>
    <w:p>
      <w:pPr>
        <w:pStyle w:val="Heading2"/>
        <w:spacing w:after="120" w:before="260"/>
      </w:pPr>
      <w:r>
        <w:rPr>
          <w:b/>
          <w:bCs/>
        </w:rPr>
        <w:t xml:space="preserve">7.2 Règles de Qualité</w:t>
      </w:r>
    </w:p>
    <w:p>
      <w:pPr>
        <w:spacing w:after="120" w:line="300"/>
        <w:jc w:val="both"/>
      </w:pPr>
      <w:r>
        <w:rPr>
          <w:i w:val="false"/>
          <w:iCs w:val="false"/>
        </w:rPr>
        <w:t xml:space="preserve">Moteur de règles évaluant les données KYC selon des conditions combinées (ET / OU). Chaque règle produit un taux de conformité et une liste d'échecs.</w:t>
      </w:r>
    </w:p>
    <w:p>
      <w:pPr>
        <w:pStyle w:val="ListParagraph"/>
        <w:numPr>
          <w:ilvl w:val="0"/>
          <w:numId w:val="2"/>
        </w:numPr>
        <w:spacing w:after="80" w:line="290"/>
      </w:pPr>
      <w:r>
        <w:rPr>
          <w:b/>
          <w:bCs/>
        </w:rPr>
        <w:t xml:space="preserve">Créer / éditer une règle. </w:t>
      </w:r>
      <w:r>
        <w:t xml:space="preserve">Définition du libellé, du périmètre d'application (PP/PM), des conditions et de leur logique d'assemblage.</w:t>
      </w:r>
    </w:p>
    <w:p>
      <w:pPr>
        <w:pStyle w:val="ListParagraph"/>
        <w:numPr>
          <w:ilvl w:val="0"/>
          <w:numId w:val="2"/>
        </w:numPr>
        <w:spacing w:after="80" w:line="290"/>
      </w:pPr>
      <w:r>
        <w:rPr>
          <w:b/>
          <w:bCs/>
        </w:rPr>
        <w:t xml:space="preserve">Dupliquer / supprimer. </w:t>
      </w:r>
      <w:r>
        <w:t xml:space="preserve">Duplication pour variante ; suppression avec confirmation.</w:t>
      </w:r>
    </w:p>
    <w:p>
      <w:pPr>
        <w:pStyle w:val="ListParagraph"/>
        <w:numPr>
          <w:ilvl w:val="0"/>
          <w:numId w:val="2"/>
        </w:numPr>
        <w:spacing w:after="80" w:line="290"/>
      </w:pPr>
      <w:r>
        <w:rPr>
          <w:b/>
          <w:bCs/>
        </w:rPr>
        <w:t xml:space="preserve">Audits. </w:t>
      </w:r>
      <w:r>
        <w:t xml:space="preserve">Historique des évaluations (DataQualityRuleAudit) consultable, exportable en Excel et en PDF.</w:t>
      </w:r>
    </w:p>
    <w:p>
      <w:pPr>
        <w:pStyle w:val="ListParagraph"/>
        <w:numPr>
          <w:ilvl w:val="0"/>
          <w:numId w:val="2"/>
        </w:numPr>
        <w:spacing w:after="80" w:line="290"/>
      </w:pPr>
      <w:r>
        <w:rPr>
          <w:b/>
          <w:bCs/>
        </w:rPr>
        <w:t xml:space="preserve">Exports. </w:t>
      </w:r>
      <w:r>
        <w:t xml:space="preserve">Export PDF du catalogue de règles ; export de la liste des échecs d'une règle donnée.</w:t>
      </w:r>
    </w:p>
    <w:p>
      <w:pPr>
        <w:pStyle w:val="ListParagraph"/>
        <w:numPr>
          <w:ilvl w:val="0"/>
          <w:numId w:val="2"/>
        </w:numPr>
        <w:spacing w:after="80" w:line="290"/>
      </w:pPr>
      <w:r>
        <w:rPr>
          <w:b/>
          <w:bCs/>
        </w:rPr>
        <w:t xml:space="preserve">Import / export JSON. </w:t>
      </w:r>
      <w:r>
        <w:t xml:space="preserve">Les règles sont transférables entre environnements via un fichier JSON (quality_rules_export.json).</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Règles de Qualité — catalogue des règles</w:t>
            </w:r>
          </w:p>
          <w:p>
            <w:pPr>
              <w:spacing w:after="40"/>
              <w:jc w:val="center"/>
            </w:pPr>
            <w:r>
              <w:rPr>
                <w:i/>
                <w:iCs/>
                <w:color w:val="555555"/>
                <w:sz w:val="18"/>
                <w:szCs w:val="18"/>
              </w:rPr>
              <w:t xml:space="preserve">Accès : Menu « Administration » → « Règles de Qualité »</w:t>
            </w:r>
          </w:p>
          <w:p>
            <w:pPr>
              <w:jc w:val="center"/>
            </w:pPr>
            <w:r>
              <w:rPr>
                <w:i/>
                <w:iCs/>
                <w:color w:val="555555"/>
                <w:sz w:val="18"/>
                <w:szCs w:val="18"/>
              </w:rPr>
              <w:t xml:space="preserve">Liste des règles avec taux + actions (éditer, dupliquer, supprimer).</w:t>
            </w:r>
          </w:p>
        </w:tc>
      </w:tr>
    </w:tbl>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Édition d'une règle de qualité (conditions ET/OU)</w:t>
            </w:r>
          </w:p>
          <w:p>
            <w:pPr>
              <w:spacing w:after="40"/>
              <w:jc w:val="center"/>
            </w:pPr>
            <w:r>
              <w:rPr>
                <w:i/>
                <w:iCs/>
                <w:color w:val="555555"/>
                <w:sz w:val="18"/>
                <w:szCs w:val="18"/>
              </w:rPr>
              <w:t xml:space="preserve">Accès : Écran Règles de Qualité → « Éditer »</w:t>
            </w:r>
          </w:p>
          <w:p>
            <w:pPr>
              <w:jc w:val="center"/>
            </w:pPr>
            <w:r>
              <w:rPr>
                <w:i/>
                <w:iCs/>
                <w:color w:val="555555"/>
                <w:sz w:val="18"/>
                <w:szCs w:val="18"/>
              </w:rPr>
              <w:t xml:space="preserve">Formulaire de conditions + sélecteur de logique.</w:t>
            </w:r>
          </w:p>
        </w:tc>
      </w:tr>
    </w:tbl>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Règles de Qualité — journal des audits</w:t>
            </w:r>
          </w:p>
          <w:p>
            <w:pPr>
              <w:spacing w:after="40"/>
              <w:jc w:val="center"/>
            </w:pPr>
            <w:r>
              <w:rPr>
                <w:i/>
                <w:iCs/>
                <w:color w:val="555555"/>
                <w:sz w:val="18"/>
                <w:szCs w:val="18"/>
              </w:rPr>
              <w:t xml:space="preserve">Accès : Écran Règles de Qualité → « Audits »</w:t>
            </w:r>
          </w:p>
          <w:p>
            <w:pPr>
              <w:jc w:val="center"/>
            </w:pPr>
            <w:r>
              <w:rPr>
                <w:i/>
                <w:iCs/>
                <w:color w:val="555555"/>
                <w:sz w:val="18"/>
                <w:szCs w:val="18"/>
              </w:rPr>
              <w:t xml:space="preserve">Tableau daté + boutons export Excel / PDF.</w:t>
            </w:r>
          </w:p>
        </w:tc>
      </w:tr>
    </w:tbl>
    <w:p>
      <w:pPr>
        <w:pStyle w:val="Heading2"/>
        <w:spacing w:after="120" w:before="260"/>
      </w:pPr>
      <w:r>
        <w:rPr>
          <w:b/>
          <w:bCs/>
        </w:rPr>
        <w:t xml:space="preserve">7.3 Champs KYC</w:t>
      </w:r>
    </w:p>
    <w:p>
      <w:pPr>
        <w:spacing w:after="120" w:line="300"/>
        <w:jc w:val="both"/>
      </w:pPr>
      <w:r>
        <w:rPr>
          <w:i w:val="false"/>
          <w:iCs w:val="false"/>
        </w:rPr>
        <w:t xml:space="preserve">Écran de configuration de la visibilité des champs KYC par filiale (KycFieldVisibilityConfig) et des modules activés (FilialeModuleConfig). Permet d'adapter les colonnes affichées et les contrôles appliqués filiale par filiale.</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Configuration des champs KYC par filiale</w:t>
            </w:r>
          </w:p>
          <w:p>
            <w:pPr>
              <w:spacing w:after="40"/>
              <w:jc w:val="center"/>
            </w:pPr>
            <w:r>
              <w:rPr>
                <w:i/>
                <w:iCs/>
                <w:color w:val="555555"/>
                <w:sz w:val="18"/>
                <w:szCs w:val="18"/>
              </w:rPr>
              <w:t xml:space="preserve">Accès : Menu « Administration » → « Champs KYC »</w:t>
            </w:r>
          </w:p>
          <w:p>
            <w:pPr>
              <w:jc w:val="center"/>
            </w:pPr>
            <w:r>
              <w:rPr>
                <w:i/>
                <w:iCs/>
                <w:color w:val="555555"/>
                <w:sz w:val="18"/>
                <w:szCs w:val="18"/>
              </w:rPr>
              <w:t xml:space="preserve">Matrice filiale / champs avec cases d'activation.</w:t>
            </w:r>
          </w:p>
        </w:tc>
      </w:tr>
    </w:tbl>
    <w:p>
      <w:pPr>
        <w:pStyle w:val="Heading2"/>
        <w:spacing w:after="120" w:before="260"/>
      </w:pPr>
      <w:r>
        <w:rPr>
          <w:b/>
          <w:bCs/>
        </w:rPr>
        <w:t xml:space="preserve">7.4 Documents Screening KYC ID (configuration)</w:t>
      </w:r>
    </w:p>
    <w:p>
      <w:pPr>
        <w:spacing w:after="120" w:line="300"/>
        <w:jc w:val="both"/>
      </w:pPr>
      <w:r>
        <w:rPr>
          <w:i w:val="false"/>
          <w:iCs w:val="false"/>
        </w:rPr>
        <w:t xml:space="preserve">Paramétrage des types de documents reconnus par l'OCR : libellés, mots-clés de détection et apprentissage automatique du type à partir des documents traités.</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Configuration des types de documents</w:t>
            </w:r>
          </w:p>
          <w:p>
            <w:pPr>
              <w:spacing w:after="40"/>
              <w:jc w:val="center"/>
            </w:pPr>
            <w:r>
              <w:rPr>
                <w:i/>
                <w:iCs/>
                <w:color w:val="555555"/>
                <w:sz w:val="18"/>
                <w:szCs w:val="18"/>
              </w:rPr>
              <w:t xml:space="preserve">Accès : Menu « Administration » → « Documents Screening KYC ID »</w:t>
            </w:r>
          </w:p>
          <w:p>
            <w:pPr>
              <w:jc w:val="center"/>
            </w:pPr>
            <w:r>
              <w:rPr>
                <w:i/>
                <w:iCs/>
                <w:color w:val="555555"/>
                <w:sz w:val="18"/>
                <w:szCs w:val="18"/>
              </w:rPr>
              <w:t xml:space="preserve">Liste des types + mots-clés associés.</w:t>
            </w:r>
          </w:p>
        </w:tc>
      </w:tr>
    </w:tbl>
    <w:p>
      <w:pPr>
        <w:pStyle w:val="Heading2"/>
        <w:spacing w:after="120" w:before="260"/>
      </w:pPr>
      <w:r>
        <w:rPr>
          <w:b/>
          <w:bCs/>
        </w:rPr>
        <w:t xml:space="preserve">7.5 Rappels Scoring (DATEREV)</w:t>
      </w:r>
    </w:p>
    <w:p>
      <w:pPr>
        <w:pStyle w:val="ListParagraph"/>
        <w:numPr>
          <w:ilvl w:val="0"/>
          <w:numId w:val="2"/>
        </w:numPr>
        <w:spacing w:after="80" w:line="290"/>
      </w:pPr>
      <w:r>
        <w:rPr>
          <w:b/>
          <w:bCs/>
        </w:rPr>
        <w:t xml:space="preserve">Liste des rappels. </w:t>
      </w:r>
      <w:r>
        <w:t xml:space="preserve">Clients dont la date de révision (DATEREV) est échue ou proche de l'échéance.</w:t>
      </w:r>
    </w:p>
    <w:p>
      <w:pPr>
        <w:pStyle w:val="ListParagraph"/>
        <w:numPr>
          <w:ilvl w:val="0"/>
          <w:numId w:val="2"/>
        </w:numPr>
        <w:spacing w:after="80" w:line="290"/>
      </w:pPr>
      <w:r>
        <w:rPr>
          <w:b/>
          <w:bCs/>
        </w:rPr>
        <w:t xml:space="preserve">Envoi des rappels. </w:t>
      </w:r>
      <w:r>
        <w:t xml:space="preserve">Déclenche l'envoi des courriels de rappel aux destinataires concernés.</w:t>
      </w:r>
    </w:p>
    <w:p>
      <w:pPr>
        <w:pStyle w:val="ListParagraph"/>
        <w:numPr>
          <w:ilvl w:val="0"/>
          <w:numId w:val="2"/>
        </w:numPr>
        <w:spacing w:after="80" w:line="290"/>
      </w:pPr>
      <w:r>
        <w:rPr>
          <w:b/>
          <w:bCs/>
        </w:rPr>
        <w:t xml:space="preserve">Test SMTP. </w:t>
      </w:r>
      <w:r>
        <w:t xml:space="preserve">Vérifie la configuration du relais de messagerie avant un envoi réel.</w:t>
      </w:r>
    </w:p>
    <w:p>
      <w:pPr>
        <w:pStyle w:val="ListParagraph"/>
        <w:numPr>
          <w:ilvl w:val="0"/>
          <w:numId w:val="2"/>
        </w:numPr>
        <w:spacing w:after="80" w:line="290"/>
      </w:pPr>
      <w:r>
        <w:rPr>
          <w:b/>
          <w:bCs/>
        </w:rPr>
        <w:t xml:space="preserve">Export Excel. </w:t>
      </w:r>
      <w:r>
        <w:t xml:space="preserve">Extraction de la liste des rappels.</w:t>
      </w:r>
    </w:p>
    <w:tbl>
      <w:tblPr>
        <w:tblW w:type="dxa" w:w="9360"/>
        <w:tblBorders>
          <w:top w:val="single" w:color="8A6D00" w:sz="4"/>
          <w:left w:val="single" w:color="8A6D00" w:sz="18"/>
          <w:bottom w:val="single" w:color="8A6D00" w:sz="4"/>
          <w:right w:val="single" w:color="8A6D00" w:sz="4"/>
          <w:insideH w:val="single" w:color="8A6D00" w:sz="4"/>
          <w:insideV w:val="single" w:color="8A6D00" w:sz="4"/>
        </w:tblBorders>
      </w:tblPr>
      <w:tblGrid>
        <w:gridCol w:w="9360"/>
      </w:tblGrid>
      <w:tr>
        <w:tc>
          <w:tcPr>
            <w:tcW w:type="dxa" w:w="9360"/>
            <w:shd w:fill="FFF4E5" w:color="auto" w:val="clear"/>
            <w:tcMar>
              <w:top w:type="dxa" w:w="120"/>
              <w:left w:type="dxa" w:w="160"/>
              <w:bottom w:type="dxa" w:w="120"/>
              <w:right w:type="dxa" w:w="160"/>
            </w:tcMar>
          </w:tcPr>
          <w:p>
            <w:pPr>
              <w:spacing w:line="290"/>
            </w:pPr>
            <w:r>
              <w:rPr>
                <w:b/>
                <w:bCs/>
                <w:color w:val="8A6D00"/>
              </w:rPr>
              <w:t xml:space="preserve">Relais de messagerie de production — </w:t>
            </w:r>
            <w:r>
              <w:t xml:space="preserve">Le relais SMTP de production fonctionne sans TLS ni authentification (autorisé par adresse IP). Un test qui « fonctionne » depuis un autre outil ne préjuge pas du bon paramétrage côté plateforme : utiliser le bouton « Test SMTP » de l'écran.</w:t>
            </w:r>
          </w:p>
        </w:tc>
      </w:tr>
    </w:tbl>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Écran « Rappels Scoring »</w:t>
            </w:r>
          </w:p>
          <w:p>
            <w:pPr>
              <w:spacing w:after="40"/>
              <w:jc w:val="center"/>
            </w:pPr>
            <w:r>
              <w:rPr>
                <w:i/>
                <w:iCs/>
                <w:color w:val="555555"/>
                <w:sz w:val="18"/>
                <w:szCs w:val="18"/>
              </w:rPr>
              <w:t xml:space="preserve">Accès : Menu « Administration » → « Rappels Scoring »</w:t>
            </w:r>
          </w:p>
          <w:p>
            <w:pPr>
              <w:jc w:val="center"/>
            </w:pPr>
            <w:r>
              <w:rPr>
                <w:i/>
                <w:iCs/>
                <w:color w:val="555555"/>
                <w:sz w:val="18"/>
                <w:szCs w:val="18"/>
              </w:rPr>
              <w:t xml:space="preserve">Liste + boutons « Envoyer », « Test SMTP », « Export Excel ».</w:t>
            </w:r>
          </w:p>
        </w:tc>
      </w:tr>
    </w:tbl>
    <w:p>
      <w:pPr>
        <w:pStyle w:val="Heading2"/>
        <w:spacing w:after="120" w:before="260"/>
      </w:pPr>
      <w:r>
        <w:rPr>
          <w:b/>
          <w:bCs/>
        </w:rPr>
        <w:t xml:space="preserve">7.6 Pilotage</w:t>
      </w:r>
    </w:p>
    <w:p>
      <w:pPr>
        <w:spacing w:after="120" w:line="300"/>
        <w:jc w:val="both"/>
      </w:pPr>
      <w:r>
        <w:rPr>
          <w:i w:val="false"/>
          <w:iCs w:val="false"/>
        </w:rPr>
        <w:t xml:space="preserve">Vue de synthèse destinée au pilotage de la qualité, avec production de livrables PDF et PowerPoint (PPTX) d'audit par filiale à partir des données consolidées.</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Écran « Pilotage »</w:t>
            </w:r>
          </w:p>
          <w:p>
            <w:pPr>
              <w:spacing w:after="40"/>
              <w:jc w:val="center"/>
            </w:pPr>
            <w:r>
              <w:rPr>
                <w:i/>
                <w:iCs/>
                <w:color w:val="555555"/>
                <w:sz w:val="18"/>
                <w:szCs w:val="18"/>
              </w:rPr>
              <w:t xml:space="preserve">Accès : Menu « Administration » → « Pilotage »</w:t>
            </w:r>
          </w:p>
          <w:p>
            <w:pPr>
              <w:jc w:val="center"/>
            </w:pPr>
            <w:r>
              <w:rPr>
                <w:i/>
                <w:iCs/>
                <w:color w:val="555555"/>
                <w:sz w:val="18"/>
                <w:szCs w:val="18"/>
              </w:rPr>
              <w:t xml:space="preserve">Indicateurs de synthèse + boutons d'export PDF / PPTX.</w:t>
            </w:r>
          </w:p>
        </w:tc>
      </w:tr>
    </w:tbl>
    <w:p>
      <w:pPr>
        <w:pStyle w:val="Heading2"/>
        <w:spacing w:after="120" w:before="260"/>
      </w:pPr>
      <w:r>
        <w:rPr>
          <w:b/>
          <w:bCs/>
        </w:rPr>
        <w:t xml:space="preserve">7.7 Audit</w:t>
      </w:r>
    </w:p>
    <w:p>
      <w:pPr>
        <w:spacing w:after="120" w:line="300"/>
        <w:jc w:val="both"/>
      </w:pPr>
      <w:r>
        <w:rPr>
          <w:i w:val="false"/>
          <w:iCs w:val="false"/>
        </w:rPr>
        <w:t xml:space="preserve">Journal des événements d'audit de la plateforme (connexions, actions sensibles, modifications de configuration). Filtrable et exportable en Excel.</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Écran « Audit » — journal des événements</w:t>
            </w:r>
          </w:p>
          <w:p>
            <w:pPr>
              <w:spacing w:after="40"/>
              <w:jc w:val="center"/>
            </w:pPr>
            <w:r>
              <w:rPr>
                <w:i/>
                <w:iCs/>
                <w:color w:val="555555"/>
                <w:sz w:val="18"/>
                <w:szCs w:val="18"/>
              </w:rPr>
              <w:t xml:space="preserve">Accès : Menu « Administration » → « Audit »</w:t>
            </w:r>
          </w:p>
          <w:p>
            <w:pPr>
              <w:jc w:val="center"/>
            </w:pPr>
            <w:r>
              <w:rPr>
                <w:i/>
                <w:iCs/>
                <w:color w:val="555555"/>
                <w:sz w:val="18"/>
                <w:szCs w:val="18"/>
              </w:rPr>
              <w:t xml:space="preserve">Tableau chronologique + filtres + bouton export Excel.</w:t>
            </w:r>
          </w:p>
        </w:tc>
      </w:tr>
    </w:tbl>
    <w:p>
      <w:pPr>
        <w:pStyle w:val="Heading2"/>
        <w:spacing w:after="120" w:before="260"/>
      </w:pPr>
      <w:r>
        <w:rPr>
          <w:b/>
          <w:bCs/>
        </w:rPr>
        <w:t xml:space="preserve">7.8 Console d'administration Django (/admin)</w:t>
      </w:r>
    </w:p>
    <w:p>
      <w:pPr>
        <w:spacing w:after="120" w:line="300"/>
        <w:jc w:val="both"/>
      </w:pPr>
      <w:r>
        <w:rPr>
          <w:i w:val="false"/>
          <w:iCs w:val="false"/>
        </w:rPr>
        <w:t xml:space="preserve">Réservée aux administrateurs techniques. Elle permet de gérer directement les objets de configuration qui n'ont pas d'écran dédié :</w:t>
      </w:r>
    </w:p>
    <w:tbl>
      <w:tblPr>
        <w:tblW w:type="dxa" w:w="9360"/>
        <w:tblBorders>
          <w:top w:val="single" w:color="AAAAAA" w:sz="3"/>
          <w:left w:val="single" w:color="AAAAAA" w:sz="3"/>
          <w:bottom w:val="single" w:color="AAAAAA" w:sz="3"/>
          <w:right w:val="single" w:color="AAAAAA" w:sz="3"/>
          <w:insideH w:val="single" w:color="AAAAAA" w:sz="3"/>
          <w:insideV w:val="single" w:color="AAAAAA" w:sz="3"/>
        </w:tblBorders>
      </w:tblPr>
      <w:tblGrid>
        <w:gridCol w:w="3000"/>
        <w:gridCol w:w="6360"/>
      </w:tblGrid>
      <w:tr>
        <w:trPr>
          <w:tblHeader/>
        </w:trPr>
        <w:tc>
          <w:tcPr>
            <w:tcW w:type="dxa" w:w="3000"/>
            <w:shd w:fill="1F4E79" w:color="auto" w:val="clear"/>
            <w:tcMar>
              <w:top w:type="dxa" w:w="60"/>
              <w:left w:type="dxa" w:w="100"/>
              <w:bottom w:type="dxa" w:w="60"/>
              <w:right w:type="dxa" w:w="100"/>
            </w:tcMar>
          </w:tcPr>
          <w:p>
            <w:r>
              <w:rPr>
                <w:b/>
                <w:bCs/>
                <w:color w:val="FFFFFF"/>
                <w:sz w:val="18"/>
                <w:szCs w:val="18"/>
              </w:rPr>
              <w:t xml:space="preserve">Objet</w:t>
            </w:r>
          </w:p>
        </w:tc>
        <w:tc>
          <w:tcPr>
            <w:tcW w:type="dxa" w:w="6360"/>
            <w:shd w:fill="1F4E79" w:color="auto" w:val="clear"/>
            <w:tcMar>
              <w:top w:type="dxa" w:w="60"/>
              <w:left w:type="dxa" w:w="100"/>
              <w:bottom w:type="dxa" w:w="60"/>
              <w:right w:type="dxa" w:w="100"/>
            </w:tcMar>
          </w:tcPr>
          <w:p>
            <w:r>
              <w:rPr>
                <w:b/>
                <w:bCs/>
                <w:color w:val="FFFFFF"/>
                <w:sz w:val="18"/>
                <w:szCs w:val="18"/>
              </w:rPr>
              <w:t xml:space="preserve">Rôle</w:t>
            </w:r>
          </w:p>
        </w:tc>
      </w:tr>
      <w:tr>
        <w:tc>
          <w:tcPr>
            <w:tcW w:type="dxa" w:w="3000"/>
            <w:shd w:fill="FFFFFF" w:color="auto" w:val="clear"/>
            <w:tcMar>
              <w:top w:type="dxa" w:w="60"/>
              <w:left w:type="dxa" w:w="100"/>
              <w:bottom w:type="dxa" w:w="60"/>
              <w:right w:type="dxa" w:w="100"/>
            </w:tcMar>
          </w:tcPr>
          <w:p>
            <w:r>
              <w:rPr>
                <w:sz w:val="18"/>
                <w:szCs w:val="18"/>
              </w:rPr>
              <w:t xml:space="preserve">ProfileV</w:t>
            </w:r>
          </w:p>
        </w:tc>
        <w:tc>
          <w:tcPr>
            <w:tcW w:type="dxa" w:w="6360"/>
            <w:shd w:fill="FFFFFF" w:color="auto" w:val="clear"/>
            <w:tcMar>
              <w:top w:type="dxa" w:w="60"/>
              <w:left w:type="dxa" w:w="100"/>
              <w:bottom w:type="dxa" w:w="60"/>
              <w:right w:type="dxa" w:w="100"/>
            </w:tcMar>
          </w:tcPr>
          <w:p>
            <w:r>
              <w:rPr>
                <w:sz w:val="18"/>
                <w:szCs w:val="18"/>
              </w:rPr>
              <w:t xml:space="preserve">Comptes utilisateur (organe, filiale, agence, code exploitant, force_password_change)</w:t>
            </w:r>
          </w:p>
        </w:tc>
      </w:tr>
      <w:tr>
        <w:tc>
          <w:tcPr>
            <w:tcW w:type="dxa" w:w="3000"/>
            <w:shd w:fill="F2F5F9" w:color="auto" w:val="clear"/>
            <w:tcMar>
              <w:top w:type="dxa" w:w="60"/>
              <w:left w:type="dxa" w:w="100"/>
              <w:bottom w:type="dxa" w:w="60"/>
              <w:right w:type="dxa" w:w="100"/>
            </w:tcMar>
          </w:tcPr>
          <w:p>
            <w:r>
              <w:rPr>
                <w:sz w:val="18"/>
                <w:szCs w:val="18"/>
              </w:rPr>
              <w:t xml:space="preserve">SidebarAccess</w:t>
            </w:r>
          </w:p>
        </w:tc>
        <w:tc>
          <w:tcPr>
            <w:tcW w:type="dxa" w:w="6360"/>
            <w:shd w:fill="F2F5F9" w:color="auto" w:val="clear"/>
            <w:tcMar>
              <w:top w:type="dxa" w:w="60"/>
              <w:left w:type="dxa" w:w="100"/>
              <w:bottom w:type="dxa" w:w="60"/>
              <w:right w:type="dxa" w:w="100"/>
            </w:tcMar>
          </w:tcPr>
          <w:p>
            <w:r>
              <w:rPr>
                <w:sz w:val="18"/>
                <w:szCs w:val="18"/>
              </w:rPr>
              <w:t xml:space="preserve">Droits de menu par organe</w:t>
            </w:r>
          </w:p>
        </w:tc>
      </w:tr>
      <w:tr>
        <w:tc>
          <w:tcPr>
            <w:tcW w:type="dxa" w:w="3000"/>
            <w:shd w:fill="FFFFFF" w:color="auto" w:val="clear"/>
            <w:tcMar>
              <w:top w:type="dxa" w:w="60"/>
              <w:left w:type="dxa" w:w="100"/>
              <w:bottom w:type="dxa" w:w="60"/>
              <w:right w:type="dxa" w:w="100"/>
            </w:tcMar>
          </w:tcPr>
          <w:p>
            <w:r>
              <w:rPr>
                <w:sz w:val="18"/>
                <w:szCs w:val="18"/>
              </w:rPr>
              <w:t xml:space="preserve">KycScreeningAccess</w:t>
            </w:r>
          </w:p>
        </w:tc>
        <w:tc>
          <w:tcPr>
            <w:tcW w:type="dxa" w:w="6360"/>
            <w:shd w:fill="FFFFFF" w:color="auto" w:val="clear"/>
            <w:tcMar>
              <w:top w:type="dxa" w:w="60"/>
              <w:left w:type="dxa" w:w="100"/>
              <w:bottom w:type="dxa" w:w="60"/>
              <w:right w:type="dxa" w:w="100"/>
            </w:tcMar>
          </w:tcPr>
          <w:p>
            <w:r>
              <w:rPr>
                <w:sz w:val="18"/>
                <w:szCs w:val="18"/>
              </w:rPr>
              <w:t xml:space="preserve">Droits Screening KYC ID par organe</w:t>
            </w:r>
          </w:p>
        </w:tc>
      </w:tr>
      <w:tr>
        <w:tc>
          <w:tcPr>
            <w:tcW w:type="dxa" w:w="3000"/>
            <w:shd w:fill="F2F5F9" w:color="auto" w:val="clear"/>
            <w:tcMar>
              <w:top w:type="dxa" w:w="60"/>
              <w:left w:type="dxa" w:w="100"/>
              <w:bottom w:type="dxa" w:w="60"/>
              <w:right w:type="dxa" w:w="100"/>
            </w:tcMar>
          </w:tcPr>
          <w:p>
            <w:r>
              <w:rPr>
                <w:sz w:val="18"/>
                <w:szCs w:val="18"/>
              </w:rPr>
              <w:t xml:space="preserve">FilialeModuleConfig</w:t>
            </w:r>
          </w:p>
        </w:tc>
        <w:tc>
          <w:tcPr>
            <w:tcW w:type="dxa" w:w="6360"/>
            <w:shd w:fill="F2F5F9" w:color="auto" w:val="clear"/>
            <w:tcMar>
              <w:top w:type="dxa" w:w="60"/>
              <w:left w:type="dxa" w:w="100"/>
              <w:bottom w:type="dxa" w:w="60"/>
              <w:right w:type="dxa" w:w="100"/>
            </w:tcMar>
          </w:tcPr>
          <w:p>
            <w:r>
              <w:rPr>
                <w:sz w:val="18"/>
                <w:szCs w:val="18"/>
              </w:rPr>
              <w:t xml:space="preserve">Modules activés par filiale</w:t>
            </w:r>
          </w:p>
        </w:tc>
      </w:tr>
      <w:tr>
        <w:tc>
          <w:tcPr>
            <w:tcW w:type="dxa" w:w="3000"/>
            <w:shd w:fill="FFFFFF" w:color="auto" w:val="clear"/>
            <w:tcMar>
              <w:top w:type="dxa" w:w="60"/>
              <w:left w:type="dxa" w:w="100"/>
              <w:bottom w:type="dxa" w:w="60"/>
              <w:right w:type="dxa" w:w="100"/>
            </w:tcMar>
          </w:tcPr>
          <w:p>
            <w:r>
              <w:rPr>
                <w:sz w:val="18"/>
                <w:szCs w:val="18"/>
              </w:rPr>
              <w:t xml:space="preserve">KycFieldVisibilityConfig</w:t>
            </w:r>
          </w:p>
        </w:tc>
        <w:tc>
          <w:tcPr>
            <w:tcW w:type="dxa" w:w="6360"/>
            <w:shd w:fill="FFFFFF" w:color="auto" w:val="clear"/>
            <w:tcMar>
              <w:top w:type="dxa" w:w="60"/>
              <w:left w:type="dxa" w:w="100"/>
              <w:bottom w:type="dxa" w:w="60"/>
              <w:right w:type="dxa" w:w="100"/>
            </w:tcMar>
          </w:tcPr>
          <w:p>
            <w:r>
              <w:rPr>
                <w:sz w:val="18"/>
                <w:szCs w:val="18"/>
              </w:rPr>
              <w:t xml:space="preserve">Champs KYC visibles par filiale</w:t>
            </w:r>
          </w:p>
        </w:tc>
      </w:tr>
      <w:tr>
        <w:tc>
          <w:tcPr>
            <w:tcW w:type="dxa" w:w="3000"/>
            <w:shd w:fill="F2F5F9" w:color="auto" w:val="clear"/>
            <w:tcMar>
              <w:top w:type="dxa" w:w="60"/>
              <w:left w:type="dxa" w:w="100"/>
              <w:bottom w:type="dxa" w:w="60"/>
              <w:right w:type="dxa" w:w="100"/>
            </w:tcMar>
          </w:tcPr>
          <w:p>
            <w:r>
              <w:rPr>
                <w:sz w:val="18"/>
                <w:szCs w:val="18"/>
              </w:rPr>
              <w:t xml:space="preserve">TermTranslation</w:t>
            </w:r>
          </w:p>
        </w:tc>
        <w:tc>
          <w:tcPr>
            <w:tcW w:type="dxa" w:w="6360"/>
            <w:shd w:fill="F2F5F9" w:color="auto" w:val="clear"/>
            <w:tcMar>
              <w:top w:type="dxa" w:w="60"/>
              <w:left w:type="dxa" w:w="100"/>
              <w:bottom w:type="dxa" w:w="60"/>
              <w:right w:type="dxa" w:w="100"/>
            </w:tcMar>
          </w:tcPr>
          <w:p>
            <w:r>
              <w:rPr>
                <w:sz w:val="18"/>
                <w:szCs w:val="18"/>
              </w:rPr>
              <w:t xml:space="preserve">Glossaire de traduction FR / EN</w:t>
            </w:r>
          </w:p>
        </w:tc>
      </w:tr>
      <w:tr>
        <w:tc>
          <w:tcPr>
            <w:tcW w:type="dxa" w:w="3000"/>
            <w:shd w:fill="FFFFFF" w:color="auto" w:val="clear"/>
            <w:tcMar>
              <w:top w:type="dxa" w:w="60"/>
              <w:left w:type="dxa" w:w="100"/>
              <w:bottom w:type="dxa" w:w="60"/>
              <w:right w:type="dxa" w:w="100"/>
            </w:tcMar>
          </w:tcPr>
          <w:p>
            <w:r>
              <w:rPr>
                <w:sz w:val="18"/>
                <w:szCs w:val="18"/>
              </w:rPr>
              <w:t xml:space="preserve">AuditEvent / UserLoginHistory</w:t>
            </w:r>
          </w:p>
        </w:tc>
        <w:tc>
          <w:tcPr>
            <w:tcW w:type="dxa" w:w="6360"/>
            <w:shd w:fill="FFFFFF" w:color="auto" w:val="clear"/>
            <w:tcMar>
              <w:top w:type="dxa" w:w="60"/>
              <w:left w:type="dxa" w:w="100"/>
              <w:bottom w:type="dxa" w:w="60"/>
              <w:right w:type="dxa" w:w="100"/>
            </w:tcMar>
          </w:tcPr>
          <w:p>
            <w:r>
              <w:rPr>
                <w:sz w:val="18"/>
                <w:szCs w:val="18"/>
              </w:rPr>
              <w:t xml:space="preserve">Traçabilité</w:t>
            </w:r>
          </w:p>
        </w:tc>
      </w:tr>
    </w:tbl>
    <w:tbl>
      <w:tblPr>
        <w:tblW w:type="dxa" w:w="9360"/>
        <w:tblBorders>
          <w:top w:val="single" w:color="8A6D00" w:sz="4"/>
          <w:left w:val="single" w:color="8A6D00" w:sz="18"/>
          <w:bottom w:val="single" w:color="8A6D00" w:sz="4"/>
          <w:right w:val="single" w:color="8A6D00" w:sz="4"/>
          <w:insideH w:val="single" w:color="8A6D00" w:sz="4"/>
          <w:insideV w:val="single" w:color="8A6D00" w:sz="4"/>
        </w:tblBorders>
      </w:tblPr>
      <w:tblGrid>
        <w:gridCol w:w="9360"/>
      </w:tblGrid>
      <w:tr>
        <w:tc>
          <w:tcPr>
            <w:tcW w:type="dxa" w:w="9360"/>
            <w:shd w:fill="FFF4E5" w:color="auto" w:val="clear"/>
            <w:tcMar>
              <w:top w:type="dxa" w:w="120"/>
              <w:left w:type="dxa" w:w="160"/>
              <w:bottom w:type="dxa" w:w="120"/>
              <w:right w:type="dxa" w:w="160"/>
            </w:tcMar>
          </w:tcPr>
          <w:p>
            <w:pPr>
              <w:spacing w:line="290"/>
            </w:pPr>
            <w:r>
              <w:rPr>
                <w:b/>
                <w:bCs/>
                <w:color w:val="8A6D00"/>
              </w:rPr>
              <w:t xml:space="preserve">Encodage des organes — </w:t>
            </w:r>
            <w:r>
              <w:t xml:space="preserve">Le champ organe de SidebarAccess a déjà comporté des doublons mal encodés (« ConformitÃ© » à côté de « Conformité »). La résolution se faisant d'abord par correspondance exacte, éditer la ligne mal encodée reste sans effet visible. Un contrôle dédié existe côté administration technique.</w:t>
            </w:r>
          </w:p>
        </w:tc>
      </w:tr>
    </w:tbl>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Console d'administration Django — SidebarAccess</w:t>
            </w:r>
          </w:p>
          <w:p>
            <w:pPr>
              <w:spacing w:after="40"/>
              <w:jc w:val="center"/>
            </w:pPr>
            <w:r>
              <w:rPr>
                <w:i/>
                <w:iCs/>
                <w:color w:val="555555"/>
                <w:sz w:val="18"/>
                <w:szCs w:val="18"/>
              </w:rPr>
              <w:t xml:space="preserve">Accès : URL /admin → SidebarAccess</w:t>
            </w:r>
          </w:p>
          <w:p>
            <w:pPr>
              <w:jc w:val="center"/>
            </w:pPr>
            <w:r>
              <w:rPr>
                <w:i/>
                <w:iCs/>
                <w:color w:val="555555"/>
                <w:sz w:val="18"/>
                <w:szCs w:val="18"/>
              </w:rPr>
              <w:t xml:space="preserve">Liste des organes et de leurs droits de menu.</w:t>
            </w:r>
          </w:p>
        </w:tc>
      </w:tr>
    </w:tbl>
    <w:p>
      <w:pPr>
        <w:pStyle w:val="Heading2"/>
        <w:spacing w:after="120" w:before="260"/>
      </w:pPr>
      <w:r>
        <w:rPr>
          <w:b/>
          <w:bCs/>
        </w:rPr>
        <w:t xml:space="preserve">7.9 Import des données KYC</w:t>
      </w:r>
    </w:p>
    <w:p>
      <w:pPr>
        <w:spacing w:after="120" w:line="300"/>
        <w:jc w:val="both"/>
      </w:pPr>
      <w:r>
        <w:rPr>
          <w:i w:val="false"/>
          <w:iCs w:val="false"/>
        </w:rPr>
        <w:t xml:space="preserve">Écran de suivi des imports de données KYC (fichiers issus de la chaîne d'alimentation). Il donne accès aux journaux d'import téléchargeables pour diagnostic.</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Écran d'import des données KYC</w:t>
            </w:r>
          </w:p>
          <w:p>
            <w:pPr>
              <w:spacing w:after="40"/>
              <w:jc w:val="center"/>
            </w:pPr>
            <w:r>
              <w:rPr>
                <w:i/>
                <w:iCs/>
                <w:color w:val="555555"/>
                <w:sz w:val="18"/>
                <w:szCs w:val="18"/>
              </w:rPr>
              <w:t xml:space="preserve">Accès : URL /import/</w:t>
            </w:r>
          </w:p>
          <w:p>
            <w:pPr>
              <w:jc w:val="center"/>
            </w:pPr>
            <w:r>
              <w:rPr>
                <w:i/>
                <w:iCs/>
                <w:color w:val="555555"/>
                <w:sz w:val="18"/>
                <w:szCs w:val="18"/>
              </w:rPr>
              <w:t xml:space="preserve">Historique des imports + liens de téléchargement des journaux.</w:t>
            </w:r>
          </w:p>
        </w:tc>
      </w:tr>
    </w:tbl>
    <w:p>
      <w:r>
        <w:br w:type="page"/>
      </w:r>
    </w:p>
    <w:p>
      <w:pPr>
        <w:pStyle w:val="Heading1"/>
        <w:spacing w:after="160" w:before="360"/>
      </w:pPr>
      <w:r>
        <w:rPr>
          <w:b/>
          <w:bCs/>
        </w:rPr>
        <w:t xml:space="preserve">8. Traitements automatiques quotidiens</w:t>
      </w:r>
    </w:p>
    <w:p>
      <w:pPr>
        <w:spacing w:after="120" w:line="300"/>
        <w:jc w:val="both"/>
      </w:pPr>
      <w:r>
        <w:rPr>
          <w:i w:val="false"/>
          <w:iCs w:val="false"/>
        </w:rPr>
        <w:t xml:space="preserve">Cette partie s'adresse aux équipes support / exploitation. Elle décrit la chaîne batch qui alimente et rafraîchit la plateforme chaque nuit.</w:t>
      </w:r>
    </w:p>
    <w:p>
      <w:pPr>
        <w:pStyle w:val="Heading2"/>
        <w:spacing w:after="120" w:before="260"/>
      </w:pPr>
      <w:r>
        <w:rPr>
          <w:b/>
          <w:bCs/>
        </w:rPr>
        <w:t xml:space="preserve">8.1 Enchaînement général</w:t>
      </w:r>
    </w:p>
    <w:p>
      <w:pPr>
        <w:spacing w:after="120" w:line="300"/>
        <w:jc w:val="both"/>
      </w:pPr>
      <w:r>
        <w:rPr>
          <w:i w:val="false"/>
          <w:iCs w:val="false"/>
        </w:rPr>
        <w:t xml:space="preserve">Une tâche planifiée Windows exécute, dans l'ordre : redémarrage de l'application → script d'alimentation R (Script_V3.r, exécuté en amont depuis le poste dédié) → commande d'orchestration Django unique.</w:t>
      </w:r>
    </w:p>
    <w:p>
      <w:pPr>
        <w:spacing w:after="120" w:line="300"/>
        <w:jc w:val="both"/>
      </w:pPr>
      <w:r>
        <w:rPr>
          <w:i w:val="false"/>
          <w:iCs w:val="false"/>
        </w:rPr>
        <w:t xml:space="preserve">La commande d'orchestration enchaîne : worker OCR → imports (KYC, données premier, taux agent) → calcul des taux de qualité → préchauffage des caches d'interface → calcul de l'appréciation globale → rappels de révision (DATEREV). Elle relit le journal CSV produit par le script R pour le détail par filiale et envoie un rapport de supervision par courriel.</w:t>
      </w:r>
    </w:p>
    <w:p>
      <w:pPr>
        <w:pStyle w:val="Heading2"/>
        <w:spacing w:after="120" w:before="260"/>
      </w:pPr>
      <w:r>
        <w:rPr>
          <w:b/>
          <w:bCs/>
        </w:rPr>
        <w:t xml:space="preserve">8.2 Commandes utilisables isolément</w:t>
      </w:r>
    </w:p>
    <w:tbl>
      <w:tblPr>
        <w:tblW w:type="dxa" w:w="9360"/>
        <w:tblBorders>
          <w:top w:val="single" w:color="AAAAAA" w:sz="3"/>
          <w:left w:val="single" w:color="AAAAAA" w:sz="3"/>
          <w:bottom w:val="single" w:color="AAAAAA" w:sz="3"/>
          <w:right w:val="single" w:color="AAAAAA" w:sz="3"/>
          <w:insideH w:val="single" w:color="AAAAAA" w:sz="3"/>
          <w:insideV w:val="single" w:color="AAAAAA" w:sz="3"/>
        </w:tblBorders>
      </w:tblPr>
      <w:tblGrid>
        <w:gridCol w:w="3200"/>
        <w:gridCol w:w="6160"/>
      </w:tblGrid>
      <w:tr>
        <w:trPr>
          <w:tblHeader/>
        </w:trPr>
        <w:tc>
          <w:tcPr>
            <w:tcW w:type="dxa" w:w="3200"/>
            <w:shd w:fill="1F4E79" w:color="auto" w:val="clear"/>
            <w:tcMar>
              <w:top w:type="dxa" w:w="60"/>
              <w:left w:type="dxa" w:w="100"/>
              <w:bottom w:type="dxa" w:w="60"/>
              <w:right w:type="dxa" w:w="100"/>
            </w:tcMar>
          </w:tcPr>
          <w:p>
            <w:r>
              <w:rPr>
                <w:b/>
                <w:bCs/>
                <w:color w:val="FFFFFF"/>
                <w:sz w:val="18"/>
                <w:szCs w:val="18"/>
              </w:rPr>
              <w:t xml:space="preserve">Commande</w:t>
            </w:r>
          </w:p>
        </w:tc>
        <w:tc>
          <w:tcPr>
            <w:tcW w:type="dxa" w:w="6160"/>
            <w:shd w:fill="1F4E79" w:color="auto" w:val="clear"/>
            <w:tcMar>
              <w:top w:type="dxa" w:w="60"/>
              <w:left w:type="dxa" w:w="100"/>
              <w:bottom w:type="dxa" w:w="60"/>
              <w:right w:type="dxa" w:w="100"/>
            </w:tcMar>
          </w:tcPr>
          <w:p>
            <w:r>
              <w:rPr>
                <w:b/>
                <w:bCs/>
                <w:color w:val="FFFFFF"/>
                <w:sz w:val="18"/>
                <w:szCs w:val="18"/>
              </w:rPr>
              <w:t xml:space="preserve">Rôle</w:t>
            </w:r>
          </w:p>
        </w:tc>
      </w:tr>
      <w:tr>
        <w:tc>
          <w:tcPr>
            <w:tcW w:type="dxa" w:w="3200"/>
            <w:shd w:fill="FFFFFF" w:color="auto" w:val="clear"/>
            <w:tcMar>
              <w:top w:type="dxa" w:w="60"/>
              <w:left w:type="dxa" w:w="100"/>
              <w:bottom w:type="dxa" w:w="60"/>
              <w:right w:type="dxa" w:w="100"/>
            </w:tcMar>
          </w:tcPr>
          <w:p>
            <w:r>
              <w:rPr>
                <w:sz w:val="18"/>
                <w:szCs w:val="18"/>
              </w:rPr>
              <w:t xml:space="preserve">compute_quality_rates</w:t>
            </w:r>
          </w:p>
        </w:tc>
        <w:tc>
          <w:tcPr>
            <w:tcW w:type="dxa" w:w="6160"/>
            <w:shd w:fill="FFFFFF" w:color="auto" w:val="clear"/>
            <w:tcMar>
              <w:top w:type="dxa" w:w="60"/>
              <w:left w:type="dxa" w:w="100"/>
              <w:bottom w:type="dxa" w:w="60"/>
              <w:right w:type="dxa" w:w="100"/>
            </w:tcMar>
          </w:tcPr>
          <w:p>
            <w:r>
              <w:rPr>
                <w:sz w:val="18"/>
                <w:szCs w:val="18"/>
              </w:rPr>
              <w:t xml:space="preserve">Remplit la table des taux de qualité (stock + flux) par périmètre ; conserve un historique glissant</w:t>
            </w:r>
          </w:p>
        </w:tc>
      </w:tr>
      <w:tr>
        <w:tc>
          <w:tcPr>
            <w:tcW w:type="dxa" w:w="3200"/>
            <w:shd w:fill="F2F5F9" w:color="auto" w:val="clear"/>
            <w:tcMar>
              <w:top w:type="dxa" w:w="60"/>
              <w:left w:type="dxa" w:w="100"/>
              <w:bottom w:type="dxa" w:w="60"/>
              <w:right w:type="dxa" w:w="100"/>
            </w:tcMar>
          </w:tcPr>
          <w:p>
            <w:r>
              <w:rPr>
                <w:sz w:val="18"/>
                <w:szCs w:val="18"/>
              </w:rPr>
              <w:t xml:space="preserve">warm_ui_caches</w:t>
            </w:r>
          </w:p>
        </w:tc>
        <w:tc>
          <w:tcPr>
            <w:tcW w:type="dxa" w:w="6160"/>
            <w:shd w:fill="F2F5F9" w:color="auto" w:val="clear"/>
            <w:tcMar>
              <w:top w:type="dxa" w:w="60"/>
              <w:left w:type="dxa" w:w="100"/>
              <w:bottom w:type="dxa" w:w="60"/>
              <w:right w:type="dxa" w:w="100"/>
            </w:tcMar>
          </w:tcPr>
          <w:p>
            <w:r>
              <w:rPr>
                <w:sz w:val="18"/>
                <w:szCs w:val="18"/>
              </w:rPr>
              <w:t xml:space="preserve">Préchauffe les pages lourdes ; parallélisable par tranches</w:t>
            </w:r>
          </w:p>
        </w:tc>
      </w:tr>
      <w:tr>
        <w:tc>
          <w:tcPr>
            <w:tcW w:type="dxa" w:w="3200"/>
            <w:shd w:fill="FFFFFF" w:color="auto" w:val="clear"/>
            <w:tcMar>
              <w:top w:type="dxa" w:w="60"/>
              <w:left w:type="dxa" w:w="100"/>
              <w:bottom w:type="dxa" w:w="60"/>
              <w:right w:type="dxa" w:w="100"/>
            </w:tcMar>
          </w:tcPr>
          <w:p>
            <w:r>
              <w:rPr>
                <w:sz w:val="18"/>
                <w:szCs w:val="18"/>
              </w:rPr>
              <w:t xml:space="preserve">normalize_daterev</w:t>
            </w:r>
          </w:p>
        </w:tc>
        <w:tc>
          <w:tcPr>
            <w:tcW w:type="dxa" w:w="6160"/>
            <w:shd w:fill="FFFFFF" w:color="auto" w:val="clear"/>
            <w:tcMar>
              <w:top w:type="dxa" w:w="60"/>
              <w:left w:type="dxa" w:w="100"/>
              <w:bottom w:type="dxa" w:w="60"/>
              <w:right w:type="dxa" w:w="100"/>
            </w:tcMar>
          </w:tcPr>
          <w:p>
            <w:r>
              <w:rPr>
                <w:sz w:val="18"/>
                <w:szCs w:val="18"/>
              </w:rPr>
              <w:t xml:space="preserve">Normalise DATEREV et DATOUV au format ISO (prérequis des calculs de dates)</w:t>
            </w:r>
          </w:p>
        </w:tc>
      </w:tr>
      <w:tr>
        <w:tc>
          <w:tcPr>
            <w:tcW w:type="dxa" w:w="3200"/>
            <w:shd w:fill="F2F5F9" w:color="auto" w:val="clear"/>
            <w:tcMar>
              <w:top w:type="dxa" w:w="60"/>
              <w:left w:type="dxa" w:w="100"/>
              <w:bottom w:type="dxa" w:w="60"/>
              <w:right w:type="dxa" w:w="100"/>
            </w:tcMar>
          </w:tcPr>
          <w:p>
            <w:r>
              <w:rPr>
                <w:sz w:val="18"/>
                <w:szCs w:val="18"/>
              </w:rPr>
              <w:t xml:space="preserve">process_document_ocr</w:t>
            </w:r>
          </w:p>
        </w:tc>
        <w:tc>
          <w:tcPr>
            <w:tcW w:type="dxa" w:w="6160"/>
            <w:shd w:fill="F2F5F9" w:color="auto" w:val="clear"/>
            <w:tcMar>
              <w:top w:type="dxa" w:w="60"/>
              <w:left w:type="dxa" w:w="100"/>
              <w:bottom w:type="dxa" w:w="60"/>
              <w:right w:type="dxa" w:w="100"/>
            </w:tcMar>
          </w:tcPr>
          <w:p>
            <w:r>
              <w:rPr>
                <w:sz w:val="18"/>
                <w:szCs w:val="18"/>
              </w:rPr>
              <w:t xml:space="preserve">Worker OCR de la file Screening KYC ID (mode boucle possible)</w:t>
            </w:r>
          </w:p>
        </w:tc>
      </w:tr>
      <w:tr>
        <w:tc>
          <w:tcPr>
            <w:tcW w:type="dxa" w:w="3200"/>
            <w:shd w:fill="FFFFFF" w:color="auto" w:val="clear"/>
            <w:tcMar>
              <w:top w:type="dxa" w:w="60"/>
              <w:left w:type="dxa" w:w="100"/>
              <w:bottom w:type="dxa" w:w="60"/>
              <w:right w:type="dxa" w:w="100"/>
            </w:tcMar>
          </w:tcPr>
          <w:p>
            <w:r>
              <w:rPr>
                <w:sz w:val="18"/>
                <w:szCs w:val="18"/>
              </w:rPr>
              <w:t xml:space="preserve">purge_document_jobs</w:t>
            </w:r>
          </w:p>
        </w:tc>
        <w:tc>
          <w:tcPr>
            <w:tcW w:type="dxa" w:w="6160"/>
            <w:shd w:fill="FFFFFF" w:color="auto" w:val="clear"/>
            <w:tcMar>
              <w:top w:type="dxa" w:w="60"/>
              <w:left w:type="dxa" w:w="100"/>
              <w:bottom w:type="dxa" w:w="60"/>
              <w:right w:type="dxa" w:w="100"/>
            </w:tcMar>
          </w:tcPr>
          <w:p>
            <w:r>
              <w:rPr>
                <w:sz w:val="18"/>
                <w:szCs w:val="18"/>
              </w:rPr>
              <w:t xml:space="preserve">Purge des jobs OCR / rapprochement au-delà d'un délai</w:t>
            </w:r>
          </w:p>
        </w:tc>
      </w:tr>
      <w:tr>
        <w:tc>
          <w:tcPr>
            <w:tcW w:type="dxa" w:w="3200"/>
            <w:shd w:fill="F2F5F9" w:color="auto" w:val="clear"/>
            <w:tcMar>
              <w:top w:type="dxa" w:w="60"/>
              <w:left w:type="dxa" w:w="100"/>
              <w:bottom w:type="dxa" w:w="60"/>
              <w:right w:type="dxa" w:w="100"/>
            </w:tcMar>
          </w:tcPr>
          <w:p>
            <w:r>
              <w:rPr>
                <w:sz w:val="18"/>
                <w:szCs w:val="18"/>
              </w:rPr>
              <w:t xml:space="preserve">compute_appreciation_globale</w:t>
            </w:r>
          </w:p>
        </w:tc>
        <w:tc>
          <w:tcPr>
            <w:tcW w:type="dxa" w:w="6160"/>
            <w:shd w:fill="F2F5F9" w:color="auto" w:val="clear"/>
            <w:tcMar>
              <w:top w:type="dxa" w:w="60"/>
              <w:left w:type="dxa" w:w="100"/>
              <w:bottom w:type="dxa" w:w="60"/>
              <w:right w:type="dxa" w:w="100"/>
            </w:tcMar>
          </w:tcPr>
          <w:p>
            <w:r>
              <w:rPr>
                <w:sz w:val="18"/>
                <w:szCs w:val="18"/>
              </w:rPr>
              <w:t xml:space="preserve">Calcule l'appréciation globale trimestrielle</w:t>
            </w:r>
          </w:p>
        </w:tc>
      </w:tr>
      <w:tr>
        <w:tc>
          <w:tcPr>
            <w:tcW w:type="dxa" w:w="3200"/>
            <w:shd w:fill="FFFFFF" w:color="auto" w:val="clear"/>
            <w:tcMar>
              <w:top w:type="dxa" w:w="60"/>
              <w:left w:type="dxa" w:w="100"/>
              <w:bottom w:type="dxa" w:w="60"/>
              <w:right w:type="dxa" w:w="100"/>
            </w:tcMar>
          </w:tcPr>
          <w:p>
            <w:r>
              <w:rPr>
                <w:sz w:val="18"/>
                <w:szCs w:val="18"/>
              </w:rPr>
              <w:t xml:space="preserve">calculate_kyc_completeness</w:t>
            </w:r>
          </w:p>
        </w:tc>
        <w:tc>
          <w:tcPr>
            <w:tcW w:type="dxa" w:w="6160"/>
            <w:shd w:fill="FFFFFF" w:color="auto" w:val="clear"/>
            <w:tcMar>
              <w:top w:type="dxa" w:w="60"/>
              <w:left w:type="dxa" w:w="100"/>
              <w:bottom w:type="dxa" w:w="60"/>
              <w:right w:type="dxa" w:w="100"/>
            </w:tcMar>
          </w:tcPr>
          <w:p>
            <w:r>
              <w:rPr>
                <w:sz w:val="18"/>
                <w:szCs w:val="18"/>
              </w:rPr>
              <w:t xml:space="preserve">Calcule les taux de complétude</w:t>
            </w:r>
          </w:p>
        </w:tc>
      </w:tr>
      <w:tr>
        <w:tc>
          <w:tcPr>
            <w:tcW w:type="dxa" w:w="3200"/>
            <w:shd w:fill="F2F5F9" w:color="auto" w:val="clear"/>
            <w:tcMar>
              <w:top w:type="dxa" w:w="60"/>
              <w:left w:type="dxa" w:w="100"/>
              <w:bottom w:type="dxa" w:w="60"/>
              <w:right w:type="dxa" w:w="100"/>
            </w:tcMar>
          </w:tcPr>
          <w:p>
            <w:r>
              <w:rPr>
                <w:sz w:val="18"/>
                <w:szCs w:val="18"/>
              </w:rPr>
              <w:t xml:space="preserve">seed_glossary / seed_quality_rules_boa</w:t>
            </w:r>
          </w:p>
        </w:tc>
        <w:tc>
          <w:tcPr>
            <w:tcW w:type="dxa" w:w="6160"/>
            <w:shd w:fill="F2F5F9" w:color="auto" w:val="clear"/>
            <w:tcMar>
              <w:top w:type="dxa" w:w="60"/>
              <w:left w:type="dxa" w:w="100"/>
              <w:bottom w:type="dxa" w:w="60"/>
              <w:right w:type="dxa" w:w="100"/>
            </w:tcMar>
          </w:tcPr>
          <w:p>
            <w:r>
              <w:rPr>
                <w:sz w:val="18"/>
                <w:szCs w:val="18"/>
              </w:rPr>
              <w:t xml:space="preserve">Initialisation du glossaire et du socle de règles</w:t>
            </w:r>
          </w:p>
        </w:tc>
      </w:tr>
    </w:tbl>
    <w:tbl>
      <w:tblPr>
        <w:tblW w:type="dxa" w:w="9360"/>
        <w:tblBorders>
          <w:top w:val="single" w:color="1F4E79" w:sz="4"/>
          <w:left w:val="single" w:color="1F4E79" w:sz="18"/>
          <w:bottom w:val="single" w:color="1F4E79" w:sz="4"/>
          <w:right w:val="single" w:color="1F4E79" w:sz="4"/>
          <w:insideH w:val="single" w:color="1F4E79" w:sz="4"/>
          <w:insideV w:val="single" w:color="1F4E79" w:sz="4"/>
        </w:tblBorders>
      </w:tblPr>
      <w:tblGrid>
        <w:gridCol w:w="9360"/>
      </w:tblGrid>
      <w:tr>
        <w:tc>
          <w:tcPr>
            <w:tcW w:type="dxa" w:w="9360"/>
            <w:shd w:fill="EAF2FB" w:color="auto" w:val="clear"/>
            <w:tcMar>
              <w:top w:type="dxa" w:w="120"/>
              <w:left w:type="dxa" w:w="160"/>
              <w:bottom w:type="dxa" w:w="120"/>
              <w:right w:type="dxa" w:w="160"/>
            </w:tcMar>
          </w:tcPr>
          <w:p>
            <w:pPr>
              <w:spacing w:line="290"/>
            </w:pPr>
            <w:r>
              <w:rPr>
                <w:b/>
                <w:bCs/>
                <w:color w:val="1F4E79"/>
              </w:rPr>
              <w:t xml:space="preserve">Journalisation du batch — </w:t>
            </w:r>
            <w:r>
              <w:t xml:space="preserve">Le fichier de log du batch est hérité par le processus applicatif, ce qui peut faire perdre des lignes ; par ailleurs le code de retour peut être faussé après un tube (pipe). Se fier au rapport de supervision et aux journaux d'import plutôt qu'au seul code retour.</w:t>
            </w:r>
          </w:p>
        </w:tc>
      </w:tr>
    </w:tbl>
    <w:p>
      <w:pPr>
        <w:pStyle w:val="Heading2"/>
        <w:spacing w:after="120" w:before="260"/>
      </w:pPr>
      <w:r>
        <w:rPr>
          <w:b/>
          <w:bCs/>
        </w:rPr>
        <w:t xml:space="preserve">8.3 Rapport de supervision</w:t>
      </w:r>
    </w:p>
    <w:p>
      <w:pPr>
        <w:spacing w:after="120" w:line="300"/>
        <w:jc w:val="both"/>
      </w:pPr>
      <w:r>
        <w:rPr>
          <w:i w:val="false"/>
          <w:iCs w:val="false"/>
        </w:rPr>
        <w:t xml:space="preserve">À l'issue du batch, un courriel de supervision est envoyé : statut de chaque étape, volumétries importées, taux calculés, détail par filiale issu du journal du script R. Il constitue le premier point de contrôle quotidien.</w:t>
      </w:r>
    </w:p>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Courriel de rapport de supervision quotidien</w:t>
            </w:r>
          </w:p>
          <w:p>
            <w:pPr>
              <w:spacing w:after="40"/>
              <w:jc w:val="center"/>
            </w:pPr>
            <w:r>
              <w:rPr>
                <w:i/>
                <w:iCs/>
                <w:color w:val="555555"/>
                <w:sz w:val="18"/>
                <w:szCs w:val="18"/>
              </w:rPr>
              <w:t xml:space="preserve">Accès : Boîte de réception de supervision</w:t>
            </w:r>
          </w:p>
          <w:p>
            <w:pPr>
              <w:jc w:val="center"/>
            </w:pPr>
            <w:r>
              <w:rPr>
                <w:i/>
                <w:iCs/>
                <w:color w:val="555555"/>
                <w:sz w:val="18"/>
                <w:szCs w:val="18"/>
              </w:rPr>
              <w:t xml:space="preserve">Corps du courriel : tableau des étapes + détail par filiale.</w:t>
            </w:r>
          </w:p>
        </w:tc>
      </w:tr>
    </w:tbl>
    <w:p>
      <w:r>
        <w:br w:type="page"/>
      </w:r>
    </w:p>
    <w:p>
      <w:pPr>
        <w:pStyle w:val="Heading1"/>
        <w:spacing w:after="160" w:before="360"/>
      </w:pPr>
      <w:r>
        <w:rPr>
          <w:b/>
          <w:bCs/>
        </w:rPr>
        <w:t xml:space="preserve">9. Traduction FR / EN</w:t>
      </w:r>
    </w:p>
    <w:p>
      <w:pPr>
        <w:spacing w:after="120" w:line="300"/>
        <w:jc w:val="both"/>
      </w:pPr>
      <w:r>
        <w:rPr>
          <w:i w:val="false"/>
          <w:iCs w:val="false"/>
        </w:rPr>
        <w:t xml:space="preserve">L'interface est bilingue. Deux mécanismes se cumulent :</w:t>
      </w:r>
    </w:p>
    <w:p>
      <w:pPr>
        <w:pStyle w:val="ListParagraph"/>
        <w:numPr>
          <w:ilvl w:val="0"/>
          <w:numId w:val="2"/>
        </w:numPr>
        <w:spacing w:after="80" w:line="290"/>
      </w:pPr>
      <w:r>
        <w:rPr>
          <w:b/>
          <w:bCs/>
        </w:rPr>
        <w:t xml:space="preserve">Glossaire administrable (TermTranslation). </w:t>
      </w:r>
      <w:r>
        <w:t xml:space="preserve">Traductions métier prioritaires, mises en cache quelques minutes ; le rapprochement se fait sur le libellé exact (espaces insécables compris).</w:t>
      </w:r>
    </w:p>
    <w:p>
      <w:pPr>
        <w:pStyle w:val="ListParagraph"/>
        <w:numPr>
          <w:ilvl w:val="0"/>
          <w:numId w:val="2"/>
        </w:numPr>
        <w:spacing w:after="80" w:line="290"/>
      </w:pPr>
      <w:r>
        <w:rPr>
          <w:b/>
          <w:bCs/>
        </w:rPr>
        <w:t xml:space="preserve">Traductions applicatives standard (gettext). </w:t>
      </w:r>
      <w:r>
        <w:t xml:space="preserve">Utilisées à défaut d'entrée de glossaire.</w:t>
      </w:r>
    </w:p>
    <w:tbl>
      <w:tblPr>
        <w:tblW w:type="dxa" w:w="9360"/>
        <w:tblBorders>
          <w:top w:val="single" w:color="8A6D00" w:sz="4"/>
          <w:left w:val="single" w:color="8A6D00" w:sz="18"/>
          <w:bottom w:val="single" w:color="8A6D00" w:sz="4"/>
          <w:right w:val="single" w:color="8A6D00" w:sz="4"/>
          <w:insideH w:val="single" w:color="8A6D00" w:sz="4"/>
          <w:insideV w:val="single" w:color="8A6D00" w:sz="4"/>
        </w:tblBorders>
      </w:tblPr>
      <w:tblGrid>
        <w:gridCol w:w="9360"/>
      </w:tblGrid>
      <w:tr>
        <w:tc>
          <w:tcPr>
            <w:tcW w:type="dxa" w:w="9360"/>
            <w:shd w:fill="FFF4E5" w:color="auto" w:val="clear"/>
            <w:tcMar>
              <w:top w:type="dxa" w:w="120"/>
              <w:left w:type="dxa" w:w="160"/>
              <w:bottom w:type="dxa" w:w="120"/>
              <w:right w:type="dxa" w:w="160"/>
            </w:tcMar>
          </w:tcPr>
          <w:p>
            <w:pPr>
              <w:spacing w:line="290"/>
            </w:pPr>
            <w:r>
              <w:rPr>
                <w:b/>
                <w:bCs/>
                <w:color w:val="8A6D00"/>
              </w:rPr>
              <w:t xml:space="preserve">Texte non traduit — </w:t>
            </w:r>
            <w:r>
              <w:t xml:space="preserve">Un texte placé en clair dans un modèle n'est jamais traduit : il doit passer par le filtre de traduction. Une entrée de glossaire ne prend effet que si le libellé source correspond exactement à celui du modèle.</w:t>
            </w:r>
          </w:p>
        </w:tc>
      </w:tr>
    </w:tbl>
    <w:tbl>
      <w:tblPr>
        <w:tblW w:type="dxa" w:w="9360"/>
        <w:tblBorders>
          <w:top w:val="dashed" w:color="C9A227" w:sz="6"/>
          <w:left w:val="dashed" w:color="C9A227" w:sz="6"/>
          <w:bottom w:val="dashed" w:color="C9A227" w:sz="6"/>
          <w:right w:val="dashed" w:color="C9A227" w:sz="6"/>
          <w:insideH w:val="dashed" w:color="C9A227" w:sz="6"/>
          <w:insideV w:val="dashed" w:color="C9A227" w:sz="6"/>
        </w:tblBorders>
      </w:tblPr>
      <w:tblGrid>
        <w:gridCol w:w="9360"/>
      </w:tblGrid>
      <w:tr>
        <w:tc>
          <w:tcPr>
            <w:tcW w:type="dxa" w:w="9360"/>
            <w:shd w:fill="FFFBEA" w:color="auto" w:val="clear"/>
            <w:tcMar>
              <w:top w:type="dxa" w:w="160"/>
              <w:left w:type="dxa" w:w="160"/>
              <w:bottom w:type="dxa" w:w="160"/>
              <w:right w:type="dxa" w:w="160"/>
            </w:tcMar>
          </w:tcPr>
          <w:p>
            <w:pPr>
              <w:spacing w:after="60"/>
              <w:jc w:val="center"/>
            </w:pPr>
            <w:r>
              <w:rPr>
                <w:b/>
                <w:bCs/>
                <w:color w:val="8A6D00"/>
                <w:sz w:val="22"/>
                <w:szCs w:val="22"/>
              </w:rPr>
              <w:t xml:space="preserve">▢  CAPTURE D'ÉCRAN à insérer</w:t>
            </w:r>
          </w:p>
          <w:p>
            <w:pPr>
              <w:spacing w:after="40"/>
              <w:jc w:val="center"/>
            </w:pPr>
            <w:r>
              <w:rPr>
                <w:b/>
                <w:bCs/>
                <w:sz w:val="20"/>
                <w:szCs w:val="20"/>
              </w:rPr>
              <w:t xml:space="preserve">Bascule de langue FR / EN</w:t>
            </w:r>
          </w:p>
          <w:p>
            <w:pPr>
              <w:spacing w:after="40"/>
              <w:jc w:val="center"/>
            </w:pPr>
            <w:r>
              <w:rPr>
                <w:i/>
                <w:iCs/>
                <w:color w:val="555555"/>
                <w:sz w:val="18"/>
                <w:szCs w:val="18"/>
              </w:rPr>
              <w:t xml:space="preserve">Accès : Bas de la barre latérale</w:t>
            </w:r>
          </w:p>
          <w:p>
            <w:pPr>
              <w:jc w:val="center"/>
            </w:pPr>
            <w:r>
              <w:rPr>
                <w:i/>
                <w:iCs/>
                <w:color w:val="555555"/>
                <w:sz w:val="18"/>
                <w:szCs w:val="18"/>
              </w:rPr>
              <w:t xml:space="preserve">Sélecteur FR / EN, avant / après bascule.</w:t>
            </w:r>
          </w:p>
        </w:tc>
      </w:tr>
    </w:tbl>
    <w:p>
      <w:r>
        <w:br w:type="page"/>
      </w:r>
    </w:p>
    <w:p>
      <w:pPr>
        <w:pStyle w:val="Heading1"/>
        <w:spacing w:after="160" w:before="360"/>
      </w:pPr>
      <w:r>
        <w:rPr>
          <w:b/>
          <w:bCs/>
        </w:rPr>
        <w:t xml:space="preserve">10. Annexes</w:t>
      </w:r>
    </w:p>
    <w:p>
      <w:pPr>
        <w:pStyle w:val="Heading2"/>
        <w:spacing w:after="120" w:before="260"/>
      </w:pPr>
      <w:r>
        <w:rPr>
          <w:b/>
          <w:bCs/>
        </w:rPr>
        <w:t xml:space="preserve">10.1 Récapitulatif des entrées de menu et des habilitations</w:t>
      </w:r>
    </w:p>
    <w:tbl>
      <w:tblPr>
        <w:tblW w:type="dxa" w:w="9360"/>
        <w:tblBorders>
          <w:top w:val="single" w:color="AAAAAA" w:sz="3"/>
          <w:left w:val="single" w:color="AAAAAA" w:sz="3"/>
          <w:bottom w:val="single" w:color="AAAAAA" w:sz="3"/>
          <w:right w:val="single" w:color="AAAAAA" w:sz="3"/>
          <w:insideH w:val="single" w:color="AAAAAA" w:sz="3"/>
          <w:insideV w:val="single" w:color="AAAAAA" w:sz="3"/>
        </w:tblBorders>
      </w:tblPr>
      <w:tblGrid>
        <w:gridCol w:w="1900"/>
        <w:gridCol w:w="3000"/>
        <w:gridCol w:w="2860"/>
        <w:gridCol w:w="1600"/>
      </w:tblGrid>
      <w:tr>
        <w:trPr>
          <w:tblHeader/>
        </w:trPr>
        <w:tc>
          <w:tcPr>
            <w:tcW w:type="dxa" w:w="1900"/>
            <w:shd w:fill="1F4E79" w:color="auto" w:val="clear"/>
            <w:tcMar>
              <w:top w:type="dxa" w:w="60"/>
              <w:left w:type="dxa" w:w="100"/>
              <w:bottom w:type="dxa" w:w="60"/>
              <w:right w:type="dxa" w:w="100"/>
            </w:tcMar>
          </w:tcPr>
          <w:p>
            <w:r>
              <w:rPr>
                <w:b/>
                <w:bCs/>
                <w:color w:val="FFFFFF"/>
                <w:sz w:val="18"/>
                <w:szCs w:val="18"/>
              </w:rPr>
              <w:t xml:space="preserve">Section</w:t>
            </w:r>
          </w:p>
        </w:tc>
        <w:tc>
          <w:tcPr>
            <w:tcW w:type="dxa" w:w="3000"/>
            <w:shd w:fill="1F4E79" w:color="auto" w:val="clear"/>
            <w:tcMar>
              <w:top w:type="dxa" w:w="60"/>
              <w:left w:type="dxa" w:w="100"/>
              <w:bottom w:type="dxa" w:w="60"/>
              <w:right w:type="dxa" w:w="100"/>
            </w:tcMar>
          </w:tcPr>
          <w:p>
            <w:r>
              <w:rPr>
                <w:b/>
                <w:bCs/>
                <w:color w:val="FFFFFF"/>
                <w:sz w:val="18"/>
                <w:szCs w:val="18"/>
              </w:rPr>
              <w:t xml:space="preserve">Entrée de menu</w:t>
            </w:r>
          </w:p>
        </w:tc>
        <w:tc>
          <w:tcPr>
            <w:tcW w:type="dxa" w:w="2860"/>
            <w:shd w:fill="1F4E79" w:color="auto" w:val="clear"/>
            <w:tcMar>
              <w:top w:type="dxa" w:w="60"/>
              <w:left w:type="dxa" w:w="100"/>
              <w:bottom w:type="dxa" w:w="60"/>
              <w:right w:type="dxa" w:w="100"/>
            </w:tcMar>
          </w:tcPr>
          <w:p>
            <w:r>
              <w:rPr>
                <w:b/>
                <w:bCs/>
                <w:color w:val="FFFFFF"/>
                <w:sz w:val="18"/>
                <w:szCs w:val="18"/>
              </w:rPr>
              <w:t xml:space="preserve">Droit SidebarAccess</w:t>
            </w:r>
          </w:p>
        </w:tc>
        <w:tc>
          <w:tcPr>
            <w:tcW w:type="dxa" w:w="1600"/>
            <w:shd w:fill="1F4E79" w:color="auto" w:val="clear"/>
            <w:tcMar>
              <w:top w:type="dxa" w:w="60"/>
              <w:left w:type="dxa" w:w="100"/>
              <w:bottom w:type="dxa" w:w="60"/>
              <w:right w:type="dxa" w:w="100"/>
            </w:tcMar>
          </w:tcPr>
          <w:p>
            <w:r>
              <w:rPr>
                <w:b/>
                <w:bCs/>
                <w:color w:val="FFFFFF"/>
                <w:sz w:val="18"/>
                <w:szCs w:val="18"/>
              </w:rPr>
              <w:t xml:space="preserve">Chapitre</w:t>
            </w:r>
          </w:p>
        </w:tc>
      </w:tr>
      <w:tr>
        <w:tc>
          <w:tcPr>
            <w:tcW w:type="dxa" w:w="1900"/>
            <w:shd w:fill="FFFFFF" w:color="auto" w:val="clear"/>
            <w:tcMar>
              <w:top w:type="dxa" w:w="60"/>
              <w:left w:type="dxa" w:w="100"/>
              <w:bottom w:type="dxa" w:w="60"/>
              <w:right w:type="dxa" w:w="100"/>
            </w:tcMar>
          </w:tcPr>
          <w:p>
            <w:r>
              <w:rPr>
                <w:sz w:val="18"/>
                <w:szCs w:val="18"/>
              </w:rPr>
              <w:t xml:space="preserve">Analyse &amp; Suivi</w:t>
            </w:r>
          </w:p>
        </w:tc>
        <w:tc>
          <w:tcPr>
            <w:tcW w:type="dxa" w:w="3000"/>
            <w:shd w:fill="FFFFFF" w:color="auto" w:val="clear"/>
            <w:tcMar>
              <w:top w:type="dxa" w:w="60"/>
              <w:left w:type="dxa" w:w="100"/>
              <w:bottom w:type="dxa" w:w="60"/>
              <w:right w:type="dxa" w:w="100"/>
            </w:tcMar>
          </w:tcPr>
          <w:p>
            <w:r>
              <w:rPr>
                <w:sz w:val="18"/>
                <w:szCs w:val="18"/>
              </w:rPr>
              <w:t xml:space="preserve">Tableau de bord</w:t>
            </w:r>
          </w:p>
        </w:tc>
        <w:tc>
          <w:tcPr>
            <w:tcW w:type="dxa" w:w="2860"/>
            <w:shd w:fill="FFFFFF" w:color="auto" w:val="clear"/>
            <w:tcMar>
              <w:top w:type="dxa" w:w="60"/>
              <w:left w:type="dxa" w:w="100"/>
              <w:bottom w:type="dxa" w:w="60"/>
              <w:right w:type="dxa" w:w="100"/>
            </w:tcMar>
          </w:tcPr>
          <w:p>
            <w:r>
              <w:rPr>
                <w:sz w:val="18"/>
                <w:szCs w:val="18"/>
              </w:rPr>
              <w:t xml:space="preserve">dashboard</w:t>
            </w:r>
          </w:p>
        </w:tc>
        <w:tc>
          <w:tcPr>
            <w:tcW w:type="dxa" w:w="1600"/>
            <w:shd w:fill="FFFFFF" w:color="auto" w:val="clear"/>
            <w:tcMar>
              <w:top w:type="dxa" w:w="60"/>
              <w:left w:type="dxa" w:w="100"/>
              <w:bottom w:type="dxa" w:w="60"/>
              <w:right w:type="dxa" w:w="100"/>
            </w:tcMar>
          </w:tcPr>
          <w:p>
            <w:r>
              <w:rPr>
                <w:sz w:val="18"/>
                <w:szCs w:val="18"/>
              </w:rPr>
              <w:t xml:space="preserve">3.1</w:t>
            </w:r>
          </w:p>
        </w:tc>
      </w:tr>
      <w:tr>
        <w:tc>
          <w:tcPr>
            <w:tcW w:type="dxa" w:w="1900"/>
            <w:shd w:fill="F2F5F9" w:color="auto" w:val="clear"/>
            <w:tcMar>
              <w:top w:type="dxa" w:w="60"/>
              <w:left w:type="dxa" w:w="100"/>
              <w:bottom w:type="dxa" w:w="60"/>
              <w:right w:type="dxa" w:w="100"/>
            </w:tcMar>
          </w:tcPr>
          <w:p>
            <w:r>
              <w:rPr>
                <w:sz w:val="18"/>
                <w:szCs w:val="18"/>
              </w:rPr>
              <w:t xml:space="preserve">Analyse &amp; Suivi</w:t>
            </w:r>
          </w:p>
        </w:tc>
        <w:tc>
          <w:tcPr>
            <w:tcW w:type="dxa" w:w="3000"/>
            <w:shd w:fill="F2F5F9" w:color="auto" w:val="clear"/>
            <w:tcMar>
              <w:top w:type="dxa" w:w="60"/>
              <w:left w:type="dxa" w:w="100"/>
              <w:bottom w:type="dxa" w:w="60"/>
              <w:right w:type="dxa" w:w="100"/>
            </w:tcMar>
          </w:tcPr>
          <w:p>
            <w:r>
              <w:rPr>
                <w:sz w:val="18"/>
                <w:szCs w:val="18"/>
              </w:rPr>
              <w:t xml:space="preserve">Agents notés</w:t>
            </w:r>
          </w:p>
        </w:tc>
        <w:tc>
          <w:tcPr>
            <w:tcW w:type="dxa" w:w="2860"/>
            <w:shd w:fill="F2F5F9" w:color="auto" w:val="clear"/>
            <w:tcMar>
              <w:top w:type="dxa" w:w="60"/>
              <w:left w:type="dxa" w:w="100"/>
              <w:bottom w:type="dxa" w:w="60"/>
              <w:right w:type="dxa" w:w="100"/>
            </w:tcMar>
          </w:tcPr>
          <w:p>
            <w:r>
              <w:rPr>
                <w:sz w:val="18"/>
                <w:szCs w:val="18"/>
              </w:rPr>
              <w:t xml:space="preserve">agents_notes</w:t>
            </w:r>
          </w:p>
        </w:tc>
        <w:tc>
          <w:tcPr>
            <w:tcW w:type="dxa" w:w="1600"/>
            <w:shd w:fill="F2F5F9" w:color="auto" w:val="clear"/>
            <w:tcMar>
              <w:top w:type="dxa" w:w="60"/>
              <w:left w:type="dxa" w:w="100"/>
              <w:bottom w:type="dxa" w:w="60"/>
              <w:right w:type="dxa" w:w="100"/>
            </w:tcMar>
          </w:tcPr>
          <w:p>
            <w:r>
              <w:rPr>
                <w:sz w:val="18"/>
                <w:szCs w:val="18"/>
              </w:rPr>
              <w:t xml:space="preserve">3.2</w:t>
            </w:r>
          </w:p>
        </w:tc>
      </w:tr>
      <w:tr>
        <w:tc>
          <w:tcPr>
            <w:tcW w:type="dxa" w:w="1900"/>
            <w:shd w:fill="FFFFFF" w:color="auto" w:val="clear"/>
            <w:tcMar>
              <w:top w:type="dxa" w:w="60"/>
              <w:left w:type="dxa" w:w="100"/>
              <w:bottom w:type="dxa" w:w="60"/>
              <w:right w:type="dxa" w:w="100"/>
            </w:tcMar>
          </w:tcPr>
          <w:p>
            <w:r>
              <w:rPr>
                <w:sz w:val="18"/>
                <w:szCs w:val="18"/>
              </w:rPr>
              <w:t xml:space="preserve">Analyse &amp; Suivi</w:t>
            </w:r>
          </w:p>
        </w:tc>
        <w:tc>
          <w:tcPr>
            <w:tcW w:type="dxa" w:w="3000"/>
            <w:shd w:fill="FFFFFF" w:color="auto" w:val="clear"/>
            <w:tcMar>
              <w:top w:type="dxa" w:w="60"/>
              <w:left w:type="dxa" w:w="100"/>
              <w:bottom w:type="dxa" w:w="60"/>
              <w:right w:type="dxa" w:w="100"/>
            </w:tcMar>
          </w:tcPr>
          <w:p>
            <w:r>
              <w:rPr>
                <w:sz w:val="18"/>
                <w:szCs w:val="18"/>
              </w:rPr>
              <w:t xml:space="preserve">Champs non-renseignés</w:t>
            </w:r>
          </w:p>
        </w:tc>
        <w:tc>
          <w:tcPr>
            <w:tcW w:type="dxa" w:w="2860"/>
            <w:shd w:fill="FFFFFF" w:color="auto" w:val="clear"/>
            <w:tcMar>
              <w:top w:type="dxa" w:w="60"/>
              <w:left w:type="dxa" w:w="100"/>
              <w:bottom w:type="dxa" w:w="60"/>
              <w:right w:type="dxa" w:w="100"/>
            </w:tcMar>
          </w:tcPr>
          <w:p>
            <w:r>
              <w:rPr>
                <w:sz w:val="18"/>
                <w:szCs w:val="18"/>
              </w:rPr>
              <w:t xml:space="preserve">champs_non_renseignes</w:t>
            </w:r>
          </w:p>
        </w:tc>
        <w:tc>
          <w:tcPr>
            <w:tcW w:type="dxa" w:w="1600"/>
            <w:shd w:fill="FFFFFF" w:color="auto" w:val="clear"/>
            <w:tcMar>
              <w:top w:type="dxa" w:w="60"/>
              <w:left w:type="dxa" w:w="100"/>
              <w:bottom w:type="dxa" w:w="60"/>
              <w:right w:type="dxa" w:w="100"/>
            </w:tcMar>
          </w:tcPr>
          <w:p>
            <w:r>
              <w:rPr>
                <w:sz w:val="18"/>
                <w:szCs w:val="18"/>
              </w:rPr>
              <w:t xml:space="preserve">3.3</w:t>
            </w:r>
          </w:p>
        </w:tc>
      </w:tr>
      <w:tr>
        <w:tc>
          <w:tcPr>
            <w:tcW w:type="dxa" w:w="1900"/>
            <w:shd w:fill="F2F5F9" w:color="auto" w:val="clear"/>
            <w:tcMar>
              <w:top w:type="dxa" w:w="60"/>
              <w:left w:type="dxa" w:w="100"/>
              <w:bottom w:type="dxa" w:w="60"/>
              <w:right w:type="dxa" w:w="100"/>
            </w:tcMar>
          </w:tcPr>
          <w:p>
            <w:r>
              <w:rPr>
                <w:sz w:val="18"/>
                <w:szCs w:val="18"/>
              </w:rPr>
              <w:t xml:space="preserve">Analyse &amp; Suivi</w:t>
            </w:r>
          </w:p>
        </w:tc>
        <w:tc>
          <w:tcPr>
            <w:tcW w:type="dxa" w:w="3000"/>
            <w:shd w:fill="F2F5F9" w:color="auto" w:val="clear"/>
            <w:tcMar>
              <w:top w:type="dxa" w:w="60"/>
              <w:left w:type="dxa" w:w="100"/>
              <w:bottom w:type="dxa" w:w="60"/>
              <w:right w:type="dxa" w:w="100"/>
            </w:tcMar>
          </w:tcPr>
          <w:p>
            <w:r>
              <w:rPr>
                <w:sz w:val="18"/>
                <w:szCs w:val="18"/>
              </w:rPr>
              <w:t xml:space="preserve">Clients en anomalie</w:t>
            </w:r>
          </w:p>
        </w:tc>
        <w:tc>
          <w:tcPr>
            <w:tcW w:type="dxa" w:w="2860"/>
            <w:shd w:fill="F2F5F9" w:color="auto" w:val="clear"/>
            <w:tcMar>
              <w:top w:type="dxa" w:w="60"/>
              <w:left w:type="dxa" w:w="100"/>
              <w:bottom w:type="dxa" w:w="60"/>
              <w:right w:type="dxa" w:w="100"/>
            </w:tcMar>
          </w:tcPr>
          <w:p>
            <w:r>
              <w:rPr>
                <w:sz w:val="18"/>
                <w:szCs w:val="18"/>
              </w:rPr>
              <w:t xml:space="preserve">clients_anomalie</w:t>
            </w:r>
          </w:p>
        </w:tc>
        <w:tc>
          <w:tcPr>
            <w:tcW w:type="dxa" w:w="1600"/>
            <w:shd w:fill="F2F5F9" w:color="auto" w:val="clear"/>
            <w:tcMar>
              <w:top w:type="dxa" w:w="60"/>
              <w:left w:type="dxa" w:w="100"/>
              <w:bottom w:type="dxa" w:w="60"/>
              <w:right w:type="dxa" w:w="100"/>
            </w:tcMar>
          </w:tcPr>
          <w:p>
            <w:r>
              <w:rPr>
                <w:sz w:val="18"/>
                <w:szCs w:val="18"/>
              </w:rPr>
              <w:t xml:space="preserve">3.4</w:t>
            </w:r>
          </w:p>
        </w:tc>
      </w:tr>
      <w:tr>
        <w:tc>
          <w:tcPr>
            <w:tcW w:type="dxa" w:w="1900"/>
            <w:shd w:fill="FFFFFF" w:color="auto" w:val="clear"/>
            <w:tcMar>
              <w:top w:type="dxa" w:w="60"/>
              <w:left w:type="dxa" w:w="100"/>
              <w:bottom w:type="dxa" w:w="60"/>
              <w:right w:type="dxa" w:w="100"/>
            </w:tcMar>
          </w:tcPr>
          <w:p>
            <w:r>
              <w:rPr>
                <w:sz w:val="18"/>
                <w:szCs w:val="18"/>
              </w:rPr>
              <w:t xml:space="preserve">Analyse &amp; Suivi</w:t>
            </w:r>
          </w:p>
        </w:tc>
        <w:tc>
          <w:tcPr>
            <w:tcW w:type="dxa" w:w="3000"/>
            <w:shd w:fill="FFFFFF" w:color="auto" w:val="clear"/>
            <w:tcMar>
              <w:top w:type="dxa" w:w="60"/>
              <w:left w:type="dxa" w:w="100"/>
              <w:bottom w:type="dxa" w:w="60"/>
              <w:right w:type="dxa" w:w="100"/>
            </w:tcMar>
          </w:tcPr>
          <w:p>
            <w:r>
              <w:rPr>
                <w:sz w:val="18"/>
                <w:szCs w:val="18"/>
              </w:rPr>
              <w:t xml:space="preserve">Scoring Clients</w:t>
            </w:r>
          </w:p>
        </w:tc>
        <w:tc>
          <w:tcPr>
            <w:tcW w:type="dxa" w:w="2860"/>
            <w:shd w:fill="FFFFFF" w:color="auto" w:val="clear"/>
            <w:tcMar>
              <w:top w:type="dxa" w:w="60"/>
              <w:left w:type="dxa" w:w="100"/>
              <w:bottom w:type="dxa" w:w="60"/>
              <w:right w:type="dxa" w:w="100"/>
            </w:tcMar>
          </w:tcPr>
          <w:p>
            <w:r>
              <w:rPr>
                <w:sz w:val="18"/>
                <w:szCs w:val="18"/>
              </w:rPr>
              <w:t xml:space="preserve">scoring_clients</w:t>
            </w:r>
          </w:p>
        </w:tc>
        <w:tc>
          <w:tcPr>
            <w:tcW w:type="dxa" w:w="1600"/>
            <w:shd w:fill="FFFFFF" w:color="auto" w:val="clear"/>
            <w:tcMar>
              <w:top w:type="dxa" w:w="60"/>
              <w:left w:type="dxa" w:w="100"/>
              <w:bottom w:type="dxa" w:w="60"/>
              <w:right w:type="dxa" w:w="100"/>
            </w:tcMar>
          </w:tcPr>
          <w:p>
            <w:r>
              <w:rPr>
                <w:sz w:val="18"/>
                <w:szCs w:val="18"/>
              </w:rPr>
              <w:t xml:space="preserve">3.5</w:t>
            </w:r>
          </w:p>
        </w:tc>
      </w:tr>
      <w:tr>
        <w:tc>
          <w:tcPr>
            <w:tcW w:type="dxa" w:w="1900"/>
            <w:shd w:fill="F2F5F9" w:color="auto" w:val="clear"/>
            <w:tcMar>
              <w:top w:type="dxa" w:w="60"/>
              <w:left w:type="dxa" w:w="100"/>
              <w:bottom w:type="dxa" w:w="60"/>
              <w:right w:type="dxa" w:w="100"/>
            </w:tcMar>
          </w:tcPr>
          <w:p>
            <w:r>
              <w:rPr>
                <w:sz w:val="18"/>
                <w:szCs w:val="18"/>
              </w:rPr>
              <w:t xml:space="preserve">Analyse &amp; Suivi</w:t>
            </w:r>
          </w:p>
        </w:tc>
        <w:tc>
          <w:tcPr>
            <w:tcW w:type="dxa" w:w="3000"/>
            <w:shd w:fill="F2F5F9" w:color="auto" w:val="clear"/>
            <w:tcMar>
              <w:top w:type="dxa" w:w="60"/>
              <w:left w:type="dxa" w:w="100"/>
              <w:bottom w:type="dxa" w:w="60"/>
              <w:right w:type="dxa" w:w="100"/>
            </w:tcMar>
          </w:tcPr>
          <w:p>
            <w:r>
              <w:rPr>
                <w:sz w:val="18"/>
                <w:szCs w:val="18"/>
              </w:rPr>
              <w:t xml:space="preserve">Screening KYC ID</w:t>
            </w:r>
          </w:p>
        </w:tc>
        <w:tc>
          <w:tcPr>
            <w:tcW w:type="dxa" w:w="2860"/>
            <w:shd w:fill="F2F5F9" w:color="auto" w:val="clear"/>
            <w:tcMar>
              <w:top w:type="dxa" w:w="60"/>
              <w:left w:type="dxa" w:w="100"/>
              <w:bottom w:type="dxa" w:w="60"/>
              <w:right w:type="dxa" w:w="100"/>
            </w:tcMar>
          </w:tcPr>
          <w:p>
            <w:r>
              <w:rPr>
                <w:sz w:val="18"/>
                <w:szCs w:val="18"/>
              </w:rPr>
              <w:t xml:space="preserve">screening_kyc (+ module payé)</w:t>
            </w:r>
          </w:p>
        </w:tc>
        <w:tc>
          <w:tcPr>
            <w:tcW w:type="dxa" w:w="1600"/>
            <w:shd w:fill="F2F5F9" w:color="auto" w:val="clear"/>
            <w:tcMar>
              <w:top w:type="dxa" w:w="60"/>
              <w:left w:type="dxa" w:w="100"/>
              <w:bottom w:type="dxa" w:w="60"/>
              <w:right w:type="dxa" w:w="100"/>
            </w:tcMar>
          </w:tcPr>
          <w:p>
            <w:r>
              <w:rPr>
                <w:sz w:val="18"/>
                <w:szCs w:val="18"/>
              </w:rPr>
              <w:t xml:space="preserve">6</w:t>
            </w:r>
          </w:p>
        </w:tc>
      </w:tr>
      <w:tr>
        <w:tc>
          <w:tcPr>
            <w:tcW w:type="dxa" w:w="1900"/>
            <w:shd w:fill="FFFFFF" w:color="auto" w:val="clear"/>
            <w:tcMar>
              <w:top w:type="dxa" w:w="60"/>
              <w:left w:type="dxa" w:w="100"/>
              <w:bottom w:type="dxa" w:w="60"/>
              <w:right w:type="dxa" w:w="100"/>
            </w:tcMar>
          </w:tcPr>
          <w:p>
            <w:r>
              <w:rPr>
                <w:sz w:val="18"/>
                <w:szCs w:val="18"/>
              </w:rPr>
              <w:t xml:space="preserve">Notations</w:t>
            </w:r>
          </w:p>
        </w:tc>
        <w:tc>
          <w:tcPr>
            <w:tcW w:type="dxa" w:w="3000"/>
            <w:shd w:fill="FFFFFF" w:color="auto" w:val="clear"/>
            <w:tcMar>
              <w:top w:type="dxa" w:w="60"/>
              <w:left w:type="dxa" w:w="100"/>
              <w:bottom w:type="dxa" w:w="60"/>
              <w:right w:type="dxa" w:w="100"/>
            </w:tcMar>
          </w:tcPr>
          <w:p>
            <w:r>
              <w:rPr>
                <w:sz w:val="18"/>
                <w:szCs w:val="18"/>
              </w:rPr>
              <w:t xml:space="preserve">Nouvelle Notation</w:t>
            </w:r>
          </w:p>
        </w:tc>
        <w:tc>
          <w:tcPr>
            <w:tcW w:type="dxa" w:w="2860"/>
            <w:shd w:fill="FFFFFF" w:color="auto" w:val="clear"/>
            <w:tcMar>
              <w:top w:type="dxa" w:w="60"/>
              <w:left w:type="dxa" w:w="100"/>
              <w:bottom w:type="dxa" w:w="60"/>
              <w:right w:type="dxa" w:w="100"/>
            </w:tcMar>
          </w:tcPr>
          <w:p>
            <w:r>
              <w:rPr>
                <w:sz w:val="18"/>
                <w:szCs w:val="18"/>
              </w:rPr>
              <w:t xml:space="preserve">nouvelle_notation</w:t>
            </w:r>
          </w:p>
        </w:tc>
        <w:tc>
          <w:tcPr>
            <w:tcW w:type="dxa" w:w="1600"/>
            <w:shd w:fill="FFFFFF" w:color="auto" w:val="clear"/>
            <w:tcMar>
              <w:top w:type="dxa" w:w="60"/>
              <w:left w:type="dxa" w:w="100"/>
              <w:bottom w:type="dxa" w:w="60"/>
              <w:right w:type="dxa" w:w="100"/>
            </w:tcMar>
          </w:tcPr>
          <w:p>
            <w:r>
              <w:rPr>
                <w:sz w:val="18"/>
                <w:szCs w:val="18"/>
              </w:rPr>
              <w:t xml:space="preserve">4.1</w:t>
            </w:r>
          </w:p>
        </w:tc>
      </w:tr>
      <w:tr>
        <w:tc>
          <w:tcPr>
            <w:tcW w:type="dxa" w:w="1900"/>
            <w:shd w:fill="F2F5F9" w:color="auto" w:val="clear"/>
            <w:tcMar>
              <w:top w:type="dxa" w:w="60"/>
              <w:left w:type="dxa" w:w="100"/>
              <w:bottom w:type="dxa" w:w="60"/>
              <w:right w:type="dxa" w:w="100"/>
            </w:tcMar>
          </w:tcPr>
          <w:p>
            <w:r>
              <w:rPr>
                <w:sz w:val="18"/>
                <w:szCs w:val="18"/>
              </w:rPr>
              <w:t xml:space="preserve">Notations</w:t>
            </w:r>
          </w:p>
        </w:tc>
        <w:tc>
          <w:tcPr>
            <w:tcW w:type="dxa" w:w="3000"/>
            <w:shd w:fill="F2F5F9" w:color="auto" w:val="clear"/>
            <w:tcMar>
              <w:top w:type="dxa" w:w="60"/>
              <w:left w:type="dxa" w:w="100"/>
              <w:bottom w:type="dxa" w:w="60"/>
              <w:right w:type="dxa" w:w="100"/>
            </w:tcMar>
          </w:tcPr>
          <w:p>
            <w:r>
              <w:rPr>
                <w:sz w:val="18"/>
                <w:szCs w:val="18"/>
              </w:rPr>
              <w:t xml:space="preserve">Historique</w:t>
            </w:r>
          </w:p>
        </w:tc>
        <w:tc>
          <w:tcPr>
            <w:tcW w:type="dxa" w:w="2860"/>
            <w:shd w:fill="F2F5F9" w:color="auto" w:val="clear"/>
            <w:tcMar>
              <w:top w:type="dxa" w:w="60"/>
              <w:left w:type="dxa" w:w="100"/>
              <w:bottom w:type="dxa" w:w="60"/>
              <w:right w:type="dxa" w:w="100"/>
            </w:tcMar>
          </w:tcPr>
          <w:p>
            <w:r>
              <w:rPr>
                <w:sz w:val="18"/>
                <w:szCs w:val="18"/>
              </w:rPr>
              <w:t xml:space="preserve">historique_notation</w:t>
            </w:r>
          </w:p>
        </w:tc>
        <w:tc>
          <w:tcPr>
            <w:tcW w:type="dxa" w:w="1600"/>
            <w:shd w:fill="F2F5F9" w:color="auto" w:val="clear"/>
            <w:tcMar>
              <w:top w:type="dxa" w:w="60"/>
              <w:left w:type="dxa" w:w="100"/>
              <w:bottom w:type="dxa" w:w="60"/>
              <w:right w:type="dxa" w:w="100"/>
            </w:tcMar>
          </w:tcPr>
          <w:p>
            <w:r>
              <w:rPr>
                <w:sz w:val="18"/>
                <w:szCs w:val="18"/>
              </w:rPr>
              <w:t xml:space="preserve">4.2</w:t>
            </w:r>
          </w:p>
        </w:tc>
      </w:tr>
      <w:tr>
        <w:tc>
          <w:tcPr>
            <w:tcW w:type="dxa" w:w="1900"/>
            <w:shd w:fill="FFFFFF" w:color="auto" w:val="clear"/>
            <w:tcMar>
              <w:top w:type="dxa" w:w="60"/>
              <w:left w:type="dxa" w:w="100"/>
              <w:bottom w:type="dxa" w:w="60"/>
              <w:right w:type="dxa" w:w="100"/>
            </w:tcMar>
          </w:tcPr>
          <w:p>
            <w:r>
              <w:rPr>
                <w:sz w:val="18"/>
                <w:szCs w:val="18"/>
              </w:rPr>
              <w:t xml:space="preserve">Conformité</w:t>
            </w:r>
          </w:p>
        </w:tc>
        <w:tc>
          <w:tcPr>
            <w:tcW w:type="dxa" w:w="3000"/>
            <w:shd w:fill="FFFFFF" w:color="auto" w:val="clear"/>
            <w:tcMar>
              <w:top w:type="dxa" w:w="60"/>
              <w:left w:type="dxa" w:w="100"/>
              <w:bottom w:type="dxa" w:w="60"/>
              <w:right w:type="dxa" w:w="100"/>
            </w:tcMar>
          </w:tcPr>
          <w:p>
            <w:r>
              <w:rPr>
                <w:sz w:val="18"/>
                <w:szCs w:val="18"/>
              </w:rPr>
              <w:t xml:space="preserve">PPE</w:t>
            </w:r>
          </w:p>
        </w:tc>
        <w:tc>
          <w:tcPr>
            <w:tcW w:type="dxa" w:w="2860"/>
            <w:shd w:fill="FFFFFF" w:color="auto" w:val="clear"/>
            <w:tcMar>
              <w:top w:type="dxa" w:w="60"/>
              <w:left w:type="dxa" w:w="100"/>
              <w:bottom w:type="dxa" w:w="60"/>
              <w:right w:type="dxa" w:w="100"/>
            </w:tcMar>
          </w:tcPr>
          <w:p>
            <w:r>
              <w:rPr>
                <w:sz w:val="18"/>
                <w:szCs w:val="18"/>
              </w:rPr>
              <w:t xml:space="preserve">ppe</w:t>
            </w:r>
          </w:p>
        </w:tc>
        <w:tc>
          <w:tcPr>
            <w:tcW w:type="dxa" w:w="1600"/>
            <w:shd w:fill="FFFFFF" w:color="auto" w:val="clear"/>
            <w:tcMar>
              <w:top w:type="dxa" w:w="60"/>
              <w:left w:type="dxa" w:w="100"/>
              <w:bottom w:type="dxa" w:w="60"/>
              <w:right w:type="dxa" w:w="100"/>
            </w:tcMar>
          </w:tcPr>
          <w:p>
            <w:r>
              <w:rPr>
                <w:sz w:val="18"/>
                <w:szCs w:val="18"/>
              </w:rPr>
              <w:t xml:space="preserve">5.1</w:t>
            </w:r>
          </w:p>
        </w:tc>
      </w:tr>
      <w:tr>
        <w:tc>
          <w:tcPr>
            <w:tcW w:type="dxa" w:w="1900"/>
            <w:shd w:fill="F2F5F9" w:color="auto" w:val="clear"/>
            <w:tcMar>
              <w:top w:type="dxa" w:w="60"/>
              <w:left w:type="dxa" w:w="100"/>
              <w:bottom w:type="dxa" w:w="60"/>
              <w:right w:type="dxa" w:w="100"/>
            </w:tcMar>
          </w:tcPr>
          <w:p>
            <w:r>
              <w:rPr>
                <w:sz w:val="18"/>
                <w:szCs w:val="18"/>
              </w:rPr>
              <w:t xml:space="preserve">Conformité</w:t>
            </w:r>
          </w:p>
        </w:tc>
        <w:tc>
          <w:tcPr>
            <w:tcW w:type="dxa" w:w="3000"/>
            <w:shd w:fill="F2F5F9" w:color="auto" w:val="clear"/>
            <w:tcMar>
              <w:top w:type="dxa" w:w="60"/>
              <w:left w:type="dxa" w:w="100"/>
              <w:bottom w:type="dxa" w:w="60"/>
              <w:right w:type="dxa" w:w="100"/>
            </w:tcMar>
          </w:tcPr>
          <w:p>
            <w:r>
              <w:rPr>
                <w:sz w:val="18"/>
                <w:szCs w:val="18"/>
              </w:rPr>
              <w:t xml:space="preserve">Comptes spécifiques</w:t>
            </w:r>
          </w:p>
        </w:tc>
        <w:tc>
          <w:tcPr>
            <w:tcW w:type="dxa" w:w="2860"/>
            <w:shd w:fill="F2F5F9" w:color="auto" w:val="clear"/>
            <w:tcMar>
              <w:top w:type="dxa" w:w="60"/>
              <w:left w:type="dxa" w:w="100"/>
              <w:bottom w:type="dxa" w:w="60"/>
              <w:right w:type="dxa" w:w="100"/>
            </w:tcMar>
          </w:tcPr>
          <w:p>
            <w:r>
              <w:rPr>
                <w:sz w:val="18"/>
                <w:szCs w:val="18"/>
              </w:rPr>
              <w:t xml:space="preserve">comptes_specifiques</w:t>
            </w:r>
          </w:p>
        </w:tc>
        <w:tc>
          <w:tcPr>
            <w:tcW w:type="dxa" w:w="1600"/>
            <w:shd w:fill="F2F5F9" w:color="auto" w:val="clear"/>
            <w:tcMar>
              <w:top w:type="dxa" w:w="60"/>
              <w:left w:type="dxa" w:w="100"/>
              <w:bottom w:type="dxa" w:w="60"/>
              <w:right w:type="dxa" w:w="100"/>
            </w:tcMar>
          </w:tcPr>
          <w:p>
            <w:r>
              <w:rPr>
                <w:sz w:val="18"/>
                <w:szCs w:val="18"/>
              </w:rPr>
              <w:t xml:space="preserve">5.2</w:t>
            </w:r>
          </w:p>
        </w:tc>
      </w:tr>
      <w:tr>
        <w:tc>
          <w:tcPr>
            <w:tcW w:type="dxa" w:w="1900"/>
            <w:shd w:fill="FFFFFF" w:color="auto" w:val="clear"/>
            <w:tcMar>
              <w:top w:type="dxa" w:w="60"/>
              <w:left w:type="dxa" w:w="100"/>
              <w:bottom w:type="dxa" w:w="60"/>
              <w:right w:type="dxa" w:w="100"/>
            </w:tcMar>
          </w:tcPr>
          <w:p>
            <w:r>
              <w:rPr>
                <w:sz w:val="18"/>
                <w:szCs w:val="18"/>
              </w:rPr>
              <w:t xml:space="preserve">Administration</w:t>
            </w:r>
          </w:p>
        </w:tc>
        <w:tc>
          <w:tcPr>
            <w:tcW w:type="dxa" w:w="3000"/>
            <w:shd w:fill="FFFFFF" w:color="auto" w:val="clear"/>
            <w:tcMar>
              <w:top w:type="dxa" w:w="60"/>
              <w:left w:type="dxa" w:w="100"/>
              <w:bottom w:type="dxa" w:w="60"/>
              <w:right w:type="dxa" w:w="100"/>
            </w:tcMar>
          </w:tcPr>
          <w:p>
            <w:r>
              <w:rPr>
                <w:sz w:val="18"/>
                <w:szCs w:val="18"/>
              </w:rPr>
              <w:t xml:space="preserve">Paramétrage Utilisateurs</w:t>
            </w:r>
          </w:p>
        </w:tc>
        <w:tc>
          <w:tcPr>
            <w:tcW w:type="dxa" w:w="2860"/>
            <w:shd w:fill="FFFFFF" w:color="auto" w:val="clear"/>
            <w:tcMar>
              <w:top w:type="dxa" w:w="60"/>
              <w:left w:type="dxa" w:w="100"/>
              <w:bottom w:type="dxa" w:w="60"/>
              <w:right w:type="dxa" w:w="100"/>
            </w:tcMar>
          </w:tcPr>
          <w:p>
            <w:r>
              <w:rPr>
                <w:sz w:val="18"/>
                <w:szCs w:val="18"/>
              </w:rPr>
              <w:t xml:space="preserve">parametrage_utilisateurs</w:t>
            </w:r>
          </w:p>
        </w:tc>
        <w:tc>
          <w:tcPr>
            <w:tcW w:type="dxa" w:w="1600"/>
            <w:shd w:fill="FFFFFF" w:color="auto" w:val="clear"/>
            <w:tcMar>
              <w:top w:type="dxa" w:w="60"/>
              <w:left w:type="dxa" w:w="100"/>
              <w:bottom w:type="dxa" w:w="60"/>
              <w:right w:type="dxa" w:w="100"/>
            </w:tcMar>
          </w:tcPr>
          <w:p>
            <w:r>
              <w:rPr>
                <w:sz w:val="18"/>
                <w:szCs w:val="18"/>
              </w:rPr>
              <w:t xml:space="preserve">7.1</w:t>
            </w:r>
          </w:p>
        </w:tc>
      </w:tr>
      <w:tr>
        <w:tc>
          <w:tcPr>
            <w:tcW w:type="dxa" w:w="1900"/>
            <w:shd w:fill="F2F5F9" w:color="auto" w:val="clear"/>
            <w:tcMar>
              <w:top w:type="dxa" w:w="60"/>
              <w:left w:type="dxa" w:w="100"/>
              <w:bottom w:type="dxa" w:w="60"/>
              <w:right w:type="dxa" w:w="100"/>
            </w:tcMar>
          </w:tcPr>
          <w:p>
            <w:r>
              <w:rPr>
                <w:sz w:val="18"/>
                <w:szCs w:val="18"/>
              </w:rPr>
              <w:t xml:space="preserve">Administration</w:t>
            </w:r>
          </w:p>
        </w:tc>
        <w:tc>
          <w:tcPr>
            <w:tcW w:type="dxa" w:w="3000"/>
            <w:shd w:fill="F2F5F9" w:color="auto" w:val="clear"/>
            <w:tcMar>
              <w:top w:type="dxa" w:w="60"/>
              <w:left w:type="dxa" w:w="100"/>
              <w:bottom w:type="dxa" w:w="60"/>
              <w:right w:type="dxa" w:w="100"/>
            </w:tcMar>
          </w:tcPr>
          <w:p>
            <w:r>
              <w:rPr>
                <w:sz w:val="18"/>
                <w:szCs w:val="18"/>
              </w:rPr>
              <w:t xml:space="preserve">Règles de Qualité</w:t>
            </w:r>
          </w:p>
        </w:tc>
        <w:tc>
          <w:tcPr>
            <w:tcW w:type="dxa" w:w="2860"/>
            <w:shd w:fill="F2F5F9" w:color="auto" w:val="clear"/>
            <w:tcMar>
              <w:top w:type="dxa" w:w="60"/>
              <w:left w:type="dxa" w:w="100"/>
              <w:bottom w:type="dxa" w:w="60"/>
              <w:right w:type="dxa" w:w="100"/>
            </w:tcMar>
          </w:tcPr>
          <w:p>
            <w:r>
              <w:rPr>
                <w:sz w:val="18"/>
                <w:szCs w:val="18"/>
              </w:rPr>
              <w:t xml:space="preserve">regles_qualite</w:t>
            </w:r>
          </w:p>
        </w:tc>
        <w:tc>
          <w:tcPr>
            <w:tcW w:type="dxa" w:w="1600"/>
            <w:shd w:fill="F2F5F9" w:color="auto" w:val="clear"/>
            <w:tcMar>
              <w:top w:type="dxa" w:w="60"/>
              <w:left w:type="dxa" w:w="100"/>
              <w:bottom w:type="dxa" w:w="60"/>
              <w:right w:type="dxa" w:w="100"/>
            </w:tcMar>
          </w:tcPr>
          <w:p>
            <w:r>
              <w:rPr>
                <w:sz w:val="18"/>
                <w:szCs w:val="18"/>
              </w:rPr>
              <w:t xml:space="preserve">7.2</w:t>
            </w:r>
          </w:p>
        </w:tc>
      </w:tr>
      <w:tr>
        <w:tc>
          <w:tcPr>
            <w:tcW w:type="dxa" w:w="1900"/>
            <w:shd w:fill="FFFFFF" w:color="auto" w:val="clear"/>
            <w:tcMar>
              <w:top w:type="dxa" w:w="60"/>
              <w:left w:type="dxa" w:w="100"/>
              <w:bottom w:type="dxa" w:w="60"/>
              <w:right w:type="dxa" w:w="100"/>
            </w:tcMar>
          </w:tcPr>
          <w:p>
            <w:r>
              <w:rPr>
                <w:sz w:val="18"/>
                <w:szCs w:val="18"/>
              </w:rPr>
              <w:t xml:space="preserve">Administration</w:t>
            </w:r>
          </w:p>
        </w:tc>
        <w:tc>
          <w:tcPr>
            <w:tcW w:type="dxa" w:w="3000"/>
            <w:shd w:fill="FFFFFF" w:color="auto" w:val="clear"/>
            <w:tcMar>
              <w:top w:type="dxa" w:w="60"/>
              <w:left w:type="dxa" w:w="100"/>
              <w:bottom w:type="dxa" w:w="60"/>
              <w:right w:type="dxa" w:w="100"/>
            </w:tcMar>
          </w:tcPr>
          <w:p>
            <w:r>
              <w:rPr>
                <w:sz w:val="18"/>
                <w:szCs w:val="18"/>
              </w:rPr>
              <w:t xml:space="preserve">Champs KYC</w:t>
            </w:r>
          </w:p>
        </w:tc>
        <w:tc>
          <w:tcPr>
            <w:tcW w:type="dxa" w:w="2860"/>
            <w:shd w:fill="FFFFFF" w:color="auto" w:val="clear"/>
            <w:tcMar>
              <w:top w:type="dxa" w:w="60"/>
              <w:left w:type="dxa" w:w="100"/>
              <w:bottom w:type="dxa" w:w="60"/>
              <w:right w:type="dxa" w:w="100"/>
            </w:tcMar>
          </w:tcPr>
          <w:p>
            <w:r>
              <w:rPr>
                <w:sz w:val="18"/>
                <w:szCs w:val="18"/>
              </w:rPr>
              <w:t xml:space="preserve">champs_kyc</w:t>
            </w:r>
          </w:p>
        </w:tc>
        <w:tc>
          <w:tcPr>
            <w:tcW w:type="dxa" w:w="1600"/>
            <w:shd w:fill="FFFFFF" w:color="auto" w:val="clear"/>
            <w:tcMar>
              <w:top w:type="dxa" w:w="60"/>
              <w:left w:type="dxa" w:w="100"/>
              <w:bottom w:type="dxa" w:w="60"/>
              <w:right w:type="dxa" w:w="100"/>
            </w:tcMar>
          </w:tcPr>
          <w:p>
            <w:r>
              <w:rPr>
                <w:sz w:val="18"/>
                <w:szCs w:val="18"/>
              </w:rPr>
              <w:t xml:space="preserve">7.3</w:t>
            </w:r>
          </w:p>
        </w:tc>
      </w:tr>
      <w:tr>
        <w:tc>
          <w:tcPr>
            <w:tcW w:type="dxa" w:w="1900"/>
            <w:shd w:fill="F2F5F9" w:color="auto" w:val="clear"/>
            <w:tcMar>
              <w:top w:type="dxa" w:w="60"/>
              <w:left w:type="dxa" w:w="100"/>
              <w:bottom w:type="dxa" w:w="60"/>
              <w:right w:type="dxa" w:w="100"/>
            </w:tcMar>
          </w:tcPr>
          <w:p>
            <w:r>
              <w:rPr>
                <w:sz w:val="18"/>
                <w:szCs w:val="18"/>
              </w:rPr>
              <w:t xml:space="preserve">Administration</w:t>
            </w:r>
          </w:p>
        </w:tc>
        <w:tc>
          <w:tcPr>
            <w:tcW w:type="dxa" w:w="3000"/>
            <w:shd w:fill="F2F5F9" w:color="auto" w:val="clear"/>
            <w:tcMar>
              <w:top w:type="dxa" w:w="60"/>
              <w:left w:type="dxa" w:w="100"/>
              <w:bottom w:type="dxa" w:w="60"/>
              <w:right w:type="dxa" w:w="100"/>
            </w:tcMar>
          </w:tcPr>
          <w:p>
            <w:r>
              <w:rPr>
                <w:sz w:val="18"/>
                <w:szCs w:val="18"/>
              </w:rPr>
              <w:t xml:space="preserve">Documents Screening KYC ID</w:t>
            </w:r>
          </w:p>
        </w:tc>
        <w:tc>
          <w:tcPr>
            <w:tcW w:type="dxa" w:w="2860"/>
            <w:shd w:fill="F2F5F9" w:color="auto" w:val="clear"/>
            <w:tcMar>
              <w:top w:type="dxa" w:w="60"/>
              <w:left w:type="dxa" w:w="100"/>
              <w:bottom w:type="dxa" w:w="60"/>
              <w:right w:type="dxa" w:w="100"/>
            </w:tcMar>
          </w:tcPr>
          <w:p>
            <w:r>
              <w:rPr>
                <w:sz w:val="18"/>
                <w:szCs w:val="18"/>
              </w:rPr>
              <w:t xml:space="preserve">documents_screening</w:t>
            </w:r>
          </w:p>
        </w:tc>
        <w:tc>
          <w:tcPr>
            <w:tcW w:type="dxa" w:w="1600"/>
            <w:shd w:fill="F2F5F9" w:color="auto" w:val="clear"/>
            <w:tcMar>
              <w:top w:type="dxa" w:w="60"/>
              <w:left w:type="dxa" w:w="100"/>
              <w:bottom w:type="dxa" w:w="60"/>
              <w:right w:type="dxa" w:w="100"/>
            </w:tcMar>
          </w:tcPr>
          <w:p>
            <w:r>
              <w:rPr>
                <w:sz w:val="18"/>
                <w:szCs w:val="18"/>
              </w:rPr>
              <w:t xml:space="preserve">7.4</w:t>
            </w:r>
          </w:p>
        </w:tc>
      </w:tr>
      <w:tr>
        <w:tc>
          <w:tcPr>
            <w:tcW w:type="dxa" w:w="1900"/>
            <w:shd w:fill="FFFFFF" w:color="auto" w:val="clear"/>
            <w:tcMar>
              <w:top w:type="dxa" w:w="60"/>
              <w:left w:type="dxa" w:w="100"/>
              <w:bottom w:type="dxa" w:w="60"/>
              <w:right w:type="dxa" w:w="100"/>
            </w:tcMar>
          </w:tcPr>
          <w:p>
            <w:r>
              <w:rPr>
                <w:sz w:val="18"/>
                <w:szCs w:val="18"/>
              </w:rPr>
              <w:t xml:space="preserve">Administration</w:t>
            </w:r>
          </w:p>
        </w:tc>
        <w:tc>
          <w:tcPr>
            <w:tcW w:type="dxa" w:w="3000"/>
            <w:shd w:fill="FFFFFF" w:color="auto" w:val="clear"/>
            <w:tcMar>
              <w:top w:type="dxa" w:w="60"/>
              <w:left w:type="dxa" w:w="100"/>
              <w:bottom w:type="dxa" w:w="60"/>
              <w:right w:type="dxa" w:w="100"/>
            </w:tcMar>
          </w:tcPr>
          <w:p>
            <w:r>
              <w:rPr>
                <w:sz w:val="18"/>
                <w:szCs w:val="18"/>
              </w:rPr>
              <w:t xml:space="preserve">Rappels Scoring</w:t>
            </w:r>
          </w:p>
        </w:tc>
        <w:tc>
          <w:tcPr>
            <w:tcW w:type="dxa" w:w="2860"/>
            <w:shd w:fill="FFFFFF" w:color="auto" w:val="clear"/>
            <w:tcMar>
              <w:top w:type="dxa" w:w="60"/>
              <w:left w:type="dxa" w:w="100"/>
              <w:bottom w:type="dxa" w:w="60"/>
              <w:right w:type="dxa" w:w="100"/>
            </w:tcMar>
          </w:tcPr>
          <w:p>
            <w:r>
              <w:rPr>
                <w:sz w:val="18"/>
                <w:szCs w:val="18"/>
              </w:rPr>
              <w:t xml:space="preserve">rappels_scoring</w:t>
            </w:r>
          </w:p>
        </w:tc>
        <w:tc>
          <w:tcPr>
            <w:tcW w:type="dxa" w:w="1600"/>
            <w:shd w:fill="FFFFFF" w:color="auto" w:val="clear"/>
            <w:tcMar>
              <w:top w:type="dxa" w:w="60"/>
              <w:left w:type="dxa" w:w="100"/>
              <w:bottom w:type="dxa" w:w="60"/>
              <w:right w:type="dxa" w:w="100"/>
            </w:tcMar>
          </w:tcPr>
          <w:p>
            <w:r>
              <w:rPr>
                <w:sz w:val="18"/>
                <w:szCs w:val="18"/>
              </w:rPr>
              <w:t xml:space="preserve">7.5</w:t>
            </w:r>
          </w:p>
        </w:tc>
      </w:tr>
      <w:tr>
        <w:tc>
          <w:tcPr>
            <w:tcW w:type="dxa" w:w="1900"/>
            <w:shd w:fill="F2F5F9" w:color="auto" w:val="clear"/>
            <w:tcMar>
              <w:top w:type="dxa" w:w="60"/>
              <w:left w:type="dxa" w:w="100"/>
              <w:bottom w:type="dxa" w:w="60"/>
              <w:right w:type="dxa" w:w="100"/>
            </w:tcMar>
          </w:tcPr>
          <w:p>
            <w:r>
              <w:rPr>
                <w:sz w:val="18"/>
                <w:szCs w:val="18"/>
              </w:rPr>
              <w:t xml:space="preserve">Administration</w:t>
            </w:r>
          </w:p>
        </w:tc>
        <w:tc>
          <w:tcPr>
            <w:tcW w:type="dxa" w:w="3000"/>
            <w:shd w:fill="F2F5F9" w:color="auto" w:val="clear"/>
            <w:tcMar>
              <w:top w:type="dxa" w:w="60"/>
              <w:left w:type="dxa" w:w="100"/>
              <w:bottom w:type="dxa" w:w="60"/>
              <w:right w:type="dxa" w:w="100"/>
            </w:tcMar>
          </w:tcPr>
          <w:p>
            <w:r>
              <w:rPr>
                <w:sz w:val="18"/>
                <w:szCs w:val="18"/>
              </w:rPr>
              <w:t xml:space="preserve">Pilotage</w:t>
            </w:r>
          </w:p>
        </w:tc>
        <w:tc>
          <w:tcPr>
            <w:tcW w:type="dxa" w:w="2860"/>
            <w:shd w:fill="F2F5F9" w:color="auto" w:val="clear"/>
            <w:tcMar>
              <w:top w:type="dxa" w:w="60"/>
              <w:left w:type="dxa" w:w="100"/>
              <w:bottom w:type="dxa" w:w="60"/>
              <w:right w:type="dxa" w:w="100"/>
            </w:tcMar>
          </w:tcPr>
          <w:p>
            <w:r>
              <w:rPr>
                <w:sz w:val="18"/>
                <w:szCs w:val="18"/>
              </w:rPr>
              <w:t xml:space="preserve">pilotage</w:t>
            </w:r>
          </w:p>
        </w:tc>
        <w:tc>
          <w:tcPr>
            <w:tcW w:type="dxa" w:w="1600"/>
            <w:shd w:fill="F2F5F9" w:color="auto" w:val="clear"/>
            <w:tcMar>
              <w:top w:type="dxa" w:w="60"/>
              <w:left w:type="dxa" w:w="100"/>
              <w:bottom w:type="dxa" w:w="60"/>
              <w:right w:type="dxa" w:w="100"/>
            </w:tcMar>
          </w:tcPr>
          <w:p>
            <w:r>
              <w:rPr>
                <w:sz w:val="18"/>
                <w:szCs w:val="18"/>
              </w:rPr>
              <w:t xml:space="preserve">7.6</w:t>
            </w:r>
          </w:p>
        </w:tc>
      </w:tr>
      <w:tr>
        <w:tc>
          <w:tcPr>
            <w:tcW w:type="dxa" w:w="1900"/>
            <w:shd w:fill="FFFFFF" w:color="auto" w:val="clear"/>
            <w:tcMar>
              <w:top w:type="dxa" w:w="60"/>
              <w:left w:type="dxa" w:w="100"/>
              <w:bottom w:type="dxa" w:w="60"/>
              <w:right w:type="dxa" w:w="100"/>
            </w:tcMar>
          </w:tcPr>
          <w:p>
            <w:r>
              <w:rPr>
                <w:sz w:val="18"/>
                <w:szCs w:val="18"/>
              </w:rPr>
              <w:t xml:space="preserve">Administration</w:t>
            </w:r>
          </w:p>
        </w:tc>
        <w:tc>
          <w:tcPr>
            <w:tcW w:type="dxa" w:w="3000"/>
            <w:shd w:fill="FFFFFF" w:color="auto" w:val="clear"/>
            <w:tcMar>
              <w:top w:type="dxa" w:w="60"/>
              <w:left w:type="dxa" w:w="100"/>
              <w:bottom w:type="dxa" w:w="60"/>
              <w:right w:type="dxa" w:w="100"/>
            </w:tcMar>
          </w:tcPr>
          <w:p>
            <w:r>
              <w:rPr>
                <w:sz w:val="18"/>
                <w:szCs w:val="18"/>
              </w:rPr>
              <w:t xml:space="preserve">Audit</w:t>
            </w:r>
          </w:p>
        </w:tc>
        <w:tc>
          <w:tcPr>
            <w:tcW w:type="dxa" w:w="2860"/>
            <w:shd w:fill="FFFFFF" w:color="auto" w:val="clear"/>
            <w:tcMar>
              <w:top w:type="dxa" w:w="60"/>
              <w:left w:type="dxa" w:w="100"/>
              <w:bottom w:type="dxa" w:w="60"/>
              <w:right w:type="dxa" w:w="100"/>
            </w:tcMar>
          </w:tcPr>
          <w:p>
            <w:r>
              <w:rPr>
                <w:sz w:val="18"/>
                <w:szCs w:val="18"/>
              </w:rPr>
              <w:t xml:space="preserve">audit</w:t>
            </w:r>
          </w:p>
        </w:tc>
        <w:tc>
          <w:tcPr>
            <w:tcW w:type="dxa" w:w="1600"/>
            <w:shd w:fill="FFFFFF" w:color="auto" w:val="clear"/>
            <w:tcMar>
              <w:top w:type="dxa" w:w="60"/>
              <w:left w:type="dxa" w:w="100"/>
              <w:bottom w:type="dxa" w:w="60"/>
              <w:right w:type="dxa" w:w="100"/>
            </w:tcMar>
          </w:tcPr>
          <w:p>
            <w:r>
              <w:rPr>
                <w:sz w:val="18"/>
                <w:szCs w:val="18"/>
              </w:rPr>
              <w:t xml:space="preserve">7.7</w:t>
            </w:r>
          </w:p>
        </w:tc>
      </w:tr>
    </w:tbl>
    <w:p>
      <w:pPr>
        <w:pStyle w:val="Heading2"/>
        <w:spacing w:after="120" w:before="260"/>
      </w:pPr>
      <w:r>
        <w:rPr>
          <w:b/>
          <w:bCs/>
        </w:rPr>
        <w:t xml:space="preserve">10.2 Modèle de données KYC</w:t>
      </w:r>
    </w:p>
    <w:p>
      <w:pPr>
        <w:pStyle w:val="ListParagraph"/>
        <w:numPr>
          <w:ilvl w:val="0"/>
          <w:numId w:val="2"/>
        </w:numPr>
        <w:spacing w:after="80" w:line="290"/>
      </w:pPr>
      <w:r>
        <w:rPr>
          <w:b/>
          <w:bCs/>
        </w:rPr>
        <w:t xml:space="preserve">Kyc_pp. </w:t>
      </w:r>
      <w:r>
        <w:t xml:space="preserve">Référentiel particuliers (~1,1 million de lignes).</w:t>
      </w:r>
    </w:p>
    <w:p>
      <w:pPr>
        <w:pStyle w:val="ListParagraph"/>
        <w:numPr>
          <w:ilvl w:val="0"/>
          <w:numId w:val="2"/>
        </w:numPr>
        <w:spacing w:after="80" w:line="290"/>
      </w:pPr>
      <w:r>
        <w:rPr>
          <w:b/>
          <w:bCs/>
        </w:rPr>
        <w:t xml:space="preserve">Kyc_pm. </w:t>
      </w:r>
      <w:r>
        <w:t xml:space="preserve">Référentiel personnes morales.</w:t>
      </w:r>
    </w:p>
    <w:p>
      <w:pPr>
        <w:pStyle w:val="ListParagraph"/>
        <w:numPr>
          <w:ilvl w:val="0"/>
          <w:numId w:val="2"/>
        </w:numPr>
        <w:spacing w:after="80" w:line="290"/>
      </w:pPr>
      <w:r>
        <w:rPr>
          <w:b/>
          <w:bCs/>
        </w:rPr>
        <w:t xml:space="preserve">Tous les champs sont du texte, </w:t>
      </w:r>
      <w:r>
        <w:t xml:space="preserve">y compris les dates (DATEREV, DATOUV, DATNAIS, DATVALID). Les comparaisons de dates sont donc lexicales : le format ISO (AAAA-MM-JJ) est impératif.</w:t>
      </w:r>
    </w:p>
    <w:p>
      <w:pPr>
        <w:pStyle w:val="ListParagraph"/>
        <w:numPr>
          <w:ilvl w:val="0"/>
          <w:numId w:val="2"/>
        </w:numPr>
        <w:spacing w:after="80" w:line="290"/>
      </w:pPr>
      <w:r>
        <w:rPr>
          <w:b/>
          <w:bCs/>
        </w:rPr>
        <w:t xml:space="preserve">Index de périmètre. </w:t>
      </w:r>
      <w:r>
        <w:t xml:space="preserve">FILIALE / AGENCE / EXPL.</w:t>
      </w:r>
    </w:p>
    <w:p>
      <w:pPr>
        <w:spacing w:after="120" w:line="300"/>
        <w:jc w:val="both"/>
      </w:pPr>
      <w:r>
        <w:rPr>
          <w:i w:val="false"/>
          <w:iCs w:val="false"/>
        </w:rPr>
        <w:t xml:space="preserve">Chaîne d'alimentation : script R (lecture des exports filiales, gros fichiers CSV) → CSV → import applicatif (chargement en masse, multiprocessus) → tables de la plateforme.</w:t>
      </w:r>
    </w:p>
    <w:p>
      <w:pPr>
        <w:pStyle w:val="Heading2"/>
        <w:spacing w:after="120" w:before="260"/>
      </w:pPr>
      <w:r>
        <w:rPr>
          <w:b/>
          <w:bCs/>
        </w:rPr>
        <w:t xml:space="preserve">10.3 Dépannage courant (FAQ)</w:t>
      </w:r>
    </w:p>
    <w:tbl>
      <w:tblPr>
        <w:tblW w:type="dxa" w:w="9360"/>
        <w:tblBorders>
          <w:top w:val="single" w:color="AAAAAA" w:sz="3"/>
          <w:left w:val="single" w:color="AAAAAA" w:sz="3"/>
          <w:bottom w:val="single" w:color="AAAAAA" w:sz="3"/>
          <w:right w:val="single" w:color="AAAAAA" w:sz="3"/>
          <w:insideH w:val="single" w:color="AAAAAA" w:sz="3"/>
          <w:insideV w:val="single" w:color="AAAAAA" w:sz="3"/>
        </w:tblBorders>
      </w:tblPr>
      <w:tblGrid>
        <w:gridCol w:w="3000"/>
        <w:gridCol w:w="6360"/>
      </w:tblGrid>
      <w:tr>
        <w:trPr>
          <w:tblHeader/>
        </w:trPr>
        <w:tc>
          <w:tcPr>
            <w:tcW w:type="dxa" w:w="3000"/>
            <w:shd w:fill="1F4E79" w:color="auto" w:val="clear"/>
            <w:tcMar>
              <w:top w:type="dxa" w:w="60"/>
              <w:left w:type="dxa" w:w="100"/>
              <w:bottom w:type="dxa" w:w="60"/>
              <w:right w:type="dxa" w:w="100"/>
            </w:tcMar>
          </w:tcPr>
          <w:p>
            <w:r>
              <w:rPr>
                <w:b/>
                <w:bCs/>
                <w:color w:val="FFFFFF"/>
                <w:sz w:val="18"/>
                <w:szCs w:val="18"/>
              </w:rPr>
              <w:t xml:space="preserve">Symptôme</w:t>
            </w:r>
          </w:p>
        </w:tc>
        <w:tc>
          <w:tcPr>
            <w:tcW w:type="dxa" w:w="6360"/>
            <w:shd w:fill="1F4E79" w:color="auto" w:val="clear"/>
            <w:tcMar>
              <w:top w:type="dxa" w:w="60"/>
              <w:left w:type="dxa" w:w="100"/>
              <w:bottom w:type="dxa" w:w="60"/>
              <w:right w:type="dxa" w:w="100"/>
            </w:tcMar>
          </w:tcPr>
          <w:p>
            <w:r>
              <w:rPr>
                <w:b/>
                <w:bCs/>
                <w:color w:val="FFFFFF"/>
                <w:sz w:val="18"/>
                <w:szCs w:val="18"/>
              </w:rPr>
              <w:t xml:space="preserve">Cause probable / action</w:t>
            </w:r>
          </w:p>
        </w:tc>
      </w:tr>
      <w:tr>
        <w:tc>
          <w:tcPr>
            <w:tcW w:type="dxa" w:w="3000"/>
            <w:shd w:fill="FFFFFF" w:color="auto" w:val="clear"/>
            <w:tcMar>
              <w:top w:type="dxa" w:w="60"/>
              <w:left w:type="dxa" w:w="100"/>
              <w:bottom w:type="dxa" w:w="60"/>
              <w:right w:type="dxa" w:w="100"/>
            </w:tcMar>
          </w:tcPr>
          <w:p>
            <w:r>
              <w:rPr>
                <w:sz w:val="18"/>
                <w:szCs w:val="18"/>
              </w:rPr>
              <w:t xml:space="preserve">Une entrée de menu a disparu</w:t>
            </w:r>
          </w:p>
        </w:tc>
        <w:tc>
          <w:tcPr>
            <w:tcW w:type="dxa" w:w="6360"/>
            <w:shd w:fill="FFFFFF" w:color="auto" w:val="clear"/>
            <w:tcMar>
              <w:top w:type="dxa" w:w="60"/>
              <w:left w:type="dxa" w:w="100"/>
              <w:bottom w:type="dxa" w:w="60"/>
              <w:right w:type="dxa" w:w="100"/>
            </w:tcMar>
          </w:tcPr>
          <w:p>
            <w:r>
              <w:rPr>
                <w:sz w:val="18"/>
                <w:szCs w:val="18"/>
              </w:rPr>
              <w:t xml:space="preserve">Habilitation SidebarAccess de l'organe modifiée, ou doublon d'organe mal encodé. Vérifier /admin → SidebarAccess.</w:t>
            </w:r>
          </w:p>
        </w:tc>
      </w:tr>
      <w:tr>
        <w:tc>
          <w:tcPr>
            <w:tcW w:type="dxa" w:w="3000"/>
            <w:shd w:fill="F2F5F9" w:color="auto" w:val="clear"/>
            <w:tcMar>
              <w:top w:type="dxa" w:w="60"/>
              <w:left w:type="dxa" w:w="100"/>
              <w:bottom w:type="dxa" w:w="60"/>
              <w:right w:type="dxa" w:w="100"/>
            </w:tcMar>
          </w:tcPr>
          <w:p>
            <w:r>
              <w:rPr>
                <w:sz w:val="18"/>
                <w:szCs w:val="18"/>
              </w:rPr>
              <w:t xml:space="preserve">Les taux affichés semblent figés</w:t>
            </w:r>
          </w:p>
        </w:tc>
        <w:tc>
          <w:tcPr>
            <w:tcW w:type="dxa" w:w="6360"/>
            <w:shd w:fill="F2F5F9" w:color="auto" w:val="clear"/>
            <w:tcMar>
              <w:top w:type="dxa" w:w="60"/>
              <w:left w:type="dxa" w:w="100"/>
              <w:bottom w:type="dxa" w:w="60"/>
              <w:right w:type="dxa" w:w="100"/>
            </w:tcMar>
          </w:tcPr>
          <w:p>
            <w:r>
              <w:rPr>
                <w:sz w:val="18"/>
                <w:szCs w:val="18"/>
              </w:rPr>
              <w:t xml:space="preserve">Page servie depuis le cache. Vérifier que le batch matinal (compute_quality_rates) a bien tourné ; le cache s'invalide avec la nouvelle version des données.</w:t>
            </w:r>
          </w:p>
        </w:tc>
      </w:tr>
      <w:tr>
        <w:tc>
          <w:tcPr>
            <w:tcW w:type="dxa" w:w="3000"/>
            <w:shd w:fill="FFFFFF" w:color="auto" w:val="clear"/>
            <w:tcMar>
              <w:top w:type="dxa" w:w="60"/>
              <w:left w:type="dxa" w:w="100"/>
              <w:bottom w:type="dxa" w:w="60"/>
              <w:right w:type="dxa" w:w="100"/>
            </w:tcMar>
          </w:tcPr>
          <w:p>
            <w:r>
              <w:rPr>
                <w:sz w:val="18"/>
                <w:szCs w:val="18"/>
              </w:rPr>
              <w:t xml:space="preserve">Un utilisateur ne voit pas sa filiale</w:t>
            </w:r>
          </w:p>
        </w:tc>
        <w:tc>
          <w:tcPr>
            <w:tcW w:type="dxa" w:w="6360"/>
            <w:shd w:fill="FFFFFF" w:color="auto" w:val="clear"/>
            <w:tcMar>
              <w:top w:type="dxa" w:w="60"/>
              <w:left w:type="dxa" w:w="100"/>
              <w:bottom w:type="dxa" w:w="60"/>
              <w:right w:type="dxa" w:w="100"/>
            </w:tcMar>
          </w:tcPr>
          <w:p>
            <w:r>
              <w:rPr>
                <w:sz w:val="18"/>
                <w:szCs w:val="18"/>
              </w:rPr>
              <w:t xml:space="preserve">Rattachement (organe / filiale / agence / EXPL) incorrect sur le profil. Corriger via Paramétrage Utilisateurs.</w:t>
            </w:r>
          </w:p>
        </w:tc>
      </w:tr>
      <w:tr>
        <w:tc>
          <w:tcPr>
            <w:tcW w:type="dxa" w:w="3000"/>
            <w:shd w:fill="F2F5F9" w:color="auto" w:val="clear"/>
            <w:tcMar>
              <w:top w:type="dxa" w:w="60"/>
              <w:left w:type="dxa" w:w="100"/>
              <w:bottom w:type="dxa" w:w="60"/>
              <w:right w:type="dxa" w:w="100"/>
            </w:tcMar>
          </w:tcPr>
          <w:p>
            <w:r>
              <w:rPr>
                <w:sz w:val="18"/>
                <w:szCs w:val="18"/>
              </w:rPr>
              <w:t xml:space="preserve">Dates de révision incohérentes</w:t>
            </w:r>
          </w:p>
        </w:tc>
        <w:tc>
          <w:tcPr>
            <w:tcW w:type="dxa" w:w="6360"/>
            <w:shd w:fill="F2F5F9" w:color="auto" w:val="clear"/>
            <w:tcMar>
              <w:top w:type="dxa" w:w="60"/>
              <w:left w:type="dxa" w:w="100"/>
              <w:bottom w:type="dxa" w:w="60"/>
              <w:right w:type="dxa" w:w="100"/>
            </w:tcMar>
          </w:tcPr>
          <w:p>
            <w:r>
              <w:rPr>
                <w:sz w:val="18"/>
                <w:szCs w:val="18"/>
              </w:rPr>
              <w:t xml:space="preserve">DATEREV non normalisée au format ISO. Lancer normalize_daterev.</w:t>
            </w:r>
          </w:p>
        </w:tc>
      </w:tr>
      <w:tr>
        <w:tc>
          <w:tcPr>
            <w:tcW w:type="dxa" w:w="3000"/>
            <w:shd w:fill="FFFFFF" w:color="auto" w:val="clear"/>
            <w:tcMar>
              <w:top w:type="dxa" w:w="60"/>
              <w:left w:type="dxa" w:w="100"/>
              <w:bottom w:type="dxa" w:w="60"/>
              <w:right w:type="dxa" w:w="100"/>
            </w:tcMar>
          </w:tcPr>
          <w:p>
            <w:r>
              <w:rPr>
                <w:sz w:val="18"/>
                <w:szCs w:val="18"/>
              </w:rPr>
              <w:t xml:space="preserve">Rappels DATEREV non envoyés</w:t>
            </w:r>
          </w:p>
        </w:tc>
        <w:tc>
          <w:tcPr>
            <w:tcW w:type="dxa" w:w="6360"/>
            <w:shd w:fill="FFFFFF" w:color="auto" w:val="clear"/>
            <w:tcMar>
              <w:top w:type="dxa" w:w="60"/>
              <w:left w:type="dxa" w:w="100"/>
              <w:bottom w:type="dxa" w:w="60"/>
              <w:right w:type="dxa" w:w="100"/>
            </w:tcMar>
          </w:tcPr>
          <w:p>
            <w:r>
              <w:rPr>
                <w:sz w:val="18"/>
                <w:szCs w:val="18"/>
              </w:rPr>
              <w:t xml:space="preserve">Configuration SMTP. Utiliser le bouton « Test SMTP » de l'écran Rappels Scoring.</w:t>
            </w:r>
          </w:p>
        </w:tc>
      </w:tr>
      <w:tr>
        <w:tc>
          <w:tcPr>
            <w:tcW w:type="dxa" w:w="3000"/>
            <w:shd w:fill="F2F5F9" w:color="auto" w:val="clear"/>
            <w:tcMar>
              <w:top w:type="dxa" w:w="60"/>
              <w:left w:type="dxa" w:w="100"/>
              <w:bottom w:type="dxa" w:w="60"/>
              <w:right w:type="dxa" w:w="100"/>
            </w:tcMar>
          </w:tcPr>
          <w:p>
            <w:r>
              <w:rPr>
                <w:sz w:val="18"/>
                <w:szCs w:val="18"/>
              </w:rPr>
              <w:t xml:space="preserve">Le screening ne montre aucun document</w:t>
            </w:r>
          </w:p>
        </w:tc>
        <w:tc>
          <w:tcPr>
            <w:tcW w:type="dxa" w:w="6360"/>
            <w:shd w:fill="F2F5F9" w:color="auto" w:val="clear"/>
            <w:tcMar>
              <w:top w:type="dxa" w:w="60"/>
              <w:left w:type="dxa" w:w="100"/>
              <w:bottom w:type="dxa" w:w="60"/>
              <w:right w:type="dxa" w:w="100"/>
            </w:tcMar>
          </w:tcPr>
          <w:p>
            <w:r>
              <w:rPr>
                <w:sz w:val="18"/>
                <w:szCs w:val="18"/>
              </w:rPr>
              <w:t xml:space="preserve">Worker OCR arrêté, ou module non activé pour la filiale, ou habilitation KycScreeningAccess manquante.</w:t>
            </w:r>
          </w:p>
        </w:tc>
      </w:tr>
      <w:tr>
        <w:tc>
          <w:tcPr>
            <w:tcW w:type="dxa" w:w="3000"/>
            <w:shd w:fill="FFFFFF" w:color="auto" w:val="clear"/>
            <w:tcMar>
              <w:top w:type="dxa" w:w="60"/>
              <w:left w:type="dxa" w:w="100"/>
              <w:bottom w:type="dxa" w:w="60"/>
              <w:right w:type="dxa" w:w="100"/>
            </w:tcMar>
          </w:tcPr>
          <w:p>
            <w:r>
              <w:rPr>
                <w:sz w:val="18"/>
                <w:szCs w:val="18"/>
              </w:rPr>
              <w:t xml:space="preserve">Un libellé n'est pas traduit en anglais</w:t>
            </w:r>
          </w:p>
        </w:tc>
        <w:tc>
          <w:tcPr>
            <w:tcW w:type="dxa" w:w="6360"/>
            <w:shd w:fill="FFFFFF" w:color="auto" w:val="clear"/>
            <w:tcMar>
              <w:top w:type="dxa" w:w="60"/>
              <w:left w:type="dxa" w:w="100"/>
              <w:bottom w:type="dxa" w:w="60"/>
              <w:right w:type="dxa" w:w="100"/>
            </w:tcMar>
          </w:tcPr>
          <w:p>
            <w:r>
              <w:rPr>
                <w:sz w:val="18"/>
                <w:szCs w:val="18"/>
              </w:rPr>
              <w:t xml:space="preserve">Texte en clair dans un modèle, ou entrée de glossaire dont le libellé source ne correspond pas exactement.</w:t>
            </w:r>
          </w:p>
        </w:tc>
      </w:tr>
      <w:tr>
        <w:tc>
          <w:tcPr>
            <w:tcW w:type="dxa" w:w="3000"/>
            <w:shd w:fill="F2F5F9" w:color="auto" w:val="clear"/>
            <w:tcMar>
              <w:top w:type="dxa" w:w="60"/>
              <w:left w:type="dxa" w:w="100"/>
              <w:bottom w:type="dxa" w:w="60"/>
              <w:right w:type="dxa" w:w="100"/>
            </w:tcMar>
          </w:tcPr>
          <w:p>
            <w:r>
              <w:rPr>
                <w:sz w:val="18"/>
                <w:szCs w:val="18"/>
              </w:rPr>
              <w:t xml:space="preserve">Compte verrouillé après plusieurs échecs</w:t>
            </w:r>
          </w:p>
        </w:tc>
        <w:tc>
          <w:tcPr>
            <w:tcW w:type="dxa" w:w="6360"/>
            <w:shd w:fill="F2F5F9" w:color="auto" w:val="clear"/>
            <w:tcMar>
              <w:top w:type="dxa" w:w="60"/>
              <w:left w:type="dxa" w:w="100"/>
              <w:bottom w:type="dxa" w:w="60"/>
              <w:right w:type="dxa" w:w="100"/>
            </w:tcMar>
          </w:tcPr>
          <w:p>
            <w:r>
              <w:rPr>
                <w:sz w:val="18"/>
                <w:szCs w:val="18"/>
              </w:rPr>
              <w:t xml:space="preserve">Protection anti-force brute. Attendre l'expiration du délai ou réinitialiser via /admin.</w:t>
            </w:r>
          </w:p>
        </w:tc>
      </w:tr>
    </w:tbl>
    <w:p>
      <w:pPr>
        <w:pStyle w:val="Heading2"/>
        <w:spacing w:after="120" w:before="260"/>
      </w:pPr>
      <w:r>
        <w:rPr>
          <w:b/>
          <w:bCs/>
        </w:rPr>
        <w:t xml:space="preserve">10.4 Glossaire</w:t>
      </w:r>
    </w:p>
    <w:tbl>
      <w:tblPr>
        <w:tblW w:type="dxa" w:w="9360"/>
        <w:tblBorders>
          <w:top w:val="single" w:color="AAAAAA" w:sz="3"/>
          <w:left w:val="single" w:color="AAAAAA" w:sz="3"/>
          <w:bottom w:val="single" w:color="AAAAAA" w:sz="3"/>
          <w:right w:val="single" w:color="AAAAAA" w:sz="3"/>
          <w:insideH w:val="single" w:color="AAAAAA" w:sz="3"/>
          <w:insideV w:val="single" w:color="AAAAAA" w:sz="3"/>
        </w:tblBorders>
      </w:tblPr>
      <w:tblGrid>
        <w:gridCol w:w="2200"/>
        <w:gridCol w:w="7160"/>
      </w:tblGrid>
      <w:tr>
        <w:trPr>
          <w:tblHeader/>
        </w:trPr>
        <w:tc>
          <w:tcPr>
            <w:tcW w:type="dxa" w:w="2200"/>
            <w:shd w:fill="1F4E79" w:color="auto" w:val="clear"/>
            <w:tcMar>
              <w:top w:type="dxa" w:w="60"/>
              <w:left w:type="dxa" w:w="100"/>
              <w:bottom w:type="dxa" w:w="60"/>
              <w:right w:type="dxa" w:w="100"/>
            </w:tcMar>
          </w:tcPr>
          <w:p>
            <w:r>
              <w:rPr>
                <w:b/>
                <w:bCs/>
                <w:color w:val="FFFFFF"/>
                <w:sz w:val="18"/>
                <w:szCs w:val="18"/>
              </w:rPr>
              <w:t xml:space="preserve">Terme</w:t>
            </w:r>
          </w:p>
        </w:tc>
        <w:tc>
          <w:tcPr>
            <w:tcW w:type="dxa" w:w="7160"/>
            <w:shd w:fill="1F4E79" w:color="auto" w:val="clear"/>
            <w:tcMar>
              <w:top w:type="dxa" w:w="60"/>
              <w:left w:type="dxa" w:w="100"/>
              <w:bottom w:type="dxa" w:w="60"/>
              <w:right w:type="dxa" w:w="100"/>
            </w:tcMar>
          </w:tcPr>
          <w:p>
            <w:r>
              <w:rPr>
                <w:b/>
                <w:bCs/>
                <w:color w:val="FFFFFF"/>
                <w:sz w:val="18"/>
                <w:szCs w:val="18"/>
              </w:rPr>
              <w:t xml:space="preserve">Définition</w:t>
            </w:r>
          </w:p>
        </w:tc>
      </w:tr>
      <w:tr>
        <w:tc>
          <w:tcPr>
            <w:tcW w:type="dxa" w:w="2200"/>
            <w:shd w:fill="FFFFFF" w:color="auto" w:val="clear"/>
            <w:tcMar>
              <w:top w:type="dxa" w:w="60"/>
              <w:left w:type="dxa" w:w="100"/>
              <w:bottom w:type="dxa" w:w="60"/>
              <w:right w:type="dxa" w:w="100"/>
            </w:tcMar>
          </w:tcPr>
          <w:p>
            <w:r>
              <w:rPr>
                <w:sz w:val="18"/>
                <w:szCs w:val="18"/>
              </w:rPr>
              <w:t xml:space="preserve">KYC</w:t>
            </w:r>
          </w:p>
        </w:tc>
        <w:tc>
          <w:tcPr>
            <w:tcW w:type="dxa" w:w="7160"/>
            <w:shd w:fill="FFFFFF" w:color="auto" w:val="clear"/>
            <w:tcMar>
              <w:top w:type="dxa" w:w="60"/>
              <w:left w:type="dxa" w:w="100"/>
              <w:bottom w:type="dxa" w:w="60"/>
              <w:right w:type="dxa" w:w="100"/>
            </w:tcMar>
          </w:tcPr>
          <w:p>
            <w:r>
              <w:rPr>
                <w:sz w:val="18"/>
                <w:szCs w:val="18"/>
              </w:rPr>
              <w:t xml:space="preserve">Know Your Customer — ensemble des données de connaissance client.</w:t>
            </w:r>
          </w:p>
        </w:tc>
      </w:tr>
      <w:tr>
        <w:tc>
          <w:tcPr>
            <w:tcW w:type="dxa" w:w="2200"/>
            <w:shd w:fill="F2F5F9" w:color="auto" w:val="clear"/>
            <w:tcMar>
              <w:top w:type="dxa" w:w="60"/>
              <w:left w:type="dxa" w:w="100"/>
              <w:bottom w:type="dxa" w:w="60"/>
              <w:right w:type="dxa" w:w="100"/>
            </w:tcMar>
          </w:tcPr>
          <w:p>
            <w:r>
              <w:rPr>
                <w:sz w:val="18"/>
                <w:szCs w:val="18"/>
              </w:rPr>
              <w:t xml:space="preserve">PP / PM</w:t>
            </w:r>
          </w:p>
        </w:tc>
        <w:tc>
          <w:tcPr>
            <w:tcW w:type="dxa" w:w="7160"/>
            <w:shd w:fill="F2F5F9" w:color="auto" w:val="clear"/>
            <w:tcMar>
              <w:top w:type="dxa" w:w="60"/>
              <w:left w:type="dxa" w:w="100"/>
              <w:bottom w:type="dxa" w:w="60"/>
              <w:right w:type="dxa" w:w="100"/>
            </w:tcMar>
          </w:tcPr>
          <w:p>
            <w:r>
              <w:rPr>
                <w:sz w:val="18"/>
                <w:szCs w:val="18"/>
              </w:rPr>
              <w:t xml:space="preserve">Personne physique (particulier) / Personne morale.</w:t>
            </w:r>
          </w:p>
        </w:tc>
      </w:tr>
      <w:tr>
        <w:tc>
          <w:tcPr>
            <w:tcW w:type="dxa" w:w="2200"/>
            <w:shd w:fill="FFFFFF" w:color="auto" w:val="clear"/>
            <w:tcMar>
              <w:top w:type="dxa" w:w="60"/>
              <w:left w:type="dxa" w:w="100"/>
              <w:bottom w:type="dxa" w:w="60"/>
              <w:right w:type="dxa" w:w="100"/>
            </w:tcMar>
          </w:tcPr>
          <w:p>
            <w:r>
              <w:rPr>
                <w:sz w:val="18"/>
                <w:szCs w:val="18"/>
              </w:rPr>
              <w:t xml:space="preserve">Stock / Flux</w:t>
            </w:r>
          </w:p>
        </w:tc>
        <w:tc>
          <w:tcPr>
            <w:tcW w:type="dxa" w:w="7160"/>
            <w:shd w:fill="FFFFFF" w:color="auto" w:val="clear"/>
            <w:tcMar>
              <w:top w:type="dxa" w:w="60"/>
              <w:left w:type="dxa" w:w="100"/>
              <w:bottom w:type="dxa" w:w="60"/>
              <w:right w:type="dxa" w:w="100"/>
            </w:tcMar>
          </w:tcPr>
          <w:p>
            <w:r>
              <w:rPr>
                <w:sz w:val="18"/>
                <w:szCs w:val="18"/>
              </w:rPr>
              <w:t xml:space="preserve">Vue sur l'ensemble du portefeuille (stock) ou sur les entrées récentes / mouvements (flux).</w:t>
            </w:r>
          </w:p>
        </w:tc>
      </w:tr>
      <w:tr>
        <w:tc>
          <w:tcPr>
            <w:tcW w:type="dxa" w:w="2200"/>
            <w:shd w:fill="F2F5F9" w:color="auto" w:val="clear"/>
            <w:tcMar>
              <w:top w:type="dxa" w:w="60"/>
              <w:left w:type="dxa" w:w="100"/>
              <w:bottom w:type="dxa" w:w="60"/>
              <w:right w:type="dxa" w:w="100"/>
            </w:tcMar>
          </w:tcPr>
          <w:p>
            <w:r>
              <w:rPr>
                <w:sz w:val="18"/>
                <w:szCs w:val="18"/>
              </w:rPr>
              <w:t xml:space="preserve">Périmètre (scope)</w:t>
            </w:r>
          </w:p>
        </w:tc>
        <w:tc>
          <w:tcPr>
            <w:tcW w:type="dxa" w:w="7160"/>
            <w:shd w:fill="F2F5F9" w:color="auto" w:val="clear"/>
            <w:tcMar>
              <w:top w:type="dxa" w:w="60"/>
              <w:left w:type="dxa" w:w="100"/>
              <w:bottom w:type="dxa" w:w="60"/>
              <w:right w:type="dxa" w:w="100"/>
            </w:tcMar>
          </w:tcPr>
          <w:p>
            <w:r>
              <w:rPr>
                <w:sz w:val="18"/>
                <w:szCs w:val="18"/>
              </w:rPr>
              <w:t xml:space="preserve">Ensemble des données visibles par un utilisateur, dérivé de son organe : groupe, filiale, agence ou chargé de client.</w:t>
            </w:r>
          </w:p>
        </w:tc>
      </w:tr>
      <w:tr>
        <w:tc>
          <w:tcPr>
            <w:tcW w:type="dxa" w:w="2200"/>
            <w:shd w:fill="FFFFFF" w:color="auto" w:val="clear"/>
            <w:tcMar>
              <w:top w:type="dxa" w:w="60"/>
              <w:left w:type="dxa" w:w="100"/>
              <w:bottom w:type="dxa" w:w="60"/>
              <w:right w:type="dxa" w:w="100"/>
            </w:tcMar>
          </w:tcPr>
          <w:p>
            <w:r>
              <w:rPr>
                <w:sz w:val="18"/>
                <w:szCs w:val="18"/>
              </w:rPr>
              <w:t xml:space="preserve">Organe</w:t>
            </w:r>
          </w:p>
        </w:tc>
        <w:tc>
          <w:tcPr>
            <w:tcW w:type="dxa" w:w="7160"/>
            <w:shd w:fill="FFFFFF" w:color="auto" w:val="clear"/>
            <w:tcMar>
              <w:top w:type="dxa" w:w="60"/>
              <w:left w:type="dxa" w:w="100"/>
              <w:bottom w:type="dxa" w:w="60"/>
              <w:right w:type="dxa" w:w="100"/>
            </w:tcMar>
          </w:tcPr>
          <w:p>
            <w:r>
              <w:rPr>
                <w:sz w:val="18"/>
                <w:szCs w:val="18"/>
              </w:rPr>
              <w:t xml:space="preserve">Rattachement fonctionnel du compte, qui détermine le rôle et les habilitations.</w:t>
            </w:r>
          </w:p>
        </w:tc>
      </w:tr>
      <w:tr>
        <w:tc>
          <w:tcPr>
            <w:tcW w:type="dxa" w:w="2200"/>
            <w:shd w:fill="F2F5F9" w:color="auto" w:val="clear"/>
            <w:tcMar>
              <w:top w:type="dxa" w:w="60"/>
              <w:left w:type="dxa" w:w="100"/>
              <w:bottom w:type="dxa" w:w="60"/>
              <w:right w:type="dxa" w:w="100"/>
            </w:tcMar>
          </w:tcPr>
          <w:p>
            <w:r>
              <w:rPr>
                <w:sz w:val="18"/>
                <w:szCs w:val="18"/>
              </w:rPr>
              <w:t xml:space="preserve">EXPL</w:t>
            </w:r>
          </w:p>
        </w:tc>
        <w:tc>
          <w:tcPr>
            <w:tcW w:type="dxa" w:w="7160"/>
            <w:shd w:fill="F2F5F9" w:color="auto" w:val="clear"/>
            <w:tcMar>
              <w:top w:type="dxa" w:w="60"/>
              <w:left w:type="dxa" w:w="100"/>
              <w:bottom w:type="dxa" w:w="60"/>
              <w:right w:type="dxa" w:w="100"/>
            </w:tcMar>
          </w:tcPr>
          <w:p>
            <w:r>
              <w:rPr>
                <w:sz w:val="18"/>
                <w:szCs w:val="18"/>
              </w:rPr>
              <w:t xml:space="preserve">Code exploitant — identifiant du portefeuille d'un chargé de client.</w:t>
            </w:r>
          </w:p>
        </w:tc>
      </w:tr>
      <w:tr>
        <w:tc>
          <w:tcPr>
            <w:tcW w:type="dxa" w:w="2200"/>
            <w:shd w:fill="FFFFFF" w:color="auto" w:val="clear"/>
            <w:tcMar>
              <w:top w:type="dxa" w:w="60"/>
              <w:left w:type="dxa" w:w="100"/>
              <w:bottom w:type="dxa" w:w="60"/>
              <w:right w:type="dxa" w:w="100"/>
            </w:tcMar>
          </w:tcPr>
          <w:p>
            <w:r>
              <w:rPr>
                <w:sz w:val="18"/>
                <w:szCs w:val="18"/>
              </w:rPr>
              <w:t xml:space="preserve">DATEREV</w:t>
            </w:r>
          </w:p>
        </w:tc>
        <w:tc>
          <w:tcPr>
            <w:tcW w:type="dxa" w:w="7160"/>
            <w:shd w:fill="FFFFFF" w:color="auto" w:val="clear"/>
            <w:tcMar>
              <w:top w:type="dxa" w:w="60"/>
              <w:left w:type="dxa" w:w="100"/>
              <w:bottom w:type="dxa" w:w="60"/>
              <w:right w:type="dxa" w:w="100"/>
            </w:tcMar>
          </w:tcPr>
          <w:p>
            <w:r>
              <w:rPr>
                <w:sz w:val="18"/>
                <w:szCs w:val="18"/>
              </w:rPr>
              <w:t xml:space="preserve">Date de révision KYC prévue d'un client.</w:t>
            </w:r>
          </w:p>
        </w:tc>
      </w:tr>
      <w:tr>
        <w:tc>
          <w:tcPr>
            <w:tcW w:type="dxa" w:w="2200"/>
            <w:shd w:fill="F2F5F9" w:color="auto" w:val="clear"/>
            <w:tcMar>
              <w:top w:type="dxa" w:w="60"/>
              <w:left w:type="dxa" w:w="100"/>
              <w:bottom w:type="dxa" w:w="60"/>
              <w:right w:type="dxa" w:w="100"/>
            </w:tcMar>
          </w:tcPr>
          <w:p>
            <w:r>
              <w:rPr>
                <w:sz w:val="18"/>
                <w:szCs w:val="18"/>
              </w:rPr>
              <w:t xml:space="preserve">DATOUV</w:t>
            </w:r>
          </w:p>
        </w:tc>
        <w:tc>
          <w:tcPr>
            <w:tcW w:type="dxa" w:w="7160"/>
            <w:shd w:fill="F2F5F9" w:color="auto" w:val="clear"/>
            <w:tcMar>
              <w:top w:type="dxa" w:w="60"/>
              <w:left w:type="dxa" w:w="100"/>
              <w:bottom w:type="dxa" w:w="60"/>
              <w:right w:type="dxa" w:w="100"/>
            </w:tcMar>
          </w:tcPr>
          <w:p>
            <w:r>
              <w:rPr>
                <w:sz w:val="18"/>
                <w:szCs w:val="18"/>
              </w:rPr>
              <w:t xml:space="preserve">Date d'ouverture du compte.</w:t>
            </w:r>
          </w:p>
        </w:tc>
      </w:tr>
      <w:tr>
        <w:tc>
          <w:tcPr>
            <w:tcW w:type="dxa" w:w="2200"/>
            <w:shd w:fill="FFFFFF" w:color="auto" w:val="clear"/>
            <w:tcMar>
              <w:top w:type="dxa" w:w="60"/>
              <w:left w:type="dxa" w:w="100"/>
              <w:bottom w:type="dxa" w:w="60"/>
              <w:right w:type="dxa" w:w="100"/>
            </w:tcMar>
          </w:tcPr>
          <w:p>
            <w:r>
              <w:rPr>
                <w:sz w:val="18"/>
                <w:szCs w:val="18"/>
              </w:rPr>
              <w:t xml:space="preserve">PPE</w:t>
            </w:r>
          </w:p>
        </w:tc>
        <w:tc>
          <w:tcPr>
            <w:tcW w:type="dxa" w:w="7160"/>
            <w:shd w:fill="FFFFFF" w:color="auto" w:val="clear"/>
            <w:tcMar>
              <w:top w:type="dxa" w:w="60"/>
              <w:left w:type="dxa" w:w="100"/>
              <w:bottom w:type="dxa" w:w="60"/>
              <w:right w:type="dxa" w:w="100"/>
            </w:tcMar>
          </w:tcPr>
          <w:p>
            <w:r>
              <w:rPr>
                <w:sz w:val="18"/>
                <w:szCs w:val="18"/>
              </w:rPr>
              <w:t xml:space="preserve">Personne politiquement exposée.</w:t>
            </w:r>
          </w:p>
        </w:tc>
      </w:tr>
      <w:tr>
        <w:tc>
          <w:tcPr>
            <w:tcW w:type="dxa" w:w="2200"/>
            <w:shd w:fill="F2F5F9" w:color="auto" w:val="clear"/>
            <w:tcMar>
              <w:top w:type="dxa" w:w="60"/>
              <w:left w:type="dxa" w:w="100"/>
              <w:bottom w:type="dxa" w:w="60"/>
              <w:right w:type="dxa" w:w="100"/>
            </w:tcMar>
          </w:tcPr>
          <w:p>
            <w:r>
              <w:rPr>
                <w:sz w:val="18"/>
                <w:szCs w:val="18"/>
              </w:rPr>
              <w:t xml:space="preserve">Scoring</w:t>
            </w:r>
          </w:p>
        </w:tc>
        <w:tc>
          <w:tcPr>
            <w:tcW w:type="dxa" w:w="7160"/>
            <w:shd w:fill="F2F5F9" w:color="auto" w:val="clear"/>
            <w:tcMar>
              <w:top w:type="dxa" w:w="60"/>
              <w:left w:type="dxa" w:w="100"/>
              <w:bottom w:type="dxa" w:w="60"/>
              <w:right w:type="dxa" w:w="100"/>
            </w:tcMar>
          </w:tcPr>
          <w:p>
            <w:r>
              <w:rPr>
                <w:sz w:val="18"/>
                <w:szCs w:val="18"/>
              </w:rPr>
              <w:t xml:space="preserve">Classement du niveau de risque d'un client.</w:t>
            </w:r>
          </w:p>
        </w:tc>
      </w:tr>
      <w:tr>
        <w:tc>
          <w:tcPr>
            <w:tcW w:type="dxa" w:w="2200"/>
            <w:shd w:fill="FFFFFF" w:color="auto" w:val="clear"/>
            <w:tcMar>
              <w:top w:type="dxa" w:w="60"/>
              <w:left w:type="dxa" w:w="100"/>
              <w:bottom w:type="dxa" w:w="60"/>
              <w:right w:type="dxa" w:w="100"/>
            </w:tcMar>
          </w:tcPr>
          <w:p>
            <w:r>
              <w:rPr>
                <w:sz w:val="18"/>
                <w:szCs w:val="18"/>
              </w:rPr>
              <w:t xml:space="preserve">Appréciation globale</w:t>
            </w:r>
          </w:p>
        </w:tc>
        <w:tc>
          <w:tcPr>
            <w:tcW w:type="dxa" w:w="7160"/>
            <w:shd w:fill="FFFFFF" w:color="auto" w:val="clear"/>
            <w:tcMar>
              <w:top w:type="dxa" w:w="60"/>
              <w:left w:type="dxa" w:w="100"/>
              <w:bottom w:type="dxa" w:w="60"/>
              <w:right w:type="dxa" w:w="100"/>
            </w:tcMar>
          </w:tcPr>
          <w:p>
            <w:r>
              <w:rPr>
                <w:sz w:val="18"/>
                <w:szCs w:val="18"/>
              </w:rPr>
              <w:t xml:space="preserve">Synthèse trimestrielle de la qualité (Bon / Moyen / Faible).</w:t>
            </w:r>
          </w:p>
        </w:tc>
      </w:tr>
      <w:tr>
        <w:tc>
          <w:tcPr>
            <w:tcW w:type="dxa" w:w="2200"/>
            <w:shd w:fill="F2F5F9" w:color="auto" w:val="clear"/>
            <w:tcMar>
              <w:top w:type="dxa" w:w="60"/>
              <w:left w:type="dxa" w:w="100"/>
              <w:bottom w:type="dxa" w:w="60"/>
              <w:right w:type="dxa" w:w="100"/>
            </w:tcMar>
          </w:tcPr>
          <w:p>
            <w:r>
              <w:rPr>
                <w:sz w:val="18"/>
                <w:szCs w:val="18"/>
              </w:rPr>
              <w:t xml:space="preserve">Screening KYC ID</w:t>
            </w:r>
          </w:p>
        </w:tc>
        <w:tc>
          <w:tcPr>
            <w:tcW w:type="dxa" w:w="7160"/>
            <w:shd w:fill="F2F5F9" w:color="auto" w:val="clear"/>
            <w:tcMar>
              <w:top w:type="dxa" w:w="60"/>
              <w:left w:type="dxa" w:w="100"/>
              <w:bottom w:type="dxa" w:w="60"/>
              <w:right w:type="dxa" w:w="100"/>
            </w:tcMar>
          </w:tcPr>
          <w:p>
            <w:r>
              <w:rPr>
                <w:sz w:val="18"/>
                <w:szCs w:val="18"/>
              </w:rPr>
              <w:t xml:space="preserve">Extraction OCR d'une pièce d'identité puis rapprochement automatique avec la fiche client.</w:t>
            </w:r>
          </w:p>
        </w:tc>
      </w:tr>
      <w:tr>
        <w:tc>
          <w:tcPr>
            <w:tcW w:type="dxa" w:w="2200"/>
            <w:shd w:fill="FFFFFF" w:color="auto" w:val="clear"/>
            <w:tcMar>
              <w:top w:type="dxa" w:w="60"/>
              <w:left w:type="dxa" w:w="100"/>
              <w:bottom w:type="dxa" w:w="60"/>
              <w:right w:type="dxa" w:w="100"/>
            </w:tcMar>
          </w:tcPr>
          <w:p>
            <w:r>
              <w:rPr>
                <w:sz w:val="18"/>
                <w:szCs w:val="18"/>
              </w:rPr>
              <w:t xml:space="preserve">Règle de qualité</w:t>
            </w:r>
          </w:p>
        </w:tc>
        <w:tc>
          <w:tcPr>
            <w:tcW w:type="dxa" w:w="7160"/>
            <w:shd w:fill="FFFFFF" w:color="auto" w:val="clear"/>
            <w:tcMar>
              <w:top w:type="dxa" w:w="60"/>
              <w:left w:type="dxa" w:w="100"/>
              <w:bottom w:type="dxa" w:w="60"/>
              <w:right w:type="dxa" w:w="100"/>
            </w:tcMar>
          </w:tcPr>
          <w:p>
            <w:r>
              <w:rPr>
                <w:sz w:val="18"/>
                <w:szCs w:val="18"/>
              </w:rPr>
              <w:t xml:space="preserve">Contrôle paramétrable (conditions ET / OU) produisant un taux de conformité et une liste d'échecs.</w:t>
            </w:r>
          </w:p>
        </w:tc>
      </w:tr>
    </w:tbl>
    <w:p>
      <w:pPr>
        <w:spacing w:after="80"/>
      </w:pPr>
    </w:p>
    <w:p>
      <w:pPr>
        <w:spacing w:before="200"/>
      </w:pPr>
      <w:r>
        <w:rPr>
          <w:i/>
          <w:iCs/>
          <w:color w:val="555555"/>
        </w:rPr>
        <w:t xml:space="preserve">Fin du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6"/>
        <w:szCs w:val="16"/>
      </w:rPr>
      <w:t xml:space="preserve">Interne — confidentiel   |   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88888"/>
        <w:sz w:val="16"/>
        <w:szCs w:val="16"/>
      </w:rPr>
      <w:t xml:space="preserve">Guide fonctionnel — Plateforme KYC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2"/>
      <w:szCs w:val="32"/>
    </w:rPr>
  </w:style>
  <w:style w:type="paragraph" w:styleId="Heading2">
    <w:name w:val="Heading 2"/>
    <w:basedOn w:val="Normal"/>
    <w:next w:val="Normal"/>
    <w:qFormat/>
    <w:pPr>
      <w:spacing w:after="120" w:before="260"/>
      <w:outlineLvl w:val="1"/>
    </w:pPr>
    <w:rPr>
      <w:b/>
      <w:bCs/>
      <w:color w:val="2E74B5"/>
      <w:sz w:val="26"/>
      <w:szCs w:val="26"/>
    </w:rPr>
  </w:style>
  <w:style w:type="paragraph" w:styleId="Heading3">
    <w:name w:val="Heading 3"/>
    <w:basedOn w:val="Normal"/>
    <w:next w:val="Normal"/>
    <w:qFormat/>
    <w:pPr>
      <w:spacing w:after="100" w:before="200"/>
      <w:outlineLvl w:val="2"/>
    </w:pPr>
    <w:rPr>
      <w:b/>
      <w:bCs/>
      <w:color w:val="3B3B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fonctionnel — Plateforme KYC</dc:title>
  <dc:creator>Plateforme KYC</dc:creator>
  <dc:description>Guide fonctionnel complet (utilisateur et administration) de la plateforme KYC Portal v3.0</dc:description>
  <cp:lastModifiedBy>Un-named</cp:lastModifiedBy>
  <cp:revision>1</cp:revision>
  <dcterms:created xsi:type="dcterms:W3CDTF">2026-09-04T09:15:47.725Z</dcterms:created>
  <dcterms:modified xsi:type="dcterms:W3CDTF">2026-09-04T09:15:47.729Z</dcterms:modified>
</cp:coreProperties>
</file>

<file path=docProps/custom.xml><?xml version="1.0" encoding="utf-8"?>
<Properties xmlns="http://schemas.openxmlformats.org/officeDocument/2006/custom-properties" xmlns:vt="http://schemas.openxmlformats.org/officeDocument/2006/docPropsVTypes"/>
</file>