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F3864"/>
          <w:sz w:val="40"/>
          <w:szCs w:val="40"/>
        </w:rPr>
        <w:t xml:space="preserve">GESTÃO DE VULNERABILIDADES ORIENTADA A RISCO</w:t>
      </w:r>
    </w:p>
    <w:p>
      <w:pPr>
        <w:spacing w:after="100" w:before="200"/>
        <w:jc w:val="center"/>
      </w:pPr>
      <w:r>
        <w:rPr>
          <w:color w:val="2E74B5"/>
          <w:sz w:val="28"/>
          <w:szCs w:val="28"/>
        </w:rPr>
        <w:t xml:space="preserve">Automação Agêntica do Ciclo de Priorização, Mitigação e Remediação</w:t>
      </w:r>
    </w:p>
    <w:p>
      <w:pPr>
        <w:spacing w:after="800" w:before="100"/>
        <w:jc w:val="center"/>
      </w:pPr>
      <w:r>
        <w:rPr>
          <w:i/>
          <w:iCs/>
          <w:sz w:val="24"/>
          <w:szCs w:val="24"/>
        </w:rPr>
        <w:t xml:space="preserve">Documento de Projeto — Justificativa Técnica, Arquitetura e Retorno sobre o Esforço</w:t>
      </w:r>
    </w:p>
    <w:p>
      <w:pPr>
        <w:spacing w:before="1600"/>
        <w:jc w:val="center"/>
      </w:pPr>
      <w:r>
        <w:rPr>
          <w:color w:val="595959"/>
          <w:sz w:val="20"/>
          <w:szCs w:val="20"/>
        </w:rPr>
        <w:t xml:space="preserve">Stack de referência: Veracode (SAST/SCA) · GitHub Enterprise · Orca Security (Cloud/CSPM/CNAPP) · Tenable (On-Premises/ASM)</w:t>
      </w:r>
    </w:p>
    <w:p>
      <w:pPr>
        <w:spacing w:before="400"/>
        <w:jc w:val="center"/>
      </w:pPr>
      <w:r>
        <w:rPr>
          <w:color w:val="595959"/>
          <w:sz w:val="20"/>
          <w:szCs w:val="20"/>
        </w:rPr>
        <w:t xml:space="preserve">Julho de 2026</w:t>
      </w:r>
    </w:p>
    <w:p>
      <w:r>
        <w:br w:type="page"/>
      </w:r>
    </w:p>
    <w:p>
      <w:pPr>
        <w:pStyle w:val="Heading1"/>
        <w:spacing w:after="200" w:before="400"/>
      </w:pPr>
      <w:r>
        <w:t xml:space="preserve">1. Sumário Executivo</w:t>
      </w:r>
    </w:p>
    <w:p>
      <w:pPr>
        <w:spacing w:after="160" w:line="276"/>
      </w:pPr>
      <w:r>
        <w:t xml:space="preserve">O volume de vulnerabilidades divulgadas por fornecedores cresceu de forma abrupta em 2026 — o Patch Tuesday de julho da Microsoft corrigiu 570 falhas, quase o triplo do mês anterior — impulsionado pela adoção de descoberta de vulnerabilidades por IA agêntica em massa (MDASH, da Microsoft; Project Glasswing/Mythos, da Anthropic). Em resposta, a CISA publicou a BOD 26-04, que abandona o CVSS como critério único de priorização e adota um modelo de quatro variáveis de risco (SSVC), com janelas de remediação que vão de 3 a 60 dias conforme a combinação de exposição, exploração confirmada, automação do ataque e impacto técnico.</w:t>
      </w:r>
    </w:p>
    <w:p>
      <w:pPr>
        <w:spacing w:after="160" w:line="276"/>
      </w:pPr>
      <w:r>
        <w:t xml:space="preserve">Este documento propõe a evolução do modelo de gestão de vulnerabilidades da Cielo — hoje baseado em contexto de negócio, exposição, exploitability e criticidade — para um modelo formal de decisão (SSVC adaptado), operacionalizado por meio de automação agêntica sobre a stack já existente (Veracode, GitHub Enterprise, Orca Security e Tenable). O objetivo central não é adicionar critérios de análise ao trabalho manual do time, e sim automatizar a classificação determinística de risco, preservando a capacidade humana para os casos ambíguos, a mitigação estratégica e a governança.</w:t>
      </w:r>
    </w:p>
    <w:p>
      <w:pPr>
        <w:spacing w:after="160" w:line="276"/>
      </w:pPr>
      <w:r>
        <w:rPr>
          <w:b/>
          <w:bCs/>
        </w:rPr>
        <w:t xml:space="preserve">Este documento cobre:</w:t>
      </w:r>
    </w:p>
    <w:p>
      <w:pPr>
        <w:pStyle w:val="ListParagraph"/>
        <w:numPr>
          <w:ilvl w:val="0"/>
          <w:numId w:val="2"/>
        </w:numPr>
        <w:spacing w:after="90"/>
      </w:pPr>
      <w:r>
        <w:t xml:space="preserve">Diagnóstico do modelo atual e lacunas frente ao cenário de ameaças acelerado por IA;</w:t>
      </w:r>
    </w:p>
    <w:p>
      <w:pPr>
        <w:pStyle w:val="ListParagraph"/>
        <w:numPr>
          <w:ilvl w:val="0"/>
          <w:numId w:val="2"/>
        </w:numPr>
        <w:spacing w:after="90"/>
      </w:pPr>
      <w:r>
        <w:t xml:space="preserve">Modelo de decisão proposto, com árvore de decisão automatizável e matriz de SLA;</w:t>
      </w:r>
    </w:p>
    <w:p>
      <w:pPr>
        <w:pStyle w:val="ListParagraph"/>
        <w:numPr>
          <w:ilvl w:val="0"/>
          <w:numId w:val="2"/>
        </w:numPr>
        <w:spacing w:after="90"/>
      </w:pPr>
      <w:r>
        <w:t xml:space="preserve">Arquitetura de automação e lista completa de agentes/integrações a criar ou adaptar, mapeados à stack Veracode / GitHub / Orca / Tenable;</w:t>
      </w:r>
    </w:p>
    <w:p>
      <w:pPr>
        <w:pStyle w:val="ListParagraph"/>
        <w:numPr>
          <w:ilvl w:val="0"/>
          <w:numId w:val="2"/>
        </w:numPr>
        <w:spacing w:after="90"/>
      </w:pPr>
      <w:r>
        <w:t xml:space="preserve">Estimativa de esforço, redução de trabalho manual e retorno esperado (framework de ROI, com inputs a calibrar com dados reais da operação);</w:t>
      </w:r>
    </w:p>
    <w:p>
      <w:pPr>
        <w:pStyle w:val="ListParagraph"/>
        <w:numPr>
          <w:ilvl w:val="0"/>
          <w:numId w:val="2"/>
        </w:numPr>
        <w:spacing w:after="90"/>
      </w:pPr>
      <w:r>
        <w:t xml:space="preserve">Roadmap de implementação faseado e riscos da própria mudança.</w:t>
      </w:r>
    </w:p>
    <w:p>
      <w:pPr>
        <w:pStyle w:val="Heading2"/>
        <w:spacing w:after="150" w:before="300"/>
      </w:pPr>
      <w:r>
        <w:t xml:space="preserve">1.1 Proposta de valor em uma frase</w:t>
      </w:r>
    </w:p>
    <w:p>
      <w:pPr>
        <w:spacing w:after="160" w:line="276"/>
      </w:pPr>
      <w:r>
        <w:rPr>
          <w:b/>
          <w:bCs/>
        </w:rPr>
        <w:t xml:space="preserve">Transformar de 70% a 90% do volume mensal de achados em decisões automáticas e auditáveis (Track/Track*/Attend/Act), reduzindo o tempo de triagem humana por item em ordem de grandeza, e reservando o time de especialistas para os poucos itens de alto risco real e para decisões de mitigação estratégica — com trilha de evidência nativa para PCI DSS 4.0 e normativos do BACEN.</w:t>
      </w:r>
    </w:p>
    <w:p>
      <w:r>
        <w:br w:type="page"/>
      </w:r>
    </w:p>
    <w:p>
      <w:pPr>
        <w:pStyle w:val="Heading1"/>
        <w:spacing w:after="200" w:before="400"/>
      </w:pPr>
      <w:r>
        <w:t xml:space="preserve">2. Contexto e Motivação</w:t>
      </w:r>
    </w:p>
    <w:p>
      <w:pPr>
        <w:pStyle w:val="Heading2"/>
        <w:spacing w:after="150" w:before="300"/>
      </w:pPr>
      <w:r>
        <w:t xml:space="preserve">2.1 O cenário: descoberta de vulnerabilidades em escala de IA</w:t>
      </w:r>
    </w:p>
    <w:p>
      <w:pPr>
        <w:spacing w:after="160" w:line="276"/>
      </w:pPr>
      <w:r>
        <w:t xml:space="preserve">Dois movimentos paralelos definem o cenário atual. Do lado defensivo, sistemas como o MDASH (Multi-Model Agentic Scanning Harness) da Microsoft orquestram mais de 100 agentes especializados sobre um conjunto de modelos de fronteira e modelos destilados para varrer código, debater exploitabilidade entre agentes e construir provas de conceito antes de qualquer achado chegar a um analista humano. Do lado da pesquisa ofensiva, o Project Glasswing da Anthropic, operando o Mythos Preview sob acesso restrito, identificou mais de 6.000 vulnerabilidades de severidade alta e crítica em projetos open-source apenas no primeiro mês de operação.</w:t>
      </w:r>
    </w:p>
    <w:p>
      <w:pPr>
        <w:spacing w:after="160" w:line="276"/>
      </w:pPr>
      <w:r>
        <w:t xml:space="preserve">O dado mais relevante para a gestão de risco não é o volume em si, mas a fragilidade dos rótulos estáticos de exploitability: o red team da própria Anthropic reportou que o Mythos Preview gerou provas de conceito funcionais para 13 de 14 vulnerabilidades classificadas como "exploração improvável". Um rótulo de exploitability atribuído no momento da divulgação está, na prática, obsoleto em semanas. Modelos de priorização que tratam esse rótulo como fixo — inclusive o modelo atual da Cielo, se a variável de exploitability não for reavaliada continuamente — carregam esse risco de forma silenciosa.</w:t>
      </w:r>
    </w:p>
    <w:p>
      <w:pPr>
        <w:pStyle w:val="Heading2"/>
        <w:spacing w:after="150" w:before="300"/>
      </w:pPr>
      <w:r>
        <w:t xml:space="preserve">2.2 A resposta regulatória: CISA BOD 26-04</w:t>
      </w:r>
    </w:p>
    <w:p>
      <w:pPr>
        <w:spacing w:after="160" w:line="276"/>
      </w:pPr>
      <w:r>
        <w:t xml:space="preserve">Em 10 de junho de 2026, a CISA publicou a Binding Operational Directive 26-04 ("Prioritizing Security Updates Based on Risk"), revogando as diretivas anteriores (BOD 19-02 e BOD 22-01) e eliminando a exigência de uso do CVSS como critério de priorização. Em seu lugar, adota um modelo de quatro variáveis baseado no SSVC (Stakeholder-Specific Vulnerability Categorization, metodologia do CERT/CC da Carnegie Mellon em conjunto com a CISA):</w:t>
      </w:r>
    </w:p>
    <w:p>
      <w:pPr>
        <w:pStyle w:val="ListParagraph"/>
        <w:numPr>
          <w:ilvl w:val="0"/>
          <w:numId w:val="2"/>
        </w:numPr>
        <w:spacing w:after="90"/>
      </w:pPr>
      <w:r>
        <w:t xml:space="preserve">Exposição do ativo — o ativo vulnerável é publicamente acessível?</w:t>
      </w:r>
    </w:p>
    <w:p>
      <w:pPr>
        <w:pStyle w:val="ListParagraph"/>
        <w:numPr>
          <w:ilvl w:val="0"/>
          <w:numId w:val="2"/>
        </w:numPr>
        <w:spacing w:after="90"/>
      </w:pPr>
      <w:r>
        <w:t xml:space="preserve">Status KEV — o CVE está no catálogo de vulnerabilidades conhecidas exploradas da CISA?</w:t>
      </w:r>
    </w:p>
    <w:p>
      <w:pPr>
        <w:pStyle w:val="ListParagraph"/>
        <w:numPr>
          <w:ilvl w:val="0"/>
          <w:numId w:val="2"/>
        </w:numPr>
        <w:spacing w:after="90"/>
      </w:pPr>
      <w:r>
        <w:t xml:space="preserve">Automação do exploit — um atacante consegue automatizar todas as etapas do ataque?</w:t>
      </w:r>
    </w:p>
    <w:p>
      <w:pPr>
        <w:pStyle w:val="ListParagraph"/>
        <w:numPr>
          <w:ilvl w:val="0"/>
          <w:numId w:val="2"/>
        </w:numPr>
        <w:spacing w:after="90"/>
      </w:pPr>
      <w:r>
        <w:t xml:space="preserve">Impacto técnico — a exploração resulta em controle parcial ou total do ativo?</w:t>
      </w:r>
    </w:p>
    <w:p>
      <w:pPr>
        <w:spacing w:after="160" w:line="276"/>
      </w:pPr>
      <w:r>
        <w:t xml:space="preserve">A combinação dessas variáveis determina janelas de remediação que variam de 3 dias (quando todos os critérios de risco máximo coincidem) a 60 dias, ou até "corrigir na próxima atualização" para o risco mais baixo. A diretiva ainda exige triagem forense antes da correção de itens críticos — tratando o patch como resposta a incidente — e é explícita ao afirmar que atacantes exploram vulnerabilidades não corrigidas, e seu uso crescente de IA reduz ainda mais o tempo que os defensores têm para reagir entre o lançamento do patch e a exploração. Embora vinculante apenas para agências federais dos EUA, a CISA declarou publicamente que recomenda a adoção das mesmas práticas por parceiros do setor privado — e analistas de mercado já tratam a BOD 26-04 como sucessora natural da BOD 22-01 (que criou o catálogo KEV e virou padrão de fato adotado por auditores e seguradoras cyber).</w:t>
      </w:r>
    </w:p>
    <w:p>
      <w:pPr>
        <w:pStyle w:val="Heading2"/>
        <w:spacing w:after="150" w:before="300"/>
      </w:pPr>
      <w:r>
        <w:t xml:space="preserve">2.3 Implicações para uma instituição do ecossistema de pagamentos</w:t>
      </w:r>
    </w:p>
    <w:p>
      <w:pPr>
        <w:spacing w:after="160" w:line="276"/>
      </w:pPr>
      <w:r>
        <w:t xml:space="preserve">Para a Cielo, como adquirente/subadquirente, essa mudança de paradigma se conecta diretamente a exigências já existentes: PCI DSS 4.0 (requisitos 6.3.1 e 11.3, que exigem processo de identificação e classificação de risco de vulnerabilidades) e as Resoluções BACEN 4.658/4.893/85/3909 sobre gestão de risco cibernético. Adotar um modelo formal de decisão baseado em SSVC — documentado, automatizado e auditável — fortalece a defensibilidade do programa perante auditoria e QSA: a pergunta "por que corrigimos X antes de Y" passa a ter resposta objetiva e rastreável, gerada pelo próprio pipeline, em vez de depender de justificativa retroativa manual.</w:t>
      </w:r>
    </w:p>
    <w:p>
      <w:r>
        <w:br w:type="page"/>
      </w:r>
    </w:p>
    <w:p>
      <w:pPr>
        <w:pStyle w:val="Heading1"/>
        <w:spacing w:after="200" w:before="400"/>
      </w:pPr>
      <w:r>
        <w:t xml:space="preserve">3. Diagnóstico do Modelo Atual</w:t>
      </w:r>
    </w:p>
    <w:p>
      <w:pPr>
        <w:spacing w:after="160" w:line="276"/>
      </w:pPr>
      <w:r>
        <w:t xml:space="preserve">O modelo hoje praticado pela Cielo — contexto de negócio, exposição, exploitability e criticidade — já cobre, em essência, os mesmos pilares do SSVC. O ganho proposto não está em substituir o modelo, e sim em três frentes: precisão dos sinais, continuidade da reavaliação e automação da execução.</w:t>
      </w:r>
    </w:p>
    <w:p>
      <w:pPr>
        <w:pStyle w:val="Heading2"/>
        <w:spacing w:after="150" w:before="300"/>
      </w:pPr>
      <w:r>
        <w:t xml:space="preserve">3.1 Lacunas identificadas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F3864" w:val="clear"/>
            <w:tcMar>
              <w:top w:type="dxa" w:w="80"/>
              <w:left w:type="dxa" w:w="120"/>
              <w:bottom w:type="dxa" w:w="80"/>
              <w:right w:type="dxa" w:w="120"/>
            </w:tcMar>
            <w:vAlign w:val="center"/>
          </w:tcPr>
          <w:p>
            <w:r>
              <w:rPr>
                <w:b/>
                <w:bCs/>
                <w:color w:val="FFFFFF"/>
                <w:sz w:val="19"/>
                <w:szCs w:val="19"/>
              </w:rPr>
              <w:t xml:space="preserve">Dimensão atual</w:t>
            </w:r>
          </w:p>
        </w:tc>
        <w:tc>
          <w:tcPr>
            <w:tcW w:type="dxa" w:w="6300"/>
            <w:shd w:fill="1F3864" w:val="clear"/>
            <w:tcMar>
              <w:top w:type="dxa" w:w="80"/>
              <w:left w:type="dxa" w:w="120"/>
              <w:bottom w:type="dxa" w:w="80"/>
              <w:right w:type="dxa" w:w="120"/>
            </w:tcMar>
            <w:vAlign w:val="center"/>
          </w:tcPr>
          <w:p>
            <w:r>
              <w:rPr>
                <w:b/>
                <w:bCs/>
                <w:color w:val="FFFFFF"/>
                <w:sz w:val="19"/>
                <w:szCs w:val="19"/>
              </w:rPr>
              <w:t xml:space="preserve">Lacuna identificada</w:t>
            </w:r>
          </w:p>
        </w:tc>
      </w:tr>
      <w:tr>
        <w:tc>
          <w:tcPr>
            <w:tcMar>
              <w:top w:type="dxa" w:w="80"/>
              <w:left w:type="dxa" w:w="120"/>
              <w:bottom w:type="dxa" w:w="80"/>
              <w:right w:type="dxa" w:w="120"/>
            </w:tcMar>
            <w:vAlign w:val="center"/>
          </w:tcPr>
          <w:p>
            <w:r>
              <w:rPr>
                <w:b w:val="false"/>
                <w:bCs w:val="false"/>
                <w:sz w:val="19"/>
                <w:szCs w:val="19"/>
              </w:rPr>
              <w:t xml:space="preserve">Exploitability</w:t>
            </w:r>
          </w:p>
        </w:tc>
        <w:tc>
          <w:tcPr>
            <w:tcMar>
              <w:top w:type="dxa" w:w="80"/>
              <w:left w:type="dxa" w:w="120"/>
              <w:bottom w:type="dxa" w:w="80"/>
              <w:right w:type="dxa" w:w="120"/>
            </w:tcMar>
            <w:vAlign w:val="center"/>
          </w:tcPr>
          <w:p>
            <w:r>
              <w:rPr>
                <w:b w:val="false"/>
                <w:bCs w:val="false"/>
                <w:sz w:val="19"/>
                <w:szCs w:val="19"/>
              </w:rPr>
              <w:t xml:space="preserve">Tratada como atributo estático herdado do CVSS/aviso do fabricante, sem reavaliação por sinal de exploração real (KEV) nem por automação de exploit (EPSS/Vulnrichment) como variáveis distintas.</w:t>
            </w:r>
          </w:p>
        </w:tc>
      </w:tr>
      <w:tr>
        <w:tc>
          <w:tcPr>
            <w:tcMar>
              <w:top w:type="dxa" w:w="80"/>
              <w:left w:type="dxa" w:w="120"/>
              <w:bottom w:type="dxa" w:w="80"/>
              <w:right w:type="dxa" w:w="120"/>
            </w:tcMar>
            <w:vAlign w:val="center"/>
          </w:tcPr>
          <w:p>
            <w:r>
              <w:rPr>
                <w:b w:val="false"/>
                <w:bCs w:val="false"/>
                <w:sz w:val="19"/>
                <w:szCs w:val="19"/>
              </w:rPr>
              <w:t xml:space="preserve">Criticidade</w:t>
            </w:r>
          </w:p>
        </w:tc>
        <w:tc>
          <w:tcPr>
            <w:tcMar>
              <w:top w:type="dxa" w:w="80"/>
              <w:left w:type="dxa" w:w="120"/>
              <w:bottom w:type="dxa" w:w="80"/>
              <w:right w:type="dxa" w:w="120"/>
            </w:tcMar>
            <w:vAlign w:val="center"/>
          </w:tcPr>
          <w:p>
            <w:r>
              <w:rPr>
                <w:b w:val="false"/>
                <w:bCs w:val="false"/>
                <w:sz w:val="19"/>
                <w:szCs w:val="19"/>
              </w:rPr>
              <w:t xml:space="preserve">Frequentemente derivada do CVSS base do fornecedor. O caso do SharePoint do Patch Tuesday de julho/2026 (CVSS "Moderado", mas com exploração ativa confirmada e exposição pública) ilustra como isso subestima risco real em cenários que a BOD 26-04 já trataria como janela de 3 dias.</w:t>
            </w:r>
          </w:p>
        </w:tc>
      </w:tr>
      <w:tr>
        <w:tc>
          <w:tcPr>
            <w:tcMar>
              <w:top w:type="dxa" w:w="80"/>
              <w:left w:type="dxa" w:w="120"/>
              <w:bottom w:type="dxa" w:w="80"/>
              <w:right w:type="dxa" w:w="120"/>
            </w:tcMar>
            <w:vAlign w:val="center"/>
          </w:tcPr>
          <w:p>
            <w:r>
              <w:rPr>
                <w:b w:val="false"/>
                <w:bCs w:val="false"/>
                <w:sz w:val="19"/>
                <w:szCs w:val="19"/>
              </w:rPr>
              <w:t xml:space="preserve">Exposição</w:t>
            </w:r>
          </w:p>
        </w:tc>
        <w:tc>
          <w:tcPr>
            <w:tcMar>
              <w:top w:type="dxa" w:w="80"/>
              <w:left w:type="dxa" w:w="120"/>
              <w:bottom w:type="dxa" w:w="80"/>
              <w:right w:type="dxa" w:w="120"/>
            </w:tcMar>
            <w:vAlign w:val="center"/>
          </w:tcPr>
          <w:p>
            <w:r>
              <w:rPr>
                <w:b w:val="false"/>
                <w:bCs w:val="false"/>
                <w:sz w:val="19"/>
                <w:szCs w:val="19"/>
              </w:rPr>
              <w:t xml:space="preserve">Calculada, mas não necessariamente como fonte única, contínua e correlacionada entre ambientes cloud (Orca) e on-premises (Tenable) — o que gera risco de inconsistência entre times/ferramentas.</w:t>
            </w:r>
          </w:p>
        </w:tc>
      </w:tr>
      <w:tr>
        <w:tc>
          <w:tcPr>
            <w:tcMar>
              <w:top w:type="dxa" w:w="80"/>
              <w:left w:type="dxa" w:w="120"/>
              <w:bottom w:type="dxa" w:w="80"/>
              <w:right w:type="dxa" w:w="120"/>
            </w:tcMar>
            <w:vAlign w:val="center"/>
          </w:tcPr>
          <w:p>
            <w:r>
              <w:rPr>
                <w:b w:val="false"/>
                <w:bCs w:val="false"/>
                <w:sz w:val="19"/>
                <w:szCs w:val="19"/>
              </w:rPr>
              <w:t xml:space="preserve">Mitigação</w:t>
            </w:r>
          </w:p>
        </w:tc>
        <w:tc>
          <w:tcPr>
            <w:tcMar>
              <w:top w:type="dxa" w:w="80"/>
              <w:left w:type="dxa" w:w="120"/>
              <w:bottom w:type="dxa" w:w="80"/>
              <w:right w:type="dxa" w:w="120"/>
            </w:tcMar>
            <w:vAlign w:val="center"/>
          </w:tcPr>
          <w:p>
            <w:r>
              <w:rPr>
                <w:b w:val="false"/>
                <w:bCs w:val="false"/>
                <w:sz w:val="19"/>
                <w:szCs w:val="19"/>
              </w:rPr>
              <w:t xml:space="preserve">Tratada como plano B informal enquanto se aguarda o patch, sem runbooks pré-aprovados nem SLA próprio — o que atrasa a resposta em janelas curtas.</w:t>
            </w:r>
          </w:p>
        </w:tc>
      </w:tr>
      <w:tr>
        <w:tc>
          <w:tcPr>
            <w:tcMar>
              <w:top w:type="dxa" w:w="80"/>
              <w:left w:type="dxa" w:w="120"/>
              <w:bottom w:type="dxa" w:w="80"/>
              <w:right w:type="dxa" w:w="120"/>
            </w:tcMar>
            <w:vAlign w:val="center"/>
          </w:tcPr>
          <w:p>
            <w:r>
              <w:rPr>
                <w:b w:val="false"/>
                <w:bCs w:val="false"/>
                <w:sz w:val="19"/>
                <w:szCs w:val="19"/>
              </w:rPr>
              <w:t xml:space="preserve">Reavaliação</w:t>
            </w:r>
          </w:p>
        </w:tc>
        <w:tc>
          <w:tcPr>
            <w:tcMar>
              <w:top w:type="dxa" w:w="80"/>
              <w:left w:type="dxa" w:w="120"/>
              <w:bottom w:type="dxa" w:w="80"/>
              <w:right w:type="dxa" w:w="120"/>
            </w:tcMar>
            <w:vAlign w:val="center"/>
          </w:tcPr>
          <w:p>
            <w:r>
              <w:rPr>
                <w:b w:val="false"/>
                <w:bCs w:val="false"/>
                <w:sz w:val="19"/>
                <w:szCs w:val="19"/>
              </w:rPr>
              <w:t xml:space="preserve">Ciclo de revisão predominantemente periódico (ex.: reunião semanal), não orientado a evento — uma mudança de exposição ou entrada no KEV não rebaixa/promove o item automaticamente.</w:t>
            </w:r>
          </w:p>
        </w:tc>
      </w:tr>
      <w:tr>
        <w:tc>
          <w:tcPr>
            <w:tcMar>
              <w:top w:type="dxa" w:w="80"/>
              <w:left w:type="dxa" w:w="120"/>
              <w:bottom w:type="dxa" w:w="80"/>
              <w:right w:type="dxa" w:w="120"/>
            </w:tcMar>
            <w:vAlign w:val="center"/>
          </w:tcPr>
          <w:p>
            <w:r>
              <w:rPr>
                <w:b w:val="false"/>
                <w:bCs w:val="false"/>
                <w:sz w:val="19"/>
                <w:szCs w:val="19"/>
              </w:rPr>
              <w:t xml:space="preserve">Volume/Capacidade</w:t>
            </w:r>
          </w:p>
        </w:tc>
        <w:tc>
          <w:tcPr>
            <w:tcMar>
              <w:top w:type="dxa" w:w="80"/>
              <w:left w:type="dxa" w:w="120"/>
              <w:bottom w:type="dxa" w:w="80"/>
              <w:right w:type="dxa" w:w="120"/>
            </w:tcMar>
            <w:vAlign w:val="center"/>
          </w:tcPr>
          <w:p>
            <w:r>
              <w:rPr>
                <w:b w:val="false"/>
                <w:bCs w:val="false"/>
                <w:sz w:val="19"/>
                <w:szCs w:val="19"/>
              </w:rPr>
              <w:t xml:space="preserve">Adicionar novos critérios de decisão ao processo manual, sem automação equivalente, tende a aumentar o tempo de triagem por item — criando o risco de o próprio modelo mais rigoroso virar gargalo operacional.</w:t>
            </w:r>
          </w:p>
        </w:tc>
      </w:tr>
      <w:tr>
        <w:tc>
          <w:tcPr>
            <w:tcMar>
              <w:top w:type="dxa" w:w="80"/>
              <w:left w:type="dxa" w:w="120"/>
              <w:bottom w:type="dxa" w:w="80"/>
              <w:right w:type="dxa" w:w="120"/>
            </w:tcMar>
            <w:vAlign w:val="center"/>
          </w:tcPr>
          <w:p>
            <w:r>
              <w:rPr>
                <w:b w:val="false"/>
                <w:bCs w:val="false"/>
                <w:sz w:val="19"/>
                <w:szCs w:val="19"/>
              </w:rPr>
              <w:t xml:space="preserve">Auditoria</w:t>
            </w:r>
          </w:p>
        </w:tc>
        <w:tc>
          <w:tcPr>
            <w:tcMar>
              <w:top w:type="dxa" w:w="80"/>
              <w:left w:type="dxa" w:w="120"/>
              <w:bottom w:type="dxa" w:w="80"/>
              <w:right w:type="dxa" w:w="120"/>
            </w:tcMar>
            <w:vAlign w:val="center"/>
          </w:tcPr>
          <w:p>
            <w:r>
              <w:rPr>
                <w:b w:val="false"/>
                <w:bCs w:val="false"/>
                <w:sz w:val="19"/>
                <w:szCs w:val="19"/>
              </w:rPr>
              <w:t xml:space="preserve">Evidência de "por que corrigimos X antes de Y" depende de compilação manual (planilhas/atas), fragilizando a resposta a auditoria PCI/BACEN.</w:t>
            </w:r>
          </w:p>
        </w:tc>
      </w:tr>
    </w:tbl>
    <w:p>
      <w:r>
        <w:br w:type="page"/>
      </w:r>
    </w:p>
    <w:p>
      <w:pPr>
        <w:pStyle w:val="Heading1"/>
        <w:spacing w:after="200" w:before="400"/>
      </w:pPr>
      <w:r>
        <w:t xml:space="preserve">4. Modelo Proposto: SSVC Adaptado ao Ambiente Cielo</w:t>
      </w:r>
    </w:p>
    <w:p>
      <w:pPr>
        <w:pStyle w:val="Heading2"/>
        <w:spacing w:after="150" w:before="300"/>
      </w:pPr>
      <w:r>
        <w:t xml:space="preserve">4.1 Variáveis de decisão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2600"/>
        <w:gridCol w:w="1400"/>
      </w:tblGrid>
      <w:tr>
        <w:tc>
          <w:tcPr>
            <w:tcW w:type="dxa" w:w="2200"/>
            <w:shd w:fill="1F3864" w:val="clear"/>
            <w:tcMar>
              <w:top w:type="dxa" w:w="80"/>
              <w:left w:type="dxa" w:w="120"/>
              <w:bottom w:type="dxa" w:w="80"/>
              <w:right w:type="dxa" w:w="120"/>
            </w:tcMar>
            <w:vAlign w:val="center"/>
          </w:tcPr>
          <w:p>
            <w:r>
              <w:rPr>
                <w:b/>
                <w:bCs/>
                <w:color w:val="FFFFFF"/>
                <w:sz w:val="19"/>
                <w:szCs w:val="19"/>
              </w:rPr>
              <w:t xml:space="preserve">Variável</w:t>
            </w:r>
          </w:p>
        </w:tc>
        <w:tc>
          <w:tcPr>
            <w:tcW w:type="dxa" w:w="3300"/>
            <w:shd w:fill="1F3864" w:val="clear"/>
            <w:tcMar>
              <w:top w:type="dxa" w:w="80"/>
              <w:left w:type="dxa" w:w="120"/>
              <w:bottom w:type="dxa" w:w="80"/>
              <w:right w:type="dxa" w:w="120"/>
            </w:tcMar>
            <w:vAlign w:val="center"/>
          </w:tcPr>
          <w:p>
            <w:r>
              <w:rPr>
                <w:b/>
                <w:bCs/>
                <w:color w:val="FFFFFF"/>
                <w:sz w:val="19"/>
                <w:szCs w:val="19"/>
              </w:rPr>
              <w:t xml:space="preserve">Pergunta de decisão</w:t>
            </w:r>
          </w:p>
        </w:tc>
        <w:tc>
          <w:tcPr>
            <w:tcW w:type="dxa" w:w="2600"/>
            <w:shd w:fill="1F3864" w:val="clear"/>
            <w:tcMar>
              <w:top w:type="dxa" w:w="80"/>
              <w:left w:type="dxa" w:w="120"/>
              <w:bottom w:type="dxa" w:w="80"/>
              <w:right w:type="dxa" w:w="120"/>
            </w:tcMar>
            <w:vAlign w:val="center"/>
          </w:tcPr>
          <w:p>
            <w:r>
              <w:rPr>
                <w:b/>
                <w:bCs/>
                <w:color w:val="FFFFFF"/>
                <w:sz w:val="19"/>
                <w:szCs w:val="19"/>
              </w:rPr>
              <w:t xml:space="preserve">Fonte de dado (stack atual)</w:t>
            </w:r>
          </w:p>
        </w:tc>
        <w:tc>
          <w:tcPr>
            <w:tcW w:type="dxa" w:w="1400"/>
            <w:shd w:fill="1F3864" w:val="clear"/>
            <w:tcMar>
              <w:top w:type="dxa" w:w="80"/>
              <w:left w:type="dxa" w:w="120"/>
              <w:bottom w:type="dxa" w:w="80"/>
              <w:right w:type="dxa" w:w="120"/>
            </w:tcMar>
            <w:vAlign w:val="center"/>
          </w:tcPr>
          <w:p>
            <w:r>
              <w:rPr>
                <w:b/>
                <w:bCs/>
                <w:color w:val="FFFFFF"/>
                <w:sz w:val="19"/>
                <w:szCs w:val="19"/>
              </w:rPr>
              <w:t xml:space="preserve">Automatizável</w:t>
            </w:r>
          </w:p>
        </w:tc>
      </w:tr>
      <w:tr>
        <w:tc>
          <w:tcPr>
            <w:tcMar>
              <w:top w:type="dxa" w:w="80"/>
              <w:left w:type="dxa" w:w="120"/>
              <w:bottom w:type="dxa" w:w="80"/>
              <w:right w:type="dxa" w:w="120"/>
            </w:tcMar>
            <w:vAlign w:val="center"/>
          </w:tcPr>
          <w:p>
            <w:r>
              <w:rPr>
                <w:b w:val="false"/>
                <w:bCs w:val="false"/>
                <w:sz w:val="19"/>
                <w:szCs w:val="19"/>
              </w:rPr>
              <w:t xml:space="preserve">Exposição do ativo</w:t>
            </w:r>
          </w:p>
        </w:tc>
        <w:tc>
          <w:tcPr>
            <w:tcMar>
              <w:top w:type="dxa" w:w="80"/>
              <w:left w:type="dxa" w:w="120"/>
              <w:bottom w:type="dxa" w:w="80"/>
              <w:right w:type="dxa" w:w="120"/>
            </w:tcMar>
            <w:vAlign w:val="center"/>
          </w:tcPr>
          <w:p>
            <w:r>
              <w:rPr>
                <w:b w:val="false"/>
                <w:bCs w:val="false"/>
                <w:sz w:val="19"/>
                <w:szCs w:val="19"/>
              </w:rPr>
              <w:t xml:space="preserve">O ativo é alcançável por rede pública/não confiável?</w:t>
            </w:r>
          </w:p>
        </w:tc>
        <w:tc>
          <w:tcPr>
            <w:tcMar>
              <w:top w:type="dxa" w:w="80"/>
              <w:left w:type="dxa" w:w="120"/>
              <w:bottom w:type="dxa" w:w="80"/>
              <w:right w:type="dxa" w:w="120"/>
            </w:tcMar>
            <w:vAlign w:val="center"/>
          </w:tcPr>
          <w:p>
            <w:r>
              <w:rPr>
                <w:b w:val="false"/>
                <w:bCs w:val="false"/>
                <w:sz w:val="19"/>
                <w:szCs w:val="19"/>
              </w:rPr>
              <w:t xml:space="preserve">Orca (exposição cloud/CNAPP) + Tenable (ASM on-prem)</w:t>
            </w:r>
          </w:p>
        </w:tc>
        <w:tc>
          <w:tcPr>
            <w:tcMar>
              <w:top w:type="dxa" w:w="80"/>
              <w:left w:type="dxa" w:w="120"/>
              <w:bottom w:type="dxa" w:w="80"/>
              <w:right w:type="dxa" w:w="120"/>
            </w:tcMar>
            <w:vAlign w:val="center"/>
          </w:tcPr>
          <w:p>
            <w:r>
              <w:rPr>
                <w:b w:val="false"/>
                <w:bCs w:val="false"/>
                <w:sz w:val="19"/>
                <w:szCs w:val="19"/>
              </w:rPr>
              <w:t xml:space="preserve">Sim</w:t>
            </w:r>
          </w:p>
        </w:tc>
      </w:tr>
      <w:tr>
        <w:tc>
          <w:tcPr>
            <w:tcMar>
              <w:top w:type="dxa" w:w="80"/>
              <w:left w:type="dxa" w:w="120"/>
              <w:bottom w:type="dxa" w:w="80"/>
              <w:right w:type="dxa" w:w="120"/>
            </w:tcMar>
            <w:vAlign w:val="center"/>
          </w:tcPr>
          <w:p>
            <w:r>
              <w:rPr>
                <w:b w:val="false"/>
                <w:bCs w:val="false"/>
                <w:sz w:val="19"/>
                <w:szCs w:val="19"/>
              </w:rPr>
              <w:t xml:space="preserve">Status KEV</w:t>
            </w:r>
          </w:p>
        </w:tc>
        <w:tc>
          <w:tcPr>
            <w:tcMar>
              <w:top w:type="dxa" w:w="80"/>
              <w:left w:type="dxa" w:w="120"/>
              <w:bottom w:type="dxa" w:w="80"/>
              <w:right w:type="dxa" w:w="120"/>
            </w:tcMar>
            <w:vAlign w:val="center"/>
          </w:tcPr>
          <w:p>
            <w:r>
              <w:rPr>
                <w:b w:val="false"/>
                <w:bCs w:val="false"/>
                <w:sz w:val="19"/>
                <w:szCs w:val="19"/>
              </w:rPr>
              <w:t xml:space="preserve">O CVE está no catálogo de exploração confirmada da CISA?</w:t>
            </w:r>
          </w:p>
        </w:tc>
        <w:tc>
          <w:tcPr>
            <w:tcMar>
              <w:top w:type="dxa" w:w="80"/>
              <w:left w:type="dxa" w:w="120"/>
              <w:bottom w:type="dxa" w:w="80"/>
              <w:right w:type="dxa" w:w="120"/>
            </w:tcMar>
            <w:vAlign w:val="center"/>
          </w:tcPr>
          <w:p>
            <w:r>
              <w:rPr>
                <w:b w:val="false"/>
                <w:bCs w:val="false"/>
                <w:sz w:val="19"/>
                <w:szCs w:val="19"/>
              </w:rPr>
              <w:t xml:space="preserve">Feed externo KEV/Vulnrichment (a integrar)</w:t>
            </w:r>
          </w:p>
        </w:tc>
        <w:tc>
          <w:tcPr>
            <w:tcMar>
              <w:top w:type="dxa" w:w="80"/>
              <w:left w:type="dxa" w:w="120"/>
              <w:bottom w:type="dxa" w:w="80"/>
              <w:right w:type="dxa" w:w="120"/>
            </w:tcMar>
            <w:vAlign w:val="center"/>
          </w:tcPr>
          <w:p>
            <w:r>
              <w:rPr>
                <w:b w:val="false"/>
                <w:bCs w:val="false"/>
                <w:sz w:val="19"/>
                <w:szCs w:val="19"/>
              </w:rPr>
              <w:t xml:space="preserve">Sim</w:t>
            </w:r>
          </w:p>
        </w:tc>
      </w:tr>
      <w:tr>
        <w:tc>
          <w:tcPr>
            <w:tcMar>
              <w:top w:type="dxa" w:w="80"/>
              <w:left w:type="dxa" w:w="120"/>
              <w:bottom w:type="dxa" w:w="80"/>
              <w:right w:type="dxa" w:w="120"/>
            </w:tcMar>
            <w:vAlign w:val="center"/>
          </w:tcPr>
          <w:p>
            <w:r>
              <w:rPr>
                <w:b w:val="false"/>
                <w:bCs w:val="false"/>
                <w:sz w:val="19"/>
                <w:szCs w:val="19"/>
              </w:rPr>
              <w:t xml:space="preserve">Automação do exploit</w:t>
            </w:r>
          </w:p>
        </w:tc>
        <w:tc>
          <w:tcPr>
            <w:tcMar>
              <w:top w:type="dxa" w:w="80"/>
              <w:left w:type="dxa" w:w="120"/>
              <w:bottom w:type="dxa" w:w="80"/>
              <w:right w:type="dxa" w:w="120"/>
            </w:tcMar>
            <w:vAlign w:val="center"/>
          </w:tcPr>
          <w:p>
            <w:r>
              <w:rPr>
                <w:b w:val="false"/>
                <w:bCs w:val="false"/>
                <w:sz w:val="19"/>
                <w:szCs w:val="19"/>
              </w:rPr>
              <w:t xml:space="preserve">O ataque pode ser executado de ponta a ponta sem intervenção humana?</w:t>
            </w:r>
          </w:p>
        </w:tc>
        <w:tc>
          <w:tcPr>
            <w:tcMar>
              <w:top w:type="dxa" w:w="80"/>
              <w:left w:type="dxa" w:w="120"/>
              <w:bottom w:type="dxa" w:w="80"/>
              <w:right w:type="dxa" w:w="120"/>
            </w:tcMar>
            <w:vAlign w:val="center"/>
          </w:tcPr>
          <w:p>
            <w:r>
              <w:rPr>
                <w:b w:val="false"/>
                <w:bCs w:val="false"/>
                <w:sz w:val="19"/>
                <w:szCs w:val="19"/>
              </w:rPr>
              <w:t xml:space="preserve">EPSS + Vulnrichment (a integrar); sinal complementar do Tenable VPR</w:t>
            </w:r>
          </w:p>
        </w:tc>
        <w:tc>
          <w:tcPr>
            <w:tcMar>
              <w:top w:type="dxa" w:w="80"/>
              <w:left w:type="dxa" w:w="120"/>
              <w:bottom w:type="dxa" w:w="80"/>
              <w:right w:type="dxa" w:w="120"/>
            </w:tcMar>
            <w:vAlign w:val="center"/>
          </w:tcPr>
          <w:p>
            <w:r>
              <w:rPr>
                <w:b w:val="false"/>
                <w:bCs w:val="false"/>
                <w:sz w:val="19"/>
                <w:szCs w:val="19"/>
              </w:rPr>
              <w:t xml:space="preserve">Sim</w:t>
            </w:r>
          </w:p>
        </w:tc>
      </w:tr>
      <w:tr>
        <w:tc>
          <w:tcPr>
            <w:tcMar>
              <w:top w:type="dxa" w:w="80"/>
              <w:left w:type="dxa" w:w="120"/>
              <w:bottom w:type="dxa" w:w="80"/>
              <w:right w:type="dxa" w:w="120"/>
            </w:tcMar>
            <w:vAlign w:val="center"/>
          </w:tcPr>
          <w:p>
            <w:r>
              <w:rPr>
                <w:b w:val="false"/>
                <w:bCs w:val="false"/>
                <w:sz w:val="19"/>
                <w:szCs w:val="19"/>
              </w:rPr>
              <w:t xml:space="preserve">Impacto técnico</w:t>
            </w:r>
          </w:p>
        </w:tc>
        <w:tc>
          <w:tcPr>
            <w:tcMar>
              <w:top w:type="dxa" w:w="80"/>
              <w:left w:type="dxa" w:w="120"/>
              <w:bottom w:type="dxa" w:w="80"/>
              <w:right w:type="dxa" w:w="120"/>
            </w:tcMar>
            <w:vAlign w:val="center"/>
          </w:tcPr>
          <w:p>
            <w:r>
              <w:rPr>
                <w:b w:val="false"/>
                <w:bCs w:val="false"/>
                <w:sz w:val="19"/>
                <w:szCs w:val="19"/>
              </w:rPr>
              <w:t xml:space="preserve">A exploração dá controle parcial ou total do ativo?</w:t>
            </w:r>
          </w:p>
        </w:tc>
        <w:tc>
          <w:tcPr>
            <w:tcMar>
              <w:top w:type="dxa" w:w="80"/>
              <w:left w:type="dxa" w:w="120"/>
              <w:bottom w:type="dxa" w:w="80"/>
              <w:right w:type="dxa" w:w="120"/>
            </w:tcMar>
            <w:vAlign w:val="center"/>
          </w:tcPr>
          <w:p>
            <w:r>
              <w:rPr>
                <w:b w:val="false"/>
                <w:bCs w:val="false"/>
                <w:sz w:val="19"/>
                <w:szCs w:val="19"/>
              </w:rPr>
              <w:t xml:space="preserve">Veracode (achados de código), Orca (runtime/VM), Tenable (host)</w:t>
            </w:r>
          </w:p>
        </w:tc>
        <w:tc>
          <w:tcPr>
            <w:tcMar>
              <w:top w:type="dxa" w:w="80"/>
              <w:left w:type="dxa" w:w="120"/>
              <w:bottom w:type="dxa" w:w="80"/>
              <w:right w:type="dxa" w:w="120"/>
            </w:tcMar>
            <w:vAlign w:val="center"/>
          </w:tcPr>
          <w:p>
            <w:r>
              <w:rPr>
                <w:b w:val="false"/>
                <w:bCs w:val="false"/>
                <w:sz w:val="19"/>
                <w:szCs w:val="19"/>
              </w:rPr>
              <w:t xml:space="preserve">Sim</w:t>
            </w:r>
          </w:p>
        </w:tc>
      </w:tr>
      <w:tr>
        <w:tc>
          <w:tcPr>
            <w:tcMar>
              <w:top w:type="dxa" w:w="80"/>
              <w:left w:type="dxa" w:w="120"/>
              <w:bottom w:type="dxa" w:w="80"/>
              <w:right w:type="dxa" w:w="120"/>
            </w:tcMar>
            <w:vAlign w:val="center"/>
          </w:tcPr>
          <w:p>
            <w:r>
              <w:rPr>
                <w:b w:val="false"/>
                <w:bCs w:val="false"/>
                <w:sz w:val="19"/>
                <w:szCs w:val="19"/>
              </w:rPr>
              <w:t xml:space="preserve">Criticidade de negócio</w:t>
            </w:r>
          </w:p>
        </w:tc>
        <w:tc>
          <w:tcPr>
            <w:tcMar>
              <w:top w:type="dxa" w:w="80"/>
              <w:left w:type="dxa" w:w="120"/>
              <w:bottom w:type="dxa" w:w="80"/>
              <w:right w:type="dxa" w:w="120"/>
            </w:tcMar>
            <w:vAlign w:val="center"/>
          </w:tcPr>
          <w:p>
            <w:r>
              <w:rPr>
                <w:b w:val="false"/>
                <w:bCs w:val="false"/>
                <w:sz w:val="19"/>
                <w:szCs w:val="19"/>
              </w:rPr>
              <w:t xml:space="preserve">O ativo sustenta função de missão crítica / está em escopo PCI?</w:t>
            </w:r>
          </w:p>
        </w:tc>
        <w:tc>
          <w:tcPr>
            <w:tcMar>
              <w:top w:type="dxa" w:w="80"/>
              <w:left w:type="dxa" w:w="120"/>
              <w:bottom w:type="dxa" w:w="80"/>
              <w:right w:type="dxa" w:w="120"/>
            </w:tcMar>
            <w:vAlign w:val="center"/>
          </w:tcPr>
          <w:p>
            <w:r>
              <w:rPr>
                <w:b w:val="false"/>
                <w:bCs w:val="false"/>
                <w:sz w:val="19"/>
                <w:szCs w:val="19"/>
              </w:rPr>
              <w:t xml:space="preserve">CMDB/ITSM + tags de contexto de negócio já usadas pela Cielo</w:t>
            </w:r>
          </w:p>
        </w:tc>
        <w:tc>
          <w:tcPr>
            <w:tcMar>
              <w:top w:type="dxa" w:w="80"/>
              <w:left w:type="dxa" w:w="120"/>
              <w:bottom w:type="dxa" w:w="80"/>
              <w:right w:type="dxa" w:w="120"/>
            </w:tcMar>
            <w:vAlign w:val="center"/>
          </w:tcPr>
          <w:p>
            <w:r>
              <w:rPr>
                <w:b w:val="false"/>
                <w:bCs w:val="false"/>
                <w:sz w:val="19"/>
                <w:szCs w:val="19"/>
              </w:rPr>
              <w:t xml:space="preserve">Parcial — depende de qualidade do CMDB</w:t>
            </w:r>
          </w:p>
        </w:tc>
      </w:tr>
    </w:tbl>
    <w:p>
      <w:pPr>
        <w:pStyle w:val="Heading2"/>
        <w:spacing w:after="150" w:before="300"/>
      </w:pPr>
      <w:r>
        <w:t xml:space="preserve">4.2 Matriz de decisão e SLA (síntese)</w:t>
      </w:r>
    </w:p>
    <w:p>
      <w:pPr>
        <w:spacing w:after="160" w:line="276"/>
      </w:pPr>
      <w:r>
        <w:t xml:space="preserve">A tabela abaixo ilustra as combinações representativas. A árvore de decisão completa (arquivo em anexo, formato interativo) detalha todos os ramos.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900"/>
        <w:gridCol w:w="1900"/>
        <w:gridCol w:w="1900"/>
        <w:gridCol w:w="1400"/>
      </w:tblGrid>
      <w:tr>
        <w:tc>
          <w:tcPr>
            <w:tcW w:type="dxa" w:w="1500"/>
            <w:shd w:fill="1F3864" w:val="clear"/>
            <w:tcMar>
              <w:top w:type="dxa" w:w="80"/>
              <w:left w:type="dxa" w:w="120"/>
              <w:bottom w:type="dxa" w:w="80"/>
              <w:right w:type="dxa" w:w="120"/>
            </w:tcMar>
            <w:vAlign w:val="center"/>
          </w:tcPr>
          <w:p>
            <w:r>
              <w:rPr>
                <w:b/>
                <w:bCs/>
                <w:color w:val="FFFFFF"/>
                <w:sz w:val="19"/>
                <w:szCs w:val="19"/>
              </w:rPr>
              <w:t xml:space="preserve">Exposto</w:t>
            </w:r>
          </w:p>
        </w:tc>
        <w:tc>
          <w:tcPr>
            <w:tcW w:type="dxa" w:w="1300"/>
            <w:shd w:fill="1F3864" w:val="clear"/>
            <w:tcMar>
              <w:top w:type="dxa" w:w="80"/>
              <w:left w:type="dxa" w:w="120"/>
              <w:bottom w:type="dxa" w:w="80"/>
              <w:right w:type="dxa" w:w="120"/>
            </w:tcMar>
            <w:vAlign w:val="center"/>
          </w:tcPr>
          <w:p>
            <w:r>
              <w:rPr>
                <w:b/>
                <w:bCs/>
                <w:color w:val="FFFFFF"/>
                <w:sz w:val="19"/>
                <w:szCs w:val="19"/>
              </w:rPr>
              <w:t xml:space="preserve">KEV</w:t>
            </w:r>
          </w:p>
        </w:tc>
        <w:tc>
          <w:tcPr>
            <w:tcW w:type="dxa" w:w="1900"/>
            <w:shd w:fill="1F3864" w:val="clear"/>
            <w:tcMar>
              <w:top w:type="dxa" w:w="80"/>
              <w:left w:type="dxa" w:w="120"/>
              <w:bottom w:type="dxa" w:w="80"/>
              <w:right w:type="dxa" w:w="120"/>
            </w:tcMar>
            <w:vAlign w:val="center"/>
          </w:tcPr>
          <w:p>
            <w:r>
              <w:rPr>
                <w:b/>
                <w:bCs/>
                <w:color w:val="FFFFFF"/>
                <w:sz w:val="19"/>
                <w:szCs w:val="19"/>
              </w:rPr>
              <w:t xml:space="preserve">Automatizável</w:t>
            </w:r>
          </w:p>
        </w:tc>
        <w:tc>
          <w:tcPr>
            <w:tcW w:type="dxa" w:w="1900"/>
            <w:shd w:fill="1F3864" w:val="clear"/>
            <w:tcMar>
              <w:top w:type="dxa" w:w="80"/>
              <w:left w:type="dxa" w:w="120"/>
              <w:bottom w:type="dxa" w:w="80"/>
              <w:right w:type="dxa" w:w="120"/>
            </w:tcMar>
            <w:vAlign w:val="center"/>
          </w:tcPr>
          <w:p>
            <w:r>
              <w:rPr>
                <w:b/>
                <w:bCs/>
                <w:color w:val="FFFFFF"/>
                <w:sz w:val="19"/>
                <w:szCs w:val="19"/>
              </w:rPr>
              <w:t xml:space="preserve">Impacto total</w:t>
            </w:r>
          </w:p>
        </w:tc>
        <w:tc>
          <w:tcPr>
            <w:tcW w:type="dxa" w:w="1900"/>
            <w:shd w:fill="1F3864" w:val="clear"/>
            <w:tcMar>
              <w:top w:type="dxa" w:w="80"/>
              <w:left w:type="dxa" w:w="120"/>
              <w:bottom w:type="dxa" w:w="80"/>
              <w:right w:type="dxa" w:w="120"/>
            </w:tcMar>
            <w:vAlign w:val="center"/>
          </w:tcPr>
          <w:p>
            <w:r>
              <w:rPr>
                <w:b/>
                <w:bCs/>
                <w:color w:val="FFFFFF"/>
                <w:sz w:val="19"/>
                <w:szCs w:val="19"/>
              </w:rPr>
              <w:t xml:space="preserve">Crítico p/ negócio</w:t>
            </w:r>
          </w:p>
        </w:tc>
        <w:tc>
          <w:tcPr>
            <w:tcW w:type="dxa" w:w="1400"/>
            <w:shd w:fill="1F3864" w:val="clear"/>
            <w:tcMar>
              <w:top w:type="dxa" w:w="80"/>
              <w:left w:type="dxa" w:w="120"/>
              <w:bottom w:type="dxa" w:w="80"/>
              <w:right w:type="dxa" w:w="120"/>
            </w:tcMar>
            <w:vAlign w:val="center"/>
          </w:tcPr>
          <w:p>
            <w:r>
              <w:rPr>
                <w:b/>
                <w:bCs/>
                <w:color w:val="FFFFFF"/>
                <w:sz w:val="19"/>
                <w:szCs w:val="19"/>
              </w:rPr>
              <w:t xml:space="preserve">Resultado / SLA</w:t>
            </w:r>
          </w:p>
        </w:tc>
      </w:tr>
      <w:tr>
        <w:tc>
          <w:tcPr>
            <w:tcMar>
              <w:top w:type="dxa" w:w="80"/>
              <w:left w:type="dxa" w:w="120"/>
              <w:bottom w:type="dxa" w:w="80"/>
              <w:right w:type="dxa" w:w="120"/>
            </w:tcMar>
            <w:vAlign w:val="center"/>
          </w:tcPr>
          <w:p>
            <w:r>
              <w:rPr>
                <w:b w:val="false"/>
                <w:bCs w:val="false"/>
                <w:sz w:val="19"/>
                <w:szCs w:val="19"/>
              </w:rPr>
              <w:t xml:space="preserve">Não</w:t>
            </w:r>
          </w:p>
        </w:tc>
        <w:tc>
          <w:tcPr>
            <w:tcMar>
              <w:top w:type="dxa" w:w="80"/>
              <w:left w:type="dxa" w:w="120"/>
              <w:bottom w:type="dxa" w:w="80"/>
              <w:right w:type="dxa" w:w="120"/>
            </w:tcMar>
            <w:vAlign w:val="center"/>
          </w:tcPr>
          <w:p>
            <w:r>
              <w:rPr>
                <w:b w:val="false"/>
                <w:bCs w:val="false"/>
                <w:sz w:val="19"/>
                <w:szCs w:val="19"/>
              </w:rPr>
              <w:t xml:space="preserve">—</w:t>
            </w:r>
          </w:p>
        </w:tc>
        <w:tc>
          <w:tcPr>
            <w:tcMar>
              <w:top w:type="dxa" w:w="80"/>
              <w:left w:type="dxa" w:w="120"/>
              <w:bottom w:type="dxa" w:w="80"/>
              <w:right w:type="dxa" w:w="120"/>
            </w:tcMar>
            <w:vAlign w:val="center"/>
          </w:tcPr>
          <w:p>
            <w:r>
              <w:rPr>
                <w:b w:val="false"/>
                <w:bCs w:val="false"/>
                <w:sz w:val="19"/>
                <w:szCs w:val="19"/>
              </w:rPr>
              <w:t xml:space="preserve">—</w:t>
            </w:r>
          </w:p>
        </w:tc>
        <w:tc>
          <w:tcPr>
            <w:tcMar>
              <w:top w:type="dxa" w:w="80"/>
              <w:left w:type="dxa" w:w="120"/>
              <w:bottom w:type="dxa" w:w="80"/>
              <w:right w:type="dxa" w:w="120"/>
            </w:tcMar>
            <w:vAlign w:val="center"/>
          </w:tcPr>
          <w:p>
            <w:r>
              <w:rPr>
                <w:b w:val="false"/>
                <w:bCs w:val="false"/>
                <w:sz w:val="19"/>
                <w:szCs w:val="19"/>
              </w:rPr>
              <w:t xml:space="preserve">—</w:t>
            </w:r>
          </w:p>
        </w:tc>
        <w:tc>
          <w:tcPr>
            <w:tcMar>
              <w:top w:type="dxa" w:w="80"/>
              <w:left w:type="dxa" w:w="120"/>
              <w:bottom w:type="dxa" w:w="80"/>
              <w:right w:type="dxa" w:w="120"/>
            </w:tcMar>
            <w:vAlign w:val="center"/>
          </w:tcPr>
          <w:p>
            <w:r>
              <w:rPr>
                <w:b w:val="false"/>
                <w:bCs w:val="false"/>
                <w:sz w:val="19"/>
                <w:szCs w:val="19"/>
              </w:rPr>
              <w:t xml:space="preserve">—</w:t>
            </w:r>
          </w:p>
        </w:tc>
        <w:tc>
          <w:tcPr>
            <w:tcMar>
              <w:top w:type="dxa" w:w="80"/>
              <w:left w:type="dxa" w:w="120"/>
              <w:bottom w:type="dxa" w:w="80"/>
              <w:right w:type="dxa" w:w="120"/>
            </w:tcMar>
            <w:vAlign w:val="center"/>
          </w:tcPr>
          <w:p>
            <w:r>
              <w:rPr>
                <w:b w:val="false"/>
                <w:bCs w:val="false"/>
                <w:sz w:val="19"/>
                <w:szCs w:val="19"/>
              </w:rPr>
              <w:t xml:space="preserve">Track — sem SLA</w:t>
            </w:r>
          </w:p>
        </w:tc>
      </w:tr>
      <w:tr>
        <w:tc>
          <w:tcPr>
            <w:tcMar>
              <w:top w:type="dxa" w:w="80"/>
              <w:left w:type="dxa" w:w="120"/>
              <w:bottom w:type="dxa" w:w="80"/>
              <w:right w:type="dxa" w:w="120"/>
            </w:tcMar>
            <w:vAlign w:val="center"/>
          </w:tcPr>
          <w:p>
            <w:r>
              <w:rPr>
                <w:b w:val="false"/>
                <w:bCs w:val="false"/>
                <w:sz w:val="19"/>
                <w:szCs w:val="19"/>
              </w:rPr>
              <w:t xml:space="preserve">Sim</w:t>
            </w:r>
          </w:p>
        </w:tc>
        <w:tc>
          <w:tcPr>
            <w:tcMar>
              <w:top w:type="dxa" w:w="80"/>
              <w:left w:type="dxa" w:w="120"/>
              <w:bottom w:type="dxa" w:w="80"/>
              <w:right w:type="dxa" w:w="120"/>
            </w:tcMar>
            <w:vAlign w:val="center"/>
          </w:tcPr>
          <w:p>
            <w:r>
              <w:rPr>
                <w:b w:val="false"/>
                <w:bCs w:val="false"/>
                <w:sz w:val="19"/>
                <w:szCs w:val="19"/>
              </w:rPr>
              <w:t xml:space="preserve">Não</w:t>
            </w:r>
          </w:p>
        </w:tc>
        <w:tc>
          <w:tcPr>
            <w:tcMar>
              <w:top w:type="dxa" w:w="80"/>
              <w:left w:type="dxa" w:w="120"/>
              <w:bottom w:type="dxa" w:w="80"/>
              <w:right w:type="dxa" w:w="120"/>
            </w:tcMar>
            <w:vAlign w:val="center"/>
          </w:tcPr>
          <w:p>
            <w:r>
              <w:rPr>
                <w:b w:val="false"/>
                <w:bCs w:val="false"/>
                <w:sz w:val="19"/>
                <w:szCs w:val="19"/>
              </w:rPr>
              <w:t xml:space="preserve">Não</w:t>
            </w:r>
          </w:p>
        </w:tc>
        <w:tc>
          <w:tcPr>
            <w:tcMar>
              <w:top w:type="dxa" w:w="80"/>
              <w:left w:type="dxa" w:w="120"/>
              <w:bottom w:type="dxa" w:w="80"/>
              <w:right w:type="dxa" w:w="120"/>
            </w:tcMar>
            <w:vAlign w:val="center"/>
          </w:tcPr>
          <w:p>
            <w:r>
              <w:rPr>
                <w:b w:val="false"/>
                <w:bCs w:val="false"/>
                <w:sz w:val="19"/>
                <w:szCs w:val="19"/>
              </w:rPr>
              <w:t xml:space="preserve">Não</w:t>
            </w:r>
          </w:p>
        </w:tc>
        <w:tc>
          <w:tcPr>
            <w:tcMar>
              <w:top w:type="dxa" w:w="80"/>
              <w:left w:type="dxa" w:w="120"/>
              <w:bottom w:type="dxa" w:w="80"/>
              <w:right w:type="dxa" w:w="120"/>
            </w:tcMar>
            <w:vAlign w:val="center"/>
          </w:tcPr>
          <w:p>
            <w:r>
              <w:rPr>
                <w:b w:val="false"/>
                <w:bCs w:val="false"/>
                <w:sz w:val="19"/>
                <w:szCs w:val="19"/>
              </w:rPr>
              <w:t xml:space="preserve">—</w:t>
            </w:r>
          </w:p>
        </w:tc>
        <w:tc>
          <w:tcPr>
            <w:tcMar>
              <w:top w:type="dxa" w:w="80"/>
              <w:left w:type="dxa" w:w="120"/>
              <w:bottom w:type="dxa" w:w="80"/>
              <w:right w:type="dxa" w:w="120"/>
            </w:tcMar>
            <w:vAlign w:val="center"/>
          </w:tcPr>
          <w:p>
            <w:r>
              <w:rPr>
                <w:b w:val="false"/>
                <w:bCs w:val="false"/>
                <w:sz w:val="19"/>
                <w:szCs w:val="19"/>
              </w:rPr>
              <w:t xml:space="preserve">Track* — monitorar</w:t>
            </w:r>
          </w:p>
        </w:tc>
      </w:tr>
      <w:tr>
        <w:tc>
          <w:tcPr>
            <w:tcMar>
              <w:top w:type="dxa" w:w="80"/>
              <w:left w:type="dxa" w:w="120"/>
              <w:bottom w:type="dxa" w:w="80"/>
              <w:right w:type="dxa" w:w="120"/>
            </w:tcMar>
            <w:vAlign w:val="center"/>
          </w:tcPr>
          <w:p>
            <w:r>
              <w:rPr>
                <w:b w:val="false"/>
                <w:bCs w:val="false"/>
                <w:sz w:val="19"/>
                <w:szCs w:val="19"/>
              </w:rPr>
              <w:t xml:space="preserve">Sim</w:t>
            </w:r>
          </w:p>
        </w:tc>
        <w:tc>
          <w:tcPr>
            <w:tcMar>
              <w:top w:type="dxa" w:w="80"/>
              <w:left w:type="dxa" w:w="120"/>
              <w:bottom w:type="dxa" w:w="80"/>
              <w:right w:type="dxa" w:w="120"/>
            </w:tcMar>
            <w:vAlign w:val="center"/>
          </w:tcPr>
          <w:p>
            <w:r>
              <w:rPr>
                <w:b w:val="false"/>
                <w:bCs w:val="false"/>
                <w:sz w:val="19"/>
                <w:szCs w:val="19"/>
              </w:rPr>
              <w:t xml:space="preserve">Não</w:t>
            </w:r>
          </w:p>
        </w:tc>
        <w:tc>
          <w:tcPr>
            <w:tcMar>
              <w:top w:type="dxa" w:w="80"/>
              <w:left w:type="dxa" w:w="120"/>
              <w:bottom w:type="dxa" w:w="80"/>
              <w:right w:type="dxa" w:w="120"/>
            </w:tcMar>
            <w:vAlign w:val="center"/>
          </w:tcPr>
          <w:p>
            <w:r>
              <w:rPr>
                <w:b w:val="false"/>
                <w:bCs w:val="false"/>
                <w:sz w:val="19"/>
                <w:szCs w:val="19"/>
              </w:rPr>
              <w:t xml:space="preserve">Sim ou Não</w:t>
            </w:r>
          </w:p>
        </w:tc>
        <w:tc>
          <w:tcPr>
            <w:tcMar>
              <w:top w:type="dxa" w:w="80"/>
              <w:left w:type="dxa" w:w="120"/>
              <w:bottom w:type="dxa" w:w="80"/>
              <w:right w:type="dxa" w:w="120"/>
            </w:tcMar>
            <w:vAlign w:val="center"/>
          </w:tcPr>
          <w:p>
            <w:r>
              <w:rPr>
                <w:b w:val="false"/>
                <w:bCs w:val="false"/>
                <w:sz w:val="19"/>
                <w:szCs w:val="19"/>
              </w:rPr>
              <w:t xml:space="preserve">Sim</w:t>
            </w:r>
          </w:p>
        </w:tc>
        <w:tc>
          <w:tcPr>
            <w:tcMar>
              <w:top w:type="dxa" w:w="80"/>
              <w:left w:type="dxa" w:w="120"/>
              <w:bottom w:type="dxa" w:w="80"/>
              <w:right w:type="dxa" w:w="120"/>
            </w:tcMar>
            <w:vAlign w:val="center"/>
          </w:tcPr>
          <w:p>
            <w:r>
              <w:rPr>
                <w:b w:val="false"/>
                <w:bCs w:val="false"/>
                <w:sz w:val="19"/>
                <w:szCs w:val="19"/>
              </w:rPr>
              <w:t xml:space="preserve">—</w:t>
            </w:r>
          </w:p>
        </w:tc>
        <w:tc>
          <w:tcPr>
            <w:tcMar>
              <w:top w:type="dxa" w:w="80"/>
              <w:left w:type="dxa" w:w="120"/>
              <w:bottom w:type="dxa" w:w="80"/>
              <w:right w:type="dxa" w:w="120"/>
            </w:tcMar>
            <w:vAlign w:val="center"/>
          </w:tcPr>
          <w:p>
            <w:r>
              <w:rPr>
                <w:b w:val="false"/>
                <w:bCs w:val="false"/>
                <w:sz w:val="19"/>
                <w:szCs w:val="19"/>
              </w:rPr>
              <w:t xml:space="preserve">Attend — 14–60 dias</w:t>
            </w:r>
          </w:p>
        </w:tc>
      </w:tr>
      <w:tr>
        <w:tc>
          <w:tcPr>
            <w:tcMar>
              <w:top w:type="dxa" w:w="80"/>
              <w:left w:type="dxa" w:w="120"/>
              <w:bottom w:type="dxa" w:w="80"/>
              <w:right w:type="dxa" w:w="120"/>
            </w:tcMar>
            <w:vAlign w:val="center"/>
          </w:tcPr>
          <w:p>
            <w:r>
              <w:rPr>
                <w:b w:val="false"/>
                <w:bCs w:val="false"/>
                <w:sz w:val="19"/>
                <w:szCs w:val="19"/>
              </w:rPr>
              <w:t xml:space="preserve">Sim</w:t>
            </w:r>
          </w:p>
        </w:tc>
        <w:tc>
          <w:tcPr>
            <w:tcMar>
              <w:top w:type="dxa" w:w="80"/>
              <w:left w:type="dxa" w:w="120"/>
              <w:bottom w:type="dxa" w:w="80"/>
              <w:right w:type="dxa" w:w="120"/>
            </w:tcMar>
            <w:vAlign w:val="center"/>
          </w:tcPr>
          <w:p>
            <w:r>
              <w:rPr>
                <w:b w:val="false"/>
                <w:bCs w:val="false"/>
                <w:sz w:val="19"/>
                <w:szCs w:val="19"/>
              </w:rPr>
              <w:t xml:space="preserve">Sim</w:t>
            </w:r>
          </w:p>
        </w:tc>
        <w:tc>
          <w:tcPr>
            <w:tcMar>
              <w:top w:type="dxa" w:w="80"/>
              <w:left w:type="dxa" w:w="120"/>
              <w:bottom w:type="dxa" w:w="80"/>
              <w:right w:type="dxa" w:w="120"/>
            </w:tcMar>
            <w:vAlign w:val="center"/>
          </w:tcPr>
          <w:p>
            <w:r>
              <w:rPr>
                <w:b w:val="false"/>
                <w:bCs w:val="false"/>
                <w:sz w:val="19"/>
                <w:szCs w:val="19"/>
              </w:rPr>
              <w:t xml:space="preserve">Sim</w:t>
            </w:r>
          </w:p>
        </w:tc>
        <w:tc>
          <w:tcPr>
            <w:tcMar>
              <w:top w:type="dxa" w:w="80"/>
              <w:left w:type="dxa" w:w="120"/>
              <w:bottom w:type="dxa" w:w="80"/>
              <w:right w:type="dxa" w:w="120"/>
            </w:tcMar>
            <w:vAlign w:val="center"/>
          </w:tcPr>
          <w:p>
            <w:r>
              <w:rPr>
                <w:b w:val="false"/>
                <w:bCs w:val="false"/>
                <w:sz w:val="19"/>
                <w:szCs w:val="19"/>
              </w:rPr>
              <w:t xml:space="preserve">Sim</w:t>
            </w:r>
          </w:p>
        </w:tc>
        <w:tc>
          <w:tcPr>
            <w:tcMar>
              <w:top w:type="dxa" w:w="80"/>
              <w:left w:type="dxa" w:w="120"/>
              <w:bottom w:type="dxa" w:w="80"/>
              <w:right w:type="dxa" w:w="120"/>
            </w:tcMar>
            <w:vAlign w:val="center"/>
          </w:tcPr>
          <w:p>
            <w:r>
              <w:rPr>
                <w:b w:val="false"/>
                <w:bCs w:val="false"/>
                <w:sz w:val="19"/>
                <w:szCs w:val="19"/>
              </w:rPr>
              <w:t xml:space="preserve">Sim</w:t>
            </w:r>
          </w:p>
        </w:tc>
        <w:tc>
          <w:tcPr>
            <w:tcMar>
              <w:top w:type="dxa" w:w="80"/>
              <w:left w:type="dxa" w:w="120"/>
              <w:bottom w:type="dxa" w:w="80"/>
              <w:right w:type="dxa" w:w="120"/>
            </w:tcMar>
            <w:vAlign w:val="center"/>
          </w:tcPr>
          <w:p>
            <w:r>
              <w:rPr>
                <w:b w:val="false"/>
                <w:bCs w:val="false"/>
                <w:sz w:val="19"/>
                <w:szCs w:val="19"/>
              </w:rPr>
              <w:t xml:space="preserve">ACT — 3 dias + triagem forense</w:t>
            </w:r>
          </w:p>
        </w:tc>
      </w:tr>
      <w:tr>
        <w:tc>
          <w:tcPr>
            <w:tcMar>
              <w:top w:type="dxa" w:w="80"/>
              <w:left w:type="dxa" w:w="120"/>
              <w:bottom w:type="dxa" w:w="80"/>
              <w:right w:type="dxa" w:w="120"/>
            </w:tcMar>
            <w:vAlign w:val="center"/>
          </w:tcPr>
          <w:p>
            <w:r>
              <w:rPr>
                <w:b w:val="false"/>
                <w:bCs w:val="false"/>
                <w:sz w:val="19"/>
                <w:szCs w:val="19"/>
              </w:rPr>
              <w:t xml:space="preserve">Sim</w:t>
            </w:r>
          </w:p>
        </w:tc>
        <w:tc>
          <w:tcPr>
            <w:tcMar>
              <w:top w:type="dxa" w:w="80"/>
              <w:left w:type="dxa" w:w="120"/>
              <w:bottom w:type="dxa" w:w="80"/>
              <w:right w:type="dxa" w:w="120"/>
            </w:tcMar>
            <w:vAlign w:val="center"/>
          </w:tcPr>
          <w:p>
            <w:r>
              <w:rPr>
                <w:b w:val="false"/>
                <w:bCs w:val="false"/>
                <w:sz w:val="19"/>
                <w:szCs w:val="19"/>
              </w:rPr>
              <w:t xml:space="preserve">Sim</w:t>
            </w:r>
          </w:p>
        </w:tc>
        <w:tc>
          <w:tcPr>
            <w:tcMar>
              <w:top w:type="dxa" w:w="80"/>
              <w:left w:type="dxa" w:w="120"/>
              <w:bottom w:type="dxa" w:w="80"/>
              <w:right w:type="dxa" w:w="120"/>
            </w:tcMar>
            <w:vAlign w:val="center"/>
          </w:tcPr>
          <w:p>
            <w:r>
              <w:rPr>
                <w:b w:val="false"/>
                <w:bCs w:val="false"/>
                <w:sz w:val="19"/>
                <w:szCs w:val="19"/>
              </w:rPr>
              <w:t xml:space="preserve">Sim</w:t>
            </w:r>
          </w:p>
        </w:tc>
        <w:tc>
          <w:tcPr>
            <w:tcMar>
              <w:top w:type="dxa" w:w="80"/>
              <w:left w:type="dxa" w:w="120"/>
              <w:bottom w:type="dxa" w:w="80"/>
              <w:right w:type="dxa" w:w="120"/>
            </w:tcMar>
            <w:vAlign w:val="center"/>
          </w:tcPr>
          <w:p>
            <w:r>
              <w:rPr>
                <w:b w:val="false"/>
                <w:bCs w:val="false"/>
                <w:sz w:val="19"/>
                <w:szCs w:val="19"/>
              </w:rPr>
              <w:t xml:space="preserve">Sim</w:t>
            </w:r>
          </w:p>
        </w:tc>
        <w:tc>
          <w:tcPr>
            <w:tcMar>
              <w:top w:type="dxa" w:w="80"/>
              <w:left w:type="dxa" w:w="120"/>
              <w:bottom w:type="dxa" w:w="80"/>
              <w:right w:type="dxa" w:w="120"/>
            </w:tcMar>
            <w:vAlign w:val="center"/>
          </w:tcPr>
          <w:p>
            <w:r>
              <w:rPr>
                <w:b w:val="false"/>
                <w:bCs w:val="false"/>
                <w:sz w:val="19"/>
                <w:szCs w:val="19"/>
              </w:rPr>
              <w:t xml:space="preserve">Não</w:t>
            </w:r>
          </w:p>
        </w:tc>
        <w:tc>
          <w:tcPr>
            <w:tcMar>
              <w:top w:type="dxa" w:w="80"/>
              <w:left w:type="dxa" w:w="120"/>
              <w:bottom w:type="dxa" w:w="80"/>
              <w:right w:type="dxa" w:w="120"/>
            </w:tcMar>
            <w:vAlign w:val="center"/>
          </w:tcPr>
          <w:p>
            <w:r>
              <w:rPr>
                <w:b w:val="false"/>
                <w:bCs w:val="false"/>
                <w:sz w:val="19"/>
                <w:szCs w:val="19"/>
              </w:rPr>
              <w:t xml:space="preserve">ACT — 14 dias</w:t>
            </w:r>
          </w:p>
        </w:tc>
      </w:tr>
      <w:tr>
        <w:tc>
          <w:tcPr>
            <w:tcMar>
              <w:top w:type="dxa" w:w="80"/>
              <w:left w:type="dxa" w:w="120"/>
              <w:bottom w:type="dxa" w:w="80"/>
              <w:right w:type="dxa" w:w="120"/>
            </w:tcMar>
            <w:vAlign w:val="center"/>
          </w:tcPr>
          <w:p>
            <w:r>
              <w:rPr>
                <w:b w:val="false"/>
                <w:bCs w:val="false"/>
                <w:sz w:val="19"/>
                <w:szCs w:val="19"/>
              </w:rPr>
              <w:t xml:space="preserve">Sim</w:t>
            </w:r>
          </w:p>
        </w:tc>
        <w:tc>
          <w:tcPr>
            <w:tcMar>
              <w:top w:type="dxa" w:w="80"/>
              <w:left w:type="dxa" w:w="120"/>
              <w:bottom w:type="dxa" w:w="80"/>
              <w:right w:type="dxa" w:w="120"/>
            </w:tcMar>
            <w:vAlign w:val="center"/>
          </w:tcPr>
          <w:p>
            <w:r>
              <w:rPr>
                <w:b w:val="false"/>
                <w:bCs w:val="false"/>
                <w:sz w:val="19"/>
                <w:szCs w:val="19"/>
              </w:rPr>
              <w:t xml:space="preserve">Sim</w:t>
            </w:r>
          </w:p>
        </w:tc>
        <w:tc>
          <w:tcPr>
            <w:tcMar>
              <w:top w:type="dxa" w:w="80"/>
              <w:left w:type="dxa" w:w="120"/>
              <w:bottom w:type="dxa" w:w="80"/>
              <w:right w:type="dxa" w:w="120"/>
            </w:tcMar>
            <w:vAlign w:val="center"/>
          </w:tcPr>
          <w:p>
            <w:r>
              <w:rPr>
                <w:b w:val="false"/>
                <w:bCs w:val="false"/>
                <w:sz w:val="19"/>
                <w:szCs w:val="19"/>
              </w:rPr>
              <w:t xml:space="preserve">Não</w:t>
            </w:r>
          </w:p>
        </w:tc>
        <w:tc>
          <w:tcPr>
            <w:tcMar>
              <w:top w:type="dxa" w:w="80"/>
              <w:left w:type="dxa" w:w="120"/>
              <w:bottom w:type="dxa" w:w="80"/>
              <w:right w:type="dxa" w:w="120"/>
            </w:tcMar>
            <w:vAlign w:val="center"/>
          </w:tcPr>
          <w:p>
            <w:r>
              <w:rPr>
                <w:b w:val="false"/>
                <w:bCs w:val="false"/>
                <w:sz w:val="19"/>
                <w:szCs w:val="19"/>
              </w:rPr>
              <w:t xml:space="preserve">Sim</w:t>
            </w:r>
          </w:p>
        </w:tc>
        <w:tc>
          <w:tcPr>
            <w:tcMar>
              <w:top w:type="dxa" w:w="80"/>
              <w:left w:type="dxa" w:w="120"/>
              <w:bottom w:type="dxa" w:w="80"/>
              <w:right w:type="dxa" w:w="120"/>
            </w:tcMar>
            <w:vAlign w:val="center"/>
          </w:tcPr>
          <w:p>
            <w:r>
              <w:rPr>
                <w:b w:val="false"/>
                <w:bCs w:val="false"/>
                <w:sz w:val="19"/>
                <w:szCs w:val="19"/>
              </w:rPr>
              <w:t xml:space="preserve">—</w:t>
            </w:r>
          </w:p>
        </w:tc>
        <w:tc>
          <w:tcPr>
            <w:tcMar>
              <w:top w:type="dxa" w:w="80"/>
              <w:left w:type="dxa" w:w="120"/>
              <w:bottom w:type="dxa" w:w="80"/>
              <w:right w:type="dxa" w:w="120"/>
            </w:tcMar>
            <w:vAlign w:val="center"/>
          </w:tcPr>
          <w:p>
            <w:r>
              <w:rPr>
                <w:b w:val="false"/>
                <w:bCs w:val="false"/>
                <w:sz w:val="19"/>
                <w:szCs w:val="19"/>
              </w:rPr>
              <w:t xml:space="preserve">Attend — priorizado</w:t>
            </w:r>
          </w:p>
        </w:tc>
      </w:tr>
    </w:tbl>
    <w:p>
      <w:pPr>
        <w:pStyle w:val="Heading2"/>
        <w:spacing w:after="150" w:before="300"/>
      </w:pPr>
      <w:r>
        <w:t xml:space="preserve">4.3 Árvore de decisão automatizável</w:t>
      </w:r>
    </w:p>
    <w:p>
      <w:pPr>
        <w:spacing w:after="160" w:line="276"/>
      </w:pPr>
      <w:r>
        <w:t xml:space="preserve">Entregue como arquivo separado (arvore-decisao-vulnerabilidades.mermaid), navegável e editável. Resume visualmente a lógica da seção 4.2, incluindo os pontos de automação total (Track/Track*), triagem humana leve (Attend) e trilha de exceção (Act).</w:t>
      </w:r>
    </w:p>
    <w:p>
      <w:pPr>
        <w:pStyle w:val="Heading2"/>
        <w:spacing w:after="150" w:before="300"/>
      </w:pPr>
      <w:r>
        <w:t xml:space="preserve">4.4 Papel de cada ferramenta da stack no modelo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shd w:fill="1F3864" w:val="clear"/>
            <w:tcMar>
              <w:top w:type="dxa" w:w="80"/>
              <w:left w:type="dxa" w:w="120"/>
              <w:bottom w:type="dxa" w:w="80"/>
              <w:right w:type="dxa" w:w="120"/>
            </w:tcMar>
            <w:vAlign w:val="center"/>
          </w:tcPr>
          <w:p>
            <w:r>
              <w:rPr>
                <w:b/>
                <w:bCs/>
                <w:color w:val="FFFFFF"/>
                <w:sz w:val="19"/>
                <w:szCs w:val="19"/>
              </w:rPr>
              <w:t xml:space="preserve">Ferramenta</w:t>
            </w:r>
          </w:p>
        </w:tc>
        <w:tc>
          <w:tcPr>
            <w:tcW w:type="dxa" w:w="7500"/>
            <w:shd w:fill="1F3864" w:val="clear"/>
            <w:tcMar>
              <w:top w:type="dxa" w:w="80"/>
              <w:left w:type="dxa" w:w="120"/>
              <w:bottom w:type="dxa" w:w="80"/>
              <w:right w:type="dxa" w:w="120"/>
            </w:tcMar>
            <w:vAlign w:val="center"/>
          </w:tcPr>
          <w:p>
            <w:r>
              <w:rPr>
                <w:b/>
                <w:bCs/>
                <w:color w:val="FFFFFF"/>
                <w:sz w:val="19"/>
                <w:szCs w:val="19"/>
              </w:rPr>
              <w:t xml:space="preserve">Papel no modelo de decisão</w:t>
            </w:r>
          </w:p>
        </w:tc>
      </w:tr>
      <w:tr>
        <w:tc>
          <w:tcPr>
            <w:tcMar>
              <w:top w:type="dxa" w:w="80"/>
              <w:left w:type="dxa" w:w="120"/>
              <w:bottom w:type="dxa" w:w="80"/>
              <w:right w:type="dxa" w:w="120"/>
            </w:tcMar>
            <w:vAlign w:val="center"/>
          </w:tcPr>
          <w:p>
            <w:r>
              <w:rPr>
                <w:b w:val="false"/>
                <w:bCs w:val="false"/>
                <w:sz w:val="19"/>
                <w:szCs w:val="19"/>
              </w:rPr>
              <w:t xml:space="preserve">Veracode (SAST/SCA)</w:t>
            </w:r>
          </w:p>
        </w:tc>
        <w:tc>
          <w:tcPr>
            <w:tcMar>
              <w:top w:type="dxa" w:w="80"/>
              <w:left w:type="dxa" w:w="120"/>
              <w:bottom w:type="dxa" w:w="80"/>
              <w:right w:type="dxa" w:w="120"/>
            </w:tcMar>
            <w:vAlign w:val="center"/>
          </w:tcPr>
          <w:p>
            <w:r>
              <w:rPr>
                <w:b w:val="false"/>
                <w:bCs w:val="false"/>
                <w:sz w:val="19"/>
                <w:szCs w:val="19"/>
              </w:rPr>
              <w:t xml:space="preserve">Alimenta impacto técnico e criticidade de código-fonte na esteira de CI/CD, antes do deploy. Ponto de controle preventivo — bloqueia introdução de risco antes de virar achado em produção.</w:t>
            </w:r>
          </w:p>
        </w:tc>
      </w:tr>
      <w:tr>
        <w:tc>
          <w:tcPr>
            <w:tcMar>
              <w:top w:type="dxa" w:w="80"/>
              <w:left w:type="dxa" w:w="120"/>
              <w:bottom w:type="dxa" w:w="80"/>
              <w:right w:type="dxa" w:w="120"/>
            </w:tcMar>
            <w:vAlign w:val="center"/>
          </w:tcPr>
          <w:p>
            <w:r>
              <w:rPr>
                <w:b w:val="false"/>
                <w:bCs w:val="false"/>
                <w:sz w:val="19"/>
                <w:szCs w:val="19"/>
              </w:rPr>
              <w:t xml:space="preserve">GitHub Enterprise</w:t>
            </w:r>
          </w:p>
        </w:tc>
        <w:tc>
          <w:tcPr>
            <w:tcMar>
              <w:top w:type="dxa" w:w="80"/>
              <w:left w:type="dxa" w:w="120"/>
              <w:bottom w:type="dxa" w:w="80"/>
              <w:right w:type="dxa" w:w="120"/>
            </w:tcMar>
            <w:vAlign w:val="center"/>
          </w:tcPr>
          <w:p>
            <w:r>
              <w:rPr>
                <w:b w:val="false"/>
                <w:bCs w:val="false"/>
                <w:sz w:val="19"/>
                <w:szCs w:val="19"/>
              </w:rPr>
              <w:t xml:space="preserve">Fonte de contexto de propriedade (dono do repositório/serviço), metadados de branch e pipeline, e gatilho de automação (Actions) para abrir/atualizar tickets e aplicar gates de SAST/SCA.</w:t>
            </w:r>
          </w:p>
        </w:tc>
      </w:tr>
      <w:tr>
        <w:tc>
          <w:tcPr>
            <w:tcMar>
              <w:top w:type="dxa" w:w="80"/>
              <w:left w:type="dxa" w:w="120"/>
              <w:bottom w:type="dxa" w:w="80"/>
              <w:right w:type="dxa" w:w="120"/>
            </w:tcMar>
            <w:vAlign w:val="center"/>
          </w:tcPr>
          <w:p>
            <w:r>
              <w:rPr>
                <w:b w:val="false"/>
                <w:bCs w:val="false"/>
                <w:sz w:val="19"/>
                <w:szCs w:val="19"/>
              </w:rPr>
              <w:t xml:space="preserve">Orca Security</w:t>
            </w:r>
          </w:p>
        </w:tc>
        <w:tc>
          <w:tcPr>
            <w:tcMar>
              <w:top w:type="dxa" w:w="80"/>
              <w:left w:type="dxa" w:w="120"/>
              <w:bottom w:type="dxa" w:w="80"/>
              <w:right w:type="dxa" w:w="120"/>
            </w:tcMar>
            <w:vAlign w:val="center"/>
          </w:tcPr>
          <w:p>
            <w:r>
              <w:rPr>
                <w:b w:val="false"/>
                <w:bCs w:val="false"/>
                <w:sz w:val="19"/>
                <w:szCs w:val="19"/>
              </w:rPr>
              <w:t xml:space="preserve">Fonte primária de exposição em nuvem, misconfiguration, mapeamento de superfície de ataque cloud, CVEs em VMs e SCA de aplicações em execução (runtime). Alimenta exposição, impacto técnico e parte da automação de exploit via contexto de runtime.</w:t>
            </w:r>
          </w:p>
        </w:tc>
      </w:tr>
      <w:tr>
        <w:tc>
          <w:tcPr>
            <w:tcMar>
              <w:top w:type="dxa" w:w="80"/>
              <w:left w:type="dxa" w:w="120"/>
              <w:bottom w:type="dxa" w:w="80"/>
              <w:right w:type="dxa" w:w="120"/>
            </w:tcMar>
            <w:vAlign w:val="center"/>
          </w:tcPr>
          <w:p>
            <w:r>
              <w:rPr>
                <w:b w:val="false"/>
                <w:bCs w:val="false"/>
                <w:sz w:val="19"/>
                <w:szCs w:val="19"/>
              </w:rPr>
              <w:t xml:space="preserve">Tenable</w:t>
            </w:r>
          </w:p>
        </w:tc>
        <w:tc>
          <w:tcPr>
            <w:tcMar>
              <w:top w:type="dxa" w:w="80"/>
              <w:left w:type="dxa" w:w="120"/>
              <w:bottom w:type="dxa" w:w="80"/>
              <w:right w:type="dxa" w:w="120"/>
            </w:tcMar>
            <w:vAlign w:val="center"/>
          </w:tcPr>
          <w:p>
            <w:r>
              <w:rPr>
                <w:b w:val="false"/>
                <w:bCs w:val="false"/>
                <w:sz w:val="19"/>
                <w:szCs w:val="19"/>
              </w:rPr>
              <w:t xml:space="preserve">Fonte primária de exposição e superfície de ataque on-premises, além de varredura de vulnerabilidades em ativos de infraestrutura tradicional (servidores, rede). Alimenta exposição e impacto técnico para o ambiente não-cloud.</w:t>
            </w:r>
          </w:p>
        </w:tc>
      </w:tr>
      <w:tr>
        <w:tc>
          <w:tcPr>
            <w:tcMar>
              <w:top w:type="dxa" w:w="80"/>
              <w:left w:type="dxa" w:w="120"/>
              <w:bottom w:type="dxa" w:w="80"/>
              <w:right w:type="dxa" w:w="120"/>
            </w:tcMar>
            <w:vAlign w:val="center"/>
          </w:tcPr>
          <w:p>
            <w:r>
              <w:rPr>
                <w:b w:val="false"/>
                <w:bCs w:val="false"/>
                <w:sz w:val="19"/>
                <w:szCs w:val="19"/>
              </w:rPr>
              <w:t xml:space="preserve">Feed KEV / Vulnrichment / EPSS (novo)</w:t>
            </w:r>
          </w:p>
        </w:tc>
        <w:tc>
          <w:tcPr>
            <w:tcMar>
              <w:top w:type="dxa" w:w="80"/>
              <w:left w:type="dxa" w:w="120"/>
              <w:bottom w:type="dxa" w:w="80"/>
              <w:right w:type="dxa" w:w="120"/>
            </w:tcMar>
            <w:vAlign w:val="center"/>
          </w:tcPr>
          <w:p>
            <w:r>
              <w:rPr>
                <w:b w:val="false"/>
                <w:bCs w:val="false"/>
                <w:sz w:val="19"/>
                <w:szCs w:val="19"/>
              </w:rPr>
              <w:t xml:space="preserve">Não existe hoje na stack — precisa ser integrado. Alimenta o status KEV e a automação de exploit, os dois sinais que mais mudam a priorização frente ao CVSS isolado.</w:t>
            </w:r>
          </w:p>
        </w:tc>
      </w:tr>
      <w:tr>
        <w:tc>
          <w:tcPr>
            <w:tcMar>
              <w:top w:type="dxa" w:w="80"/>
              <w:left w:type="dxa" w:w="120"/>
              <w:bottom w:type="dxa" w:w="80"/>
              <w:right w:type="dxa" w:w="120"/>
            </w:tcMar>
            <w:vAlign w:val="center"/>
          </w:tcPr>
          <w:p>
            <w:r>
              <w:rPr>
                <w:b w:val="false"/>
                <w:bCs w:val="false"/>
                <w:sz w:val="19"/>
                <w:szCs w:val="19"/>
              </w:rPr>
              <w:t xml:space="preserve">CMDB / ITSM (existente)</w:t>
            </w:r>
          </w:p>
        </w:tc>
        <w:tc>
          <w:tcPr>
            <w:tcMar>
              <w:top w:type="dxa" w:w="80"/>
              <w:left w:type="dxa" w:w="120"/>
              <w:bottom w:type="dxa" w:w="80"/>
              <w:right w:type="dxa" w:w="120"/>
            </w:tcMar>
            <w:vAlign w:val="center"/>
          </w:tcPr>
          <w:p>
            <w:r>
              <w:rPr>
                <w:b w:val="false"/>
                <w:bCs w:val="false"/>
                <w:sz w:val="19"/>
                <w:szCs w:val="19"/>
              </w:rPr>
              <w:t xml:space="preserve">Alimenta criticidade de negócio e roteamento de ticket para o time dono do ativo.</w:t>
            </w:r>
          </w:p>
        </w:tc>
      </w:tr>
    </w:tbl>
    <w:p>
      <w:r>
        <w:br w:type="page"/>
      </w:r>
    </w:p>
    <w:p>
      <w:pPr>
        <w:pStyle w:val="Heading1"/>
        <w:spacing w:after="200" w:before="400"/>
      </w:pPr>
      <w:r>
        <w:t xml:space="preserve">5. Arquitetura de Automação Proposta</w:t>
      </w:r>
    </w:p>
    <w:p>
      <w:pPr>
        <w:pStyle w:val="Heading2"/>
        <w:spacing w:after="150" w:before="300"/>
      </w:pPr>
      <w:r>
        <w:t xml:space="preserve">5.1 Visão geral do pipeline</w:t>
      </w:r>
    </w:p>
    <w:p>
      <w:pPr>
        <w:spacing w:after="160" w:line="276"/>
      </w:pPr>
      <w:r>
        <w:t xml:space="preserve">Ingestão → Deduplicação/Correlação → Enriquecimento (exposição + contexto de negócio) → Motor de decisão (SSVC) → Orquestração (ticket/SLA) → Mitigação/Remediação → Reavaliação contínua → Auditoria/Governança.</w:t>
      </w:r>
    </w:p>
    <w:p>
      <w:pPr>
        <w:spacing w:after="160" w:line="276"/>
      </w:pPr>
      <w:r>
        <w:t xml:space="preserve">Princípio de desenho: tudo que é dado objetivo consultável por API deve ser decidido por máquina; o humano entra apenas nos nós de ambiguidade real (Attend) e nas decisões estratégicas de mitigação/exceção.</w:t>
      </w:r>
    </w:p>
    <w:p>
      <w:pPr>
        <w:pStyle w:val="Heading2"/>
        <w:spacing w:after="150" w:before="300"/>
      </w:pPr>
      <w:r>
        <w:t xml:space="preserve">5.2 Lista completa de agentes e automações</w:t>
      </w:r>
    </w:p>
    <w:p>
      <w:pPr>
        <w:spacing w:after="160" w:line="276"/>
      </w:pPr>
      <w:r>
        <w:t xml:space="preserve">Tabela de escopo completo. "Criar" indica componente novo; "Adaptar" indica reaproveitamento de automação/API já existente na stack atual.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
        <w:gridCol w:w="2300"/>
        <w:gridCol w:w="3300"/>
        <w:gridCol w:w="1900"/>
        <w:gridCol w:w="1150"/>
      </w:tblGrid>
      <w:tr>
        <w:tc>
          <w:tcPr>
            <w:tcW w:type="dxa" w:w="350"/>
            <w:shd w:fill="1F3864" w:val="clear"/>
            <w:tcMar>
              <w:top w:type="dxa" w:w="80"/>
              <w:left w:type="dxa" w:w="120"/>
              <w:bottom w:type="dxa" w:w="80"/>
              <w:right w:type="dxa" w:w="120"/>
            </w:tcMar>
            <w:vAlign w:val="center"/>
          </w:tcPr>
          <w:p>
            <w:r>
              <w:rPr>
                <w:b/>
                <w:bCs/>
                <w:color w:val="FFFFFF"/>
                <w:sz w:val="19"/>
                <w:szCs w:val="19"/>
              </w:rPr>
              <w:t xml:space="preserve">#</w:t>
            </w:r>
          </w:p>
        </w:tc>
        <w:tc>
          <w:tcPr>
            <w:tcW w:type="dxa" w:w="2300"/>
            <w:shd w:fill="1F3864" w:val="clear"/>
            <w:tcMar>
              <w:top w:type="dxa" w:w="80"/>
              <w:left w:type="dxa" w:w="120"/>
              <w:bottom w:type="dxa" w:w="80"/>
              <w:right w:type="dxa" w:w="120"/>
            </w:tcMar>
            <w:vAlign w:val="center"/>
          </w:tcPr>
          <w:p>
            <w:r>
              <w:rPr>
                <w:b/>
                <w:bCs/>
                <w:color w:val="FFFFFF"/>
                <w:sz w:val="19"/>
                <w:szCs w:val="19"/>
              </w:rPr>
              <w:t xml:space="preserve">Agente / Automação</w:t>
            </w:r>
          </w:p>
        </w:tc>
        <w:tc>
          <w:tcPr>
            <w:tcW w:type="dxa" w:w="3300"/>
            <w:shd w:fill="1F3864" w:val="clear"/>
            <w:tcMar>
              <w:top w:type="dxa" w:w="80"/>
              <w:left w:type="dxa" w:w="120"/>
              <w:bottom w:type="dxa" w:w="80"/>
              <w:right w:type="dxa" w:w="120"/>
            </w:tcMar>
            <w:vAlign w:val="center"/>
          </w:tcPr>
          <w:p>
            <w:r>
              <w:rPr>
                <w:b/>
                <w:bCs/>
                <w:color w:val="FFFFFF"/>
                <w:sz w:val="19"/>
                <w:szCs w:val="19"/>
              </w:rPr>
              <w:t xml:space="preserve">Função</w:t>
            </w:r>
          </w:p>
        </w:tc>
        <w:tc>
          <w:tcPr>
            <w:tcW w:type="dxa" w:w="1900"/>
            <w:shd w:fill="1F3864" w:val="clear"/>
            <w:tcMar>
              <w:top w:type="dxa" w:w="80"/>
              <w:left w:type="dxa" w:w="120"/>
              <w:bottom w:type="dxa" w:w="80"/>
              <w:right w:type="dxa" w:w="120"/>
            </w:tcMar>
            <w:vAlign w:val="center"/>
          </w:tcPr>
          <w:p>
            <w:r>
              <w:rPr>
                <w:b/>
                <w:bCs/>
                <w:color w:val="FFFFFF"/>
                <w:sz w:val="19"/>
                <w:szCs w:val="19"/>
              </w:rPr>
              <w:t xml:space="preserve">Integração necessária</w:t>
            </w:r>
          </w:p>
        </w:tc>
        <w:tc>
          <w:tcPr>
            <w:tcW w:type="dxa" w:w="1150"/>
            <w:shd w:fill="1F3864" w:val="clear"/>
            <w:tcMar>
              <w:top w:type="dxa" w:w="80"/>
              <w:left w:type="dxa" w:w="120"/>
              <w:bottom w:type="dxa" w:w="80"/>
              <w:right w:type="dxa" w:w="120"/>
            </w:tcMar>
            <w:vAlign w:val="center"/>
          </w:tcPr>
          <w:p>
            <w:r>
              <w:rPr>
                <w:b/>
                <w:bCs/>
                <w:color w:val="FFFFFF"/>
                <w:sz w:val="19"/>
                <w:szCs w:val="19"/>
              </w:rPr>
              <w:t xml:space="preserve">Status</w:t>
            </w:r>
          </w:p>
        </w:tc>
      </w:tr>
      <w:tr>
        <w:tc>
          <w:tcPr>
            <w:tcMar>
              <w:top w:type="dxa" w:w="80"/>
              <w:left w:type="dxa" w:w="120"/>
              <w:bottom w:type="dxa" w:w="80"/>
              <w:right w:type="dxa" w:w="120"/>
            </w:tcMar>
            <w:vAlign w:val="center"/>
          </w:tcPr>
          <w:p>
            <w:r>
              <w:rPr>
                <w:b w:val="false"/>
                <w:bCs w:val="false"/>
                <w:sz w:val="19"/>
                <w:szCs w:val="19"/>
              </w:rPr>
              <w:t xml:space="preserve">1</w:t>
            </w:r>
          </w:p>
        </w:tc>
        <w:tc>
          <w:tcPr>
            <w:tcMar>
              <w:top w:type="dxa" w:w="80"/>
              <w:left w:type="dxa" w:w="120"/>
              <w:bottom w:type="dxa" w:w="80"/>
              <w:right w:type="dxa" w:w="120"/>
            </w:tcMar>
            <w:vAlign w:val="center"/>
          </w:tcPr>
          <w:p>
            <w:r>
              <w:rPr>
                <w:b w:val="false"/>
                <w:bCs w:val="false"/>
                <w:sz w:val="19"/>
                <w:szCs w:val="19"/>
              </w:rPr>
              <w:t xml:space="preserve">Conector de Ingestão — Veracode</w:t>
            </w:r>
          </w:p>
        </w:tc>
        <w:tc>
          <w:tcPr>
            <w:tcMar>
              <w:top w:type="dxa" w:w="80"/>
              <w:left w:type="dxa" w:w="120"/>
              <w:bottom w:type="dxa" w:w="80"/>
              <w:right w:type="dxa" w:w="120"/>
            </w:tcMar>
            <w:vAlign w:val="center"/>
          </w:tcPr>
          <w:p>
            <w:r>
              <w:rPr>
                <w:b w:val="false"/>
                <w:bCs w:val="false"/>
                <w:sz w:val="19"/>
                <w:szCs w:val="19"/>
              </w:rPr>
              <w:t xml:space="preserve">Coleta achados SAST/SCA da esteira (severidade, componente, repositório).</w:t>
            </w:r>
          </w:p>
        </w:tc>
        <w:tc>
          <w:tcPr>
            <w:tcMar>
              <w:top w:type="dxa" w:w="80"/>
              <w:left w:type="dxa" w:w="120"/>
              <w:bottom w:type="dxa" w:w="80"/>
              <w:right w:type="dxa" w:w="120"/>
            </w:tcMar>
            <w:vAlign w:val="center"/>
          </w:tcPr>
          <w:p>
            <w:r>
              <w:rPr>
                <w:b w:val="false"/>
                <w:bCs w:val="false"/>
                <w:sz w:val="19"/>
                <w:szCs w:val="19"/>
              </w:rPr>
              <w:t xml:space="preserve">API Veracode</w:t>
            </w:r>
          </w:p>
        </w:tc>
        <w:tc>
          <w:tcPr>
            <w:tcMar>
              <w:top w:type="dxa" w:w="80"/>
              <w:left w:type="dxa" w:w="120"/>
              <w:bottom w:type="dxa" w:w="80"/>
              <w:right w:type="dxa" w:w="120"/>
            </w:tcMar>
            <w:vAlign w:val="center"/>
          </w:tcPr>
          <w:p>
            <w:r>
              <w:rPr>
                <w:b w:val="false"/>
                <w:bCs w:val="false"/>
                <w:sz w:val="19"/>
                <w:szCs w:val="19"/>
              </w:rPr>
              <w:t xml:space="preserve">Adaptar</w:t>
            </w:r>
          </w:p>
        </w:tc>
      </w:tr>
      <w:tr>
        <w:tc>
          <w:tcPr>
            <w:tcMar>
              <w:top w:type="dxa" w:w="80"/>
              <w:left w:type="dxa" w:w="120"/>
              <w:bottom w:type="dxa" w:w="80"/>
              <w:right w:type="dxa" w:w="120"/>
            </w:tcMar>
            <w:vAlign w:val="center"/>
          </w:tcPr>
          <w:p>
            <w:r>
              <w:rPr>
                <w:b w:val="false"/>
                <w:bCs w:val="false"/>
                <w:sz w:val="19"/>
                <w:szCs w:val="19"/>
              </w:rPr>
              <w:t xml:space="preserve">2</w:t>
            </w:r>
          </w:p>
        </w:tc>
        <w:tc>
          <w:tcPr>
            <w:tcMar>
              <w:top w:type="dxa" w:w="80"/>
              <w:left w:type="dxa" w:w="120"/>
              <w:bottom w:type="dxa" w:w="80"/>
              <w:right w:type="dxa" w:w="120"/>
            </w:tcMar>
            <w:vAlign w:val="center"/>
          </w:tcPr>
          <w:p>
            <w:r>
              <w:rPr>
                <w:b w:val="false"/>
                <w:bCs w:val="false"/>
                <w:sz w:val="19"/>
                <w:szCs w:val="19"/>
              </w:rPr>
              <w:t xml:space="preserve">Conector de Ingestão — GitHub</w:t>
            </w:r>
          </w:p>
        </w:tc>
        <w:tc>
          <w:tcPr>
            <w:tcMar>
              <w:top w:type="dxa" w:w="80"/>
              <w:left w:type="dxa" w:w="120"/>
              <w:bottom w:type="dxa" w:w="80"/>
              <w:right w:type="dxa" w:w="120"/>
            </w:tcMar>
            <w:vAlign w:val="center"/>
          </w:tcPr>
          <w:p>
            <w:r>
              <w:rPr>
                <w:b w:val="false"/>
                <w:bCs w:val="false"/>
                <w:sz w:val="19"/>
                <w:szCs w:val="19"/>
              </w:rPr>
              <w:t xml:space="preserve">Coleta metadados de repositório, dono, branch, status de pipeline.</w:t>
            </w:r>
          </w:p>
        </w:tc>
        <w:tc>
          <w:tcPr>
            <w:tcMar>
              <w:top w:type="dxa" w:w="80"/>
              <w:left w:type="dxa" w:w="120"/>
              <w:bottom w:type="dxa" w:w="80"/>
              <w:right w:type="dxa" w:w="120"/>
            </w:tcMar>
            <w:vAlign w:val="center"/>
          </w:tcPr>
          <w:p>
            <w:r>
              <w:rPr>
                <w:b w:val="false"/>
                <w:bCs w:val="false"/>
                <w:sz w:val="19"/>
                <w:szCs w:val="19"/>
              </w:rPr>
              <w:t xml:space="preserve">API GitHub Enterprise / Actions</w:t>
            </w:r>
          </w:p>
        </w:tc>
        <w:tc>
          <w:tcPr>
            <w:tcMar>
              <w:top w:type="dxa" w:w="80"/>
              <w:left w:type="dxa" w:w="120"/>
              <w:bottom w:type="dxa" w:w="80"/>
              <w:right w:type="dxa" w:w="120"/>
            </w:tcMar>
            <w:vAlign w:val="center"/>
          </w:tcPr>
          <w:p>
            <w:r>
              <w:rPr>
                <w:b w:val="false"/>
                <w:bCs w:val="false"/>
                <w:sz w:val="19"/>
                <w:szCs w:val="19"/>
              </w:rPr>
              <w:t xml:space="preserve">Adaptar</w:t>
            </w:r>
          </w:p>
        </w:tc>
      </w:tr>
      <w:tr>
        <w:tc>
          <w:tcPr>
            <w:tcMar>
              <w:top w:type="dxa" w:w="80"/>
              <w:left w:type="dxa" w:w="120"/>
              <w:bottom w:type="dxa" w:w="80"/>
              <w:right w:type="dxa" w:w="120"/>
            </w:tcMar>
            <w:vAlign w:val="center"/>
          </w:tcPr>
          <w:p>
            <w:r>
              <w:rPr>
                <w:b w:val="false"/>
                <w:bCs w:val="false"/>
                <w:sz w:val="19"/>
                <w:szCs w:val="19"/>
              </w:rPr>
              <w:t xml:space="preserve">3</w:t>
            </w:r>
          </w:p>
        </w:tc>
        <w:tc>
          <w:tcPr>
            <w:tcMar>
              <w:top w:type="dxa" w:w="80"/>
              <w:left w:type="dxa" w:w="120"/>
              <w:bottom w:type="dxa" w:w="80"/>
              <w:right w:type="dxa" w:w="120"/>
            </w:tcMar>
            <w:vAlign w:val="center"/>
          </w:tcPr>
          <w:p>
            <w:r>
              <w:rPr>
                <w:b w:val="false"/>
                <w:bCs w:val="false"/>
                <w:sz w:val="19"/>
                <w:szCs w:val="19"/>
              </w:rPr>
              <w:t xml:space="preserve">Conector de Ingestão — Orca</w:t>
            </w:r>
          </w:p>
        </w:tc>
        <w:tc>
          <w:tcPr>
            <w:tcMar>
              <w:top w:type="dxa" w:w="80"/>
              <w:left w:type="dxa" w:w="120"/>
              <w:bottom w:type="dxa" w:w="80"/>
              <w:right w:type="dxa" w:w="120"/>
            </w:tcMar>
            <w:vAlign w:val="center"/>
          </w:tcPr>
          <w:p>
            <w:r>
              <w:rPr>
                <w:b w:val="false"/>
                <w:bCs w:val="false"/>
                <w:sz w:val="19"/>
                <w:szCs w:val="19"/>
              </w:rPr>
              <w:t xml:space="preserve">Coleta exposição cloud, misconfiguration, CVEs em VM e SCA runtime.</w:t>
            </w:r>
          </w:p>
        </w:tc>
        <w:tc>
          <w:tcPr>
            <w:tcMar>
              <w:top w:type="dxa" w:w="80"/>
              <w:left w:type="dxa" w:w="120"/>
              <w:bottom w:type="dxa" w:w="80"/>
              <w:right w:type="dxa" w:w="120"/>
            </w:tcMar>
            <w:vAlign w:val="center"/>
          </w:tcPr>
          <w:p>
            <w:r>
              <w:rPr>
                <w:b w:val="false"/>
                <w:bCs w:val="false"/>
                <w:sz w:val="19"/>
                <w:szCs w:val="19"/>
              </w:rPr>
              <w:t xml:space="preserve">API Orca Security</w:t>
            </w:r>
          </w:p>
        </w:tc>
        <w:tc>
          <w:tcPr>
            <w:tcMar>
              <w:top w:type="dxa" w:w="80"/>
              <w:left w:type="dxa" w:w="120"/>
              <w:bottom w:type="dxa" w:w="80"/>
              <w:right w:type="dxa" w:w="120"/>
            </w:tcMar>
            <w:vAlign w:val="center"/>
          </w:tcPr>
          <w:p>
            <w:r>
              <w:rPr>
                <w:b w:val="false"/>
                <w:bCs w:val="false"/>
                <w:sz w:val="19"/>
                <w:szCs w:val="19"/>
              </w:rPr>
              <w:t xml:space="preserve">Adaptar</w:t>
            </w:r>
          </w:p>
        </w:tc>
      </w:tr>
      <w:tr>
        <w:tc>
          <w:tcPr>
            <w:tcMar>
              <w:top w:type="dxa" w:w="80"/>
              <w:left w:type="dxa" w:w="120"/>
              <w:bottom w:type="dxa" w:w="80"/>
              <w:right w:type="dxa" w:w="120"/>
            </w:tcMar>
            <w:vAlign w:val="center"/>
          </w:tcPr>
          <w:p>
            <w:r>
              <w:rPr>
                <w:b w:val="false"/>
                <w:bCs w:val="false"/>
                <w:sz w:val="19"/>
                <w:szCs w:val="19"/>
              </w:rPr>
              <w:t xml:space="preserve">4</w:t>
            </w:r>
          </w:p>
        </w:tc>
        <w:tc>
          <w:tcPr>
            <w:tcMar>
              <w:top w:type="dxa" w:w="80"/>
              <w:left w:type="dxa" w:w="120"/>
              <w:bottom w:type="dxa" w:w="80"/>
              <w:right w:type="dxa" w:w="120"/>
            </w:tcMar>
            <w:vAlign w:val="center"/>
          </w:tcPr>
          <w:p>
            <w:r>
              <w:rPr>
                <w:b w:val="false"/>
                <w:bCs w:val="false"/>
                <w:sz w:val="19"/>
                <w:szCs w:val="19"/>
              </w:rPr>
              <w:t xml:space="preserve">Conector de Ingestão — Tenable</w:t>
            </w:r>
          </w:p>
        </w:tc>
        <w:tc>
          <w:tcPr>
            <w:tcMar>
              <w:top w:type="dxa" w:w="80"/>
              <w:left w:type="dxa" w:w="120"/>
              <w:bottom w:type="dxa" w:w="80"/>
              <w:right w:type="dxa" w:w="120"/>
            </w:tcMar>
            <w:vAlign w:val="center"/>
          </w:tcPr>
          <w:p>
            <w:r>
              <w:rPr>
                <w:b w:val="false"/>
                <w:bCs w:val="false"/>
                <w:sz w:val="19"/>
                <w:szCs w:val="19"/>
              </w:rPr>
              <w:t xml:space="preserve">Coleta vulnerabilidades on-prem e dados de superfície de ataque.</w:t>
            </w:r>
          </w:p>
        </w:tc>
        <w:tc>
          <w:tcPr>
            <w:tcMar>
              <w:top w:type="dxa" w:w="80"/>
              <w:left w:type="dxa" w:w="120"/>
              <w:bottom w:type="dxa" w:w="80"/>
              <w:right w:type="dxa" w:w="120"/>
            </w:tcMar>
            <w:vAlign w:val="center"/>
          </w:tcPr>
          <w:p>
            <w:r>
              <w:rPr>
                <w:b w:val="false"/>
                <w:bCs w:val="false"/>
                <w:sz w:val="19"/>
                <w:szCs w:val="19"/>
              </w:rPr>
              <w:t xml:space="preserve">API Tenable.io/.sc</w:t>
            </w:r>
          </w:p>
        </w:tc>
        <w:tc>
          <w:tcPr>
            <w:tcMar>
              <w:top w:type="dxa" w:w="80"/>
              <w:left w:type="dxa" w:w="120"/>
              <w:bottom w:type="dxa" w:w="80"/>
              <w:right w:type="dxa" w:w="120"/>
            </w:tcMar>
            <w:vAlign w:val="center"/>
          </w:tcPr>
          <w:p>
            <w:r>
              <w:rPr>
                <w:b w:val="false"/>
                <w:bCs w:val="false"/>
                <w:sz w:val="19"/>
                <w:szCs w:val="19"/>
              </w:rPr>
              <w:t xml:space="preserve">Adaptar</w:t>
            </w:r>
          </w:p>
        </w:tc>
      </w:tr>
      <w:tr>
        <w:tc>
          <w:tcPr>
            <w:tcMar>
              <w:top w:type="dxa" w:w="80"/>
              <w:left w:type="dxa" w:w="120"/>
              <w:bottom w:type="dxa" w:w="80"/>
              <w:right w:type="dxa" w:w="120"/>
            </w:tcMar>
            <w:vAlign w:val="center"/>
          </w:tcPr>
          <w:p>
            <w:r>
              <w:rPr>
                <w:b w:val="false"/>
                <w:bCs w:val="false"/>
                <w:sz w:val="19"/>
                <w:szCs w:val="19"/>
              </w:rPr>
              <w:t xml:space="preserve">5</w:t>
            </w:r>
          </w:p>
        </w:tc>
        <w:tc>
          <w:tcPr>
            <w:tcMar>
              <w:top w:type="dxa" w:w="80"/>
              <w:left w:type="dxa" w:w="120"/>
              <w:bottom w:type="dxa" w:w="80"/>
              <w:right w:type="dxa" w:w="120"/>
            </w:tcMar>
            <w:vAlign w:val="center"/>
          </w:tcPr>
          <w:p>
            <w:r>
              <w:rPr>
                <w:b w:val="false"/>
                <w:bCs w:val="false"/>
                <w:sz w:val="19"/>
                <w:szCs w:val="19"/>
              </w:rPr>
              <w:t xml:space="preserve">Conector de Ingestão — Feed KEV/Vulnrichment/EPSS</w:t>
            </w:r>
          </w:p>
        </w:tc>
        <w:tc>
          <w:tcPr>
            <w:tcMar>
              <w:top w:type="dxa" w:w="80"/>
              <w:left w:type="dxa" w:w="120"/>
              <w:bottom w:type="dxa" w:w="80"/>
              <w:right w:type="dxa" w:w="120"/>
            </w:tcMar>
            <w:vAlign w:val="center"/>
          </w:tcPr>
          <w:p>
            <w:r>
              <w:rPr>
                <w:b w:val="false"/>
                <w:bCs w:val="false"/>
                <w:sz w:val="19"/>
                <w:szCs w:val="19"/>
              </w:rPr>
              <w:t xml:space="preserve">Traz status de exploração confirmada e score de automação de exploit por CVE.</w:t>
            </w:r>
          </w:p>
        </w:tc>
        <w:tc>
          <w:tcPr>
            <w:tcMar>
              <w:top w:type="dxa" w:w="80"/>
              <w:left w:type="dxa" w:w="120"/>
              <w:bottom w:type="dxa" w:w="80"/>
              <w:right w:type="dxa" w:w="120"/>
            </w:tcMar>
            <w:vAlign w:val="center"/>
          </w:tcPr>
          <w:p>
            <w:r>
              <w:rPr>
                <w:b w:val="false"/>
                <w:bCs w:val="false"/>
                <w:sz w:val="19"/>
                <w:szCs w:val="19"/>
              </w:rPr>
              <w:t xml:space="preserve">API pública CISA/FIRST (novo)</w:t>
            </w:r>
          </w:p>
        </w:tc>
        <w:tc>
          <w:tcPr>
            <w:tcMar>
              <w:top w:type="dxa" w:w="80"/>
              <w:left w:type="dxa" w:w="120"/>
              <w:bottom w:type="dxa" w:w="80"/>
              <w:right w:type="dxa" w:w="120"/>
            </w:tcMar>
            <w:vAlign w:val="center"/>
          </w:tcPr>
          <w:p>
            <w:r>
              <w:rPr>
                <w:b w:val="false"/>
                <w:bCs w:val="false"/>
                <w:sz w:val="19"/>
                <w:szCs w:val="19"/>
              </w:rPr>
              <w:t xml:space="preserve">Criar</w:t>
            </w:r>
          </w:p>
        </w:tc>
      </w:tr>
      <w:tr>
        <w:tc>
          <w:tcPr>
            <w:tcMar>
              <w:top w:type="dxa" w:w="80"/>
              <w:left w:type="dxa" w:w="120"/>
              <w:bottom w:type="dxa" w:w="80"/>
              <w:right w:type="dxa" w:w="120"/>
            </w:tcMar>
            <w:vAlign w:val="center"/>
          </w:tcPr>
          <w:p>
            <w:r>
              <w:rPr>
                <w:b w:val="false"/>
                <w:bCs w:val="false"/>
                <w:sz w:val="19"/>
                <w:szCs w:val="19"/>
              </w:rPr>
              <w:t xml:space="preserve">6</w:t>
            </w:r>
          </w:p>
        </w:tc>
        <w:tc>
          <w:tcPr>
            <w:tcMar>
              <w:top w:type="dxa" w:w="80"/>
              <w:left w:type="dxa" w:w="120"/>
              <w:bottom w:type="dxa" w:w="80"/>
              <w:right w:type="dxa" w:w="120"/>
            </w:tcMar>
            <w:vAlign w:val="center"/>
          </w:tcPr>
          <w:p>
            <w:r>
              <w:rPr>
                <w:b w:val="false"/>
                <w:bCs w:val="false"/>
                <w:sz w:val="19"/>
                <w:szCs w:val="19"/>
              </w:rPr>
              <w:t xml:space="preserve">Agente de Deduplicação/Correlação</w:t>
            </w:r>
          </w:p>
        </w:tc>
        <w:tc>
          <w:tcPr>
            <w:tcMar>
              <w:top w:type="dxa" w:w="80"/>
              <w:left w:type="dxa" w:w="120"/>
              <w:bottom w:type="dxa" w:w="80"/>
              <w:right w:type="dxa" w:w="120"/>
            </w:tcMar>
            <w:vAlign w:val="center"/>
          </w:tcPr>
          <w:p>
            <w:r>
              <w:rPr>
                <w:b w:val="false"/>
                <w:bCs w:val="false"/>
                <w:sz w:val="19"/>
                <w:szCs w:val="19"/>
              </w:rPr>
              <w:t xml:space="preserve">Normaliza achados das 4 fontes por CVE + ativo, elimina duplicidade de ticket para o mesmo risco visto por ferramentas diferentes.</w:t>
            </w:r>
          </w:p>
        </w:tc>
        <w:tc>
          <w:tcPr>
            <w:tcMar>
              <w:top w:type="dxa" w:w="80"/>
              <w:left w:type="dxa" w:w="120"/>
              <w:bottom w:type="dxa" w:w="80"/>
              <w:right w:type="dxa" w:w="120"/>
            </w:tcMar>
            <w:vAlign w:val="center"/>
          </w:tcPr>
          <w:p>
            <w:r>
              <w:rPr>
                <w:b w:val="false"/>
                <w:bCs w:val="false"/>
                <w:sz w:val="19"/>
                <w:szCs w:val="19"/>
              </w:rPr>
              <w:t xml:space="preserve">Serviço interno (rules/matching)</w:t>
            </w:r>
          </w:p>
        </w:tc>
        <w:tc>
          <w:tcPr>
            <w:tcMar>
              <w:top w:type="dxa" w:w="80"/>
              <w:left w:type="dxa" w:w="120"/>
              <w:bottom w:type="dxa" w:w="80"/>
              <w:right w:type="dxa" w:w="120"/>
            </w:tcMar>
            <w:vAlign w:val="center"/>
          </w:tcPr>
          <w:p>
            <w:r>
              <w:rPr>
                <w:b w:val="false"/>
                <w:bCs w:val="false"/>
                <w:sz w:val="19"/>
                <w:szCs w:val="19"/>
              </w:rPr>
              <w:t xml:space="preserve">Criar</w:t>
            </w:r>
          </w:p>
        </w:tc>
      </w:tr>
      <w:tr>
        <w:tc>
          <w:tcPr>
            <w:tcMar>
              <w:top w:type="dxa" w:w="80"/>
              <w:left w:type="dxa" w:w="120"/>
              <w:bottom w:type="dxa" w:w="80"/>
              <w:right w:type="dxa" w:w="120"/>
            </w:tcMar>
            <w:vAlign w:val="center"/>
          </w:tcPr>
          <w:p>
            <w:r>
              <w:rPr>
                <w:b w:val="false"/>
                <w:bCs w:val="false"/>
                <w:sz w:val="19"/>
                <w:szCs w:val="19"/>
              </w:rPr>
              <w:t xml:space="preserve">7</w:t>
            </w:r>
          </w:p>
        </w:tc>
        <w:tc>
          <w:tcPr>
            <w:tcMar>
              <w:top w:type="dxa" w:w="80"/>
              <w:left w:type="dxa" w:w="120"/>
              <w:bottom w:type="dxa" w:w="80"/>
              <w:right w:type="dxa" w:w="120"/>
            </w:tcMar>
            <w:vAlign w:val="center"/>
          </w:tcPr>
          <w:p>
            <w:r>
              <w:rPr>
                <w:b w:val="false"/>
                <w:bCs w:val="false"/>
                <w:sz w:val="19"/>
                <w:szCs w:val="19"/>
              </w:rPr>
              <w:t xml:space="preserve">Agente de Enriquecimento de Exposição</w:t>
            </w:r>
          </w:p>
        </w:tc>
        <w:tc>
          <w:tcPr>
            <w:tcMar>
              <w:top w:type="dxa" w:w="80"/>
              <w:left w:type="dxa" w:w="120"/>
              <w:bottom w:type="dxa" w:w="80"/>
              <w:right w:type="dxa" w:w="120"/>
            </w:tcMar>
            <w:vAlign w:val="center"/>
          </w:tcPr>
          <w:p>
            <w:r>
              <w:rPr>
                <w:b w:val="false"/>
                <w:bCs w:val="false"/>
                <w:sz w:val="19"/>
                <w:szCs w:val="19"/>
              </w:rPr>
              <w:t xml:space="preserve">Funde sinais de Orca (cloud) e Tenable (on-prem) em uma flag única de "exposição pública" por ativo.</w:t>
            </w:r>
          </w:p>
        </w:tc>
        <w:tc>
          <w:tcPr>
            <w:tcMar>
              <w:top w:type="dxa" w:w="80"/>
              <w:left w:type="dxa" w:w="120"/>
              <w:bottom w:type="dxa" w:w="80"/>
              <w:right w:type="dxa" w:w="120"/>
            </w:tcMar>
            <w:vAlign w:val="center"/>
          </w:tcPr>
          <w:p>
            <w:r>
              <w:rPr>
                <w:b w:val="false"/>
                <w:bCs w:val="false"/>
                <w:sz w:val="19"/>
                <w:szCs w:val="19"/>
              </w:rPr>
              <w:t xml:space="preserve">Serviço interno</w:t>
            </w:r>
          </w:p>
        </w:tc>
        <w:tc>
          <w:tcPr>
            <w:tcMar>
              <w:top w:type="dxa" w:w="80"/>
              <w:left w:type="dxa" w:w="120"/>
              <w:bottom w:type="dxa" w:w="80"/>
              <w:right w:type="dxa" w:w="120"/>
            </w:tcMar>
            <w:vAlign w:val="center"/>
          </w:tcPr>
          <w:p>
            <w:r>
              <w:rPr>
                <w:b w:val="false"/>
                <w:bCs w:val="false"/>
                <w:sz w:val="19"/>
                <w:szCs w:val="19"/>
              </w:rPr>
              <w:t xml:space="preserve">Criar</w:t>
            </w:r>
          </w:p>
        </w:tc>
      </w:tr>
      <w:tr>
        <w:tc>
          <w:tcPr>
            <w:tcMar>
              <w:top w:type="dxa" w:w="80"/>
              <w:left w:type="dxa" w:w="120"/>
              <w:bottom w:type="dxa" w:w="80"/>
              <w:right w:type="dxa" w:w="120"/>
            </w:tcMar>
            <w:vAlign w:val="center"/>
          </w:tcPr>
          <w:p>
            <w:r>
              <w:rPr>
                <w:b w:val="false"/>
                <w:bCs w:val="false"/>
                <w:sz w:val="19"/>
                <w:szCs w:val="19"/>
              </w:rPr>
              <w:t xml:space="preserve">8</w:t>
            </w:r>
          </w:p>
        </w:tc>
        <w:tc>
          <w:tcPr>
            <w:tcMar>
              <w:top w:type="dxa" w:w="80"/>
              <w:left w:type="dxa" w:w="120"/>
              <w:bottom w:type="dxa" w:w="80"/>
              <w:right w:type="dxa" w:w="120"/>
            </w:tcMar>
            <w:vAlign w:val="center"/>
          </w:tcPr>
          <w:p>
            <w:r>
              <w:rPr>
                <w:b w:val="false"/>
                <w:bCs w:val="false"/>
                <w:sz w:val="19"/>
                <w:szCs w:val="19"/>
              </w:rPr>
              <w:t xml:space="preserve">Agente de Enriquecimento de Contexto de Negócio</w:t>
            </w:r>
          </w:p>
        </w:tc>
        <w:tc>
          <w:tcPr>
            <w:tcMar>
              <w:top w:type="dxa" w:w="80"/>
              <w:left w:type="dxa" w:w="120"/>
              <w:bottom w:type="dxa" w:w="80"/>
              <w:right w:type="dxa" w:w="120"/>
            </w:tcMar>
            <w:vAlign w:val="center"/>
          </w:tcPr>
          <w:p>
            <w:r>
              <w:rPr>
                <w:b w:val="false"/>
                <w:bCs w:val="false"/>
                <w:sz w:val="19"/>
                <w:szCs w:val="19"/>
              </w:rPr>
              <w:t xml:space="preserve">Anexa criticidade, dono e escopo PCI a partir do CMDB/ITSM.</w:t>
            </w:r>
          </w:p>
        </w:tc>
        <w:tc>
          <w:tcPr>
            <w:tcMar>
              <w:top w:type="dxa" w:w="80"/>
              <w:left w:type="dxa" w:w="120"/>
              <w:bottom w:type="dxa" w:w="80"/>
              <w:right w:type="dxa" w:w="120"/>
            </w:tcMar>
            <w:vAlign w:val="center"/>
          </w:tcPr>
          <w:p>
            <w:r>
              <w:rPr>
                <w:b w:val="false"/>
                <w:bCs w:val="false"/>
                <w:sz w:val="19"/>
                <w:szCs w:val="19"/>
              </w:rPr>
              <w:t xml:space="preserve">API CMDB/ITSM existente</w:t>
            </w:r>
          </w:p>
        </w:tc>
        <w:tc>
          <w:tcPr>
            <w:tcMar>
              <w:top w:type="dxa" w:w="80"/>
              <w:left w:type="dxa" w:w="120"/>
              <w:bottom w:type="dxa" w:w="80"/>
              <w:right w:type="dxa" w:w="120"/>
            </w:tcMar>
            <w:vAlign w:val="center"/>
          </w:tcPr>
          <w:p>
            <w:r>
              <w:rPr>
                <w:b w:val="false"/>
                <w:bCs w:val="false"/>
                <w:sz w:val="19"/>
                <w:szCs w:val="19"/>
              </w:rPr>
              <w:t xml:space="preserve">Adaptar</w:t>
            </w:r>
          </w:p>
        </w:tc>
      </w:tr>
      <w:tr>
        <w:tc>
          <w:tcPr>
            <w:tcMar>
              <w:top w:type="dxa" w:w="80"/>
              <w:left w:type="dxa" w:w="120"/>
              <w:bottom w:type="dxa" w:w="80"/>
              <w:right w:type="dxa" w:w="120"/>
            </w:tcMar>
            <w:vAlign w:val="center"/>
          </w:tcPr>
          <w:p>
            <w:r>
              <w:rPr>
                <w:b w:val="false"/>
                <w:bCs w:val="false"/>
                <w:sz w:val="19"/>
                <w:szCs w:val="19"/>
              </w:rPr>
              <w:t xml:space="preserve">9</w:t>
            </w:r>
          </w:p>
        </w:tc>
        <w:tc>
          <w:tcPr>
            <w:tcMar>
              <w:top w:type="dxa" w:w="80"/>
              <w:left w:type="dxa" w:w="120"/>
              <w:bottom w:type="dxa" w:w="80"/>
              <w:right w:type="dxa" w:w="120"/>
            </w:tcMar>
            <w:vAlign w:val="center"/>
          </w:tcPr>
          <w:p>
            <w:r>
              <w:rPr>
                <w:b w:val="false"/>
                <w:bCs w:val="false"/>
                <w:sz w:val="19"/>
                <w:szCs w:val="19"/>
              </w:rPr>
              <w:t xml:space="preserve">Motor de Decisão SSVC</w:t>
            </w:r>
          </w:p>
        </w:tc>
        <w:tc>
          <w:tcPr>
            <w:tcMar>
              <w:top w:type="dxa" w:w="80"/>
              <w:left w:type="dxa" w:w="120"/>
              <w:bottom w:type="dxa" w:w="80"/>
              <w:right w:type="dxa" w:w="120"/>
            </w:tcMar>
            <w:vAlign w:val="center"/>
          </w:tcPr>
          <w:p>
            <w:r>
              <w:rPr>
                <w:b w:val="false"/>
                <w:bCs w:val="false"/>
                <w:sz w:val="19"/>
                <w:szCs w:val="19"/>
              </w:rPr>
              <w:t xml:space="preserve">Aplica a árvore de decisão (seção 4) e retorna resultado (Track/Track*/Attend/Act) e SLA.</w:t>
            </w:r>
          </w:p>
        </w:tc>
        <w:tc>
          <w:tcPr>
            <w:tcMar>
              <w:top w:type="dxa" w:w="80"/>
              <w:left w:type="dxa" w:w="120"/>
              <w:bottom w:type="dxa" w:w="80"/>
              <w:right w:type="dxa" w:w="120"/>
            </w:tcMar>
            <w:vAlign w:val="center"/>
          </w:tcPr>
          <w:p>
            <w:r>
              <w:rPr>
                <w:b w:val="false"/>
                <w:bCs w:val="false"/>
                <w:sz w:val="19"/>
                <w:szCs w:val="19"/>
              </w:rPr>
              <w:t xml:space="preserve">Serviço interno (rules engine ou SOAR)</w:t>
            </w:r>
          </w:p>
        </w:tc>
        <w:tc>
          <w:tcPr>
            <w:tcMar>
              <w:top w:type="dxa" w:w="80"/>
              <w:left w:type="dxa" w:w="120"/>
              <w:bottom w:type="dxa" w:w="80"/>
              <w:right w:type="dxa" w:w="120"/>
            </w:tcMar>
            <w:vAlign w:val="center"/>
          </w:tcPr>
          <w:p>
            <w:r>
              <w:rPr>
                <w:b w:val="false"/>
                <w:bCs w:val="false"/>
                <w:sz w:val="19"/>
                <w:szCs w:val="19"/>
              </w:rPr>
              <w:t xml:space="preserve">Criar</w:t>
            </w:r>
          </w:p>
        </w:tc>
      </w:tr>
      <w:tr>
        <w:tc>
          <w:tcPr>
            <w:tcMar>
              <w:top w:type="dxa" w:w="80"/>
              <w:left w:type="dxa" w:w="120"/>
              <w:bottom w:type="dxa" w:w="80"/>
              <w:right w:type="dxa" w:w="120"/>
            </w:tcMar>
            <w:vAlign w:val="center"/>
          </w:tcPr>
          <w:p>
            <w:r>
              <w:rPr>
                <w:b w:val="false"/>
                <w:bCs w:val="false"/>
                <w:sz w:val="19"/>
                <w:szCs w:val="19"/>
              </w:rPr>
              <w:t xml:space="preserve">10</w:t>
            </w:r>
          </w:p>
        </w:tc>
        <w:tc>
          <w:tcPr>
            <w:tcMar>
              <w:top w:type="dxa" w:w="80"/>
              <w:left w:type="dxa" w:w="120"/>
              <w:bottom w:type="dxa" w:w="80"/>
              <w:right w:type="dxa" w:w="120"/>
            </w:tcMar>
            <w:vAlign w:val="center"/>
          </w:tcPr>
          <w:p>
            <w:r>
              <w:rPr>
                <w:b w:val="false"/>
                <w:bCs w:val="false"/>
                <w:sz w:val="19"/>
                <w:szCs w:val="19"/>
              </w:rPr>
              <w:t xml:space="preserve">Agente de Orquestração/Ticketing</w:t>
            </w:r>
          </w:p>
        </w:tc>
        <w:tc>
          <w:tcPr>
            <w:tcMar>
              <w:top w:type="dxa" w:w="80"/>
              <w:left w:type="dxa" w:w="120"/>
              <w:bottom w:type="dxa" w:w="80"/>
              <w:right w:type="dxa" w:w="120"/>
            </w:tcMar>
            <w:vAlign w:val="center"/>
          </w:tcPr>
          <w:p>
            <w:r>
              <w:rPr>
                <w:b w:val="false"/>
                <w:bCs w:val="false"/>
                <w:sz w:val="19"/>
                <w:szCs w:val="19"/>
              </w:rPr>
              <w:t xml:space="preserve">Cria/atualiza chamado com SLA, dono e classificação, roteando automaticamente ao time responsável.</w:t>
            </w:r>
          </w:p>
        </w:tc>
        <w:tc>
          <w:tcPr>
            <w:tcMar>
              <w:top w:type="dxa" w:w="80"/>
              <w:left w:type="dxa" w:w="120"/>
              <w:bottom w:type="dxa" w:w="80"/>
              <w:right w:type="dxa" w:w="120"/>
            </w:tcMar>
            <w:vAlign w:val="center"/>
          </w:tcPr>
          <w:p>
            <w:r>
              <w:rPr>
                <w:b w:val="false"/>
                <w:bCs w:val="false"/>
                <w:sz w:val="19"/>
                <w:szCs w:val="19"/>
              </w:rPr>
              <w:t xml:space="preserve">API ITSM (Jira/ServiceNow)</w:t>
            </w:r>
          </w:p>
        </w:tc>
        <w:tc>
          <w:tcPr>
            <w:tcMar>
              <w:top w:type="dxa" w:w="80"/>
              <w:left w:type="dxa" w:w="120"/>
              <w:bottom w:type="dxa" w:w="80"/>
              <w:right w:type="dxa" w:w="120"/>
            </w:tcMar>
            <w:vAlign w:val="center"/>
          </w:tcPr>
          <w:p>
            <w:r>
              <w:rPr>
                <w:b w:val="false"/>
                <w:bCs w:val="false"/>
                <w:sz w:val="19"/>
                <w:szCs w:val="19"/>
              </w:rPr>
              <w:t xml:space="preserve">Adaptar</w:t>
            </w:r>
          </w:p>
        </w:tc>
      </w:tr>
      <w:tr>
        <w:tc>
          <w:tcPr>
            <w:tcMar>
              <w:top w:type="dxa" w:w="80"/>
              <w:left w:type="dxa" w:w="120"/>
              <w:bottom w:type="dxa" w:w="80"/>
              <w:right w:type="dxa" w:w="120"/>
            </w:tcMar>
            <w:vAlign w:val="center"/>
          </w:tcPr>
          <w:p>
            <w:r>
              <w:rPr>
                <w:b w:val="false"/>
                <w:bCs w:val="false"/>
                <w:sz w:val="19"/>
                <w:szCs w:val="19"/>
              </w:rPr>
              <w:t xml:space="preserve">11</w:t>
            </w:r>
          </w:p>
        </w:tc>
        <w:tc>
          <w:tcPr>
            <w:tcMar>
              <w:top w:type="dxa" w:w="80"/>
              <w:left w:type="dxa" w:w="120"/>
              <w:bottom w:type="dxa" w:w="80"/>
              <w:right w:type="dxa" w:w="120"/>
            </w:tcMar>
            <w:vAlign w:val="center"/>
          </w:tcPr>
          <w:p>
            <w:r>
              <w:rPr>
                <w:b w:val="false"/>
                <w:bCs w:val="false"/>
                <w:sz w:val="19"/>
                <w:szCs w:val="19"/>
              </w:rPr>
              <w:t xml:space="preserve">Biblioteca de Runbooks de Mitigação</w:t>
            </w:r>
          </w:p>
        </w:tc>
        <w:tc>
          <w:tcPr>
            <w:tcMar>
              <w:top w:type="dxa" w:w="80"/>
              <w:left w:type="dxa" w:w="120"/>
              <w:bottom w:type="dxa" w:w="80"/>
              <w:right w:type="dxa" w:w="120"/>
            </w:tcMar>
            <w:vAlign w:val="center"/>
          </w:tcPr>
          <w:p>
            <w:r>
              <w:rPr>
                <w:b w:val="false"/>
                <w:bCs w:val="false"/>
                <w:sz w:val="19"/>
                <w:szCs w:val="19"/>
              </w:rPr>
              <w:t xml:space="preserve">Conjunto de playbooks pré-aprovados (regra de WAF, isolamento de rede, hardening compensatório) prontos para disparo imediato em itens "Act".</w:t>
            </w:r>
          </w:p>
        </w:tc>
        <w:tc>
          <w:tcPr>
            <w:tcMar>
              <w:top w:type="dxa" w:w="80"/>
              <w:left w:type="dxa" w:w="120"/>
              <w:bottom w:type="dxa" w:w="80"/>
              <w:right w:type="dxa" w:w="120"/>
            </w:tcMar>
            <w:vAlign w:val="center"/>
          </w:tcPr>
          <w:p>
            <w:r>
              <w:rPr>
                <w:b w:val="false"/>
                <w:bCs w:val="false"/>
                <w:sz w:val="19"/>
                <w:szCs w:val="19"/>
              </w:rPr>
              <w:t xml:space="preserve">APIs de WAF/firewall/NAC</w:t>
            </w:r>
          </w:p>
        </w:tc>
        <w:tc>
          <w:tcPr>
            <w:tcMar>
              <w:top w:type="dxa" w:w="80"/>
              <w:left w:type="dxa" w:w="120"/>
              <w:bottom w:type="dxa" w:w="80"/>
              <w:right w:type="dxa" w:w="120"/>
            </w:tcMar>
            <w:vAlign w:val="center"/>
          </w:tcPr>
          <w:p>
            <w:r>
              <w:rPr>
                <w:b w:val="false"/>
                <w:bCs w:val="false"/>
                <w:sz w:val="19"/>
                <w:szCs w:val="19"/>
              </w:rPr>
              <w:t xml:space="preserve">Criar</w:t>
            </w:r>
          </w:p>
        </w:tc>
      </w:tr>
      <w:tr>
        <w:tc>
          <w:tcPr>
            <w:tcMar>
              <w:top w:type="dxa" w:w="80"/>
              <w:left w:type="dxa" w:w="120"/>
              <w:bottom w:type="dxa" w:w="80"/>
              <w:right w:type="dxa" w:w="120"/>
            </w:tcMar>
            <w:vAlign w:val="center"/>
          </w:tcPr>
          <w:p>
            <w:r>
              <w:rPr>
                <w:b w:val="false"/>
                <w:bCs w:val="false"/>
                <w:sz w:val="19"/>
                <w:szCs w:val="19"/>
              </w:rPr>
              <w:t xml:space="preserve">12</w:t>
            </w:r>
          </w:p>
        </w:tc>
        <w:tc>
          <w:tcPr>
            <w:tcMar>
              <w:top w:type="dxa" w:w="80"/>
              <w:left w:type="dxa" w:w="120"/>
              <w:bottom w:type="dxa" w:w="80"/>
              <w:right w:type="dxa" w:w="120"/>
            </w:tcMar>
            <w:vAlign w:val="center"/>
          </w:tcPr>
          <w:p>
            <w:r>
              <w:rPr>
                <w:b w:val="false"/>
                <w:bCs w:val="false"/>
                <w:sz w:val="19"/>
                <w:szCs w:val="19"/>
              </w:rPr>
              <w:t xml:space="preserve">Agente de Disparo de Mitigação</w:t>
            </w:r>
          </w:p>
        </w:tc>
        <w:tc>
          <w:tcPr>
            <w:tcMar>
              <w:top w:type="dxa" w:w="80"/>
              <w:left w:type="dxa" w:w="120"/>
              <w:bottom w:type="dxa" w:w="80"/>
              <w:right w:type="dxa" w:w="120"/>
            </w:tcMar>
            <w:vAlign w:val="center"/>
          </w:tcPr>
          <w:p>
            <w:r>
              <w:rPr>
                <w:b w:val="false"/>
                <w:bCs w:val="false"/>
                <w:sz w:val="19"/>
                <w:szCs w:val="19"/>
              </w:rPr>
              <w:t xml:space="preserve">Executa o runbook correspondente automaticamente quando um achado cai em "Act", sem esperar aprovação manual por execução.</w:t>
            </w:r>
          </w:p>
        </w:tc>
        <w:tc>
          <w:tcPr>
            <w:tcMar>
              <w:top w:type="dxa" w:w="80"/>
              <w:left w:type="dxa" w:w="120"/>
              <w:bottom w:type="dxa" w:w="80"/>
              <w:right w:type="dxa" w:w="120"/>
            </w:tcMar>
            <w:vAlign w:val="center"/>
          </w:tcPr>
          <w:p>
            <w:r>
              <w:rPr>
                <w:b w:val="false"/>
                <w:bCs w:val="false"/>
                <w:sz w:val="19"/>
                <w:szCs w:val="19"/>
              </w:rPr>
              <w:t xml:space="preserve">APIs de WAF/firewall/NAC</w:t>
            </w:r>
          </w:p>
        </w:tc>
        <w:tc>
          <w:tcPr>
            <w:tcMar>
              <w:top w:type="dxa" w:w="80"/>
              <w:left w:type="dxa" w:w="120"/>
              <w:bottom w:type="dxa" w:w="80"/>
              <w:right w:type="dxa" w:w="120"/>
            </w:tcMar>
            <w:vAlign w:val="center"/>
          </w:tcPr>
          <w:p>
            <w:r>
              <w:rPr>
                <w:b w:val="false"/>
                <w:bCs w:val="false"/>
                <w:sz w:val="19"/>
                <w:szCs w:val="19"/>
              </w:rPr>
              <w:t xml:space="preserve">Criar</w:t>
            </w:r>
          </w:p>
        </w:tc>
      </w:tr>
      <w:tr>
        <w:tc>
          <w:tcPr>
            <w:tcMar>
              <w:top w:type="dxa" w:w="80"/>
              <w:left w:type="dxa" w:w="120"/>
              <w:bottom w:type="dxa" w:w="80"/>
              <w:right w:type="dxa" w:w="120"/>
            </w:tcMar>
            <w:vAlign w:val="center"/>
          </w:tcPr>
          <w:p>
            <w:r>
              <w:rPr>
                <w:b w:val="false"/>
                <w:bCs w:val="false"/>
                <w:sz w:val="19"/>
                <w:szCs w:val="19"/>
              </w:rPr>
              <w:t xml:space="preserve">13</w:t>
            </w:r>
          </w:p>
        </w:tc>
        <w:tc>
          <w:tcPr>
            <w:tcMar>
              <w:top w:type="dxa" w:w="80"/>
              <w:left w:type="dxa" w:w="120"/>
              <w:bottom w:type="dxa" w:w="80"/>
              <w:right w:type="dxa" w:w="120"/>
            </w:tcMar>
            <w:vAlign w:val="center"/>
          </w:tcPr>
          <w:p>
            <w:r>
              <w:rPr>
                <w:b w:val="false"/>
                <w:bCs w:val="false"/>
                <w:sz w:val="19"/>
                <w:szCs w:val="19"/>
              </w:rPr>
              <w:t xml:space="preserve">Agente de Triagem Forense/IR</w:t>
            </w:r>
          </w:p>
        </w:tc>
        <w:tc>
          <w:tcPr>
            <w:tcMar>
              <w:top w:type="dxa" w:w="80"/>
              <w:left w:type="dxa" w:w="120"/>
              <w:bottom w:type="dxa" w:w="80"/>
              <w:right w:type="dxa" w:w="120"/>
            </w:tcMar>
            <w:vAlign w:val="center"/>
          </w:tcPr>
          <w:p>
            <w:r>
              <w:rPr>
                <w:b w:val="false"/>
                <w:bCs w:val="false"/>
                <w:sz w:val="19"/>
                <w:szCs w:val="19"/>
              </w:rPr>
              <w:t xml:space="preserve">Abre incidente e notifica SOC/IR automaticamente para todo item classificado como "Act — 3 dias", antes da aplicação do patch.</w:t>
            </w:r>
          </w:p>
        </w:tc>
        <w:tc>
          <w:tcPr>
            <w:tcMar>
              <w:top w:type="dxa" w:w="80"/>
              <w:left w:type="dxa" w:w="120"/>
              <w:bottom w:type="dxa" w:w="80"/>
              <w:right w:type="dxa" w:w="120"/>
            </w:tcMar>
            <w:vAlign w:val="center"/>
          </w:tcPr>
          <w:p>
            <w:r>
              <w:rPr>
                <w:b w:val="false"/>
                <w:bCs w:val="false"/>
                <w:sz w:val="19"/>
                <w:szCs w:val="19"/>
              </w:rPr>
              <w:t xml:space="preserve">Integração SOC/SIEM/SOAR</w:t>
            </w:r>
          </w:p>
        </w:tc>
        <w:tc>
          <w:tcPr>
            <w:tcMar>
              <w:top w:type="dxa" w:w="80"/>
              <w:left w:type="dxa" w:w="120"/>
              <w:bottom w:type="dxa" w:w="80"/>
              <w:right w:type="dxa" w:w="120"/>
            </w:tcMar>
            <w:vAlign w:val="center"/>
          </w:tcPr>
          <w:p>
            <w:r>
              <w:rPr>
                <w:b w:val="false"/>
                <w:bCs w:val="false"/>
                <w:sz w:val="19"/>
                <w:szCs w:val="19"/>
              </w:rPr>
              <w:t xml:space="preserve">Criar</w:t>
            </w:r>
          </w:p>
        </w:tc>
      </w:tr>
      <w:tr>
        <w:tc>
          <w:tcPr>
            <w:tcMar>
              <w:top w:type="dxa" w:w="80"/>
              <w:left w:type="dxa" w:w="120"/>
              <w:bottom w:type="dxa" w:w="80"/>
              <w:right w:type="dxa" w:w="120"/>
            </w:tcMar>
            <w:vAlign w:val="center"/>
          </w:tcPr>
          <w:p>
            <w:r>
              <w:rPr>
                <w:b w:val="false"/>
                <w:bCs w:val="false"/>
                <w:sz w:val="19"/>
                <w:szCs w:val="19"/>
              </w:rPr>
              <w:t xml:space="preserve">14</w:t>
            </w:r>
          </w:p>
        </w:tc>
        <w:tc>
          <w:tcPr>
            <w:tcMar>
              <w:top w:type="dxa" w:w="80"/>
              <w:left w:type="dxa" w:w="120"/>
              <w:bottom w:type="dxa" w:w="80"/>
              <w:right w:type="dxa" w:w="120"/>
            </w:tcMar>
            <w:vAlign w:val="center"/>
          </w:tcPr>
          <w:p>
            <w:r>
              <w:rPr>
                <w:b w:val="false"/>
                <w:bCs w:val="false"/>
                <w:sz w:val="19"/>
                <w:szCs w:val="19"/>
              </w:rPr>
              <w:t xml:space="preserve">Agente de Reavaliação Contínua</w:t>
            </w:r>
          </w:p>
        </w:tc>
        <w:tc>
          <w:tcPr>
            <w:tcMar>
              <w:top w:type="dxa" w:w="80"/>
              <w:left w:type="dxa" w:w="120"/>
              <w:bottom w:type="dxa" w:w="80"/>
              <w:right w:type="dxa" w:w="120"/>
            </w:tcMar>
            <w:vAlign w:val="center"/>
          </w:tcPr>
          <w:p>
            <w:r>
              <w:rPr>
                <w:b w:val="false"/>
                <w:bCs w:val="false"/>
                <w:sz w:val="19"/>
                <w:szCs w:val="19"/>
              </w:rPr>
              <w:t xml:space="preserve">Monitora mudanças de KEV, exposição e score de exploração; reclassifica achados automaticamente sem esperar ciclo de revisão manual.</w:t>
            </w:r>
          </w:p>
        </w:tc>
        <w:tc>
          <w:tcPr>
            <w:tcMar>
              <w:top w:type="dxa" w:w="80"/>
              <w:left w:type="dxa" w:w="120"/>
              <w:bottom w:type="dxa" w:w="80"/>
              <w:right w:type="dxa" w:w="120"/>
            </w:tcMar>
            <w:vAlign w:val="center"/>
          </w:tcPr>
          <w:p>
            <w:r>
              <w:rPr>
                <w:b w:val="false"/>
                <w:bCs w:val="false"/>
                <w:sz w:val="19"/>
                <w:szCs w:val="19"/>
              </w:rPr>
              <w:t xml:space="preserve">Reaproveita conectores 1–5</w:t>
            </w:r>
          </w:p>
        </w:tc>
        <w:tc>
          <w:tcPr>
            <w:tcMar>
              <w:top w:type="dxa" w:w="80"/>
              <w:left w:type="dxa" w:w="120"/>
              <w:bottom w:type="dxa" w:w="80"/>
              <w:right w:type="dxa" w:w="120"/>
            </w:tcMar>
            <w:vAlign w:val="center"/>
          </w:tcPr>
          <w:p>
            <w:r>
              <w:rPr>
                <w:b w:val="false"/>
                <w:bCs w:val="false"/>
                <w:sz w:val="19"/>
                <w:szCs w:val="19"/>
              </w:rPr>
              <w:t xml:space="preserve">Criar</w:t>
            </w:r>
          </w:p>
        </w:tc>
      </w:tr>
      <w:tr>
        <w:tc>
          <w:tcPr>
            <w:tcMar>
              <w:top w:type="dxa" w:w="80"/>
              <w:left w:type="dxa" w:w="120"/>
              <w:bottom w:type="dxa" w:w="80"/>
              <w:right w:type="dxa" w:w="120"/>
            </w:tcMar>
            <w:vAlign w:val="center"/>
          </w:tcPr>
          <w:p>
            <w:r>
              <w:rPr>
                <w:b w:val="false"/>
                <w:bCs w:val="false"/>
                <w:sz w:val="19"/>
                <w:szCs w:val="19"/>
              </w:rPr>
              <w:t xml:space="preserve">15</w:t>
            </w:r>
          </w:p>
        </w:tc>
        <w:tc>
          <w:tcPr>
            <w:tcMar>
              <w:top w:type="dxa" w:w="80"/>
              <w:left w:type="dxa" w:w="120"/>
              <w:bottom w:type="dxa" w:w="80"/>
              <w:right w:type="dxa" w:w="120"/>
            </w:tcMar>
            <w:vAlign w:val="center"/>
          </w:tcPr>
          <w:p>
            <w:r>
              <w:rPr>
                <w:b w:val="false"/>
                <w:bCs w:val="false"/>
                <w:sz w:val="19"/>
                <w:szCs w:val="19"/>
              </w:rPr>
              <w:t xml:space="preserve">Copiloto de Análise (LLM) para o tier Attend</w:t>
            </w:r>
          </w:p>
        </w:tc>
        <w:tc>
          <w:tcPr>
            <w:tcMar>
              <w:top w:type="dxa" w:w="80"/>
              <w:left w:type="dxa" w:w="120"/>
              <w:bottom w:type="dxa" w:w="80"/>
              <w:right w:type="dxa" w:w="120"/>
            </w:tcMar>
            <w:vAlign w:val="center"/>
          </w:tcPr>
          <w:p>
            <w:r>
              <w:rPr>
                <w:b w:val="false"/>
                <w:bCs w:val="false"/>
                <w:sz w:val="19"/>
                <w:szCs w:val="19"/>
              </w:rPr>
              <w:t xml:space="preserve">Resume contexto técnico, histórico de exploração e recomenda ação para os achados ambíguos que exigem julgamento humano — acelera, mas não substitui a decisão do analista.</w:t>
            </w:r>
          </w:p>
        </w:tc>
        <w:tc>
          <w:tcPr>
            <w:tcMar>
              <w:top w:type="dxa" w:w="80"/>
              <w:left w:type="dxa" w:w="120"/>
              <w:bottom w:type="dxa" w:w="80"/>
              <w:right w:type="dxa" w:w="120"/>
            </w:tcMar>
            <w:vAlign w:val="center"/>
          </w:tcPr>
          <w:p>
            <w:r>
              <w:rPr>
                <w:b w:val="false"/>
                <w:bCs w:val="false"/>
                <w:sz w:val="19"/>
                <w:szCs w:val="19"/>
              </w:rPr>
              <w:t xml:space="preserve">API de LLM + dados dos conectores 1–5</w:t>
            </w:r>
          </w:p>
        </w:tc>
        <w:tc>
          <w:tcPr>
            <w:tcMar>
              <w:top w:type="dxa" w:w="80"/>
              <w:left w:type="dxa" w:w="120"/>
              <w:bottom w:type="dxa" w:w="80"/>
              <w:right w:type="dxa" w:w="120"/>
            </w:tcMar>
            <w:vAlign w:val="center"/>
          </w:tcPr>
          <w:p>
            <w:r>
              <w:rPr>
                <w:b w:val="false"/>
                <w:bCs w:val="false"/>
                <w:sz w:val="19"/>
                <w:szCs w:val="19"/>
              </w:rPr>
              <w:t xml:space="preserve">Criar (fase 2)</w:t>
            </w:r>
          </w:p>
        </w:tc>
      </w:tr>
      <w:tr>
        <w:tc>
          <w:tcPr>
            <w:tcMar>
              <w:top w:type="dxa" w:w="80"/>
              <w:left w:type="dxa" w:w="120"/>
              <w:bottom w:type="dxa" w:w="80"/>
              <w:right w:type="dxa" w:w="120"/>
            </w:tcMar>
            <w:vAlign w:val="center"/>
          </w:tcPr>
          <w:p>
            <w:r>
              <w:rPr>
                <w:b w:val="false"/>
                <w:bCs w:val="false"/>
                <w:sz w:val="19"/>
                <w:szCs w:val="19"/>
              </w:rPr>
              <w:t xml:space="preserve">16</w:t>
            </w:r>
          </w:p>
        </w:tc>
        <w:tc>
          <w:tcPr>
            <w:tcMar>
              <w:top w:type="dxa" w:w="80"/>
              <w:left w:type="dxa" w:w="120"/>
              <w:bottom w:type="dxa" w:w="80"/>
              <w:right w:type="dxa" w:w="120"/>
            </w:tcMar>
            <w:vAlign w:val="center"/>
          </w:tcPr>
          <w:p>
            <w:r>
              <w:rPr>
                <w:b w:val="false"/>
                <w:bCs w:val="false"/>
                <w:sz w:val="19"/>
                <w:szCs w:val="19"/>
              </w:rPr>
              <w:t xml:space="preserve">Painel de Governança e Auditoria</w:t>
            </w:r>
          </w:p>
        </w:tc>
        <w:tc>
          <w:tcPr>
            <w:tcMar>
              <w:top w:type="dxa" w:w="80"/>
              <w:left w:type="dxa" w:w="120"/>
              <w:bottom w:type="dxa" w:w="80"/>
              <w:right w:type="dxa" w:w="120"/>
            </w:tcMar>
            <w:vAlign w:val="center"/>
          </w:tcPr>
          <w:p>
            <w:r>
              <w:rPr>
                <w:b w:val="false"/>
                <w:bCs w:val="false"/>
                <w:sz w:val="19"/>
                <w:szCs w:val="19"/>
              </w:rPr>
              <w:t xml:space="preserve">Consolida decisões, SLAs cumpridos/violados e racional de priorização para evidência de PCI DSS 4.0 e BACEN.</w:t>
            </w:r>
          </w:p>
        </w:tc>
        <w:tc>
          <w:tcPr>
            <w:tcMar>
              <w:top w:type="dxa" w:w="80"/>
              <w:left w:type="dxa" w:w="120"/>
              <w:bottom w:type="dxa" w:w="80"/>
              <w:right w:type="dxa" w:w="120"/>
            </w:tcMar>
            <w:vAlign w:val="center"/>
          </w:tcPr>
          <w:p>
            <w:r>
              <w:rPr>
                <w:b w:val="false"/>
                <w:bCs w:val="false"/>
                <w:sz w:val="19"/>
                <w:szCs w:val="19"/>
              </w:rPr>
              <w:t xml:space="preserve">BI (ex. Power BI) sobre o log do motor de decisão</w:t>
            </w:r>
          </w:p>
        </w:tc>
        <w:tc>
          <w:tcPr>
            <w:tcMar>
              <w:top w:type="dxa" w:w="80"/>
              <w:left w:type="dxa" w:w="120"/>
              <w:bottom w:type="dxa" w:w="80"/>
              <w:right w:type="dxa" w:w="120"/>
            </w:tcMar>
            <w:vAlign w:val="center"/>
          </w:tcPr>
          <w:p>
            <w:r>
              <w:rPr>
                <w:b w:val="false"/>
                <w:bCs w:val="false"/>
                <w:sz w:val="19"/>
                <w:szCs w:val="19"/>
              </w:rPr>
              <w:t xml:space="preserve">Criar</w:t>
            </w:r>
          </w:p>
        </w:tc>
      </w:tr>
      <w:tr>
        <w:tc>
          <w:tcPr>
            <w:tcMar>
              <w:top w:type="dxa" w:w="80"/>
              <w:left w:type="dxa" w:w="120"/>
              <w:bottom w:type="dxa" w:w="80"/>
              <w:right w:type="dxa" w:w="120"/>
            </w:tcMar>
            <w:vAlign w:val="center"/>
          </w:tcPr>
          <w:p>
            <w:r>
              <w:rPr>
                <w:b w:val="false"/>
                <w:bCs w:val="false"/>
                <w:sz w:val="19"/>
                <w:szCs w:val="19"/>
              </w:rPr>
              <w:t xml:space="preserve">17</w:t>
            </w:r>
          </w:p>
        </w:tc>
        <w:tc>
          <w:tcPr>
            <w:tcMar>
              <w:top w:type="dxa" w:w="80"/>
              <w:left w:type="dxa" w:w="120"/>
              <w:bottom w:type="dxa" w:w="80"/>
              <w:right w:type="dxa" w:w="120"/>
            </w:tcMar>
            <w:vAlign w:val="center"/>
          </w:tcPr>
          <w:p>
            <w:r>
              <w:rPr>
                <w:b w:val="false"/>
                <w:bCs w:val="false"/>
                <w:sz w:val="19"/>
                <w:szCs w:val="19"/>
              </w:rPr>
              <w:t xml:space="preserve">Agente de Feedback/Recalibração</w:t>
            </w:r>
          </w:p>
        </w:tc>
        <w:tc>
          <w:tcPr>
            <w:tcMar>
              <w:top w:type="dxa" w:w="80"/>
              <w:left w:type="dxa" w:w="120"/>
              <w:bottom w:type="dxa" w:w="80"/>
              <w:right w:type="dxa" w:w="120"/>
            </w:tcMar>
            <w:vAlign w:val="center"/>
          </w:tcPr>
          <w:p>
            <w:r>
              <w:rPr>
                <w:b w:val="false"/>
                <w:bCs w:val="false"/>
                <w:sz w:val="19"/>
                <w:szCs w:val="19"/>
              </w:rPr>
              <w:t xml:space="preserve">Registra falsos positivos/negativos identificados pelos analistas e realimenta os pesos/threshold do motor de decisão periodicamente.</w:t>
            </w:r>
          </w:p>
        </w:tc>
        <w:tc>
          <w:tcPr>
            <w:tcMar>
              <w:top w:type="dxa" w:w="80"/>
              <w:left w:type="dxa" w:w="120"/>
              <w:bottom w:type="dxa" w:w="80"/>
              <w:right w:type="dxa" w:w="120"/>
            </w:tcMar>
            <w:vAlign w:val="center"/>
          </w:tcPr>
          <w:p>
            <w:r>
              <w:rPr>
                <w:b w:val="false"/>
                <w:bCs w:val="false"/>
                <w:sz w:val="19"/>
                <w:szCs w:val="19"/>
              </w:rPr>
              <w:t xml:space="preserve">Serviço interno</w:t>
            </w:r>
          </w:p>
        </w:tc>
        <w:tc>
          <w:tcPr>
            <w:tcMar>
              <w:top w:type="dxa" w:w="80"/>
              <w:left w:type="dxa" w:w="120"/>
              <w:bottom w:type="dxa" w:w="80"/>
              <w:right w:type="dxa" w:w="120"/>
            </w:tcMar>
            <w:vAlign w:val="center"/>
          </w:tcPr>
          <w:p>
            <w:r>
              <w:rPr>
                <w:b w:val="false"/>
                <w:bCs w:val="false"/>
                <w:sz w:val="19"/>
                <w:szCs w:val="19"/>
              </w:rPr>
              <w:t xml:space="preserve">Criar (fase 2)</w:t>
            </w:r>
          </w:p>
        </w:tc>
      </w:tr>
    </w:tbl>
    <w:p>
      <w:pPr>
        <w:pStyle w:val="Heading2"/>
        <w:spacing w:after="150" w:before="300"/>
      </w:pPr>
      <w:r>
        <w:t xml:space="preserve">5.3 Trilha de exceção — janela de 3 dias</w:t>
      </w:r>
    </w:p>
    <w:p>
      <w:pPr>
        <w:spacing w:after="160" w:line="276"/>
      </w:pPr>
      <w:r>
        <w:t xml:space="preserve">Itens classificados como "Act — 3 dias" não entram na fila normal de mudança. Trâmite dedicado: (1) mitigação automática disparada em minutos via runbook pré-aprovado pelo CAB uma única vez (não por execução); (2) abertura automática de incidente para triagem forense; (3) escalação executiva automática; (4) patch tratado como remediação de incidente, com change emergencial dedicado — não competindo por janela com mudanças de rotina.</w:t>
      </w:r>
    </w:p>
    <w:p>
      <w:r>
        <w:br w:type="page"/>
      </w:r>
    </w:p>
    <w:p>
      <w:pPr>
        <w:pStyle w:val="Heading1"/>
        <w:spacing w:after="200" w:before="400"/>
      </w:pPr>
      <w:r>
        <w:t xml:space="preserve">6. Esforço e ROI</w:t>
      </w:r>
    </w:p>
    <w:p>
      <w:pPr>
        <w:spacing w:after="160" w:line="276"/>
      </w:pPr>
      <w:r>
        <w:t xml:space="preserve">Os números abaixo compõem um framework de cálculo, com inputs ilustrativos a serem substituídos pelos volumes reais da operação Cielo (quantidade de achados/mês por fonte, tempo médio de triagem manual atual, custo-hora do time). Uma vez calibrado, o mesmo modelo produz o ROI real do programa.</w:t>
      </w:r>
    </w:p>
    <w:p>
      <w:pPr>
        <w:pStyle w:val="Heading2"/>
        <w:spacing w:after="150" w:before="300"/>
      </w:pPr>
      <w:r>
        <w:t xml:space="preserve">6.1 Metodologia</w:t>
      </w:r>
    </w:p>
    <w:p>
      <w:pPr>
        <w:spacing w:after="160" w:line="276"/>
      </w:pPr>
      <w:r>
        <w:t xml:space="preserve">ROI de esforço = (tempo manual atual por achado × volume mensal) − (tempo manual remanescente após automação × volume mensal), convertido a custo-hora do time de segurança. Ganho de risco = redução do tempo entre divulgação e mitigação para o subconjunto "Act", multiplicado pelo custo esperado de um incidente evitado (dado qualitativo, difícil de monetizar com precisão — tratado à parte).</w:t>
      </w:r>
    </w:p>
    <w:p>
      <w:pPr>
        <w:pStyle w:val="Heading2"/>
        <w:spacing w:after="150" w:before="300"/>
      </w:pPr>
      <w:r>
        <w:t xml:space="preserve">6.2 Estimativa ilustrativa (inputs a calibrar)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900"/>
        <w:gridCol w:w="2900"/>
      </w:tblGrid>
      <w:tr>
        <w:tc>
          <w:tcPr>
            <w:tcW w:type="dxa" w:w="3600"/>
            <w:shd w:fill="1F3864" w:val="clear"/>
            <w:tcMar>
              <w:top w:type="dxa" w:w="80"/>
              <w:left w:type="dxa" w:w="120"/>
              <w:bottom w:type="dxa" w:w="80"/>
              <w:right w:type="dxa" w:w="120"/>
            </w:tcMar>
            <w:vAlign w:val="center"/>
          </w:tcPr>
          <w:p>
            <w:r>
              <w:rPr>
                <w:b/>
                <w:bCs/>
                <w:color w:val="FFFFFF"/>
                <w:sz w:val="19"/>
                <w:szCs w:val="19"/>
              </w:rPr>
              <w:t xml:space="preserve">Parâmetro</w:t>
            </w:r>
          </w:p>
        </w:tc>
        <w:tc>
          <w:tcPr>
            <w:tcW w:type="dxa" w:w="2900"/>
            <w:shd w:fill="1F3864" w:val="clear"/>
            <w:tcMar>
              <w:top w:type="dxa" w:w="80"/>
              <w:left w:type="dxa" w:w="120"/>
              <w:bottom w:type="dxa" w:w="80"/>
              <w:right w:type="dxa" w:w="120"/>
            </w:tcMar>
            <w:vAlign w:val="center"/>
          </w:tcPr>
          <w:p>
            <w:r>
              <w:rPr>
                <w:b/>
                <w:bCs/>
                <w:color w:val="FFFFFF"/>
                <w:sz w:val="19"/>
                <w:szCs w:val="19"/>
              </w:rPr>
              <w:t xml:space="preserve">Cenário atual (manual)</w:t>
            </w:r>
          </w:p>
        </w:tc>
        <w:tc>
          <w:tcPr>
            <w:tcW w:type="dxa" w:w="2900"/>
            <w:shd w:fill="1F3864" w:val="clear"/>
            <w:tcMar>
              <w:top w:type="dxa" w:w="80"/>
              <w:left w:type="dxa" w:w="120"/>
              <w:bottom w:type="dxa" w:w="80"/>
              <w:right w:type="dxa" w:w="120"/>
            </w:tcMar>
            <w:vAlign w:val="center"/>
          </w:tcPr>
          <w:p>
            <w:r>
              <w:rPr>
                <w:b/>
                <w:bCs/>
                <w:color w:val="FFFFFF"/>
                <w:sz w:val="19"/>
                <w:szCs w:val="19"/>
              </w:rPr>
              <w:t xml:space="preserve">Cenário proposto (automatizado)</w:t>
            </w:r>
          </w:p>
        </w:tc>
      </w:tr>
      <w:tr>
        <w:tc>
          <w:tcPr>
            <w:tcMar>
              <w:top w:type="dxa" w:w="80"/>
              <w:left w:type="dxa" w:w="120"/>
              <w:bottom w:type="dxa" w:w="80"/>
              <w:right w:type="dxa" w:w="120"/>
            </w:tcMar>
            <w:vAlign w:val="center"/>
          </w:tcPr>
          <w:p>
            <w:r>
              <w:rPr>
                <w:b w:val="false"/>
                <w:bCs w:val="false"/>
                <w:sz w:val="19"/>
                <w:szCs w:val="19"/>
              </w:rPr>
              <w:t xml:space="preserve">Volume mensal de achados (Veracode+GitHub+Orca+Tenable, ilustrativo)</w:t>
            </w:r>
          </w:p>
        </w:tc>
        <w:tc>
          <w:tcPr>
            <w:tcMar>
              <w:top w:type="dxa" w:w="80"/>
              <w:left w:type="dxa" w:w="120"/>
              <w:bottom w:type="dxa" w:w="80"/>
              <w:right w:type="dxa" w:w="120"/>
            </w:tcMar>
            <w:vAlign w:val="center"/>
          </w:tcPr>
          <w:p>
            <w:r>
              <w:rPr>
                <w:b w:val="false"/>
                <w:bCs w:val="false"/>
                <w:sz w:val="19"/>
                <w:szCs w:val="19"/>
              </w:rPr>
              <w:t xml:space="preserve">~800 itens/mês</w:t>
            </w:r>
          </w:p>
        </w:tc>
        <w:tc>
          <w:tcPr>
            <w:tcMar>
              <w:top w:type="dxa" w:w="80"/>
              <w:left w:type="dxa" w:w="120"/>
              <w:bottom w:type="dxa" w:w="80"/>
              <w:right w:type="dxa" w:w="120"/>
            </w:tcMar>
            <w:vAlign w:val="center"/>
          </w:tcPr>
          <w:p>
            <w:r>
              <w:rPr>
                <w:b w:val="false"/>
                <w:bCs w:val="false"/>
                <w:sz w:val="19"/>
                <w:szCs w:val="19"/>
              </w:rPr>
              <w:t xml:space="preserve">~800 itens/mês</w:t>
            </w:r>
          </w:p>
        </w:tc>
      </w:tr>
      <w:tr>
        <w:tc>
          <w:tcPr>
            <w:tcMar>
              <w:top w:type="dxa" w:w="80"/>
              <w:left w:type="dxa" w:w="120"/>
              <w:bottom w:type="dxa" w:w="80"/>
              <w:right w:type="dxa" w:w="120"/>
            </w:tcMar>
            <w:vAlign w:val="center"/>
          </w:tcPr>
          <w:p>
            <w:r>
              <w:rPr>
                <w:b w:val="false"/>
                <w:bCs w:val="false"/>
                <w:sz w:val="19"/>
                <w:szCs w:val="19"/>
              </w:rPr>
              <w:t xml:space="preserve">% que exige toque humano</w:t>
            </w:r>
          </w:p>
        </w:tc>
        <w:tc>
          <w:tcPr>
            <w:tcMar>
              <w:top w:type="dxa" w:w="80"/>
              <w:left w:type="dxa" w:w="120"/>
              <w:bottom w:type="dxa" w:w="80"/>
              <w:right w:type="dxa" w:w="120"/>
            </w:tcMar>
            <w:vAlign w:val="center"/>
          </w:tcPr>
          <w:p>
            <w:r>
              <w:rPr>
                <w:b w:val="false"/>
                <w:bCs w:val="false"/>
                <w:sz w:val="19"/>
                <w:szCs w:val="19"/>
              </w:rPr>
              <w:t xml:space="preserve">~100%</w:t>
            </w:r>
          </w:p>
        </w:tc>
        <w:tc>
          <w:tcPr>
            <w:tcMar>
              <w:top w:type="dxa" w:w="80"/>
              <w:left w:type="dxa" w:w="120"/>
              <w:bottom w:type="dxa" w:w="80"/>
              <w:right w:type="dxa" w:w="120"/>
            </w:tcMar>
            <w:vAlign w:val="center"/>
          </w:tcPr>
          <w:p>
            <w:r>
              <w:rPr>
                <w:b w:val="false"/>
                <w:bCs w:val="false"/>
                <w:sz w:val="19"/>
                <w:szCs w:val="19"/>
              </w:rPr>
              <w:t xml:space="preserve">10–30% (Attend + exceções Act)</w:t>
            </w:r>
          </w:p>
        </w:tc>
      </w:tr>
      <w:tr>
        <w:tc>
          <w:tcPr>
            <w:tcMar>
              <w:top w:type="dxa" w:w="80"/>
              <w:left w:type="dxa" w:w="120"/>
              <w:bottom w:type="dxa" w:w="80"/>
              <w:right w:type="dxa" w:w="120"/>
            </w:tcMar>
            <w:vAlign w:val="center"/>
          </w:tcPr>
          <w:p>
            <w:r>
              <w:rPr>
                <w:b w:val="false"/>
                <w:bCs w:val="false"/>
                <w:sz w:val="19"/>
                <w:szCs w:val="19"/>
              </w:rPr>
              <w:t xml:space="preserve">Tempo médio de triagem manual por item</w:t>
            </w:r>
          </w:p>
        </w:tc>
        <w:tc>
          <w:tcPr>
            <w:tcMar>
              <w:top w:type="dxa" w:w="80"/>
              <w:left w:type="dxa" w:w="120"/>
              <w:bottom w:type="dxa" w:w="80"/>
              <w:right w:type="dxa" w:w="120"/>
            </w:tcMar>
            <w:vAlign w:val="center"/>
          </w:tcPr>
          <w:p>
            <w:r>
              <w:rPr>
                <w:b w:val="false"/>
                <w:bCs w:val="false"/>
                <w:sz w:val="19"/>
                <w:szCs w:val="19"/>
              </w:rPr>
              <w:t xml:space="preserve">15–30 min</w:t>
            </w:r>
          </w:p>
        </w:tc>
        <w:tc>
          <w:tcPr>
            <w:tcMar>
              <w:top w:type="dxa" w:w="80"/>
              <w:left w:type="dxa" w:w="120"/>
              <w:bottom w:type="dxa" w:w="80"/>
              <w:right w:type="dxa" w:w="120"/>
            </w:tcMar>
            <w:vAlign w:val="center"/>
          </w:tcPr>
          <w:p>
            <w:r>
              <w:rPr>
                <w:b w:val="false"/>
                <w:bCs w:val="false"/>
                <w:sz w:val="19"/>
                <w:szCs w:val="19"/>
              </w:rPr>
              <w:t xml:space="preserve">0 min (Track/Track*) · 5–10 min (Attend, com copiloto)</w:t>
            </w:r>
          </w:p>
        </w:tc>
      </w:tr>
      <w:tr>
        <w:tc>
          <w:tcPr>
            <w:tcMar>
              <w:top w:type="dxa" w:w="80"/>
              <w:left w:type="dxa" w:w="120"/>
              <w:bottom w:type="dxa" w:w="80"/>
              <w:right w:type="dxa" w:w="120"/>
            </w:tcMar>
            <w:vAlign w:val="center"/>
          </w:tcPr>
          <w:p>
            <w:r>
              <w:rPr>
                <w:b w:val="false"/>
                <w:bCs w:val="false"/>
                <w:sz w:val="19"/>
                <w:szCs w:val="19"/>
              </w:rPr>
              <w:t xml:space="preserve">Horas/mês de triagem do time</w:t>
            </w:r>
          </w:p>
        </w:tc>
        <w:tc>
          <w:tcPr>
            <w:tcMar>
              <w:top w:type="dxa" w:w="80"/>
              <w:left w:type="dxa" w:w="120"/>
              <w:bottom w:type="dxa" w:w="80"/>
              <w:right w:type="dxa" w:w="120"/>
            </w:tcMar>
            <w:vAlign w:val="center"/>
          </w:tcPr>
          <w:p>
            <w:r>
              <w:rPr>
                <w:b w:val="false"/>
                <w:bCs w:val="false"/>
                <w:sz w:val="19"/>
                <w:szCs w:val="19"/>
              </w:rPr>
              <w:t xml:space="preserve">200–400 h</w:t>
            </w:r>
          </w:p>
        </w:tc>
        <w:tc>
          <w:tcPr>
            <w:tcMar>
              <w:top w:type="dxa" w:w="80"/>
              <w:left w:type="dxa" w:w="120"/>
              <w:bottom w:type="dxa" w:w="80"/>
              <w:right w:type="dxa" w:w="120"/>
            </w:tcMar>
            <w:vAlign w:val="center"/>
          </w:tcPr>
          <w:p>
            <w:r>
              <w:rPr>
                <w:b w:val="false"/>
                <w:bCs w:val="false"/>
                <w:sz w:val="19"/>
                <w:szCs w:val="19"/>
              </w:rPr>
              <w:t xml:space="preserve">15–40 h</w:t>
            </w:r>
          </w:p>
        </w:tc>
      </w:tr>
      <w:tr>
        <w:tc>
          <w:tcPr>
            <w:tcMar>
              <w:top w:type="dxa" w:w="80"/>
              <w:left w:type="dxa" w:w="120"/>
              <w:bottom w:type="dxa" w:w="80"/>
              <w:right w:type="dxa" w:w="120"/>
            </w:tcMar>
            <w:vAlign w:val="center"/>
          </w:tcPr>
          <w:p>
            <w:r>
              <w:rPr>
                <w:b w:val="false"/>
                <w:bCs w:val="false"/>
                <w:sz w:val="19"/>
                <w:szCs w:val="19"/>
              </w:rPr>
              <w:t xml:space="preserve">Tempo entre KEV/entrada de risco e mitigação (itens críticos)</w:t>
            </w:r>
          </w:p>
        </w:tc>
        <w:tc>
          <w:tcPr>
            <w:tcMar>
              <w:top w:type="dxa" w:w="80"/>
              <w:left w:type="dxa" w:w="120"/>
              <w:bottom w:type="dxa" w:w="80"/>
              <w:right w:type="dxa" w:w="120"/>
            </w:tcMar>
            <w:vAlign w:val="center"/>
          </w:tcPr>
          <w:p>
            <w:r>
              <w:rPr>
                <w:b w:val="false"/>
                <w:bCs w:val="false"/>
                <w:sz w:val="19"/>
                <w:szCs w:val="19"/>
              </w:rPr>
              <w:t xml:space="preserve">Dias (depende de reunião/ciclo manual)</w:t>
            </w:r>
          </w:p>
        </w:tc>
        <w:tc>
          <w:tcPr>
            <w:tcMar>
              <w:top w:type="dxa" w:w="80"/>
              <w:left w:type="dxa" w:w="120"/>
              <w:bottom w:type="dxa" w:w="80"/>
              <w:right w:type="dxa" w:w="120"/>
            </w:tcMar>
            <w:vAlign w:val="center"/>
          </w:tcPr>
          <w:p>
            <w:r>
              <w:rPr>
                <w:b w:val="false"/>
                <w:bCs w:val="false"/>
                <w:sz w:val="19"/>
                <w:szCs w:val="19"/>
              </w:rPr>
              <w:t xml:space="preserve">Minutos a horas (runbook automático)</w:t>
            </w:r>
          </w:p>
        </w:tc>
      </w:tr>
      <w:tr>
        <w:tc>
          <w:tcPr>
            <w:tcMar>
              <w:top w:type="dxa" w:w="80"/>
              <w:left w:type="dxa" w:w="120"/>
              <w:bottom w:type="dxa" w:w="80"/>
              <w:right w:type="dxa" w:w="120"/>
            </w:tcMar>
            <w:vAlign w:val="center"/>
          </w:tcPr>
          <w:p>
            <w:r>
              <w:rPr>
                <w:b w:val="false"/>
                <w:bCs w:val="false"/>
                <w:sz w:val="19"/>
                <w:szCs w:val="19"/>
              </w:rPr>
              <w:t xml:space="preserve">Rastreabilidade para auditoria (PCI/BACEN)</w:t>
            </w:r>
          </w:p>
        </w:tc>
        <w:tc>
          <w:tcPr>
            <w:tcMar>
              <w:top w:type="dxa" w:w="80"/>
              <w:left w:type="dxa" w:w="120"/>
              <w:bottom w:type="dxa" w:w="80"/>
              <w:right w:type="dxa" w:w="120"/>
            </w:tcMar>
            <w:vAlign w:val="center"/>
          </w:tcPr>
          <w:p>
            <w:r>
              <w:rPr>
                <w:b w:val="false"/>
                <w:bCs w:val="false"/>
                <w:sz w:val="19"/>
                <w:szCs w:val="19"/>
              </w:rPr>
              <w:t xml:space="preserve">Manual, sujeita a lacuna</w:t>
            </w:r>
          </w:p>
        </w:tc>
        <w:tc>
          <w:tcPr>
            <w:tcMar>
              <w:top w:type="dxa" w:w="80"/>
              <w:left w:type="dxa" w:w="120"/>
              <w:bottom w:type="dxa" w:w="80"/>
              <w:right w:type="dxa" w:w="120"/>
            </w:tcMar>
            <w:vAlign w:val="center"/>
          </w:tcPr>
          <w:p>
            <w:r>
              <w:rPr>
                <w:b w:val="false"/>
                <w:bCs w:val="false"/>
                <w:sz w:val="19"/>
                <w:szCs w:val="19"/>
              </w:rPr>
              <w:t xml:space="preserve">Nativa, gerada pelo motor de decisão</w:t>
            </w:r>
          </w:p>
        </w:tc>
      </w:tr>
    </w:tbl>
    <w:p>
      <w:pPr>
        <w:spacing w:after="160" w:line="276"/>
      </w:pPr>
      <w:r>
        <w:rPr>
          <w:i/>
          <w:iCs/>
          <w:color w:val="595959"/>
        </w:rPr>
        <w:t xml:space="preserve">Nota: os volumes e tempos acima são ilustrativos. Recomenda-se extrair do backlog atual (últimos 3–6 meses) o volume real por fonte e o tempo médio de triagem para substituir estes valores antes de submeter o business case formal ao orçamento.</w:t>
      </w:r>
    </w:p>
    <w:p>
      <w:pPr>
        <w:pStyle w:val="Heading2"/>
        <w:spacing w:after="150" w:before="300"/>
      </w:pPr>
      <w:r>
        <w:t xml:space="preserve">6.3 Redução de exposição a risco (MTTR)</w:t>
      </w:r>
    </w:p>
    <w:p>
      <w:pPr>
        <w:spacing w:after="160" w:line="276"/>
      </w:pPr>
      <w:r>
        <w:t xml:space="preserve">Além da economia de horas, o ganho mais relevante é a compressão do tempo entre "vulnerabilidade se torna crítica" (entrada no KEV, mudança de exposição) e "mitigação em vigor". Hoje esse tempo depende do próximo ciclo de revisão manual; no modelo proposto, é evento-driven e medido em minutos a horas para o runbook, e em até 3 dias para o patch definitivo — alinhado ao prazo mais agressivo da BOD 26-04.</w:t>
      </w:r>
    </w:p>
    <w:p>
      <w:pPr>
        <w:pStyle w:val="Heading2"/>
        <w:spacing w:after="150" w:before="300"/>
      </w:pPr>
      <w:r>
        <w:t xml:space="preserve">6.4 Ganho de conformidade</w:t>
      </w:r>
    </w:p>
    <w:p>
      <w:pPr>
        <w:spacing w:after="160" w:line="276"/>
      </w:pPr>
      <w:r>
        <w:t xml:space="preserve">Custo evitado de não-conformidade e esforço de auditoria: o painel de governança (agente #16) substitui a compilação manual de evidência para PCI DSS 4.0 (Req. 6.3.1/11.3) e para exame de risco cibernético do BACEN, reduzindo o esforço de preparação de auditoria e o risco de achado de auditoria por ausência de critério documentado de priorização.</w:t>
      </w:r>
    </w:p>
    <w:p>
      <w:pPr>
        <w:pStyle w:val="Heading2"/>
        <w:spacing w:after="150" w:before="300"/>
      </w:pPr>
      <w:r>
        <w:t xml:space="preserve">6.5 Custo de implementação (ordem de grandeza)</w:t>
      </w:r>
    </w:p>
    <w:p>
      <w:pPr>
        <w:pStyle w:val="ListParagraph"/>
        <w:numPr>
          <w:ilvl w:val="0"/>
          <w:numId w:val="2"/>
        </w:numPr>
        <w:spacing w:after="90"/>
      </w:pPr>
      <w:r>
        <w:t xml:space="preserve">Engenharia: desenvolvimento dos conectores (itens 5–9, 11–14, 16–17) — esforço concentrado em integração de API e regras de negócio, não em novo licenciamento de scanner.</w:t>
      </w:r>
    </w:p>
    <w:p>
      <w:pPr>
        <w:pStyle w:val="ListParagraph"/>
        <w:numPr>
          <w:ilvl w:val="0"/>
          <w:numId w:val="2"/>
        </w:numPr>
        <w:spacing w:after="90"/>
      </w:pPr>
      <w:r>
        <w:t xml:space="preserve">Licenciamento incremental: possível custo de plataforma de orquestração/SOAR se não houver uma já disponível; feeds KEV/EPSS são públicos e gratuitos.</w:t>
      </w:r>
    </w:p>
    <w:p>
      <w:pPr>
        <w:pStyle w:val="ListParagraph"/>
        <w:numPr>
          <w:ilvl w:val="0"/>
          <w:numId w:val="2"/>
        </w:numPr>
        <w:spacing w:after="90"/>
      </w:pPr>
      <w:r>
        <w:t xml:space="preserve">Governança: tempo de CAB para aprovar os runbooks de mitigação uma única vez (não recorrente por execução).</w:t>
      </w:r>
    </w:p>
    <w:p>
      <w:r>
        <w:br w:type="page"/>
      </w:r>
    </w:p>
    <w:p>
      <w:pPr>
        <w:pStyle w:val="Heading1"/>
        <w:spacing w:after="200" w:before="400"/>
      </w:pPr>
      <w:r>
        <w:t xml:space="preserve">7. Roadmap de Implementação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00"/>
      </w:tblGrid>
      <w:tr>
        <w:tc>
          <w:tcPr>
            <w:tcW w:type="dxa" w:w="1500"/>
            <w:shd w:fill="1F3864" w:val="clear"/>
            <w:tcMar>
              <w:top w:type="dxa" w:w="80"/>
              <w:left w:type="dxa" w:w="120"/>
              <w:bottom w:type="dxa" w:w="80"/>
              <w:right w:type="dxa" w:w="120"/>
            </w:tcMar>
            <w:vAlign w:val="center"/>
          </w:tcPr>
          <w:p>
            <w:r>
              <w:rPr>
                <w:b/>
                <w:bCs/>
                <w:color w:val="FFFFFF"/>
                <w:sz w:val="19"/>
                <w:szCs w:val="19"/>
              </w:rPr>
              <w:t xml:space="preserve">Fase</w:t>
            </w:r>
          </w:p>
        </w:tc>
        <w:tc>
          <w:tcPr>
            <w:tcW w:type="dxa" w:w="1500"/>
            <w:shd w:fill="1F3864" w:val="clear"/>
            <w:tcMar>
              <w:top w:type="dxa" w:w="80"/>
              <w:left w:type="dxa" w:w="120"/>
              <w:bottom w:type="dxa" w:w="80"/>
              <w:right w:type="dxa" w:w="120"/>
            </w:tcMar>
            <w:vAlign w:val="center"/>
          </w:tcPr>
          <w:p>
            <w:r>
              <w:rPr>
                <w:b/>
                <w:bCs/>
                <w:color w:val="FFFFFF"/>
                <w:sz w:val="19"/>
                <w:szCs w:val="19"/>
              </w:rPr>
              <w:t xml:space="preserve">Prazo</w:t>
            </w:r>
          </w:p>
        </w:tc>
        <w:tc>
          <w:tcPr>
            <w:tcW w:type="dxa" w:w="6000"/>
            <w:shd w:fill="1F3864" w:val="clear"/>
            <w:tcMar>
              <w:top w:type="dxa" w:w="80"/>
              <w:left w:type="dxa" w:w="120"/>
              <w:bottom w:type="dxa" w:w="80"/>
              <w:right w:type="dxa" w:w="120"/>
            </w:tcMar>
            <w:vAlign w:val="center"/>
          </w:tcPr>
          <w:p>
            <w:r>
              <w:rPr>
                <w:b/>
                <w:bCs/>
                <w:color w:val="FFFFFF"/>
                <w:sz w:val="19"/>
                <w:szCs w:val="19"/>
              </w:rPr>
              <w:t xml:space="preserve">Entregas</w:t>
            </w:r>
          </w:p>
        </w:tc>
      </w:tr>
      <w:tr>
        <w:tc>
          <w:tcPr>
            <w:tcMar>
              <w:top w:type="dxa" w:w="80"/>
              <w:left w:type="dxa" w:w="120"/>
              <w:bottom w:type="dxa" w:w="80"/>
              <w:right w:type="dxa" w:w="120"/>
            </w:tcMar>
            <w:vAlign w:val="center"/>
          </w:tcPr>
          <w:p>
            <w:r>
              <w:rPr>
                <w:b w:val="false"/>
                <w:bCs w:val="false"/>
                <w:sz w:val="19"/>
                <w:szCs w:val="19"/>
              </w:rPr>
              <w:t xml:space="preserve">Fase 0</w:t>
            </w:r>
          </w:p>
        </w:tc>
        <w:tc>
          <w:tcPr>
            <w:tcMar>
              <w:top w:type="dxa" w:w="80"/>
              <w:left w:type="dxa" w:w="120"/>
              <w:bottom w:type="dxa" w:w="80"/>
              <w:right w:type="dxa" w:w="120"/>
            </w:tcMar>
            <w:vAlign w:val="center"/>
          </w:tcPr>
          <w:p>
            <w:r>
              <w:rPr>
                <w:b w:val="false"/>
                <w:bCs w:val="false"/>
                <w:sz w:val="19"/>
                <w:szCs w:val="19"/>
              </w:rPr>
              <w:t xml:space="preserve">0–30 dias</w:t>
            </w:r>
          </w:p>
        </w:tc>
        <w:tc>
          <w:tcPr>
            <w:tcMar>
              <w:top w:type="dxa" w:w="80"/>
              <w:left w:type="dxa" w:w="120"/>
              <w:bottom w:type="dxa" w:w="80"/>
              <w:right w:type="dxa" w:w="120"/>
            </w:tcMar>
            <w:vAlign w:val="center"/>
          </w:tcPr>
          <w:p>
            <w:r>
              <w:rPr>
                <w:b w:val="false"/>
                <w:bCs w:val="false"/>
                <w:sz w:val="19"/>
                <w:szCs w:val="19"/>
              </w:rPr>
              <w:t xml:space="preserve">Levantamento de volumes reais (calibrar seção 6); integração dos feeds KEV/EPSS/Vulnrichment (item 5); desenho final da árvore de decisão validado com stakeholders de risco/compliance.</w:t>
            </w:r>
          </w:p>
        </w:tc>
      </w:tr>
      <w:tr>
        <w:tc>
          <w:tcPr>
            <w:tcMar>
              <w:top w:type="dxa" w:w="80"/>
              <w:left w:type="dxa" w:w="120"/>
              <w:bottom w:type="dxa" w:w="80"/>
              <w:right w:type="dxa" w:w="120"/>
            </w:tcMar>
            <w:vAlign w:val="center"/>
          </w:tcPr>
          <w:p>
            <w:r>
              <w:rPr>
                <w:b w:val="false"/>
                <w:bCs w:val="false"/>
                <w:sz w:val="19"/>
                <w:szCs w:val="19"/>
              </w:rPr>
              <w:t xml:space="preserve">Fase 1</w:t>
            </w:r>
          </w:p>
        </w:tc>
        <w:tc>
          <w:tcPr>
            <w:tcMar>
              <w:top w:type="dxa" w:w="80"/>
              <w:left w:type="dxa" w:w="120"/>
              <w:bottom w:type="dxa" w:w="80"/>
              <w:right w:type="dxa" w:w="120"/>
            </w:tcMar>
            <w:vAlign w:val="center"/>
          </w:tcPr>
          <w:p>
            <w:r>
              <w:rPr>
                <w:b w:val="false"/>
                <w:bCs w:val="false"/>
                <w:sz w:val="19"/>
                <w:szCs w:val="19"/>
              </w:rPr>
              <w:t xml:space="preserve">30–60 dias</w:t>
            </w:r>
          </w:p>
        </w:tc>
        <w:tc>
          <w:tcPr>
            <w:tcMar>
              <w:top w:type="dxa" w:w="80"/>
              <w:left w:type="dxa" w:w="120"/>
              <w:bottom w:type="dxa" w:w="80"/>
              <w:right w:type="dxa" w:w="120"/>
            </w:tcMar>
            <w:vAlign w:val="center"/>
          </w:tcPr>
          <w:p>
            <w:r>
              <w:rPr>
                <w:b w:val="false"/>
                <w:bCs w:val="false"/>
                <w:sz w:val="19"/>
                <w:szCs w:val="19"/>
              </w:rPr>
              <w:t xml:space="preserve">Conectores de ingestão (itens 1–5) e deduplicação/correlação (item 6) em produção; motor de decisão (item 9) em modo "shadow" (roda em paralelo, sem substituir o processo manual ainda).</w:t>
            </w:r>
          </w:p>
        </w:tc>
      </w:tr>
      <w:tr>
        <w:tc>
          <w:tcPr>
            <w:tcMar>
              <w:top w:type="dxa" w:w="80"/>
              <w:left w:type="dxa" w:w="120"/>
              <w:bottom w:type="dxa" w:w="80"/>
              <w:right w:type="dxa" w:w="120"/>
            </w:tcMar>
            <w:vAlign w:val="center"/>
          </w:tcPr>
          <w:p>
            <w:r>
              <w:rPr>
                <w:b w:val="false"/>
                <w:bCs w:val="false"/>
                <w:sz w:val="19"/>
                <w:szCs w:val="19"/>
              </w:rPr>
              <w:t xml:space="preserve">Fase 2</w:t>
            </w:r>
          </w:p>
        </w:tc>
        <w:tc>
          <w:tcPr>
            <w:tcMar>
              <w:top w:type="dxa" w:w="80"/>
              <w:left w:type="dxa" w:w="120"/>
              <w:bottom w:type="dxa" w:w="80"/>
              <w:right w:type="dxa" w:w="120"/>
            </w:tcMar>
            <w:vAlign w:val="center"/>
          </w:tcPr>
          <w:p>
            <w:r>
              <w:rPr>
                <w:b w:val="false"/>
                <w:bCs w:val="false"/>
                <w:sz w:val="19"/>
                <w:szCs w:val="19"/>
              </w:rPr>
              <w:t xml:space="preserve">60–90 dias</w:t>
            </w:r>
          </w:p>
        </w:tc>
        <w:tc>
          <w:tcPr>
            <w:tcMar>
              <w:top w:type="dxa" w:w="80"/>
              <w:left w:type="dxa" w:w="120"/>
              <w:bottom w:type="dxa" w:w="80"/>
              <w:right w:type="dxa" w:w="120"/>
            </w:tcMar>
            <w:vAlign w:val="center"/>
          </w:tcPr>
          <w:p>
            <w:r>
              <w:rPr>
                <w:b w:val="false"/>
                <w:bCs w:val="false"/>
                <w:sz w:val="19"/>
                <w:szCs w:val="19"/>
              </w:rPr>
              <w:t xml:space="preserve">Motor de decisão em produção para o tier Track/Track* (automação total); orquestração/ticketing (item 10) e primeiros runbooks de mitigação (itens 11–12) aprovados pelo CAB.</w:t>
            </w:r>
          </w:p>
        </w:tc>
      </w:tr>
      <w:tr>
        <w:tc>
          <w:tcPr>
            <w:tcMar>
              <w:top w:type="dxa" w:w="80"/>
              <w:left w:type="dxa" w:w="120"/>
              <w:bottom w:type="dxa" w:w="80"/>
              <w:right w:type="dxa" w:w="120"/>
            </w:tcMar>
            <w:vAlign w:val="center"/>
          </w:tcPr>
          <w:p>
            <w:r>
              <w:rPr>
                <w:b w:val="false"/>
                <w:bCs w:val="false"/>
                <w:sz w:val="19"/>
                <w:szCs w:val="19"/>
              </w:rPr>
              <w:t xml:space="preserve">Fase 3</w:t>
            </w:r>
          </w:p>
        </w:tc>
        <w:tc>
          <w:tcPr>
            <w:tcMar>
              <w:top w:type="dxa" w:w="80"/>
              <w:left w:type="dxa" w:w="120"/>
              <w:bottom w:type="dxa" w:w="80"/>
              <w:right w:type="dxa" w:w="120"/>
            </w:tcMar>
            <w:vAlign w:val="center"/>
          </w:tcPr>
          <w:p>
            <w:r>
              <w:rPr>
                <w:b w:val="false"/>
                <w:bCs w:val="false"/>
                <w:sz w:val="19"/>
                <w:szCs w:val="19"/>
              </w:rPr>
              <w:t xml:space="preserve">90–120 dias</w:t>
            </w:r>
          </w:p>
        </w:tc>
        <w:tc>
          <w:tcPr>
            <w:tcMar>
              <w:top w:type="dxa" w:w="80"/>
              <w:left w:type="dxa" w:w="120"/>
              <w:bottom w:type="dxa" w:w="80"/>
              <w:right w:type="dxa" w:w="120"/>
            </w:tcMar>
            <w:vAlign w:val="center"/>
          </w:tcPr>
          <w:p>
            <w:r>
              <w:rPr>
                <w:b w:val="false"/>
                <w:bCs w:val="false"/>
                <w:sz w:val="19"/>
                <w:szCs w:val="19"/>
              </w:rPr>
              <w:t xml:space="preserve">Trilha de exceção Act completa (itens 12–13), com IR/SOC integrado; painel de governança (item 16) em produção.</w:t>
            </w:r>
          </w:p>
        </w:tc>
      </w:tr>
      <w:tr>
        <w:tc>
          <w:tcPr>
            <w:tcMar>
              <w:top w:type="dxa" w:w="80"/>
              <w:left w:type="dxa" w:w="120"/>
              <w:bottom w:type="dxa" w:w="80"/>
              <w:right w:type="dxa" w:w="120"/>
            </w:tcMar>
            <w:vAlign w:val="center"/>
          </w:tcPr>
          <w:p>
            <w:r>
              <w:rPr>
                <w:b w:val="false"/>
                <w:bCs w:val="false"/>
                <w:sz w:val="19"/>
                <w:szCs w:val="19"/>
              </w:rPr>
              <w:t xml:space="preserve">Fase 4</w:t>
            </w:r>
          </w:p>
        </w:tc>
        <w:tc>
          <w:tcPr>
            <w:tcMar>
              <w:top w:type="dxa" w:w="80"/>
              <w:left w:type="dxa" w:w="120"/>
              <w:bottom w:type="dxa" w:w="80"/>
              <w:right w:type="dxa" w:w="120"/>
            </w:tcMar>
            <w:vAlign w:val="center"/>
          </w:tcPr>
          <w:p>
            <w:r>
              <w:rPr>
                <w:b w:val="false"/>
                <w:bCs w:val="false"/>
                <w:sz w:val="19"/>
                <w:szCs w:val="19"/>
              </w:rPr>
              <w:t xml:space="preserve">120–180 dias</w:t>
            </w:r>
          </w:p>
        </w:tc>
        <w:tc>
          <w:tcPr>
            <w:tcMar>
              <w:top w:type="dxa" w:w="80"/>
              <w:left w:type="dxa" w:w="120"/>
              <w:bottom w:type="dxa" w:w="80"/>
              <w:right w:type="dxa" w:w="120"/>
            </w:tcMar>
            <w:vAlign w:val="center"/>
          </w:tcPr>
          <w:p>
            <w:r>
              <w:rPr>
                <w:b w:val="false"/>
                <w:bCs w:val="false"/>
                <w:sz w:val="19"/>
                <w:szCs w:val="19"/>
              </w:rPr>
              <w:t xml:space="preserve">Reavaliação contínua (item 14); copiloto de análise para o tier Attend (item 15); ciclo de feedback/recalibração (item 17).</w:t>
            </w:r>
          </w:p>
        </w:tc>
      </w:tr>
    </w:tbl>
    <w:p>
      <w:r>
        <w:br w:type="page"/>
      </w:r>
    </w:p>
    <w:p>
      <w:pPr>
        <w:pStyle w:val="Heading1"/>
        <w:spacing w:after="200" w:before="400"/>
      </w:pPr>
      <w:r>
        <w:t xml:space="preserve">8. Governança, Riscos e Mitigação da Mudança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c>
          <w:tcPr>
            <w:tcW w:type="dxa" w:w="3000"/>
            <w:shd w:fill="1F3864" w:val="clear"/>
            <w:tcMar>
              <w:top w:type="dxa" w:w="80"/>
              <w:left w:type="dxa" w:w="120"/>
              <w:bottom w:type="dxa" w:w="80"/>
              <w:right w:type="dxa" w:w="120"/>
            </w:tcMar>
            <w:vAlign w:val="center"/>
          </w:tcPr>
          <w:p>
            <w:r>
              <w:rPr>
                <w:b/>
                <w:bCs/>
                <w:color w:val="FFFFFF"/>
                <w:sz w:val="19"/>
                <w:szCs w:val="19"/>
              </w:rPr>
              <w:t xml:space="preserve">Risco</w:t>
            </w:r>
          </w:p>
        </w:tc>
        <w:tc>
          <w:tcPr>
            <w:tcW w:type="dxa" w:w="3200"/>
            <w:shd w:fill="1F3864" w:val="clear"/>
            <w:tcMar>
              <w:top w:type="dxa" w:w="80"/>
              <w:left w:type="dxa" w:w="120"/>
              <w:bottom w:type="dxa" w:w="80"/>
              <w:right w:type="dxa" w:w="120"/>
            </w:tcMar>
            <w:vAlign w:val="center"/>
          </w:tcPr>
          <w:p>
            <w:r>
              <w:rPr>
                <w:b/>
                <w:bCs/>
                <w:color w:val="FFFFFF"/>
                <w:sz w:val="19"/>
                <w:szCs w:val="19"/>
              </w:rPr>
              <w:t xml:space="preserve">Descrição</w:t>
            </w:r>
          </w:p>
        </w:tc>
        <w:tc>
          <w:tcPr>
            <w:tcW w:type="dxa" w:w="2800"/>
            <w:shd w:fill="1F3864" w:val="clear"/>
            <w:tcMar>
              <w:top w:type="dxa" w:w="80"/>
              <w:left w:type="dxa" w:w="120"/>
              <w:bottom w:type="dxa" w:w="80"/>
              <w:right w:type="dxa" w:w="120"/>
            </w:tcMar>
            <w:vAlign w:val="center"/>
          </w:tcPr>
          <w:p>
            <w:r>
              <w:rPr>
                <w:b/>
                <w:bCs/>
                <w:color w:val="FFFFFF"/>
                <w:sz w:val="19"/>
                <w:szCs w:val="19"/>
              </w:rPr>
              <w:t xml:space="preserve">Mitigação</w:t>
            </w:r>
          </w:p>
        </w:tc>
      </w:tr>
      <w:tr>
        <w:tc>
          <w:tcPr>
            <w:tcMar>
              <w:top w:type="dxa" w:w="80"/>
              <w:left w:type="dxa" w:w="120"/>
              <w:bottom w:type="dxa" w:w="80"/>
              <w:right w:type="dxa" w:w="120"/>
            </w:tcMar>
            <w:vAlign w:val="center"/>
          </w:tcPr>
          <w:p>
            <w:r>
              <w:rPr>
                <w:b w:val="false"/>
                <w:bCs w:val="false"/>
                <w:sz w:val="19"/>
                <w:szCs w:val="19"/>
              </w:rPr>
              <w:t xml:space="preserve">Qualidade de dados do CMDB</w:t>
            </w:r>
          </w:p>
        </w:tc>
        <w:tc>
          <w:tcPr>
            <w:tcMar>
              <w:top w:type="dxa" w:w="80"/>
              <w:left w:type="dxa" w:w="120"/>
              <w:bottom w:type="dxa" w:w="80"/>
              <w:right w:type="dxa" w:w="120"/>
            </w:tcMar>
            <w:vAlign w:val="center"/>
          </w:tcPr>
          <w:p>
            <w:r>
              <w:rPr>
                <w:b w:val="false"/>
                <w:bCs w:val="false"/>
                <w:sz w:val="19"/>
                <w:szCs w:val="19"/>
              </w:rPr>
              <w:t xml:space="preserve">Criticidade de negócio mal cadastrada gera classificação incorreta de "Act".</w:t>
            </w:r>
          </w:p>
        </w:tc>
        <w:tc>
          <w:tcPr>
            <w:tcMar>
              <w:top w:type="dxa" w:w="80"/>
              <w:left w:type="dxa" w:w="120"/>
              <w:bottom w:type="dxa" w:w="80"/>
              <w:right w:type="dxa" w:w="120"/>
            </w:tcMar>
            <w:vAlign w:val="center"/>
          </w:tcPr>
          <w:p>
            <w:r>
              <w:rPr>
                <w:b w:val="false"/>
                <w:bCs w:val="false"/>
                <w:sz w:val="19"/>
                <w:szCs w:val="19"/>
              </w:rPr>
              <w:t xml:space="preserve">Auditoria de CMDB na Fase 0; fallback conservador (assume crítico quando ausente).</w:t>
            </w:r>
          </w:p>
        </w:tc>
      </w:tr>
      <w:tr>
        <w:tc>
          <w:tcPr>
            <w:tcMar>
              <w:top w:type="dxa" w:w="80"/>
              <w:left w:type="dxa" w:w="120"/>
              <w:bottom w:type="dxa" w:w="80"/>
              <w:right w:type="dxa" w:w="120"/>
            </w:tcMar>
            <w:vAlign w:val="center"/>
          </w:tcPr>
          <w:p>
            <w:r>
              <w:rPr>
                <w:b w:val="false"/>
                <w:bCs w:val="false"/>
                <w:sz w:val="19"/>
                <w:szCs w:val="19"/>
              </w:rPr>
              <w:t xml:space="preserve">Falso negativo do motor de decisão</w:t>
            </w:r>
          </w:p>
        </w:tc>
        <w:tc>
          <w:tcPr>
            <w:tcMar>
              <w:top w:type="dxa" w:w="80"/>
              <w:left w:type="dxa" w:w="120"/>
              <w:bottom w:type="dxa" w:w="80"/>
              <w:right w:type="dxa" w:w="120"/>
            </w:tcMar>
            <w:vAlign w:val="center"/>
          </w:tcPr>
          <w:p>
            <w:r>
              <w:rPr>
                <w:b w:val="false"/>
                <w:bCs w:val="false"/>
                <w:sz w:val="19"/>
                <w:szCs w:val="19"/>
              </w:rPr>
              <w:t xml:space="preserve">Item de alto risco classificado incorretamente como Track.</w:t>
            </w:r>
          </w:p>
        </w:tc>
        <w:tc>
          <w:tcPr>
            <w:tcMar>
              <w:top w:type="dxa" w:w="80"/>
              <w:left w:type="dxa" w:w="120"/>
              <w:bottom w:type="dxa" w:w="80"/>
              <w:right w:type="dxa" w:w="120"/>
            </w:tcMar>
            <w:vAlign w:val="center"/>
          </w:tcPr>
          <w:p>
            <w:r>
              <w:rPr>
                <w:b w:val="false"/>
                <w:bCs w:val="false"/>
                <w:sz w:val="19"/>
                <w:szCs w:val="19"/>
              </w:rPr>
              <w:t xml:space="preserve">Modo shadow na Fase 1 antes de substituir processo manual; ciclo de feedback (item 17).</w:t>
            </w:r>
          </w:p>
        </w:tc>
      </w:tr>
      <w:tr>
        <w:tc>
          <w:tcPr>
            <w:tcMar>
              <w:top w:type="dxa" w:w="80"/>
              <w:left w:type="dxa" w:w="120"/>
              <w:bottom w:type="dxa" w:w="80"/>
              <w:right w:type="dxa" w:w="120"/>
            </w:tcMar>
            <w:vAlign w:val="center"/>
          </w:tcPr>
          <w:p>
            <w:r>
              <w:rPr>
                <w:b w:val="false"/>
                <w:bCs w:val="false"/>
                <w:sz w:val="19"/>
                <w:szCs w:val="19"/>
              </w:rPr>
              <w:t xml:space="preserve">Execução de mitigação automática indevida</w:t>
            </w:r>
          </w:p>
        </w:tc>
        <w:tc>
          <w:tcPr>
            <w:tcMar>
              <w:top w:type="dxa" w:w="80"/>
              <w:left w:type="dxa" w:w="120"/>
              <w:bottom w:type="dxa" w:w="80"/>
              <w:right w:type="dxa" w:w="120"/>
            </w:tcMar>
            <w:vAlign w:val="center"/>
          </w:tcPr>
          <w:p>
            <w:r>
              <w:rPr>
                <w:b w:val="false"/>
                <w:bCs w:val="false"/>
                <w:sz w:val="19"/>
                <w:szCs w:val="19"/>
              </w:rPr>
              <w:t xml:space="preserve">Runbook aplicado a ativo errado causa indisponibilidade.</w:t>
            </w:r>
          </w:p>
        </w:tc>
        <w:tc>
          <w:tcPr>
            <w:tcMar>
              <w:top w:type="dxa" w:w="80"/>
              <w:left w:type="dxa" w:w="120"/>
              <w:bottom w:type="dxa" w:w="80"/>
              <w:right w:type="dxa" w:w="120"/>
            </w:tcMar>
            <w:vAlign w:val="center"/>
          </w:tcPr>
          <w:p>
            <w:r>
              <w:rPr>
                <w:b w:val="false"/>
                <w:bCs w:val="false"/>
                <w:sz w:val="19"/>
                <w:szCs w:val="19"/>
              </w:rPr>
              <w:t xml:space="preserve">Runbooks testados e aprovados uma vez pelo CAB; escopo restrito por tag de ativo; rollback automatizado.</w:t>
            </w:r>
          </w:p>
        </w:tc>
      </w:tr>
      <w:tr>
        <w:tc>
          <w:tcPr>
            <w:tcMar>
              <w:top w:type="dxa" w:w="80"/>
              <w:left w:type="dxa" w:w="120"/>
              <w:bottom w:type="dxa" w:w="80"/>
              <w:right w:type="dxa" w:w="120"/>
            </w:tcMar>
            <w:vAlign w:val="center"/>
          </w:tcPr>
          <w:p>
            <w:r>
              <w:rPr>
                <w:b w:val="false"/>
                <w:bCs w:val="false"/>
                <w:sz w:val="19"/>
                <w:szCs w:val="19"/>
              </w:rPr>
              <w:t xml:space="preserve">Dependência de feed externo (KEV/EPSS)</w:t>
            </w:r>
          </w:p>
        </w:tc>
        <w:tc>
          <w:tcPr>
            <w:tcMar>
              <w:top w:type="dxa" w:w="80"/>
              <w:left w:type="dxa" w:w="120"/>
              <w:bottom w:type="dxa" w:w="80"/>
              <w:right w:type="dxa" w:w="120"/>
            </w:tcMar>
            <w:vAlign w:val="center"/>
          </w:tcPr>
          <w:p>
            <w:r>
              <w:rPr>
                <w:b w:val="false"/>
                <w:bCs w:val="false"/>
                <w:sz w:val="19"/>
                <w:szCs w:val="19"/>
              </w:rPr>
              <w:t xml:space="preserve">Indisponibilidade do feed atrasa reclassificação.</w:t>
            </w:r>
          </w:p>
        </w:tc>
        <w:tc>
          <w:tcPr>
            <w:tcMar>
              <w:top w:type="dxa" w:w="80"/>
              <w:left w:type="dxa" w:w="120"/>
              <w:bottom w:type="dxa" w:w="80"/>
              <w:right w:type="dxa" w:w="120"/>
            </w:tcMar>
            <w:vAlign w:val="center"/>
          </w:tcPr>
          <w:p>
            <w:r>
              <w:rPr>
                <w:b w:val="false"/>
                <w:bCs w:val="false"/>
                <w:sz w:val="19"/>
                <w:szCs w:val="19"/>
              </w:rPr>
              <w:t xml:space="preserve">Cache local do último estado conhecido; alerta de falha de ingestão.</w:t>
            </w:r>
          </w:p>
        </w:tc>
      </w:tr>
      <w:tr>
        <w:tc>
          <w:tcPr>
            <w:tcMar>
              <w:top w:type="dxa" w:w="80"/>
              <w:left w:type="dxa" w:w="120"/>
              <w:bottom w:type="dxa" w:w="80"/>
              <w:right w:type="dxa" w:w="120"/>
            </w:tcMar>
            <w:vAlign w:val="center"/>
          </w:tcPr>
          <w:p>
            <w:r>
              <w:rPr>
                <w:b w:val="false"/>
                <w:bCs w:val="false"/>
                <w:sz w:val="19"/>
                <w:szCs w:val="19"/>
              </w:rPr>
              <w:t xml:space="preserve">Resistência organizacional</w:t>
            </w:r>
          </w:p>
        </w:tc>
        <w:tc>
          <w:tcPr>
            <w:tcMar>
              <w:top w:type="dxa" w:w="80"/>
              <w:left w:type="dxa" w:w="120"/>
              <w:bottom w:type="dxa" w:w="80"/>
              <w:right w:type="dxa" w:w="120"/>
            </w:tcMar>
            <w:vAlign w:val="center"/>
          </w:tcPr>
          <w:p>
            <w:r>
              <w:rPr>
                <w:b w:val="false"/>
                <w:bCs w:val="false"/>
                <w:sz w:val="19"/>
                <w:szCs w:val="19"/>
              </w:rPr>
              <w:t xml:space="preserve">Times de infraestrutura/aplicação não confiam em decisão automatizada.</w:t>
            </w:r>
          </w:p>
        </w:tc>
        <w:tc>
          <w:tcPr>
            <w:tcMar>
              <w:top w:type="dxa" w:w="80"/>
              <w:left w:type="dxa" w:w="120"/>
              <w:bottom w:type="dxa" w:w="80"/>
              <w:right w:type="dxa" w:w="120"/>
            </w:tcMar>
            <w:vAlign w:val="center"/>
          </w:tcPr>
          <w:p>
            <w:r>
              <w:rPr>
                <w:b w:val="false"/>
                <w:bCs w:val="false"/>
                <w:sz w:val="19"/>
                <w:szCs w:val="19"/>
              </w:rPr>
              <w:t xml:space="preserve">Fase shadow, transparência do racional de decisão no ticket, trilha de auditoria visível a todos os donos de ativo.</w:t>
            </w:r>
          </w:p>
        </w:tc>
      </w:tr>
    </w:tbl>
    <w:p>
      <w:r>
        <w:br w:type="page"/>
      </w:r>
    </w:p>
    <w:p>
      <w:pPr>
        <w:pStyle w:val="Heading1"/>
        <w:spacing w:after="200" w:before="400"/>
      </w:pPr>
      <w:r>
        <w:t xml:space="preserve">9. Métricas de Sucesso (KPIs/KRIs)</w:t>
      </w:r>
    </w:p>
    <w:p>
      <w:pPr>
        <w:pStyle w:val="ListParagraph"/>
        <w:numPr>
          <w:ilvl w:val="0"/>
          <w:numId w:val="2"/>
        </w:numPr>
        <w:spacing w:after="90"/>
      </w:pPr>
      <w:r>
        <w:t xml:space="preserve">% de achados classificados automaticamente sem toque humano (meta: 70–90%).</w:t>
      </w:r>
    </w:p>
    <w:p>
      <w:pPr>
        <w:pStyle w:val="ListParagraph"/>
        <w:numPr>
          <w:ilvl w:val="0"/>
          <w:numId w:val="2"/>
        </w:numPr>
        <w:spacing w:after="90"/>
      </w:pPr>
      <w:r>
        <w:t xml:space="preserve">Tempo médio entre entrada no KEV/mudança de exposição e mitigação em vigor (meta: horas, não dias).</w:t>
      </w:r>
    </w:p>
    <w:p>
      <w:pPr>
        <w:pStyle w:val="ListParagraph"/>
        <w:numPr>
          <w:ilvl w:val="0"/>
          <w:numId w:val="2"/>
        </w:numPr>
        <w:spacing w:after="90"/>
      </w:pPr>
      <w:r>
        <w:t xml:space="preserve">% de cumprimento do SLA de 3 dias para itens "Act" críticos.</w:t>
      </w:r>
    </w:p>
    <w:p>
      <w:pPr>
        <w:pStyle w:val="ListParagraph"/>
        <w:numPr>
          <w:ilvl w:val="0"/>
          <w:numId w:val="2"/>
        </w:numPr>
        <w:spacing w:after="90"/>
      </w:pPr>
      <w:r>
        <w:t xml:space="preserve">Horas de analista/mês dedicadas à triagem (tendência de queda) vs. horas dedicadas à mitigação estratégica e exceções (tendência de aumento proporcional).</w:t>
      </w:r>
    </w:p>
    <w:p>
      <w:pPr>
        <w:pStyle w:val="ListParagraph"/>
        <w:numPr>
          <w:ilvl w:val="0"/>
          <w:numId w:val="2"/>
        </w:numPr>
        <w:spacing w:after="90"/>
      </w:pPr>
      <w:r>
        <w:t xml:space="preserve">Número de achados de auditoria relacionados a critério de priorização (meta: zero).</w:t>
      </w:r>
    </w:p>
    <w:p>
      <w:pPr>
        <w:pStyle w:val="ListParagraph"/>
        <w:numPr>
          <w:ilvl w:val="0"/>
          <w:numId w:val="2"/>
        </w:numPr>
        <w:spacing w:after="90"/>
      </w:pPr>
      <w:r>
        <w:t xml:space="preserve">Taxa de falso positivo/negativo do motor de decisão, medida pelo ciclo de feedback.</w:t>
      </w:r>
    </w:p>
    <w:p>
      <w:pPr>
        <w:pStyle w:val="Heading1"/>
        <w:spacing w:after="200" w:before="400"/>
      </w:pPr>
      <w:r>
        <w:t xml:space="preserve">10. Conclusão</w:t>
      </w:r>
    </w:p>
    <w:p>
      <w:pPr>
        <w:spacing w:after="160" w:line="276"/>
      </w:pPr>
      <w:r>
        <w:t xml:space="preserve">O cenário de 2026 — descoberta de vulnerabilidades em escala de IA nos dois lados da equação e uma diretiva regulatória que formaliza a priorização por risco — torna a evolução do modelo de gestão de vulnerabilidades da Cielo uma questão de tempo, não de escolha. O caminho recomendado neste documento preserva a maturidade já conquistada (contexto de negócio, exposição, exploitability, criticidade) e a formaliza em um modelo de decisão auditável, automatizando exatamente a parte do processo que hoje consome mais tempo humano sem agregar julgamento — liberando a especialização do time para o que de fato exige: mitigação estratégica, exceções e decisões de risco de alto impacto.</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Gestão de Vulnerabilidades — Cielo · Documento de Projeto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2026-07-16T02:52:48.368Z</dcterms:created>
  <dcterms:modified xsi:type="dcterms:W3CDTF">2026-07-16T02:52:48.381Z</dcterms:modified>
</cp:coreProperties>
</file>

<file path=docProps/custom.xml><?xml version="1.0" encoding="utf-8"?>
<Properties xmlns="http://schemas.openxmlformats.org/officeDocument/2006/custom-properties" xmlns:vt="http://schemas.openxmlformats.org/officeDocument/2006/docPropsVTypes"/>
</file>