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72883" w14:textId="77777777" w:rsidR="00693547" w:rsidRPr="006E6A3E" w:rsidRDefault="00693547" w:rsidP="00693547">
      <w:pPr>
        <w:spacing w:after="0" w:line="240" w:lineRule="auto"/>
        <w:ind w:left="708" w:hanging="708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77CF86A9" w14:textId="77777777" w:rsidR="00693547" w:rsidRDefault="00693547" w:rsidP="00693547">
      <w:pPr>
        <w:spacing w:after="0" w:line="240" w:lineRule="auto"/>
        <w:jc w:val="center"/>
        <w:rPr>
          <w:rFonts w:ascii="Segoe UI" w:eastAsia="Times New Roman" w:hAnsi="Segoe UI" w:cs="Segoe UI Light"/>
          <w:color w:val="000000"/>
          <w:sz w:val="26"/>
          <w:szCs w:val="26"/>
          <w:bdr w:val="none" w:sz="0" w:space="0" w:color="auto" w:frame="1"/>
          <w:lang w:eastAsia="es-CO"/>
        </w:rPr>
      </w:pPr>
    </w:p>
    <w:p w14:paraId="6F6E021E" w14:textId="77777777" w:rsidR="00693547" w:rsidRDefault="00693547" w:rsidP="00693547">
      <w:pPr>
        <w:spacing w:after="0" w:line="240" w:lineRule="auto"/>
        <w:jc w:val="center"/>
        <w:rPr>
          <w:rFonts w:ascii="Segoe UI" w:eastAsia="Times New Roman" w:hAnsi="Segoe UI" w:cs="Segoe UI Light"/>
          <w:color w:val="000000"/>
          <w:sz w:val="26"/>
          <w:szCs w:val="26"/>
          <w:bdr w:val="none" w:sz="0" w:space="0" w:color="auto" w:frame="1"/>
          <w:lang w:eastAsia="es-CO"/>
        </w:rPr>
      </w:pPr>
      <w:r>
        <w:rPr>
          <w:rFonts w:ascii="Segoe UI" w:eastAsia="Times New Roman" w:hAnsi="Segoe UI" w:cs="Segoe UI Light"/>
          <w:color w:val="000000"/>
          <w:sz w:val="26"/>
          <w:szCs w:val="26"/>
          <w:bdr w:val="none" w:sz="0" w:space="0" w:color="auto" w:frame="1"/>
          <w:lang w:eastAsia="es-CO"/>
        </w:rPr>
        <w:t>Universidad Escuela Colombiana de Ingeniería Julio Garavito</w:t>
      </w:r>
    </w:p>
    <w:p w14:paraId="6A543B7F" w14:textId="6461BDE1" w:rsidR="00693547" w:rsidRPr="009313FC" w:rsidRDefault="00693547" w:rsidP="00693547">
      <w:pPr>
        <w:spacing w:after="0" w:line="240" w:lineRule="auto"/>
        <w:jc w:val="center"/>
        <w:rPr>
          <w:rFonts w:ascii="Segoe UI Light" w:eastAsia="Times New Roman" w:hAnsi="Segoe UI Light" w:cs="Segoe UI Light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Segoe UI Light" w:eastAsia="Times New Roman" w:hAnsi="Segoe UI Light" w:cs="Segoe UI Light"/>
          <w:color w:val="000000"/>
          <w:sz w:val="26"/>
          <w:szCs w:val="26"/>
          <w:bdr w:val="none" w:sz="0" w:space="0" w:color="auto" w:frame="1"/>
          <w:lang w:eastAsia="es-CO"/>
        </w:rPr>
        <w:t xml:space="preserve">Investigación </w:t>
      </w:r>
      <w:r w:rsidRPr="004813D8">
        <w:rPr>
          <w:rFonts w:ascii="Segoe UI Light" w:eastAsia="Times New Roman" w:hAnsi="Segoe UI Light" w:cs="Segoe UI Light"/>
          <w:color w:val="000000"/>
          <w:sz w:val="26"/>
          <w:szCs w:val="26"/>
          <w:highlight w:val="yellow"/>
          <w:bdr w:val="none" w:sz="0" w:space="0" w:color="auto" w:frame="1"/>
          <w:lang w:eastAsia="es-CO"/>
        </w:rPr>
        <w:t>Preliminar</w:t>
      </w:r>
      <w:r>
        <w:rPr>
          <w:rFonts w:ascii="Segoe UI Light" w:eastAsia="Times New Roman" w:hAnsi="Segoe UI Light" w:cs="Segoe UI Light"/>
          <w:color w:val="000000"/>
          <w:sz w:val="26"/>
          <w:szCs w:val="26"/>
          <w:bdr w:val="none" w:sz="0" w:space="0" w:color="auto" w:frame="1"/>
          <w:lang w:eastAsia="es-CO"/>
        </w:rPr>
        <w:t xml:space="preserve"> Para el Desarrollo de la Altillanura Colombiana</w:t>
      </w:r>
    </w:p>
    <w:p w14:paraId="3C7B680E" w14:textId="77777777" w:rsidR="00693547" w:rsidRPr="006E6A3E" w:rsidRDefault="00693547" w:rsidP="00693547">
      <w:pPr>
        <w:spacing w:after="0" w:line="240" w:lineRule="auto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4C25B0D1" w14:textId="77122139" w:rsidR="00693547" w:rsidRDefault="00693547" w:rsidP="00693547">
      <w:pPr>
        <w:numPr>
          <w:ilvl w:val="0"/>
          <w:numId w:val="1"/>
        </w:numPr>
        <w:tabs>
          <w:tab w:val="num" w:pos="450"/>
        </w:tabs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 w:rsidRPr="009313FC">
        <w:rPr>
          <w:rFonts w:ascii="Segoe UI" w:eastAsia="Times New Roman" w:hAnsi="Segoe UI" w:cs="Segoe UI Light"/>
          <w:color w:val="000000"/>
          <w:bdr w:val="none" w:sz="0" w:space="0" w:color="auto" w:frame="1"/>
          <w:lang w:eastAsia="es-CO"/>
        </w:rPr>
        <w:t>Introducción</w:t>
      </w:r>
      <w:r w:rsidRPr="009313FC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br/>
      </w:r>
      <w:r w:rsidRPr="009313FC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br/>
      </w:r>
      <w:proofErr w:type="spellStart"/>
      <w:r w:rsidR="00CE45EE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Xxxxxxxxxxxxxxxx</w:t>
      </w:r>
      <w:proofErr w:type="spellEnd"/>
    </w:p>
    <w:p w14:paraId="24C9B21E" w14:textId="77777777" w:rsidR="00260D71" w:rsidRDefault="00260D71" w:rsidP="00260D71">
      <w:pPr>
        <w:spacing w:after="0" w:line="240" w:lineRule="auto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52686D7D" w14:textId="4B545587" w:rsidR="005F47B3" w:rsidRPr="005F47B3" w:rsidRDefault="005F47B3" w:rsidP="005F47B3">
      <w:pPr>
        <w:numPr>
          <w:ilvl w:val="0"/>
          <w:numId w:val="1"/>
        </w:numPr>
        <w:tabs>
          <w:tab w:val="num" w:pos="450"/>
        </w:tabs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>
        <w:rPr>
          <w:rFonts w:ascii="Segoe UI" w:eastAsia="Times New Roman" w:hAnsi="Segoe UI" w:cs="Segoe UI Light"/>
          <w:color w:val="000000"/>
          <w:bdr w:val="none" w:sz="0" w:space="0" w:color="auto" w:frame="1"/>
          <w:lang w:eastAsia="es-CO"/>
        </w:rPr>
        <w:t>Alcance</w:t>
      </w:r>
    </w:p>
    <w:p w14:paraId="54B6F964" w14:textId="77777777" w:rsidR="00CE45EE" w:rsidRDefault="00CE45EE" w:rsidP="00CE45EE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22209284" w14:textId="0FE1639B" w:rsidR="00CE45EE" w:rsidRDefault="00CE45EE" w:rsidP="00CE45EE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proofErr w:type="spellStart"/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Xxxxxxxxxxxxxxxx</w:t>
      </w:r>
      <w:proofErr w:type="spellEnd"/>
    </w:p>
    <w:p w14:paraId="46A4EA34" w14:textId="77777777" w:rsidR="005F47B3" w:rsidRDefault="005F47B3" w:rsidP="005F47B3">
      <w:pPr>
        <w:pStyle w:val="ListParagraph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0E0247A7" w14:textId="77777777" w:rsidR="00F469A3" w:rsidRPr="00F469A3" w:rsidRDefault="005F47B3" w:rsidP="005F47B3">
      <w:pPr>
        <w:numPr>
          <w:ilvl w:val="0"/>
          <w:numId w:val="1"/>
        </w:numPr>
        <w:tabs>
          <w:tab w:val="num" w:pos="450"/>
        </w:tabs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 w:rsidRPr="00F469A3">
        <w:rPr>
          <w:rFonts w:ascii="Segoe UI" w:eastAsia="Times New Roman" w:hAnsi="Segoe UI" w:cs="Segoe UI Light"/>
          <w:color w:val="000000"/>
          <w:bdr w:val="none" w:sz="0" w:space="0" w:color="auto" w:frame="1"/>
          <w:lang w:eastAsia="es-CO"/>
        </w:rPr>
        <w:t>Análisis y recopilación de información</w:t>
      </w:r>
    </w:p>
    <w:p w14:paraId="0680395E" w14:textId="77777777" w:rsidR="00F469A3" w:rsidRDefault="00F469A3" w:rsidP="00F469A3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0CF83695" w14:textId="045603AD" w:rsidR="004813D8" w:rsidRPr="004813D8" w:rsidRDefault="004813D8" w:rsidP="004813D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>
        <w:rPr>
          <w:rFonts w:ascii="Segoe UI" w:eastAsia="Times New Roman" w:hAnsi="Segoe UI" w:cs="Segoe UI Light"/>
          <w:color w:val="000000"/>
          <w:bdr w:val="none" w:sz="0" w:space="0" w:color="auto" w:frame="1"/>
          <w:lang w:eastAsia="es-CO"/>
        </w:rPr>
        <w:t>Delimitación</w:t>
      </w:r>
    </w:p>
    <w:p w14:paraId="368C2141" w14:textId="77777777" w:rsidR="004813D8" w:rsidRDefault="004813D8" w:rsidP="004813D8">
      <w:pPr>
        <w:spacing w:after="0" w:line="240" w:lineRule="auto"/>
        <w:ind w:left="426"/>
        <w:jc w:val="both"/>
        <w:textAlignment w:val="baseline"/>
        <w:rPr>
          <w:rFonts w:ascii="Segoe UI" w:eastAsia="Times New Roman" w:hAnsi="Segoe UI" w:cs="Segoe UI Light"/>
          <w:color w:val="000000"/>
          <w:bdr w:val="none" w:sz="0" w:space="0" w:color="auto" w:frame="1"/>
          <w:lang w:eastAsia="es-CO"/>
        </w:rPr>
      </w:pPr>
    </w:p>
    <w:p w14:paraId="337EFF0E" w14:textId="1F01A506" w:rsidR="004813D8" w:rsidRDefault="0011670E" w:rsidP="00F77332">
      <w:pPr>
        <w:spacing w:after="0" w:line="240" w:lineRule="auto"/>
        <w:ind w:left="426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 w:rsidRPr="0011670E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De acuerdo con </w:t>
      </w:r>
      <w:r w:rsidR="0030266B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Gaviria </w:t>
      </w:r>
      <w:sdt>
        <w:sdtPr>
          <w:rPr>
            <w:rFonts w:ascii="Segoe UI Light" w:eastAsia="Times New Roman" w:hAnsi="Segoe UI Light" w:cs="Segoe UI Light"/>
            <w:color w:val="000000"/>
            <w:bdr w:val="none" w:sz="0" w:space="0" w:color="auto" w:frame="1"/>
            <w:lang w:eastAsia="es-CO"/>
          </w:rPr>
          <w:id w:val="-120151394"/>
          <w:citation/>
        </w:sdtPr>
        <w:sdtContent>
          <w:r>
            <w:rPr>
              <w:rFonts w:ascii="Segoe UI Light" w:eastAsia="Times New Roman" w:hAnsi="Segoe UI Light" w:cs="Segoe UI Light"/>
              <w:color w:val="000000"/>
              <w:bdr w:val="none" w:sz="0" w:space="0" w:color="auto" w:frame="1"/>
              <w:lang w:eastAsia="es-CO"/>
            </w:rPr>
            <w:fldChar w:fldCharType="begin"/>
          </w:r>
          <w:r w:rsidR="0030266B">
            <w:rPr>
              <w:rFonts w:ascii="Segoe UI Light" w:eastAsia="Times New Roman" w:hAnsi="Segoe UI Light" w:cs="Segoe UI Light"/>
              <w:color w:val="000000"/>
              <w:bdr w:val="none" w:sz="0" w:space="0" w:color="auto" w:frame="1"/>
              <w:lang w:eastAsia="es-CO"/>
            </w:rPr>
            <w:instrText xml:space="preserve">CITATION Gav93 \n  \t  \l 9226 </w:instrText>
          </w:r>
          <w:r>
            <w:rPr>
              <w:rFonts w:ascii="Segoe UI Light" w:eastAsia="Times New Roman" w:hAnsi="Segoe UI Light" w:cs="Segoe UI Light"/>
              <w:color w:val="000000"/>
              <w:bdr w:val="none" w:sz="0" w:space="0" w:color="auto" w:frame="1"/>
              <w:lang w:eastAsia="es-CO"/>
            </w:rPr>
            <w:fldChar w:fldCharType="separate"/>
          </w:r>
          <w:r w:rsidR="0030266B" w:rsidRPr="0030266B">
            <w:rPr>
              <w:rFonts w:ascii="Segoe UI Light" w:eastAsia="Times New Roman" w:hAnsi="Segoe UI Light" w:cs="Segoe UI Light"/>
              <w:noProof/>
              <w:color w:val="000000"/>
              <w:bdr w:val="none" w:sz="0" w:space="0" w:color="auto" w:frame="1"/>
              <w:lang w:eastAsia="es-CO"/>
            </w:rPr>
            <w:t>(1993)</w:t>
          </w:r>
          <w:r>
            <w:rPr>
              <w:rFonts w:ascii="Segoe UI Light" w:eastAsia="Times New Roman" w:hAnsi="Segoe UI Light" w:cs="Segoe UI Light"/>
              <w:color w:val="000000"/>
              <w:bdr w:val="none" w:sz="0" w:space="0" w:color="auto" w:frame="1"/>
              <w:lang w:eastAsia="es-CO"/>
            </w:rPr>
            <w:fldChar w:fldCharType="end"/>
          </w:r>
        </w:sdtContent>
      </w:sdt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, la región de la Altillanura corresponde </w:t>
      </w:r>
      <w:r w:rsidRPr="0011670E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al territorio conformado por sabanas unos metros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 w:rsidRPr="0011670E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más altos que el cauce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 w:rsidRPr="0011670E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del río Meta, con una red hidrográfica autónoma de tal manera que en la temporada de lluvias estas sabanas no se inundan como</w:t>
      </w:r>
      <w:r w:rsidR="00F77332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 w:rsidRPr="0011670E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sí lo hacen las de la margen izquierda del río Meta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. Esta delimitación es la adoptada por el COPNES (2014), como una subregión de la Orinoquía</w:t>
      </w:r>
      <w:r w:rsidR="00F77332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, definida como un territorio de 135</w:t>
      </w:r>
      <w:r w:rsidR="00A72396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.000</w:t>
      </w:r>
      <w:r w:rsidR="00F77332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 w:rsidR="00A72396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km</w:t>
      </w:r>
      <w:r w:rsidR="00A72396" w:rsidRPr="00A72396">
        <w:rPr>
          <w:rFonts w:ascii="Segoe UI Light" w:eastAsia="Times New Roman" w:hAnsi="Segoe UI Light" w:cs="Segoe UI Light"/>
          <w:color w:val="000000"/>
          <w:bdr w:val="none" w:sz="0" w:space="0" w:color="auto" w:frame="1"/>
          <w:vertAlign w:val="superscript"/>
          <w:lang w:eastAsia="es-CO"/>
        </w:rPr>
        <w:t>2</w:t>
      </w:r>
      <w:r w:rsidR="00A72396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 w:rsidR="00F77332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y </w:t>
      </w:r>
      <w:r w:rsidR="00F77332" w:rsidRPr="00F77332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siete municipios</w:t>
      </w:r>
      <w:r w:rsidR="00F77332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del </w:t>
      </w:r>
      <w:r w:rsidR="00F77332" w:rsidRPr="00F77332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del departamento del Meta</w:t>
      </w:r>
      <w:r w:rsidR="00F77332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y </w:t>
      </w:r>
      <w:r w:rsidR="00F77332" w:rsidRPr="00F77332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Vichada</w:t>
      </w:r>
      <w:r w:rsidR="00F77332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.</w:t>
      </w:r>
    </w:p>
    <w:p w14:paraId="75B7018F" w14:textId="77777777" w:rsidR="00A72396" w:rsidRDefault="00A72396" w:rsidP="00F77332">
      <w:pPr>
        <w:spacing w:after="0" w:line="240" w:lineRule="auto"/>
        <w:ind w:left="426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5470FC85" w14:textId="4FCF702B" w:rsidR="00874C05" w:rsidRDefault="00200E69" w:rsidP="00253FB9">
      <w:pPr>
        <w:spacing w:after="0" w:line="240" w:lineRule="auto"/>
        <w:ind w:left="426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El </w:t>
      </w:r>
      <w:r w:rsidRPr="00200E69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Instituto Humboldt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sdt>
        <w:sdtPr>
          <w:rPr>
            <w:rFonts w:ascii="Segoe UI Light" w:eastAsia="Times New Roman" w:hAnsi="Segoe UI Light" w:cs="Segoe UI Light"/>
            <w:color w:val="000000"/>
            <w:bdr w:val="none" w:sz="0" w:space="0" w:color="auto" w:frame="1"/>
            <w:lang w:eastAsia="es-CO"/>
          </w:rPr>
          <w:id w:val="-446617236"/>
          <w:citation/>
        </w:sdtPr>
        <w:sdtContent>
          <w:r w:rsidR="0019343E">
            <w:rPr>
              <w:rFonts w:ascii="Segoe UI Light" w:eastAsia="Times New Roman" w:hAnsi="Segoe UI Light" w:cs="Segoe UI Light"/>
              <w:color w:val="000000"/>
              <w:bdr w:val="none" w:sz="0" w:space="0" w:color="auto" w:frame="1"/>
              <w:lang w:eastAsia="es-CO"/>
            </w:rPr>
            <w:fldChar w:fldCharType="begin"/>
          </w:r>
          <w:r w:rsidR="0019343E">
            <w:rPr>
              <w:rFonts w:ascii="Segoe UI Light" w:eastAsia="Times New Roman" w:hAnsi="Segoe UI Light" w:cs="Segoe UI Light"/>
              <w:color w:val="000000"/>
              <w:bdr w:val="none" w:sz="0" w:space="0" w:color="auto" w:frame="1"/>
              <w:lang w:eastAsia="es-CO"/>
            </w:rPr>
            <w:instrText xml:space="preserve">CITATION Ins13 \n  \t  \l 9226 </w:instrText>
          </w:r>
          <w:r w:rsidR="0019343E">
            <w:rPr>
              <w:rFonts w:ascii="Segoe UI Light" w:eastAsia="Times New Roman" w:hAnsi="Segoe UI Light" w:cs="Segoe UI Light"/>
              <w:color w:val="000000"/>
              <w:bdr w:val="none" w:sz="0" w:space="0" w:color="auto" w:frame="1"/>
              <w:lang w:eastAsia="es-CO"/>
            </w:rPr>
            <w:fldChar w:fldCharType="separate"/>
          </w:r>
          <w:r w:rsidR="0019343E" w:rsidRPr="0019343E">
            <w:rPr>
              <w:rFonts w:ascii="Segoe UI Light" w:eastAsia="Times New Roman" w:hAnsi="Segoe UI Light" w:cs="Segoe UI Light"/>
              <w:noProof/>
              <w:color w:val="000000"/>
              <w:bdr w:val="none" w:sz="0" w:space="0" w:color="auto" w:frame="1"/>
              <w:lang w:eastAsia="es-CO"/>
            </w:rPr>
            <w:t>(2013)</w:t>
          </w:r>
          <w:r w:rsidR="0019343E">
            <w:rPr>
              <w:rFonts w:ascii="Segoe UI Light" w:eastAsia="Times New Roman" w:hAnsi="Segoe UI Light" w:cs="Segoe UI Light"/>
              <w:color w:val="000000"/>
              <w:bdr w:val="none" w:sz="0" w:space="0" w:color="auto" w:frame="1"/>
              <w:lang w:eastAsia="es-CO"/>
            </w:rPr>
            <w:fldChar w:fldCharType="end"/>
          </w:r>
        </w:sdtContent>
      </w:sdt>
      <w:r w:rsidR="00874C0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defin</w:t>
      </w:r>
      <w:r w:rsidR="0019343E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e</w:t>
      </w:r>
      <w:r w:rsidR="00874C0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el área geográfica de la Altillanura colombiana como la región que se extiende </w:t>
      </w:r>
      <w:r w:rsidR="0078407B" w:rsidRPr="0078407B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desde</w:t>
      </w:r>
      <w:r w:rsidR="0078407B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 w:rsidR="0078407B" w:rsidRPr="0078407B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el municipio de Puerto López y San Martin por el Oeste, al Norte sobre la margen del Rio</w:t>
      </w:r>
      <w:r w:rsidR="0078407B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 w:rsidR="0078407B" w:rsidRPr="0078407B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Meta, al Sur la margen del Rio Guaviare hasta la desembocadura en el Orinoco en los</w:t>
      </w:r>
      <w:r w:rsidR="0078407B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 w:rsidR="0078407B" w:rsidRPr="0078407B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departamentos de Meta y Vichada</w:t>
      </w:r>
      <w:r w:rsidR="0078407B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, conformado por </w:t>
      </w:r>
      <w:r w:rsidR="00253FB9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los </w:t>
      </w:r>
      <w:r w:rsidR="0078407B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municipios </w:t>
      </w:r>
      <w:r w:rsidR="00253FB9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de </w:t>
      </w:r>
      <w:r w:rsidR="00253FB9" w:rsidRPr="00253FB9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Santa Rosalía, La primavera, Puerto Carreño y Cumaribo</w:t>
      </w:r>
      <w:r w:rsidR="00253FB9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, </w:t>
      </w:r>
      <w:r w:rsidR="00253FB9" w:rsidRPr="00253FB9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San Martin,</w:t>
      </w:r>
      <w:r w:rsidR="00253FB9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 w:rsidR="00253FB9" w:rsidRPr="00253FB9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Puerto López, Puerto Concordia, Mapiripán y Puerto Gaitán</w:t>
      </w:r>
      <w:r w:rsidR="00253FB9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, con una extensión </w:t>
      </w:r>
      <w:r w:rsidR="009F0477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total de </w:t>
      </w:r>
      <w:r w:rsidR="002056CB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143.042 km</w:t>
      </w:r>
      <w:r w:rsidR="002056CB" w:rsidRPr="002056CB">
        <w:rPr>
          <w:rFonts w:ascii="Segoe UI Light" w:eastAsia="Times New Roman" w:hAnsi="Segoe UI Light" w:cs="Segoe UI Light"/>
          <w:color w:val="000000"/>
          <w:bdr w:val="none" w:sz="0" w:space="0" w:color="auto" w:frame="1"/>
          <w:vertAlign w:val="superscript"/>
          <w:lang w:eastAsia="es-CO"/>
        </w:rPr>
        <w:t>2</w:t>
      </w:r>
      <w:r w:rsidR="002056CB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.</w:t>
      </w:r>
    </w:p>
    <w:p w14:paraId="4B89A88B" w14:textId="77777777" w:rsidR="004225FB" w:rsidRDefault="004225FB" w:rsidP="00253FB9">
      <w:pPr>
        <w:spacing w:after="0" w:line="240" w:lineRule="auto"/>
        <w:ind w:left="426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424B6048" w14:textId="77777777" w:rsidR="002056CB" w:rsidRPr="00A72396" w:rsidRDefault="002056CB" w:rsidP="002056CB">
      <w:pPr>
        <w:spacing w:after="0" w:line="240" w:lineRule="auto"/>
        <w:ind w:left="426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La Orinoquía por su parte abarca el área colombiana de la gran cuenca del río Orinoco y a partir de la división político administrativa del país, comprende los departamentos de Arauca, Casanare, Vichada, Meta, Guaviare y Guainía con un total de 380.600 km</w:t>
      </w:r>
      <w:r w:rsidRPr="00A72396">
        <w:rPr>
          <w:rFonts w:ascii="Segoe UI Light" w:eastAsia="Times New Roman" w:hAnsi="Segoe UI Light" w:cs="Segoe UI Light"/>
          <w:color w:val="000000"/>
          <w:bdr w:val="none" w:sz="0" w:space="0" w:color="auto" w:frame="1"/>
          <w:vertAlign w:val="superscript"/>
          <w:lang w:eastAsia="es-CO"/>
        </w:rPr>
        <w:t>2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. </w:t>
      </w:r>
    </w:p>
    <w:p w14:paraId="04E60C73" w14:textId="77777777" w:rsidR="0078407B" w:rsidRDefault="0078407B" w:rsidP="00F77332">
      <w:pPr>
        <w:spacing w:after="0" w:line="240" w:lineRule="auto"/>
        <w:ind w:left="426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6E2441B6" w14:textId="32CC08AC" w:rsidR="00A72396" w:rsidRDefault="00A72396" w:rsidP="00F77332">
      <w:pPr>
        <w:spacing w:after="0" w:line="240" w:lineRule="auto"/>
        <w:ind w:left="426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Para fines de est</w:t>
      </w:r>
      <w:r w:rsidR="009D2FFE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e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 w:rsidR="009D2FFE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estudio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, la delimitación de la Altillanura se ha definido en función de las </w:t>
      </w:r>
      <w:r w:rsidRPr="007E4924">
        <w:rPr>
          <w:rFonts w:ascii="Segoe UI Light" w:eastAsia="Times New Roman" w:hAnsi="Segoe UI Light" w:cs="Segoe UI Light"/>
          <w:color w:val="000000"/>
          <w:highlight w:val="yellow"/>
          <w:bdr w:val="none" w:sz="0" w:space="0" w:color="auto" w:frame="1"/>
          <w:lang w:eastAsia="es-CO"/>
        </w:rPr>
        <w:t>cuencas hidrográficas….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</w:p>
    <w:p w14:paraId="2FE61A4C" w14:textId="77777777" w:rsidR="00A72396" w:rsidRDefault="00A72396" w:rsidP="00F77332">
      <w:pPr>
        <w:spacing w:after="0" w:line="240" w:lineRule="auto"/>
        <w:ind w:left="426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3AE56248" w14:textId="59F7D2C7" w:rsidR="004813D8" w:rsidRPr="00F469A3" w:rsidRDefault="00A72396" w:rsidP="00D25231">
      <w:pPr>
        <w:spacing w:after="0" w:line="240" w:lineRule="auto"/>
        <w:ind w:left="426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</w:p>
    <w:p w14:paraId="6DD93E9F" w14:textId="23698F2D" w:rsidR="00F77332" w:rsidRPr="004813D8" w:rsidRDefault="00F77332" w:rsidP="00F77332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>
        <w:rPr>
          <w:rFonts w:ascii="Segoe UI" w:eastAsia="Times New Roman" w:hAnsi="Segoe UI" w:cs="Segoe UI Light"/>
          <w:color w:val="000000"/>
          <w:bdr w:val="none" w:sz="0" w:space="0" w:color="auto" w:frame="1"/>
          <w:lang w:eastAsia="es-CO"/>
        </w:rPr>
        <w:t>Caracterización</w:t>
      </w:r>
    </w:p>
    <w:p w14:paraId="42443D91" w14:textId="77777777" w:rsidR="00F77332" w:rsidRDefault="00F77332" w:rsidP="00F77332">
      <w:pPr>
        <w:spacing w:after="0" w:line="240" w:lineRule="auto"/>
        <w:ind w:left="426"/>
        <w:jc w:val="both"/>
        <w:textAlignment w:val="baseline"/>
        <w:rPr>
          <w:rFonts w:ascii="Segoe UI" w:eastAsia="Times New Roman" w:hAnsi="Segoe UI" w:cs="Segoe UI Light"/>
          <w:color w:val="000000"/>
          <w:bdr w:val="none" w:sz="0" w:space="0" w:color="auto" w:frame="1"/>
          <w:lang w:eastAsia="es-CO"/>
        </w:rPr>
      </w:pPr>
    </w:p>
    <w:p w14:paraId="595B5B35" w14:textId="77777777" w:rsidR="00123DC0" w:rsidRDefault="00123DC0" w:rsidP="00F77332">
      <w:pPr>
        <w:spacing w:after="0" w:line="240" w:lineRule="auto"/>
        <w:ind w:left="426"/>
        <w:jc w:val="both"/>
        <w:textAlignment w:val="baseline"/>
        <w:rPr>
          <w:rFonts w:ascii="Segoe UI" w:eastAsia="Times New Roman" w:hAnsi="Segoe UI" w:cs="Segoe UI Light"/>
          <w:color w:val="000000"/>
          <w:bdr w:val="none" w:sz="0" w:space="0" w:color="auto" w:frame="1"/>
          <w:lang w:eastAsia="es-CO"/>
        </w:rPr>
      </w:pPr>
    </w:p>
    <w:p w14:paraId="0986C6ED" w14:textId="77777777" w:rsidR="00123DC0" w:rsidRDefault="00123DC0" w:rsidP="00F77332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59B63FBA" w14:textId="32F83D69" w:rsidR="00123DC0" w:rsidRDefault="00123DC0" w:rsidP="00F77332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 w:rsidRPr="00123DC0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lastRenderedPageBreak/>
        <w:t>La Orinoquia es una región diversa que incluye la Altillanura, conocida por sus sabanas y ecosistemas únicos. La Altillanura se distingue por su potencial agrícola y su biodiversidad, con un clima tropical de sabana y una temporada de lluvias bien definida.</w:t>
      </w:r>
      <w:r w:rsidR="009D2FFE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L</w:t>
      </w:r>
      <w:r w:rsidRPr="00123DC0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a región alberga una rica fauna y flora, lo que la convierte en un área de gran interés ecológico y económico</w:t>
      </w:r>
    </w:p>
    <w:p w14:paraId="043CDFB2" w14:textId="77777777" w:rsidR="00123DC0" w:rsidRDefault="00123DC0" w:rsidP="00F77332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0C5F248A" w14:textId="77777777" w:rsidR="00D25231" w:rsidRPr="00F469A3" w:rsidRDefault="00D25231" w:rsidP="00D25231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>
        <w:rPr>
          <w:rFonts w:ascii="Segoe UI" w:eastAsia="Times New Roman" w:hAnsi="Segoe UI" w:cs="Segoe UI Light"/>
          <w:color w:val="000000"/>
          <w:bdr w:val="none" w:sz="0" w:space="0" w:color="auto" w:frame="1"/>
          <w:lang w:eastAsia="es-CO"/>
        </w:rPr>
        <w:t xml:space="preserve">Políticas </w:t>
      </w:r>
    </w:p>
    <w:p w14:paraId="39096C8B" w14:textId="77777777" w:rsidR="00D25231" w:rsidRPr="00F469A3" w:rsidRDefault="00D25231" w:rsidP="00D25231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3995E2FE" w14:textId="77777777" w:rsidR="00D25231" w:rsidRDefault="00D25231" w:rsidP="00D25231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En el año 2014 el gobierno nacional, a través del </w:t>
      </w:r>
      <w:r w:rsidRPr="00F77332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Consejo Nacional de Política Económica y Social 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(COPNES), dentro del marco del Plan Nacional de Desarrollo “Prosperidad para Todos”, presentó el documento con la</w:t>
      </w:r>
      <w:r w:rsidRPr="00260D71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Política 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para el Desarrollo Integral de la Orinoquía: Altillanura Fase I. El propósito sus lineamientos es </w:t>
      </w:r>
      <w:r w:rsidRPr="0009003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crear las condiciones sociales y económicas para 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el </w:t>
      </w:r>
      <w:r w:rsidRPr="0009003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desarrollo incluyente y sostenible de la Altillanura, basado en la construcción de un modelo de región a partir</w:t>
      </w:r>
      <w:r w:rsidRPr="00090033">
        <w:t xml:space="preserve"> 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del e</w:t>
      </w:r>
      <w:r w:rsidRPr="0009003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quipa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miento en </w:t>
      </w:r>
      <w:r w:rsidRPr="0009003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infraestructura y servicios sociale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s, el o</w:t>
      </w:r>
      <w:r w:rsidRPr="0009003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rdena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miento t</w:t>
      </w:r>
      <w:r w:rsidRPr="0009003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erritori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al</w:t>
      </w:r>
      <w:r w:rsidRPr="0009003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acorde a la vocación de la región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, la g</w:t>
      </w:r>
      <w:r w:rsidRPr="0009003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enera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ción de</w:t>
      </w:r>
      <w:r w:rsidRPr="0009003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condiciones que incentiven la inversión para aprovechar el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 w:rsidRPr="0009003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potencial agropecuario y agroindustrial 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y la</w:t>
      </w:r>
      <w:r w:rsidRPr="0009003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a</w:t>
      </w:r>
      <w:r w:rsidRPr="0009003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mplia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ción de </w:t>
      </w:r>
      <w:r w:rsidRPr="0009003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las capacidades institucionales para la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 w:rsidRPr="0009003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gestión del desarrollo regional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.</w:t>
      </w:r>
    </w:p>
    <w:p w14:paraId="46320397" w14:textId="77777777" w:rsidR="00D25231" w:rsidRDefault="00D25231" w:rsidP="00D25231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07C07F1E" w14:textId="7ABF6B8A" w:rsidR="00D25231" w:rsidRDefault="00D25231" w:rsidP="00D25231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proofErr w:type="spellStart"/>
      <w:r w:rsidRPr="00AD552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The</w:t>
      </w:r>
      <w:proofErr w:type="spellEnd"/>
      <w:r w:rsidRPr="00AD552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proofErr w:type="spellStart"/>
      <w:r w:rsidRPr="00AD552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Nature</w:t>
      </w:r>
      <w:proofErr w:type="spellEnd"/>
      <w:r w:rsidRPr="00AD552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proofErr w:type="spellStart"/>
      <w:r w:rsidRPr="00AD552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Conseervancy</w:t>
      </w:r>
      <w:proofErr w:type="spellEnd"/>
      <w:r w:rsidRPr="00AD552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en conjunto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con 20 organizaciones ambientales que hacen parte del Pacto Orinoquia Sostenible, entre ellas</w:t>
      </w:r>
      <w:r w:rsidRPr="00CA2D9D">
        <w:t xml:space="preserve"> </w:t>
      </w:r>
      <w:r w:rsidRPr="00CA2D9D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el Ministerio de Agricultura y Desarrollo Rural, el Proyecto </w:t>
      </w:r>
      <w:proofErr w:type="spellStart"/>
      <w:r w:rsidRPr="00CA2D9D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Biocarbono</w:t>
      </w:r>
      <w:proofErr w:type="spellEnd"/>
      <w:r w:rsidRPr="00CA2D9D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Orinoquia, TFA, WWF, WCS, Fondo Acción, IAVH, </w:t>
      </w:r>
      <w:proofErr w:type="spellStart"/>
      <w:r w:rsidRPr="00CA2D9D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Asorinoquia</w:t>
      </w:r>
      <w:proofErr w:type="spellEnd"/>
      <w:r w:rsidRPr="00CA2D9D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, GGGI4 y Ecopetrol,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presentaron en el año 2021 el Manifiesto por el Desarrollo Sostenible de la Orinoquia</w:t>
      </w:r>
      <w:r w:rsidR="00A95468" w:rsidRPr="00A95468">
        <w:t xml:space="preserve"> </w:t>
      </w:r>
      <w:r w:rsidR="00A95468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que </w:t>
      </w:r>
      <w:r w:rsidR="00A95468" w:rsidRPr="00A95468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representa un compromiso colectivo para asegurar que el crecimiento de la región se realice de manera armónica con su riqueza natural y cultural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. El </w:t>
      </w:r>
      <w:r w:rsidR="00A95468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manifiesto </w:t>
      </w:r>
      <w:r w:rsidRPr="00D25231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que busca promover el desarrollo sostenible en la región de la Orinoquía en Colombia, enfocándose en un desarrollo económico que respete y conserve la biodiversidad y los ecosistemas locales, beneficiando a sus comunidades. Sus intenciones incluyen fomentar la colaboración entre diversos actores, como gobiernos, organizaciones sociales y el sector privado, además de impulsar la educación ambiental y proteger los territorios de pueblos indígenas y campesinos mediante su participación en decisiones. Las políticas propuestas abarcan la implementación de prácticas sostenibles en agricultura y ganadería, la preservación de ecosistemas estratégicos, la promoción de investigación e innovación en gestión ambiental, y la creación de políticas públicas que prioricen la sostenibilidad y el bienestar socioeconómico. </w:t>
      </w:r>
    </w:p>
    <w:p w14:paraId="1C06A08E" w14:textId="77777777" w:rsidR="00EE178E" w:rsidRDefault="00EE178E" w:rsidP="00D25231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7BA949CC" w14:textId="77777777" w:rsidR="00EE178E" w:rsidRDefault="00EE178E" w:rsidP="00EE178E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  <w:r w:rsidRPr="004813D8"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  <w:t>Potencial agrícola y vocación de uso del suelo</w:t>
      </w:r>
    </w:p>
    <w:p w14:paraId="0E0633D2" w14:textId="77777777" w:rsidR="005E0365" w:rsidRDefault="005E0365" w:rsidP="005E0365">
      <w:pPr>
        <w:spacing w:after="0" w:line="240" w:lineRule="auto"/>
        <w:ind w:left="858"/>
        <w:jc w:val="both"/>
        <w:textAlignment w:val="baseline"/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</w:p>
    <w:p w14:paraId="4D1DA133" w14:textId="45FF638B" w:rsidR="00D87143" w:rsidRDefault="005E0365" w:rsidP="00D87143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 w:rsidRPr="005E036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La Altillanura posee un </w:t>
      </w:r>
      <w:r w:rsidR="00FF286D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gran </w:t>
      </w:r>
      <w:r w:rsidRPr="005E036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potencial </w:t>
      </w:r>
      <w:r w:rsidR="00D15358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para el aprovechamiento </w:t>
      </w:r>
      <w:r w:rsidRPr="005E036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agrícola</w:t>
      </w:r>
      <w:r w:rsidR="00D15358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, pecuario y forestal.</w:t>
      </w:r>
      <w:r w:rsidRPr="005E036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 w:rsidR="00D15358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Dentro de l</w:t>
      </w:r>
      <w:r w:rsidRPr="005E036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os cultivos predominantes </w:t>
      </w:r>
      <w:r w:rsidR="00D15358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en la región se encuentra la </w:t>
      </w:r>
      <w:r w:rsidRPr="005E036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palma de aceite, caucho, soya y maíz. </w:t>
      </w:r>
      <w:r w:rsidR="002E6BE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L</w:t>
      </w:r>
      <w:r w:rsidRPr="005E036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a región es apta para la ganadería extensiva. La combinación de estos factores hace que la Altillanura sea una zona </w:t>
      </w:r>
      <w:r w:rsidR="00D8714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con capacidad para</w:t>
      </w:r>
      <w:r w:rsidRPr="005E036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el desarrollo agroindustrial de Colombia.</w:t>
      </w: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 w:rsidR="00D87143" w:rsidRPr="00D8714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Es</w:t>
      </w:r>
      <w:r w:rsidR="00D8714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importante </w:t>
      </w:r>
      <w:r w:rsidR="00D87143" w:rsidRPr="00D8714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mencionar que el aprovechamiento del suelo </w:t>
      </w:r>
      <w:r w:rsidR="0084403B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ha sido limitado por los elevados niveles de acidez del suelo</w:t>
      </w:r>
      <w:r w:rsidR="00DD1F6D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, el </w:t>
      </w:r>
      <w:r w:rsidR="0084403B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bajo contenido de materia orgánica y </w:t>
      </w:r>
      <w:r w:rsidR="004C25A8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minerales</w:t>
      </w:r>
      <w:r w:rsidR="00747100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, y la </w:t>
      </w:r>
      <w:r w:rsidR="00D87143" w:rsidRPr="00D8714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fuerte temporada seca entre</w:t>
      </w:r>
      <w:r w:rsidR="00747100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 w:rsidR="00D87143" w:rsidRPr="00D8714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diciembre y marzo que se intensifica </w:t>
      </w:r>
      <w:r w:rsidR="00747100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a</w:t>
      </w:r>
      <w:r w:rsidR="00D87143" w:rsidRPr="00D8714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l oriente de la región</w:t>
      </w:r>
      <w:r w:rsidR="00747100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.</w:t>
      </w:r>
    </w:p>
    <w:p w14:paraId="062AA4CB" w14:textId="77777777" w:rsidR="00D87143" w:rsidRDefault="00D87143" w:rsidP="005E0365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2BD7DDFB" w14:textId="759B3AF2" w:rsidR="005E0365" w:rsidRPr="005E0365" w:rsidRDefault="00747100" w:rsidP="005E0365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Vocación del suelo…</w:t>
      </w:r>
      <w:r w:rsidR="00476100" w:rsidRPr="00476100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.</w:t>
      </w:r>
    </w:p>
    <w:p w14:paraId="58068073" w14:textId="77777777" w:rsidR="007658AE" w:rsidRDefault="007658AE" w:rsidP="007658AE">
      <w:pPr>
        <w:spacing w:after="0" w:line="240" w:lineRule="auto"/>
        <w:ind w:left="858"/>
        <w:jc w:val="both"/>
        <w:textAlignment w:val="baseline"/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</w:p>
    <w:p w14:paraId="1ABF4FAB" w14:textId="25134C7B" w:rsidR="007658AE" w:rsidRDefault="007658AE" w:rsidP="00EE178E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  <w:r w:rsidRPr="004813D8"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  <w:t xml:space="preserve">Pérdida de capacidad </w:t>
      </w:r>
      <w:r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  <w:t xml:space="preserve">y </w:t>
      </w:r>
      <w:r w:rsidRPr="004813D8"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  <w:t>productividad del suelo. Capa arable.</w:t>
      </w:r>
    </w:p>
    <w:p w14:paraId="2867CEC4" w14:textId="77777777" w:rsidR="00476100" w:rsidRDefault="00476100" w:rsidP="00476100">
      <w:pPr>
        <w:spacing w:after="0" w:line="240" w:lineRule="auto"/>
        <w:ind w:left="858"/>
        <w:jc w:val="both"/>
        <w:textAlignment w:val="baseline"/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</w:p>
    <w:p w14:paraId="4C216E4A" w14:textId="6FC056AA" w:rsidR="00476100" w:rsidRPr="00DD150B" w:rsidRDefault="00DD150B" w:rsidP="00DD150B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 w:rsidRPr="00DD150B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La región enfrenta desafíos significativos relacionados con la pérdida de capacidad del suelo debido a prácticas agrícolas inadecuadas, deforestación y erosión. La implementación de técnicas de agricultura sostenible, como la rotación de cultivos y el uso de abonos orgánicos, es crucial para mantener la fertilidad del suelo y prevenir su degradación.</w:t>
      </w:r>
    </w:p>
    <w:p w14:paraId="47E01C44" w14:textId="77777777" w:rsidR="00EE178E" w:rsidRPr="00AD5525" w:rsidRDefault="00EE178E" w:rsidP="00D25231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5C615690" w14:textId="3132B7C0" w:rsidR="005F47B3" w:rsidRDefault="003A00B1" w:rsidP="00EE178E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  <w:r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  <w:t>A</w:t>
      </w:r>
      <w:r w:rsidR="005F47B3" w:rsidRPr="004813D8"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  <w:t>sentamientos urbanos</w:t>
      </w:r>
    </w:p>
    <w:p w14:paraId="6A68C112" w14:textId="77777777" w:rsidR="00DD150B" w:rsidRDefault="00DD150B" w:rsidP="00DD150B">
      <w:pPr>
        <w:spacing w:after="0" w:line="240" w:lineRule="auto"/>
        <w:ind w:left="426"/>
        <w:jc w:val="both"/>
        <w:textAlignment w:val="baseline"/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</w:p>
    <w:p w14:paraId="23CC574E" w14:textId="77777777" w:rsidR="00DD150B" w:rsidRDefault="00DD150B" w:rsidP="00DD150B">
      <w:pPr>
        <w:spacing w:after="0" w:line="240" w:lineRule="auto"/>
        <w:ind w:left="426"/>
        <w:jc w:val="both"/>
        <w:textAlignment w:val="baseline"/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</w:p>
    <w:p w14:paraId="09FB9A6A" w14:textId="77777777" w:rsidR="003A00B1" w:rsidRDefault="003A00B1" w:rsidP="003A00B1">
      <w:pPr>
        <w:spacing w:after="0" w:line="240" w:lineRule="auto"/>
        <w:ind w:left="858"/>
        <w:jc w:val="both"/>
        <w:textAlignment w:val="baseline"/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</w:p>
    <w:p w14:paraId="5920F697" w14:textId="2914472F" w:rsidR="003A00B1" w:rsidRDefault="003A00B1" w:rsidP="00EE178E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  <w:r w:rsidRPr="004813D8"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  <w:t xml:space="preserve">Infraestructura </w:t>
      </w:r>
    </w:p>
    <w:p w14:paraId="1066662D" w14:textId="77777777" w:rsidR="00DB4340" w:rsidRDefault="00DB4340" w:rsidP="00DB4340">
      <w:pPr>
        <w:spacing w:after="0" w:line="240" w:lineRule="auto"/>
        <w:ind w:left="426"/>
        <w:jc w:val="both"/>
        <w:textAlignment w:val="baseline"/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</w:p>
    <w:p w14:paraId="6680214A" w14:textId="589E00E6" w:rsidR="00DB4340" w:rsidRPr="00DB4340" w:rsidRDefault="00DB4340" w:rsidP="00DB4340">
      <w:pPr>
        <w:spacing w:after="0" w:line="240" w:lineRule="auto"/>
        <w:ind w:left="426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 w:rsidRPr="00DB4340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La infraestructura vial en la Altillanura es limitada</w:t>
      </w:r>
      <w:r w:rsidR="00474499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, l</w:t>
      </w:r>
      <w:r w:rsidRPr="00DB4340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as carreteras y vías</w:t>
      </w:r>
      <w:r w:rsidR="006276DE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</w:t>
      </w:r>
      <w:r w:rsidRPr="00DB4340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existentes son esenciales para el transporte de productos agrícolas, pero su estado actual dificulta el desarrollo económico y la conectividad regional</w:t>
      </w:r>
      <w:r w:rsidR="00440071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…</w:t>
      </w:r>
    </w:p>
    <w:p w14:paraId="4EC14C0C" w14:textId="77777777" w:rsidR="003A00B1" w:rsidRDefault="003A00B1" w:rsidP="003A00B1">
      <w:pPr>
        <w:pStyle w:val="ListParagraph"/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</w:p>
    <w:p w14:paraId="1A47D48B" w14:textId="77777777" w:rsidR="003A00B1" w:rsidRDefault="003A00B1" w:rsidP="003A00B1">
      <w:pPr>
        <w:pStyle w:val="ListParagraph"/>
        <w:numPr>
          <w:ilvl w:val="1"/>
          <w:numId w:val="1"/>
        </w:numPr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  <w:r w:rsidRPr="003A00B1"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  <w:t>Potencial hídrico</w:t>
      </w:r>
    </w:p>
    <w:p w14:paraId="2C6BFE8E" w14:textId="30B78D4A" w:rsidR="006515C5" w:rsidRPr="006515C5" w:rsidRDefault="006515C5" w:rsidP="006515C5">
      <w:pPr>
        <w:spacing w:after="0" w:line="240" w:lineRule="auto"/>
        <w:ind w:left="426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 w:rsidRPr="006515C5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La Altillanura cuenta con un considerable potencial hídrico gracias a sus ríos y cuerpos de agua, que son vitales para la agricultura y el abastecimiento de agua</w:t>
      </w:r>
      <w:r w:rsidR="001E4B6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….</w:t>
      </w:r>
    </w:p>
    <w:p w14:paraId="32DBD193" w14:textId="77777777" w:rsidR="006515C5" w:rsidRPr="003A00B1" w:rsidRDefault="006515C5" w:rsidP="003A00B1">
      <w:pPr>
        <w:pStyle w:val="ListParagraph"/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</w:p>
    <w:p w14:paraId="27DA4717" w14:textId="61100103" w:rsidR="003A00B1" w:rsidRDefault="003A00B1" w:rsidP="003A00B1">
      <w:pPr>
        <w:pStyle w:val="ListParagraph"/>
        <w:numPr>
          <w:ilvl w:val="1"/>
          <w:numId w:val="1"/>
        </w:numPr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  <w:r w:rsidRPr="004813D8"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  <w:t>Zonas protegidas</w:t>
      </w:r>
    </w:p>
    <w:p w14:paraId="058DED92" w14:textId="044072D8" w:rsidR="00FF2DBF" w:rsidRPr="00FF2DBF" w:rsidRDefault="001E4B63" w:rsidP="00FF2DBF">
      <w:pPr>
        <w:spacing w:after="0" w:line="240" w:lineRule="auto"/>
        <w:ind w:left="426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  <w:r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En la región se encuentran </w:t>
      </w:r>
      <w:r w:rsidR="00FF2DBF" w:rsidRPr="00FF2DBF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varias zonas protegidas y parques naturales que </w:t>
      </w:r>
      <w:r w:rsidR="005D53F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promueven </w:t>
      </w:r>
      <w:r w:rsidR="00FF2DBF" w:rsidRPr="00FF2DBF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la conservación de la biodiversidad y los ecosistemas</w:t>
      </w:r>
      <w:r w:rsidR="005D53F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, </w:t>
      </w:r>
      <w:r w:rsidR="00FF2DBF" w:rsidRPr="00FF2DBF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preservan</w:t>
      </w:r>
      <w:r w:rsidR="005D53F3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>do</w:t>
      </w:r>
      <w:r w:rsidR="00FF2DBF" w:rsidRPr="00FF2DBF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la flora y fauna locales</w:t>
      </w:r>
      <w:r w:rsidR="00EC08BE"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  <w:t xml:space="preserve"> …</w:t>
      </w:r>
    </w:p>
    <w:p w14:paraId="0045363D" w14:textId="77777777" w:rsidR="005F47B3" w:rsidRPr="005F47B3" w:rsidRDefault="005F47B3" w:rsidP="005F47B3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color w:val="000000"/>
          <w:bdr w:val="none" w:sz="0" w:space="0" w:color="auto" w:frame="1"/>
          <w:lang w:eastAsia="es-CO"/>
        </w:rPr>
      </w:pPr>
    </w:p>
    <w:p w14:paraId="54521B49" w14:textId="13E8075C" w:rsidR="00F469A3" w:rsidRDefault="00F469A3" w:rsidP="004813D8">
      <w:pPr>
        <w:numPr>
          <w:ilvl w:val="0"/>
          <w:numId w:val="1"/>
        </w:numPr>
        <w:tabs>
          <w:tab w:val="num" w:pos="450"/>
        </w:tabs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  <w:r w:rsidRPr="004813D8"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  <w:t>Propuesta del desarrollo agrícola y pecuario de la altillanura.</w:t>
      </w:r>
    </w:p>
    <w:p w14:paraId="6202C066" w14:textId="77777777" w:rsidR="00474499" w:rsidRDefault="00474499" w:rsidP="00474499">
      <w:pPr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</w:p>
    <w:p w14:paraId="1E45C193" w14:textId="0CC84386" w:rsidR="00474499" w:rsidRPr="004813D8" w:rsidRDefault="00474499" w:rsidP="004813D8">
      <w:pPr>
        <w:numPr>
          <w:ilvl w:val="0"/>
          <w:numId w:val="1"/>
        </w:numPr>
        <w:tabs>
          <w:tab w:val="num" w:pos="450"/>
        </w:tabs>
        <w:spacing w:after="0" w:line="240" w:lineRule="auto"/>
        <w:ind w:left="450"/>
        <w:jc w:val="both"/>
        <w:textAlignment w:val="baseline"/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</w:pPr>
      <w:r>
        <w:rPr>
          <w:rFonts w:ascii="Segoe UI Light" w:eastAsia="Times New Roman" w:hAnsi="Segoe UI Light" w:cs="Segoe UI Light"/>
          <w:b/>
          <w:bCs/>
          <w:color w:val="000000"/>
          <w:bdr w:val="none" w:sz="0" w:space="0" w:color="auto" w:frame="1"/>
          <w:lang w:eastAsia="es-CO"/>
        </w:rPr>
        <w:t>Conclusiones.</w:t>
      </w:r>
    </w:p>
    <w:sectPr w:rsidR="00474499" w:rsidRPr="004813D8" w:rsidSect="00BC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6259B1"/>
    <w:multiLevelType w:val="multilevel"/>
    <w:tmpl w:val="2C24C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768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47"/>
    <w:rsid w:val="00090033"/>
    <w:rsid w:val="000932A1"/>
    <w:rsid w:val="001022CD"/>
    <w:rsid w:val="00106275"/>
    <w:rsid w:val="0011670E"/>
    <w:rsid w:val="00123DC0"/>
    <w:rsid w:val="0019343E"/>
    <w:rsid w:val="001E4B63"/>
    <w:rsid w:val="00200E69"/>
    <w:rsid w:val="002056CB"/>
    <w:rsid w:val="00233A0D"/>
    <w:rsid w:val="00253FB9"/>
    <w:rsid w:val="00260D71"/>
    <w:rsid w:val="002E6BE3"/>
    <w:rsid w:val="0030266B"/>
    <w:rsid w:val="00352B83"/>
    <w:rsid w:val="003A00B1"/>
    <w:rsid w:val="003D0C2C"/>
    <w:rsid w:val="004225FB"/>
    <w:rsid w:val="00440071"/>
    <w:rsid w:val="00474499"/>
    <w:rsid w:val="00476100"/>
    <w:rsid w:val="004813D8"/>
    <w:rsid w:val="004C25A8"/>
    <w:rsid w:val="004F00A3"/>
    <w:rsid w:val="005C2DC9"/>
    <w:rsid w:val="005D53F3"/>
    <w:rsid w:val="005E0365"/>
    <w:rsid w:val="005F47B3"/>
    <w:rsid w:val="006069D9"/>
    <w:rsid w:val="006276DE"/>
    <w:rsid w:val="00634FA6"/>
    <w:rsid w:val="006515C5"/>
    <w:rsid w:val="006824EE"/>
    <w:rsid w:val="00693547"/>
    <w:rsid w:val="0070143A"/>
    <w:rsid w:val="00723031"/>
    <w:rsid w:val="00747100"/>
    <w:rsid w:val="007658AE"/>
    <w:rsid w:val="0078407B"/>
    <w:rsid w:val="007E4924"/>
    <w:rsid w:val="007E7529"/>
    <w:rsid w:val="0084403B"/>
    <w:rsid w:val="00874C05"/>
    <w:rsid w:val="008F55C9"/>
    <w:rsid w:val="00974A89"/>
    <w:rsid w:val="009D2FFE"/>
    <w:rsid w:val="009F0477"/>
    <w:rsid w:val="00A51145"/>
    <w:rsid w:val="00A72396"/>
    <w:rsid w:val="00A95468"/>
    <w:rsid w:val="00AD3DE3"/>
    <w:rsid w:val="00AD5525"/>
    <w:rsid w:val="00AD5897"/>
    <w:rsid w:val="00B24D69"/>
    <w:rsid w:val="00BB29CB"/>
    <w:rsid w:val="00BC2AC6"/>
    <w:rsid w:val="00BE1FA1"/>
    <w:rsid w:val="00C24F56"/>
    <w:rsid w:val="00CA040B"/>
    <w:rsid w:val="00CA2D9D"/>
    <w:rsid w:val="00CE45EE"/>
    <w:rsid w:val="00CF79AC"/>
    <w:rsid w:val="00D15358"/>
    <w:rsid w:val="00D25231"/>
    <w:rsid w:val="00D846B7"/>
    <w:rsid w:val="00D87143"/>
    <w:rsid w:val="00DB4340"/>
    <w:rsid w:val="00DD150B"/>
    <w:rsid w:val="00DD1F6D"/>
    <w:rsid w:val="00EC08BE"/>
    <w:rsid w:val="00EE178E"/>
    <w:rsid w:val="00F07C46"/>
    <w:rsid w:val="00F452FE"/>
    <w:rsid w:val="00F469A3"/>
    <w:rsid w:val="00F77332"/>
    <w:rsid w:val="00FD6D85"/>
    <w:rsid w:val="00FF286D"/>
    <w:rsid w:val="00FF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F0D4"/>
  <w15:chartTrackingRefBased/>
  <w15:docId w15:val="{FB2634F5-B2E4-4F95-99D6-B4B5D7A7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47"/>
  </w:style>
  <w:style w:type="paragraph" w:styleId="Heading1">
    <w:name w:val="heading 1"/>
    <w:basedOn w:val="Normal"/>
    <w:next w:val="Normal"/>
    <w:link w:val="Heading1Char"/>
    <w:uiPriority w:val="9"/>
    <w:qFormat/>
    <w:rsid w:val="00693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Gav93</b:Tag>
    <b:SourceType>Book</b:SourceType>
    <b:Guid>{0CC921F3-F098-40E6-ABA8-9B638BBB32A7}</b:Guid>
    <b:Author>
      <b:Author>
        <b:NameList>
          <b:Person>
            <b:Last>Gaviria</b:Last>
            <b:First>S.</b:First>
          </b:Person>
        </b:NameList>
      </b:Author>
    </b:Author>
    <b:Title>Évolution minéralogique et géochimique du fer et de l’alluminuim dans les sols ferrallitiques hydromorphes des Llanos Orientales de Colombie. Les états précoces du cuirassement.</b:Title>
    <b:Year>1993</b:Year>
    <b:City>Paris</b:City>
    <b:Publisher> Université de Nancy I. Tesis de doctorado en Pedología.</b:Publisher>
    <b:RefOrder>1</b:RefOrder>
  </b:Source>
  <b:Source>
    <b:Tag>Cen04</b:Tag>
    <b:SourceType>Book</b:SourceType>
    <b:Guid>{0B5D72FF-C39E-4494-90AD-2F8BE85B01CB}</b:Guid>
    <b:Author>
      <b:Author>
        <b:Corporate>Centro Internacional de Agricultura Tropica - CIAT</b:Corporate>
      </b:Author>
    </b:Author>
    <b:Title>Manejo y uso de los suelos de la Altillanura Colombiana. Análisis económico de una estrategia para su conservación y mejoramiento: construcción de la capa arable.</b:Title>
    <b:Year>2004</b:Year>
    <b:City>Cali</b:City>
    <b:Publisher>Convenio MADR - CIAT</b:Publisher>
    <b:RefOrder>3</b:RefOrder>
  </b:Source>
  <b:Source>
    <b:Tag>Ins13</b:Tag>
    <b:SourceType>Book</b:SourceType>
    <b:Guid>{318B4F2C-9D6A-4047-83B7-1E8FEE9A4B3B}</b:Guid>
    <b:Author>
      <b:Author>
        <b:Corporate>Instituto de Investigación de Recursos Biológicos Alexander Von Humboldt</b:Corporate>
      </b:Author>
    </b:Author>
    <b:Title>Evaluación Ambiental Estratégica del sector Agropecuario. Altillanura y Alta Montaña Cunduboyacense.</b:Title>
    <b:Year>2013</b:Year>
    <b:City>Bogotá</b:City>
    <b:RefOrder>2</b:RefOrder>
  </b:Source>
</b:Sources>
</file>

<file path=customXml/itemProps1.xml><?xml version="1.0" encoding="utf-8"?>
<ds:datastoreItem xmlns:ds="http://schemas.openxmlformats.org/officeDocument/2006/customXml" ds:itemID="{E6658EF6-8217-4E31-950B-4D541A86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949</Words>
  <Characters>5224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RODRIGUEZ ACEVEDO</dc:creator>
  <cp:keywords/>
  <dc:description/>
  <cp:lastModifiedBy>WILLIAM RICARDO AGUILAR PIÑA</cp:lastModifiedBy>
  <cp:revision>63</cp:revision>
  <dcterms:created xsi:type="dcterms:W3CDTF">2024-10-30T20:42:00Z</dcterms:created>
  <dcterms:modified xsi:type="dcterms:W3CDTF">2024-11-01T16:03:00Z</dcterms:modified>
</cp:coreProperties>
</file>