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BDBDB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b="0" l="0" r="0" t="0"/>
            <wp:wrapNone/>
            <wp:docPr descr="A close up of a sign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close up of a sig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40"/>
          <w:szCs w:val="4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b="0" l="0" r="0" t="0"/>
            <wp:wrapNone/>
            <wp:docPr descr="A close up of a sig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close up of a sig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JTF-13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Tactical Information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UHF</w:t>
      </w:r>
    </w:p>
    <w:tbl>
      <w:tblPr>
        <w:tblStyle w:val="Table1"/>
        <w:tblW w:w="107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575"/>
        <w:gridCol w:w="5091"/>
        <w:gridCol w:w="1931"/>
        <w:gridCol w:w="2193"/>
        <w:tblGridChange w:id="0">
          <w:tblGrid>
            <w:gridCol w:w="1575"/>
            <w:gridCol w:w="5091"/>
            <w:gridCol w:w="1931"/>
            <w:gridCol w:w="2193"/>
          </w:tblGrid>
        </w:tblGridChange>
      </w:tblGrid>
      <w:tr>
        <w:trPr>
          <w:trHeight w:val="375" w:hRule="atLeast"/>
        </w:trPr>
        <w:tc>
          <w:tcPr>
            <w:shd w:fill="b4c6e7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  <w:rtl w:val="0"/>
              </w:rPr>
              <w:t xml:space="preserve">Channel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  <w:rtl w:val="0"/>
              </w:rPr>
              <w:t xml:space="preserve">Unit/Callsign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  <w:rtl w:val="0"/>
              </w:rPr>
              <w:t xml:space="preserve">Frequency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  <w:rtl w:val="0"/>
              </w:rPr>
              <w:t xml:space="preserve">TACAN/ICLS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Aerodrome Unicom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251.000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AWACS (Darkstar) &amp; Airborne Common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253.000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UHF Guard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243.000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AWACS (Overlord) &amp; Airborne Common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254.000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VHF</w:t>
      </w:r>
    </w:p>
    <w:tbl>
      <w:tblPr>
        <w:tblStyle w:val="Table2"/>
        <w:tblW w:w="107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575"/>
        <w:gridCol w:w="5091"/>
        <w:gridCol w:w="1931"/>
        <w:gridCol w:w="2193"/>
        <w:tblGridChange w:id="0">
          <w:tblGrid>
            <w:gridCol w:w="1575"/>
            <w:gridCol w:w="5091"/>
            <w:gridCol w:w="1931"/>
            <w:gridCol w:w="2193"/>
          </w:tblGrid>
        </w:tblGridChange>
      </w:tblGrid>
      <w:tr>
        <w:trPr>
          <w:trHeight w:val="375" w:hRule="atLeast"/>
        </w:trPr>
        <w:tc>
          <w:tcPr>
            <w:shd w:fill="b4c6e7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  <w:rtl w:val="0"/>
              </w:rPr>
              <w:t xml:space="preserve">Channel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  <w:rtl w:val="0"/>
              </w:rPr>
              <w:t xml:space="preserve">Unit/Callsign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  <w:rtl w:val="0"/>
              </w:rPr>
              <w:t xml:space="preserve">Frequency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u w:val="single"/>
                <w:rtl w:val="0"/>
              </w:rPr>
              <w:t xml:space="preserve">TACAN/ICLS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USS John C. Stennis Unicom / ATC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127.500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74X / CH17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USS Tarawa Unicom / ATC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125.500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01X / CH1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USS George Washington Unicom / ATC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127.700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73X / CH11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USS George Washington ATIS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127.800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73X / CH11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S-3B (CV Recovery) / “Arco”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131.300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22Y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KC-135 MPRS / “Texaco 1-1”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132.975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23Y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KC-135 / “Shell 1-1”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133.625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24Y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KC-135 (Slow Mover) / “Shell 2-1”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135.500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25Y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FARP Dallas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118.925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66X / 36.80 FM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