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C4260" w14:textId="77777777" w:rsidR="00AC34AB" w:rsidRPr="00AC34AB" w:rsidRDefault="00AC34AB" w:rsidP="00AC34AB">
      <w:pPr>
        <w:spacing w:line="480" w:lineRule="auto"/>
        <w:rPr>
          <w:rFonts w:ascii="Times New Roman" w:hAnsi="Times New Roman" w:cs="Times New Roman"/>
        </w:rPr>
      </w:pPr>
    </w:p>
    <w:p w14:paraId="561B3151" w14:textId="77777777" w:rsidR="00AC34AB" w:rsidRPr="00AC34AB" w:rsidRDefault="00AC34AB" w:rsidP="00AC34AB">
      <w:pPr>
        <w:spacing w:line="480" w:lineRule="auto"/>
        <w:rPr>
          <w:rFonts w:ascii="Times New Roman" w:hAnsi="Times New Roman" w:cs="Times New Roman"/>
        </w:rPr>
      </w:pPr>
    </w:p>
    <w:p w14:paraId="6C3FE576" w14:textId="77777777" w:rsidR="00AC34AB" w:rsidRPr="00AC34AB" w:rsidRDefault="00AC34AB" w:rsidP="00AC34AB">
      <w:pPr>
        <w:spacing w:line="480" w:lineRule="auto"/>
        <w:rPr>
          <w:rFonts w:ascii="Times New Roman" w:hAnsi="Times New Roman" w:cs="Times New Roman"/>
        </w:rPr>
      </w:pPr>
    </w:p>
    <w:p w14:paraId="6A52D56D" w14:textId="77777777" w:rsidR="00AC34AB" w:rsidRPr="00AC34AB" w:rsidRDefault="00AC34AB" w:rsidP="00AC34AB">
      <w:pPr>
        <w:spacing w:line="480" w:lineRule="auto"/>
        <w:rPr>
          <w:rFonts w:ascii="Times New Roman" w:hAnsi="Times New Roman" w:cs="Times New Roman"/>
        </w:rPr>
      </w:pPr>
    </w:p>
    <w:p w14:paraId="06D2B6A7" w14:textId="4465AB3D" w:rsidR="00AC34AB" w:rsidRPr="00AC34AB" w:rsidRDefault="00AC34AB" w:rsidP="00AC34AB">
      <w:pPr>
        <w:spacing w:line="480" w:lineRule="auto"/>
        <w:jc w:val="center"/>
        <w:rPr>
          <w:rFonts w:ascii="Times New Roman" w:hAnsi="Times New Roman" w:cs="Times New Roman"/>
          <w:b/>
          <w:bCs/>
        </w:rPr>
      </w:pPr>
      <w:r w:rsidRPr="00AC34AB">
        <w:rPr>
          <w:rFonts w:ascii="Times New Roman" w:hAnsi="Times New Roman" w:cs="Times New Roman"/>
          <w:b/>
          <w:bCs/>
        </w:rPr>
        <w:t>Climate Change for Cities: Mitigation and Adaptation</w:t>
      </w:r>
      <w:r w:rsidR="008B6E93">
        <w:rPr>
          <w:rFonts w:ascii="Times New Roman" w:hAnsi="Times New Roman" w:cs="Times New Roman"/>
          <w:b/>
          <w:bCs/>
        </w:rPr>
        <w:t xml:space="preserve"> Policies</w:t>
      </w:r>
    </w:p>
    <w:p w14:paraId="5CB5E867" w14:textId="77777777" w:rsidR="00AC34AB" w:rsidRPr="00AC34AB" w:rsidRDefault="00AC34AB" w:rsidP="00AC34AB">
      <w:pPr>
        <w:spacing w:line="480" w:lineRule="auto"/>
        <w:jc w:val="center"/>
        <w:rPr>
          <w:rFonts w:ascii="Times New Roman" w:hAnsi="Times New Roman" w:cs="Times New Roman"/>
          <w:b/>
          <w:bCs/>
        </w:rPr>
      </w:pPr>
    </w:p>
    <w:p w14:paraId="49A1990D" w14:textId="77777777" w:rsidR="00AC34AB" w:rsidRPr="00AC34AB" w:rsidRDefault="00AC34AB" w:rsidP="00AC34AB">
      <w:pPr>
        <w:spacing w:line="480" w:lineRule="auto"/>
        <w:jc w:val="center"/>
        <w:rPr>
          <w:rFonts w:ascii="Times New Roman" w:hAnsi="Times New Roman" w:cs="Times New Roman"/>
        </w:rPr>
      </w:pPr>
    </w:p>
    <w:p w14:paraId="57795533" w14:textId="77777777" w:rsidR="00AC34AB" w:rsidRPr="00AC34AB" w:rsidRDefault="00AC34AB" w:rsidP="00AC34AB">
      <w:pPr>
        <w:spacing w:line="480" w:lineRule="auto"/>
        <w:jc w:val="center"/>
        <w:rPr>
          <w:rFonts w:ascii="Times New Roman" w:hAnsi="Times New Roman" w:cs="Times New Roman"/>
        </w:rPr>
      </w:pPr>
      <w:r w:rsidRPr="00AC34AB">
        <w:rPr>
          <w:rFonts w:ascii="Times New Roman" w:hAnsi="Times New Roman" w:cs="Times New Roman"/>
        </w:rPr>
        <w:t>Richard Peterson</w:t>
      </w:r>
    </w:p>
    <w:p w14:paraId="64C65852" w14:textId="77777777" w:rsidR="00AC34AB" w:rsidRPr="00AC34AB" w:rsidRDefault="00AC34AB" w:rsidP="00AC34AB">
      <w:pPr>
        <w:spacing w:line="480" w:lineRule="auto"/>
        <w:jc w:val="center"/>
        <w:rPr>
          <w:rFonts w:ascii="Times New Roman" w:hAnsi="Times New Roman" w:cs="Times New Roman"/>
        </w:rPr>
      </w:pPr>
      <w:r w:rsidRPr="00AC34AB">
        <w:rPr>
          <w:rFonts w:ascii="Times New Roman" w:hAnsi="Times New Roman" w:cs="Times New Roman"/>
        </w:rPr>
        <w:t>2022FA_MPPA_498-DL_SEC55</w:t>
      </w:r>
    </w:p>
    <w:p w14:paraId="283736FB" w14:textId="77777777" w:rsidR="00AC34AB" w:rsidRPr="00AC34AB" w:rsidRDefault="00AC34AB" w:rsidP="00AC34AB">
      <w:pPr>
        <w:spacing w:line="480" w:lineRule="auto"/>
        <w:jc w:val="center"/>
        <w:rPr>
          <w:rFonts w:ascii="Times New Roman" w:hAnsi="Times New Roman" w:cs="Times New Roman"/>
        </w:rPr>
      </w:pPr>
      <w:r w:rsidRPr="00AC34AB">
        <w:rPr>
          <w:rFonts w:ascii="Times New Roman" w:hAnsi="Times New Roman" w:cs="Times New Roman"/>
        </w:rPr>
        <w:t>Dr. William Lester</w:t>
      </w:r>
    </w:p>
    <w:p w14:paraId="6944F1F4" w14:textId="08E6496C" w:rsidR="00AC34AB" w:rsidRPr="00AC34AB" w:rsidRDefault="008B6E93" w:rsidP="00AC34AB">
      <w:pPr>
        <w:spacing w:line="480" w:lineRule="auto"/>
        <w:jc w:val="center"/>
        <w:rPr>
          <w:rFonts w:ascii="Times New Roman" w:hAnsi="Times New Roman" w:cs="Times New Roman"/>
        </w:rPr>
      </w:pPr>
      <w:r>
        <w:rPr>
          <w:rFonts w:ascii="Times New Roman" w:hAnsi="Times New Roman" w:cs="Times New Roman"/>
        </w:rPr>
        <w:t>November 20</w:t>
      </w:r>
      <w:r w:rsidR="00AC34AB" w:rsidRPr="00AC34AB">
        <w:rPr>
          <w:rFonts w:ascii="Times New Roman" w:hAnsi="Times New Roman" w:cs="Times New Roman"/>
        </w:rPr>
        <w:t>, 2022</w:t>
      </w:r>
    </w:p>
    <w:p w14:paraId="15031561" w14:textId="77777777" w:rsidR="00AC34AB" w:rsidRPr="00AC34AB" w:rsidRDefault="00AC34AB" w:rsidP="00AC34AB">
      <w:pPr>
        <w:spacing w:line="480" w:lineRule="auto"/>
        <w:jc w:val="center"/>
        <w:rPr>
          <w:rFonts w:ascii="Times New Roman" w:hAnsi="Times New Roman" w:cs="Times New Roman"/>
        </w:rPr>
      </w:pPr>
    </w:p>
    <w:p w14:paraId="3257E7C1" w14:textId="77777777" w:rsidR="00AC34AB" w:rsidRPr="00AC34AB" w:rsidRDefault="00AC34AB" w:rsidP="00AC34AB">
      <w:pPr>
        <w:spacing w:line="480" w:lineRule="auto"/>
        <w:jc w:val="center"/>
        <w:rPr>
          <w:rFonts w:ascii="Times New Roman" w:hAnsi="Times New Roman" w:cs="Times New Roman"/>
        </w:rPr>
      </w:pPr>
    </w:p>
    <w:p w14:paraId="7162B5D2" w14:textId="77777777" w:rsidR="00AC34AB" w:rsidRPr="00AC34AB" w:rsidRDefault="00AC34AB" w:rsidP="00AC34AB">
      <w:pPr>
        <w:spacing w:line="480" w:lineRule="auto"/>
        <w:jc w:val="center"/>
        <w:rPr>
          <w:rFonts w:ascii="Times New Roman" w:hAnsi="Times New Roman" w:cs="Times New Roman"/>
        </w:rPr>
      </w:pPr>
    </w:p>
    <w:p w14:paraId="72E629E7" w14:textId="77777777" w:rsidR="00AC34AB" w:rsidRPr="00AC34AB" w:rsidRDefault="00AC34AB" w:rsidP="00AC34AB">
      <w:pPr>
        <w:spacing w:line="480" w:lineRule="auto"/>
        <w:jc w:val="center"/>
        <w:rPr>
          <w:rFonts w:ascii="Times New Roman" w:hAnsi="Times New Roman" w:cs="Times New Roman"/>
        </w:rPr>
      </w:pPr>
    </w:p>
    <w:p w14:paraId="02E2836D" w14:textId="77777777" w:rsidR="00AC34AB" w:rsidRPr="00AC34AB" w:rsidRDefault="00AC34AB" w:rsidP="00AC34AB">
      <w:pPr>
        <w:spacing w:line="480" w:lineRule="auto"/>
        <w:jc w:val="center"/>
        <w:rPr>
          <w:rFonts w:ascii="Times New Roman" w:hAnsi="Times New Roman" w:cs="Times New Roman"/>
        </w:rPr>
      </w:pPr>
    </w:p>
    <w:p w14:paraId="46D88D7E" w14:textId="77777777" w:rsidR="00AC34AB" w:rsidRPr="00AC34AB" w:rsidRDefault="00AC34AB" w:rsidP="00AC34AB">
      <w:pPr>
        <w:spacing w:line="480" w:lineRule="auto"/>
        <w:jc w:val="center"/>
        <w:rPr>
          <w:rFonts w:ascii="Times New Roman" w:hAnsi="Times New Roman" w:cs="Times New Roman"/>
        </w:rPr>
      </w:pPr>
    </w:p>
    <w:p w14:paraId="7CB8EAA5" w14:textId="77777777" w:rsidR="00AC34AB" w:rsidRPr="00AC34AB" w:rsidRDefault="00AC34AB" w:rsidP="00AC34AB">
      <w:pPr>
        <w:spacing w:line="480" w:lineRule="auto"/>
        <w:jc w:val="center"/>
        <w:rPr>
          <w:rFonts w:ascii="Times New Roman" w:hAnsi="Times New Roman" w:cs="Times New Roman"/>
        </w:rPr>
      </w:pPr>
    </w:p>
    <w:p w14:paraId="5D0EC4E9" w14:textId="77777777" w:rsidR="00AC34AB" w:rsidRPr="00AC34AB" w:rsidRDefault="00AC34AB" w:rsidP="00AC34AB">
      <w:pPr>
        <w:spacing w:line="480" w:lineRule="auto"/>
        <w:jc w:val="center"/>
        <w:rPr>
          <w:rFonts w:ascii="Times New Roman" w:hAnsi="Times New Roman" w:cs="Times New Roman"/>
        </w:rPr>
      </w:pPr>
    </w:p>
    <w:p w14:paraId="1AA4F9FC" w14:textId="77777777" w:rsidR="00AC34AB" w:rsidRPr="00AC34AB" w:rsidRDefault="00AC34AB" w:rsidP="00AC34AB">
      <w:pPr>
        <w:spacing w:line="480" w:lineRule="auto"/>
        <w:jc w:val="center"/>
        <w:rPr>
          <w:rFonts w:ascii="Times New Roman" w:hAnsi="Times New Roman" w:cs="Times New Roman"/>
        </w:rPr>
      </w:pPr>
    </w:p>
    <w:p w14:paraId="4616FC22" w14:textId="77777777" w:rsidR="00AC34AB" w:rsidRPr="00AC34AB" w:rsidRDefault="00AC34AB" w:rsidP="00AC34AB">
      <w:pPr>
        <w:spacing w:line="480" w:lineRule="auto"/>
        <w:jc w:val="center"/>
        <w:rPr>
          <w:rFonts w:ascii="Times New Roman" w:hAnsi="Times New Roman" w:cs="Times New Roman"/>
        </w:rPr>
      </w:pPr>
    </w:p>
    <w:p w14:paraId="7AD3780B" w14:textId="77777777" w:rsidR="00AC34AB" w:rsidRPr="00AC34AB" w:rsidRDefault="00AC34AB" w:rsidP="00AC34AB">
      <w:pPr>
        <w:spacing w:line="480" w:lineRule="auto"/>
        <w:rPr>
          <w:rFonts w:ascii="Times New Roman" w:hAnsi="Times New Roman" w:cs="Times New Roman"/>
        </w:rPr>
      </w:pPr>
    </w:p>
    <w:p w14:paraId="1DB13A14" w14:textId="77777777" w:rsidR="00AC34AB" w:rsidRDefault="00AC34AB" w:rsidP="00AC34AB">
      <w:pPr>
        <w:spacing w:line="480" w:lineRule="auto"/>
      </w:pPr>
    </w:p>
    <w:p w14:paraId="5C595605" w14:textId="32EF5743" w:rsidR="006300AB" w:rsidRPr="006300AB" w:rsidRDefault="006300AB" w:rsidP="006300AB">
      <w:pPr>
        <w:spacing w:line="480" w:lineRule="auto"/>
        <w:rPr>
          <w:rFonts w:ascii="Times New Roman" w:hAnsi="Times New Roman" w:cs="Times New Roman"/>
          <w:b/>
          <w:bCs/>
          <w:color w:val="000000"/>
        </w:rPr>
      </w:pPr>
      <w:r w:rsidRPr="006300AB">
        <w:rPr>
          <w:rFonts w:ascii="Times New Roman" w:hAnsi="Times New Roman" w:cs="Times New Roman"/>
          <w:b/>
          <w:bCs/>
          <w:color w:val="000000"/>
        </w:rPr>
        <w:lastRenderedPageBreak/>
        <w:t>Introduction</w:t>
      </w:r>
    </w:p>
    <w:p w14:paraId="1B4FE437" w14:textId="742F73A7" w:rsidR="00EF278F" w:rsidRPr="00EF278F" w:rsidRDefault="00EF278F" w:rsidP="00EF278F">
      <w:pPr>
        <w:pStyle w:val="ListParagraph"/>
        <w:spacing w:line="480" w:lineRule="auto"/>
        <w:ind w:left="0" w:firstLine="720"/>
        <w:rPr>
          <w:rFonts w:ascii="Times New Roman" w:hAnsi="Times New Roman" w:cs="Times New Roman"/>
        </w:rPr>
      </w:pPr>
      <w:r w:rsidRPr="00EF278F">
        <w:rPr>
          <w:rFonts w:ascii="Times New Roman" w:hAnsi="Times New Roman" w:cs="Times New Roman"/>
          <w:color w:val="000000"/>
        </w:rPr>
        <w:t>Climate change is a complex systems problem that poses special risks for cities in the United States. In 2018, 83 percent of the U.S. population lived in urban areas, and this is expected to grow to 89 percent by 2050 (</w:t>
      </w:r>
      <w:r w:rsidRPr="00EF278F">
        <w:rPr>
          <w:rFonts w:ascii="Times New Roman" w:hAnsi="Times New Roman" w:cs="Times New Roman"/>
          <w:i/>
          <w:iCs/>
          <w:color w:val="000000"/>
        </w:rPr>
        <w:t>U.S. Cities Factsheet</w:t>
      </w:r>
      <w:r w:rsidRPr="00EF278F">
        <w:rPr>
          <w:rFonts w:ascii="Times New Roman" w:hAnsi="Times New Roman" w:cs="Times New Roman"/>
          <w:color w:val="000000"/>
        </w:rPr>
        <w:t xml:space="preserve">, 2021). The threat of global warming induced climate change is especially urgent for coastal U.S. cities. </w:t>
      </w:r>
      <w:r w:rsidRPr="00EF278F">
        <w:rPr>
          <w:rFonts w:ascii="Times New Roman" w:hAnsi="Times New Roman" w:cs="Times New Roman"/>
        </w:rPr>
        <w:t>A 3-degree Celsius increase in global temperature that melts the Greenland and West Antarctica Ice Sheets would raise sea levels at least 20 feet, resulting in massive permanent flooding for major cities like Miami, New Orleans, Los Angeles, New York, and Washington, D.C. (Kanter &amp; Martinez, 2022). Farther from the coast, the likelihood of extreme weather events including droughts, wildfires, and tornadoes ha</w:t>
      </w:r>
      <w:r w:rsidR="00D91B8D">
        <w:rPr>
          <w:rFonts w:ascii="Times New Roman" w:hAnsi="Times New Roman" w:cs="Times New Roman"/>
        </w:rPr>
        <w:t>s</w:t>
      </w:r>
      <w:r w:rsidRPr="00EF278F">
        <w:rPr>
          <w:rFonts w:ascii="Times New Roman" w:hAnsi="Times New Roman" w:cs="Times New Roman"/>
        </w:rPr>
        <w:t xml:space="preserve"> increased </w:t>
      </w:r>
      <w:proofErr w:type="gramStart"/>
      <w:r w:rsidRPr="00EF278F">
        <w:rPr>
          <w:rFonts w:ascii="Times New Roman" w:hAnsi="Times New Roman" w:cs="Times New Roman"/>
        </w:rPr>
        <w:t>as a result of</w:t>
      </w:r>
      <w:proofErr w:type="gramEnd"/>
      <w:r w:rsidRPr="00EF278F">
        <w:rPr>
          <w:rFonts w:ascii="Times New Roman" w:hAnsi="Times New Roman" w:cs="Times New Roman"/>
        </w:rPr>
        <w:t xml:space="preserve"> anthropogenically-driven climate change (Stott, 2016), which threatens Midwest and inland American cities. To prepare for these challenges, cities can implement strategies of greenhouse gas emissions mitigation, and adaptation to prepare for future climate disasters. In this capstone paper, I will discuss how mitigation and adaptation policies for cities gets on the political agenda, how projects are chosen, how projects are financed and economically justified, how projects are evaluated, and what the characteristics are for successful government partnerships and policy actor networks.</w:t>
      </w:r>
    </w:p>
    <w:p w14:paraId="62F2C72E" w14:textId="74EFE5EE" w:rsidR="00EF278F" w:rsidRPr="00EF278F" w:rsidRDefault="00EF278F" w:rsidP="00EF278F">
      <w:pPr>
        <w:spacing w:line="480" w:lineRule="auto"/>
        <w:ind w:firstLine="720"/>
        <w:rPr>
          <w:rFonts w:ascii="Times New Roman" w:hAnsi="Times New Roman" w:cs="Times New Roman"/>
        </w:rPr>
      </w:pPr>
      <w:r w:rsidRPr="00EF278F">
        <w:rPr>
          <w:rFonts w:ascii="Times New Roman" w:hAnsi="Times New Roman" w:cs="Times New Roman"/>
        </w:rPr>
        <w:t xml:space="preserve">Mitigation is the reduction of greenhouse gas emissions. In urban areas </w:t>
      </w:r>
      <w:proofErr w:type="gramStart"/>
      <w:r w:rsidRPr="00EF278F">
        <w:rPr>
          <w:rFonts w:ascii="Times New Roman" w:hAnsi="Times New Roman" w:cs="Times New Roman"/>
        </w:rPr>
        <w:t>the majority of</w:t>
      </w:r>
      <w:proofErr w:type="gramEnd"/>
      <w:r w:rsidRPr="00EF278F">
        <w:rPr>
          <w:rFonts w:ascii="Times New Roman" w:hAnsi="Times New Roman" w:cs="Times New Roman"/>
        </w:rPr>
        <w:t xml:space="preserve"> emissions come from energy, buildings, transportation, and waste (Kanter &amp; Martinez, 2022). There are numerous ways cities can reduce emissions of greenhouse gases, including choosing renewable energy sources, </w:t>
      </w:r>
      <w:proofErr w:type="gramStart"/>
      <w:r w:rsidRPr="00EF278F">
        <w:rPr>
          <w:rFonts w:ascii="Times New Roman" w:hAnsi="Times New Roman" w:cs="Times New Roman"/>
        </w:rPr>
        <w:t>mandating</w:t>
      </w:r>
      <w:proofErr w:type="gramEnd"/>
      <w:r w:rsidRPr="00EF278F">
        <w:rPr>
          <w:rFonts w:ascii="Times New Roman" w:hAnsi="Times New Roman" w:cs="Times New Roman"/>
        </w:rPr>
        <w:t xml:space="preserve"> or incentivizing energy efficient building codes, and investing in mass transit (Hughes, 2017). Another mitigation tactic is the pricing and taxing of carbon emissions based on economic and climate models to determine the cost of future damages from current emissions of carbon (</w:t>
      </w:r>
      <w:r w:rsidRPr="00EF278F">
        <w:rPr>
          <w:rFonts w:ascii="Times New Roman" w:hAnsi="Times New Roman" w:cs="Times New Roman"/>
          <w:color w:val="000000"/>
        </w:rPr>
        <w:t xml:space="preserve">Mi et al., 2018). </w:t>
      </w:r>
      <w:r w:rsidRPr="00EF278F">
        <w:rPr>
          <w:rFonts w:ascii="Times New Roman" w:hAnsi="Times New Roman" w:cs="Times New Roman"/>
        </w:rPr>
        <w:t xml:space="preserve">However, despite cities’ best efforts to </w:t>
      </w:r>
      <w:r w:rsidRPr="00EF278F">
        <w:rPr>
          <w:rFonts w:ascii="Times New Roman" w:hAnsi="Times New Roman" w:cs="Times New Roman"/>
        </w:rPr>
        <w:lastRenderedPageBreak/>
        <w:t xml:space="preserve">address local sources of greenhouse gas emissions, the U.S. Office of Energy Efficiency and Renewable Energy (n.d.) found that the most common climate actions taken by cities did not necessarily correspond to the largest sources of emissions in their city. </w:t>
      </w:r>
    </w:p>
    <w:p w14:paraId="16D00834" w14:textId="73726E1C" w:rsidR="00EF278F" w:rsidRPr="00EF278F" w:rsidRDefault="00EF278F" w:rsidP="00EF278F">
      <w:pPr>
        <w:pStyle w:val="ListParagraph"/>
        <w:spacing w:line="480" w:lineRule="auto"/>
        <w:ind w:left="0" w:firstLine="720"/>
        <w:rPr>
          <w:rFonts w:ascii="Times New Roman" w:hAnsi="Times New Roman" w:cs="Times New Roman"/>
        </w:rPr>
      </w:pPr>
      <w:r w:rsidRPr="00EF278F">
        <w:rPr>
          <w:rFonts w:ascii="Times New Roman" w:hAnsi="Times New Roman" w:cs="Times New Roman"/>
        </w:rPr>
        <w:t xml:space="preserve">Adaptation to climate change is the “process of adjustment so that negative impacts of climate change can be reduced or avoided” (van </w:t>
      </w:r>
      <w:proofErr w:type="spellStart"/>
      <w:r w:rsidRPr="00EF278F">
        <w:rPr>
          <w:rFonts w:ascii="Times New Roman" w:hAnsi="Times New Roman" w:cs="Times New Roman"/>
        </w:rPr>
        <w:t>Valkengoed</w:t>
      </w:r>
      <w:proofErr w:type="spellEnd"/>
      <w:r w:rsidRPr="00EF278F">
        <w:rPr>
          <w:rFonts w:ascii="Times New Roman" w:hAnsi="Times New Roman" w:cs="Times New Roman"/>
        </w:rPr>
        <w:t xml:space="preserve"> &amp; Steg, 2019, p. 158). Adaptation activities are less generalizable between cities and regions, and special attention must be given to identify the types of climate threats that could affect the city in question. Climate threats can be reduced by building systemic resilience to encourage adaptive behavior through awareness and public finance programs, and hazard-specific actions to reduce the impact of major climate events (Kanter &amp; Martinez, 2022). Some examples of hazard-specific actions include drought management policies in the southwest, construction of dikes and pumps to manage storm surge in New Orleans, and heat relief centers for heatwaves in areas that have historically never dealt with extreme heat in the pacific northwest states. </w:t>
      </w:r>
    </w:p>
    <w:p w14:paraId="45D77A39" w14:textId="77777777" w:rsidR="00EF278F" w:rsidRPr="00EF278F" w:rsidRDefault="00EF278F" w:rsidP="00EF278F">
      <w:pPr>
        <w:pStyle w:val="ListParagraph"/>
        <w:spacing w:line="480" w:lineRule="auto"/>
        <w:ind w:left="0" w:firstLine="720"/>
        <w:rPr>
          <w:rFonts w:ascii="Times New Roman" w:hAnsi="Times New Roman" w:cs="Times New Roman"/>
        </w:rPr>
      </w:pPr>
      <w:r w:rsidRPr="00EF278F">
        <w:rPr>
          <w:rFonts w:ascii="Times New Roman" w:hAnsi="Times New Roman" w:cs="Times New Roman"/>
        </w:rPr>
        <w:t xml:space="preserve">When a city decides to pursue mitigation and adaptation policies, it must form a coalition of support to get policies enacted and projects funded. To accomplish this, local politicians and administrators must analyze and understand the policy domain and the policy environment so they can operate strategically and effectively to get climate policies on the policy agenda (Birkland, 2020). It is crucial that policy actors pushing climate mitigation and adaptation clearly define the problem and possible solutions. Schattschneider (1975) described the power of a clear policy agenda by stating that the group that successfully describes a problem will also be the one that defines solutions to it and will be more likely to win the policy debate. Birkland (2020) describes aspects of problem definition that include focusing events and numbers as indicators of problems. In the climate change debate, extreme storms can act as focusing events to draw </w:t>
      </w:r>
      <w:r w:rsidRPr="00EF278F">
        <w:rPr>
          <w:rFonts w:ascii="Times New Roman" w:hAnsi="Times New Roman" w:cs="Times New Roman"/>
        </w:rPr>
        <w:lastRenderedPageBreak/>
        <w:t xml:space="preserve">attention to a necessary policy, and tracking metrics such as global temperature change and CO2 emissions can help policy makers to keep their finger on the pulse of how likely an extreme weather event is to occur. </w:t>
      </w:r>
    </w:p>
    <w:p w14:paraId="7678B38C" w14:textId="77777777" w:rsidR="00EF278F" w:rsidRPr="00EF278F" w:rsidRDefault="00EF278F" w:rsidP="00EF278F">
      <w:pPr>
        <w:spacing w:line="480" w:lineRule="auto"/>
        <w:ind w:firstLine="720"/>
        <w:rPr>
          <w:rFonts w:ascii="Times New Roman" w:hAnsi="Times New Roman" w:cs="Times New Roman"/>
        </w:rPr>
      </w:pPr>
      <w:r w:rsidRPr="00EF278F">
        <w:rPr>
          <w:rFonts w:ascii="Times New Roman" w:hAnsi="Times New Roman" w:cs="Times New Roman"/>
        </w:rPr>
        <w:t xml:space="preserve">When a climate policy has found its place on the policy agenda, it must be financed and included in the city’s budget. For construction projects and capital expenditures, cost objects and cost behavior must be determined according to fixed and variable costs, and the time horizon and range of outputs must be calculated (Mikesell, 2016). This paper will explore how mitigation and adaptation policies are typically financed and how they are described in different types of budgets. It is also important to account for the economic impact of the policy, or the damages from doing nothing. Adverse climate conditions are an externality of rising global temperature and how the taxpayers fund mitigation and adaptation policies must be optimally designed to account for different economic perspectives and who should carry the weight of correcting the externality. One way to account for this externality is through the pricing of carbon emissions using a statistical economic model, such as the EPA’s Social Cost of Carbon </w:t>
      </w:r>
      <w:hyperlink r:id="rId7" w:anchor="Alternatives%20to%20Social%20Cost%20of%20Carbon&amp;section-id={BBAF7451-73CA-9244-B69C-E64D07301B9E}&amp;page-id={FE0561BC-810C-984E-8E5E-0E12B312CF8C}&amp;end&amp;base-path=https://d.docs.live.net/1715ec9d55d094be/Documents/Scope%20and%20Theory%20PP/Policy%20Brief.one" w:history="1">
        <w:r w:rsidRPr="00EF278F">
          <w:rPr>
            <w:rFonts w:ascii="Times New Roman" w:hAnsi="Times New Roman" w:cs="Times New Roman"/>
          </w:rPr>
          <w:t>(</w:t>
        </w:r>
        <w:proofErr w:type="spellStart"/>
        <w:r w:rsidRPr="00EF278F">
          <w:rPr>
            <w:rFonts w:ascii="Times New Roman" w:hAnsi="Times New Roman" w:cs="Times New Roman"/>
          </w:rPr>
          <w:t>Pindyck</w:t>
        </w:r>
        <w:proofErr w:type="spellEnd"/>
        <w:r w:rsidRPr="00EF278F">
          <w:rPr>
            <w:rFonts w:ascii="Times New Roman" w:hAnsi="Times New Roman" w:cs="Times New Roman"/>
          </w:rPr>
          <w:t>, 2019)</w:t>
        </w:r>
      </w:hyperlink>
      <w:r w:rsidRPr="00EF278F">
        <w:rPr>
          <w:rFonts w:ascii="Times New Roman" w:hAnsi="Times New Roman" w:cs="Times New Roman"/>
        </w:rPr>
        <w:t>.</w:t>
      </w:r>
    </w:p>
    <w:p w14:paraId="0F8CEFB5" w14:textId="21C20A2B" w:rsidR="00EF278F" w:rsidRPr="00EF278F" w:rsidRDefault="00EF278F" w:rsidP="00EF278F">
      <w:pPr>
        <w:spacing w:line="480" w:lineRule="auto"/>
        <w:ind w:firstLine="720"/>
        <w:rPr>
          <w:rFonts w:ascii="Times New Roman" w:hAnsi="Times New Roman" w:cs="Times New Roman"/>
          <w:color w:val="000000"/>
        </w:rPr>
      </w:pPr>
      <w:r w:rsidRPr="00EF278F">
        <w:rPr>
          <w:rFonts w:ascii="Times New Roman" w:hAnsi="Times New Roman" w:cs="Times New Roman"/>
        </w:rPr>
        <w:t xml:space="preserve">When the policy has been funded and implemented, it must be evaluated on a regular basis to ensure it is successful. For climate policies it is important to establish a causal link between the policy’s implementation and desired impact (Rossi, et al., 2019). Azevedo and Leal (2017) developed a framework that uses descriptive, causal, and normative questions </w:t>
      </w:r>
      <w:r w:rsidR="00CC1EF1">
        <w:rPr>
          <w:rFonts w:ascii="Times New Roman" w:hAnsi="Times New Roman" w:cs="Times New Roman"/>
        </w:rPr>
        <w:t xml:space="preserve">to </w:t>
      </w:r>
      <w:r w:rsidRPr="00EF278F">
        <w:rPr>
          <w:rFonts w:ascii="Times New Roman" w:hAnsi="Times New Roman" w:cs="Times New Roman"/>
        </w:rPr>
        <w:t xml:space="preserve">connect mitigation activities to observable outcomes. However, the definition of a successful adaptation is often subjective. Singh et al. (2022) </w:t>
      </w:r>
      <w:r w:rsidRPr="00EF278F">
        <w:rPr>
          <w:rFonts w:ascii="Times New Roman" w:hAnsi="Times New Roman" w:cs="Times New Roman"/>
          <w:color w:val="000000"/>
        </w:rPr>
        <w:t>identified eleven different viewpoints, including economic impact, improved wellbeing, reduced vulnerability or increased adaptive capacity, enhanced resilience to climate shocks, sustainability, avoiding maladaptation, ecosystem conservation, community-based adaptation, adaptive governance, social justice, and transformation. </w:t>
      </w:r>
    </w:p>
    <w:p w14:paraId="24E622A8" w14:textId="7AF15CBC" w:rsidR="00AC34AB" w:rsidRPr="003F11DD" w:rsidRDefault="00EF278F" w:rsidP="003F11DD">
      <w:pPr>
        <w:spacing w:line="480" w:lineRule="auto"/>
        <w:ind w:firstLine="720"/>
        <w:rPr>
          <w:rFonts w:ascii="Times New Roman" w:hAnsi="Times New Roman" w:cs="Times New Roman"/>
          <w:color w:val="000000"/>
        </w:rPr>
      </w:pPr>
      <w:r w:rsidRPr="00EF278F">
        <w:rPr>
          <w:rFonts w:ascii="Times New Roman" w:hAnsi="Times New Roman" w:cs="Times New Roman"/>
          <w:color w:val="000000"/>
        </w:rPr>
        <w:lastRenderedPageBreak/>
        <w:t xml:space="preserve">Finally, this paper will discuss the characteristics of the networks of policy actors that push and implement climate policies in cities by analyzing literature to determine the level of collaboration seen in these networks. </w:t>
      </w:r>
      <w:proofErr w:type="spellStart"/>
      <w:r w:rsidRPr="00EF278F">
        <w:rPr>
          <w:rFonts w:ascii="Times New Roman" w:hAnsi="Times New Roman" w:cs="Times New Roman"/>
          <w:color w:val="000000"/>
        </w:rPr>
        <w:t>Agranoff</w:t>
      </w:r>
      <w:proofErr w:type="spellEnd"/>
      <w:r w:rsidRPr="00EF278F">
        <w:rPr>
          <w:rFonts w:ascii="Times New Roman" w:hAnsi="Times New Roman" w:cs="Times New Roman"/>
          <w:color w:val="000000"/>
        </w:rPr>
        <w:t xml:space="preserve"> (2012) describes a conductive agency as one who uses the power of collaboration to enhance their strategic advantage, typically seen in a network setting. Cities must often contract with firms to perform evaluations and perform construction work for climate adaptation projects, and the central authority at the city level must manage these relationships with care to ensure success. </w:t>
      </w:r>
      <w:r w:rsidR="0080030C">
        <w:rPr>
          <w:rFonts w:ascii="Times New Roman" w:hAnsi="Times New Roman" w:cs="Times New Roman"/>
          <w:color w:val="000000"/>
        </w:rPr>
        <w:t xml:space="preserve">This paper will also discuss aspects of the monitoring and program evaluation stages of climate mitigation and adaptation projects for cities. </w:t>
      </w:r>
    </w:p>
    <w:p w14:paraId="33F5B3A3" w14:textId="18CA55AD" w:rsidR="00EC3026" w:rsidRDefault="00275D64" w:rsidP="00275D64">
      <w:pPr>
        <w:spacing w:line="480" w:lineRule="auto"/>
        <w:rPr>
          <w:rFonts w:ascii="Times New Roman" w:hAnsi="Times New Roman" w:cs="Times New Roman"/>
          <w:b/>
          <w:bCs/>
        </w:rPr>
      </w:pPr>
      <w:r w:rsidRPr="009713A1">
        <w:rPr>
          <w:rFonts w:ascii="Times New Roman" w:hAnsi="Times New Roman" w:cs="Times New Roman"/>
          <w:b/>
          <w:bCs/>
        </w:rPr>
        <w:t>Getting Climate Policy on the Pol</w:t>
      </w:r>
      <w:r w:rsidR="00993EF4">
        <w:rPr>
          <w:rFonts w:ascii="Times New Roman" w:hAnsi="Times New Roman" w:cs="Times New Roman"/>
          <w:b/>
          <w:bCs/>
        </w:rPr>
        <w:t>icy</w:t>
      </w:r>
      <w:r w:rsidRPr="009713A1">
        <w:rPr>
          <w:rFonts w:ascii="Times New Roman" w:hAnsi="Times New Roman" w:cs="Times New Roman"/>
          <w:b/>
          <w:bCs/>
        </w:rPr>
        <w:t xml:space="preserve"> Agenda</w:t>
      </w:r>
    </w:p>
    <w:p w14:paraId="343B3A42" w14:textId="65A632BF" w:rsidR="0048185F" w:rsidRDefault="003E0F2B" w:rsidP="00EC3026">
      <w:pPr>
        <w:spacing w:line="480" w:lineRule="auto"/>
        <w:ind w:firstLine="720"/>
        <w:rPr>
          <w:rFonts w:ascii="Times New Roman" w:hAnsi="Times New Roman" w:cs="Times New Roman"/>
        </w:rPr>
      </w:pPr>
      <w:r>
        <w:rPr>
          <w:rFonts w:ascii="Times New Roman" w:hAnsi="Times New Roman" w:cs="Times New Roman"/>
        </w:rPr>
        <w:t>John</w:t>
      </w:r>
      <w:r w:rsidR="00554451" w:rsidRPr="00554451">
        <w:rPr>
          <w:rFonts w:ascii="Times New Roman" w:hAnsi="Times New Roman" w:cs="Times New Roman"/>
        </w:rPr>
        <w:t xml:space="preserve"> </w:t>
      </w:r>
      <w:proofErr w:type="spellStart"/>
      <w:r w:rsidR="00554451">
        <w:rPr>
          <w:rFonts w:ascii="Times New Roman" w:hAnsi="Times New Roman" w:cs="Times New Roman"/>
        </w:rPr>
        <w:t>Kingdon</w:t>
      </w:r>
      <w:proofErr w:type="spellEnd"/>
      <w:r w:rsidR="00554451">
        <w:rPr>
          <w:rFonts w:ascii="Times New Roman" w:hAnsi="Times New Roman" w:cs="Times New Roman"/>
        </w:rPr>
        <w:t xml:space="preserve"> (2011</w:t>
      </w:r>
      <w:r w:rsidR="009D6DCF">
        <w:rPr>
          <w:rFonts w:ascii="Times New Roman" w:hAnsi="Times New Roman" w:cs="Times New Roman"/>
        </w:rPr>
        <w:t xml:space="preserve">) </w:t>
      </w:r>
      <w:r>
        <w:rPr>
          <w:rFonts w:ascii="Times New Roman" w:hAnsi="Times New Roman" w:cs="Times New Roman"/>
        </w:rPr>
        <w:t xml:space="preserve">visualized the way policies and projects </w:t>
      </w:r>
      <w:r w:rsidR="000345B8">
        <w:rPr>
          <w:rFonts w:ascii="Times New Roman" w:hAnsi="Times New Roman" w:cs="Times New Roman"/>
        </w:rPr>
        <w:t>become reality is when elements of three “streams” come together to elevate a policy</w:t>
      </w:r>
      <w:r w:rsidR="009D6DCF">
        <w:rPr>
          <w:rFonts w:ascii="Times New Roman" w:hAnsi="Times New Roman" w:cs="Times New Roman"/>
        </w:rPr>
        <w:t xml:space="preserve"> from the ephemeral policy universe to the policy agenda. These streams include the Problem stream</w:t>
      </w:r>
      <w:r w:rsidR="003C41C6">
        <w:rPr>
          <w:rFonts w:ascii="Times New Roman" w:hAnsi="Times New Roman" w:cs="Times New Roman"/>
        </w:rPr>
        <w:t xml:space="preserve">, which </w:t>
      </w:r>
      <w:r w:rsidR="009C36ED">
        <w:rPr>
          <w:rFonts w:ascii="Times New Roman" w:hAnsi="Times New Roman" w:cs="Times New Roman"/>
        </w:rPr>
        <w:t xml:space="preserve">for this paper includes </w:t>
      </w:r>
      <w:r w:rsidR="00681588">
        <w:rPr>
          <w:rFonts w:ascii="Times New Roman" w:hAnsi="Times New Roman" w:cs="Times New Roman"/>
        </w:rPr>
        <w:t xml:space="preserve">the </w:t>
      </w:r>
      <w:r w:rsidR="00031914">
        <w:rPr>
          <w:rFonts w:ascii="Times New Roman" w:hAnsi="Times New Roman" w:cs="Times New Roman"/>
        </w:rPr>
        <w:t>situation of a warming climate and increased pr</w:t>
      </w:r>
      <w:r w:rsidR="00681588">
        <w:rPr>
          <w:rFonts w:ascii="Times New Roman" w:hAnsi="Times New Roman" w:cs="Times New Roman"/>
        </w:rPr>
        <w:t>obability of adverse and catastrophic weather events</w:t>
      </w:r>
      <w:r w:rsidR="00975E16">
        <w:rPr>
          <w:rFonts w:ascii="Times New Roman" w:hAnsi="Times New Roman" w:cs="Times New Roman"/>
        </w:rPr>
        <w:t xml:space="preserve">. The Policy stream is all the potential ideas that could be implemented for climate change mitigation and adaptation. The third stream is the politics stream, which symbolizes </w:t>
      </w:r>
      <w:r w:rsidR="001930B1">
        <w:rPr>
          <w:rFonts w:ascii="Times New Roman" w:hAnsi="Times New Roman" w:cs="Times New Roman"/>
        </w:rPr>
        <w:t>the state of politics and public opinion</w:t>
      </w:r>
      <w:r w:rsidR="005F5EC1">
        <w:rPr>
          <w:rFonts w:ascii="Times New Roman" w:hAnsi="Times New Roman" w:cs="Times New Roman"/>
        </w:rPr>
        <w:t xml:space="preserve"> around the topic of climate change. These three streams do not cross until they reach a “window of opportunity”</w:t>
      </w:r>
      <w:r w:rsidR="005A458C">
        <w:rPr>
          <w:rFonts w:ascii="Times New Roman" w:hAnsi="Times New Roman" w:cs="Times New Roman"/>
        </w:rPr>
        <w:t xml:space="preserve">, typically during or after a focusing event that brings attention to the issue and stakeholders are motivated to </w:t>
      </w:r>
      <w:r w:rsidR="00554451">
        <w:rPr>
          <w:rFonts w:ascii="Times New Roman" w:hAnsi="Times New Roman" w:cs="Times New Roman"/>
        </w:rPr>
        <w:t>enact policy (</w:t>
      </w:r>
      <w:proofErr w:type="spellStart"/>
      <w:r w:rsidR="00554451">
        <w:rPr>
          <w:rFonts w:ascii="Times New Roman" w:hAnsi="Times New Roman" w:cs="Times New Roman"/>
        </w:rPr>
        <w:t>Kingdon</w:t>
      </w:r>
      <w:proofErr w:type="spellEnd"/>
      <w:r w:rsidR="00554451">
        <w:rPr>
          <w:rFonts w:ascii="Times New Roman" w:hAnsi="Times New Roman" w:cs="Times New Roman"/>
        </w:rPr>
        <w:t xml:space="preserve">, 2011). For </w:t>
      </w:r>
      <w:r w:rsidR="00200551">
        <w:rPr>
          <w:rFonts w:ascii="Times New Roman" w:hAnsi="Times New Roman" w:cs="Times New Roman"/>
        </w:rPr>
        <w:t xml:space="preserve">cities adapting to </w:t>
      </w:r>
      <w:r w:rsidR="00554451">
        <w:rPr>
          <w:rFonts w:ascii="Times New Roman" w:hAnsi="Times New Roman" w:cs="Times New Roman"/>
        </w:rPr>
        <w:t xml:space="preserve">climate change, a focusing event could be the </w:t>
      </w:r>
      <w:r w:rsidR="00200551">
        <w:rPr>
          <w:rFonts w:ascii="Times New Roman" w:hAnsi="Times New Roman" w:cs="Times New Roman"/>
        </w:rPr>
        <w:t>repetitive catastrophic flooding of certain neighborhoods, or the</w:t>
      </w:r>
      <w:r w:rsidR="008961D1">
        <w:rPr>
          <w:rFonts w:ascii="Times New Roman" w:hAnsi="Times New Roman" w:cs="Times New Roman"/>
        </w:rPr>
        <w:t xml:space="preserve"> experience of extreme heat that puts pressure on basic utilities such as water and electricity. </w:t>
      </w:r>
    </w:p>
    <w:p w14:paraId="6EA8D437" w14:textId="1CD67C21" w:rsidR="00D901B5" w:rsidRDefault="009A5F21" w:rsidP="00275D64">
      <w:pPr>
        <w:spacing w:line="480" w:lineRule="auto"/>
        <w:rPr>
          <w:rFonts w:ascii="Times New Roman" w:hAnsi="Times New Roman" w:cs="Times New Roman"/>
        </w:rPr>
      </w:pPr>
      <w:r>
        <w:rPr>
          <w:rFonts w:ascii="Times New Roman" w:hAnsi="Times New Roman" w:cs="Times New Roman"/>
        </w:rPr>
        <w:tab/>
      </w:r>
      <w:r w:rsidR="000C3606">
        <w:rPr>
          <w:rFonts w:ascii="Times New Roman" w:hAnsi="Times New Roman" w:cs="Times New Roman"/>
        </w:rPr>
        <w:t xml:space="preserve">Climate mitigation and adaptation projects will generally </w:t>
      </w:r>
      <w:r w:rsidR="006C4D72">
        <w:rPr>
          <w:rFonts w:ascii="Times New Roman" w:hAnsi="Times New Roman" w:cs="Times New Roman"/>
        </w:rPr>
        <w:t>fall into Brewer’s policy cycle</w:t>
      </w:r>
      <w:r w:rsidR="00605D45">
        <w:rPr>
          <w:rFonts w:ascii="Times New Roman" w:hAnsi="Times New Roman" w:cs="Times New Roman"/>
        </w:rPr>
        <w:t>,</w:t>
      </w:r>
      <w:r w:rsidR="00694506">
        <w:rPr>
          <w:rFonts w:ascii="Times New Roman" w:hAnsi="Times New Roman" w:cs="Times New Roman"/>
        </w:rPr>
        <w:t xml:space="preserve"> </w:t>
      </w:r>
      <w:r w:rsidR="00605D45">
        <w:rPr>
          <w:rFonts w:ascii="Times New Roman" w:hAnsi="Times New Roman" w:cs="Times New Roman"/>
        </w:rPr>
        <w:t>which includes agenda setting, estimation, selection</w:t>
      </w:r>
      <w:r w:rsidR="00694506">
        <w:rPr>
          <w:rFonts w:ascii="Times New Roman" w:hAnsi="Times New Roman" w:cs="Times New Roman"/>
        </w:rPr>
        <w:t xml:space="preserve">, implementation, and termination or renewal </w:t>
      </w:r>
      <w:r w:rsidR="00694506">
        <w:rPr>
          <w:rFonts w:ascii="Times New Roman" w:hAnsi="Times New Roman" w:cs="Times New Roman"/>
        </w:rPr>
        <w:lastRenderedPageBreak/>
        <w:t>(</w:t>
      </w:r>
      <w:r w:rsidR="00694506" w:rsidRPr="00B340FF">
        <w:rPr>
          <w:rFonts w:ascii="Times New Roman" w:hAnsi="Times New Roman" w:cs="Times New Roman"/>
        </w:rPr>
        <w:t>Brewer</w:t>
      </w:r>
      <w:r w:rsidR="00694506">
        <w:rPr>
          <w:rFonts w:ascii="Times New Roman" w:hAnsi="Times New Roman" w:cs="Times New Roman"/>
        </w:rPr>
        <w:t xml:space="preserve"> </w:t>
      </w:r>
      <w:r w:rsidR="00694506">
        <w:rPr>
          <w:rFonts w:ascii="Times New Roman" w:hAnsi="Times New Roman" w:cs="Times New Roman"/>
        </w:rPr>
        <w:t xml:space="preserve">&amp; </w:t>
      </w:r>
      <w:proofErr w:type="spellStart"/>
      <w:r w:rsidR="00694506" w:rsidRPr="00B340FF">
        <w:rPr>
          <w:rFonts w:ascii="Times New Roman" w:hAnsi="Times New Roman" w:cs="Times New Roman"/>
        </w:rPr>
        <w:t>deLeon</w:t>
      </w:r>
      <w:proofErr w:type="spellEnd"/>
      <w:r w:rsidR="00694506">
        <w:rPr>
          <w:rFonts w:ascii="Times New Roman" w:hAnsi="Times New Roman" w:cs="Times New Roman"/>
        </w:rPr>
        <w:t>,</w:t>
      </w:r>
      <w:r w:rsidR="00694506">
        <w:rPr>
          <w:rFonts w:ascii="Times New Roman" w:hAnsi="Times New Roman" w:cs="Times New Roman"/>
        </w:rPr>
        <w:t xml:space="preserve"> </w:t>
      </w:r>
      <w:r w:rsidR="00694506" w:rsidRPr="00B340FF">
        <w:rPr>
          <w:rFonts w:ascii="Times New Roman" w:hAnsi="Times New Roman" w:cs="Times New Roman"/>
        </w:rPr>
        <w:t>1983).</w:t>
      </w:r>
      <w:r w:rsidR="00FE20AD">
        <w:rPr>
          <w:rFonts w:ascii="Times New Roman" w:hAnsi="Times New Roman" w:cs="Times New Roman"/>
        </w:rPr>
        <w:t xml:space="preserve"> </w:t>
      </w:r>
      <w:r w:rsidR="004B71F4">
        <w:rPr>
          <w:rFonts w:ascii="Times New Roman" w:hAnsi="Times New Roman" w:cs="Times New Roman"/>
        </w:rPr>
        <w:t xml:space="preserve">After issue emergence, </w:t>
      </w:r>
      <w:r w:rsidR="009B1E0A">
        <w:rPr>
          <w:rFonts w:ascii="Times New Roman" w:hAnsi="Times New Roman" w:cs="Times New Roman"/>
        </w:rPr>
        <w:t>advocacy</w:t>
      </w:r>
      <w:r w:rsidR="000962AC">
        <w:rPr>
          <w:rFonts w:ascii="Times New Roman" w:hAnsi="Times New Roman" w:cs="Times New Roman"/>
        </w:rPr>
        <w:t xml:space="preserve"> coalitions push actors to debate different policies </w:t>
      </w:r>
      <w:r w:rsidR="009B1E0A">
        <w:rPr>
          <w:rFonts w:ascii="Times New Roman" w:hAnsi="Times New Roman" w:cs="Times New Roman"/>
        </w:rPr>
        <w:t>that ultimately set the policy agenda</w:t>
      </w:r>
      <w:r w:rsidR="00E25289">
        <w:rPr>
          <w:rFonts w:ascii="Times New Roman" w:hAnsi="Times New Roman" w:cs="Times New Roman"/>
        </w:rPr>
        <w:t xml:space="preserve">. </w:t>
      </w:r>
      <w:r w:rsidR="006B089A">
        <w:rPr>
          <w:rFonts w:ascii="Times New Roman" w:hAnsi="Times New Roman" w:cs="Times New Roman"/>
        </w:rPr>
        <w:t>For a climate mitigation policy, this debate would center on how</w:t>
      </w:r>
      <w:r w:rsidR="00EE1F93">
        <w:rPr>
          <w:rFonts w:ascii="Times New Roman" w:hAnsi="Times New Roman" w:cs="Times New Roman"/>
        </w:rPr>
        <w:t>,</w:t>
      </w:r>
      <w:r w:rsidR="006B089A">
        <w:rPr>
          <w:rFonts w:ascii="Times New Roman" w:hAnsi="Times New Roman" w:cs="Times New Roman"/>
        </w:rPr>
        <w:t xml:space="preserve"> and if</w:t>
      </w:r>
      <w:r w:rsidR="00EE1F93">
        <w:rPr>
          <w:rFonts w:ascii="Times New Roman" w:hAnsi="Times New Roman" w:cs="Times New Roman"/>
        </w:rPr>
        <w:t>,</w:t>
      </w:r>
      <w:r w:rsidR="006B089A">
        <w:rPr>
          <w:rFonts w:ascii="Times New Roman" w:hAnsi="Times New Roman" w:cs="Times New Roman"/>
        </w:rPr>
        <w:t xml:space="preserve"> the city </w:t>
      </w:r>
      <w:r w:rsidR="00EE1F93">
        <w:rPr>
          <w:rFonts w:ascii="Times New Roman" w:hAnsi="Times New Roman" w:cs="Times New Roman"/>
        </w:rPr>
        <w:t xml:space="preserve">needs to reduce carbon emissions. For an adaptation policy or project, the </w:t>
      </w:r>
      <w:r w:rsidR="006D0095">
        <w:rPr>
          <w:rFonts w:ascii="Times New Roman" w:hAnsi="Times New Roman" w:cs="Times New Roman"/>
        </w:rPr>
        <w:t xml:space="preserve">agenda setting </w:t>
      </w:r>
      <w:r w:rsidR="00EE1F93">
        <w:rPr>
          <w:rFonts w:ascii="Times New Roman" w:hAnsi="Times New Roman" w:cs="Times New Roman"/>
        </w:rPr>
        <w:t xml:space="preserve">debate would </w:t>
      </w:r>
      <w:r w:rsidR="008A7AE9">
        <w:rPr>
          <w:rFonts w:ascii="Times New Roman" w:hAnsi="Times New Roman" w:cs="Times New Roman"/>
        </w:rPr>
        <w:t xml:space="preserve">center on the effectiveness and feasibility of capital projects that improve resilience or reduce damage. </w:t>
      </w:r>
      <w:r w:rsidR="00807F9B">
        <w:rPr>
          <w:rFonts w:ascii="Times New Roman" w:hAnsi="Times New Roman" w:cs="Times New Roman"/>
        </w:rPr>
        <w:t>Estimation would include conducting cost-benefit analysis to determine if the</w:t>
      </w:r>
      <w:r w:rsidR="004D120F">
        <w:rPr>
          <w:rFonts w:ascii="Times New Roman" w:hAnsi="Times New Roman" w:cs="Times New Roman"/>
        </w:rPr>
        <w:t xml:space="preserve"> mitigation measures impose a regressive tax or have negative economic externalities, or in th</w:t>
      </w:r>
      <w:r w:rsidR="004F4AFB">
        <w:rPr>
          <w:rFonts w:ascii="Times New Roman" w:hAnsi="Times New Roman" w:cs="Times New Roman"/>
        </w:rPr>
        <w:t>e case of an</w:t>
      </w:r>
      <w:r w:rsidR="00D40BBD">
        <w:rPr>
          <w:rFonts w:ascii="Times New Roman" w:hAnsi="Times New Roman" w:cs="Times New Roman"/>
        </w:rPr>
        <w:t xml:space="preserve"> adaptation</w:t>
      </w:r>
      <w:r w:rsidR="00807F9B">
        <w:rPr>
          <w:rFonts w:ascii="Times New Roman" w:hAnsi="Times New Roman" w:cs="Times New Roman"/>
        </w:rPr>
        <w:t xml:space="preserve"> project</w:t>
      </w:r>
      <w:r w:rsidR="004F4AFB">
        <w:rPr>
          <w:rFonts w:ascii="Times New Roman" w:hAnsi="Times New Roman" w:cs="Times New Roman"/>
        </w:rPr>
        <w:t xml:space="preserve">, if it </w:t>
      </w:r>
      <w:r w:rsidR="00807F9B">
        <w:rPr>
          <w:rFonts w:ascii="Times New Roman" w:hAnsi="Times New Roman" w:cs="Times New Roman"/>
        </w:rPr>
        <w:t>can be funded in the budget or financed</w:t>
      </w:r>
      <w:r w:rsidR="004F4AFB">
        <w:rPr>
          <w:rFonts w:ascii="Times New Roman" w:hAnsi="Times New Roman" w:cs="Times New Roman"/>
        </w:rPr>
        <w:t>. The selection</w:t>
      </w:r>
      <w:r w:rsidR="00866851">
        <w:rPr>
          <w:rFonts w:ascii="Times New Roman" w:hAnsi="Times New Roman" w:cs="Times New Roman"/>
        </w:rPr>
        <w:t xml:space="preserve"> stage</w:t>
      </w:r>
      <w:r w:rsidR="004F4AFB">
        <w:rPr>
          <w:rFonts w:ascii="Times New Roman" w:hAnsi="Times New Roman" w:cs="Times New Roman"/>
        </w:rPr>
        <w:t xml:space="preserve"> is </w:t>
      </w:r>
      <w:r w:rsidR="00866851">
        <w:rPr>
          <w:rFonts w:ascii="Times New Roman" w:hAnsi="Times New Roman" w:cs="Times New Roman"/>
        </w:rPr>
        <w:t xml:space="preserve">where the </w:t>
      </w:r>
      <w:r w:rsidR="00FD6879">
        <w:rPr>
          <w:rFonts w:ascii="Times New Roman" w:hAnsi="Times New Roman" w:cs="Times New Roman"/>
        </w:rPr>
        <w:t>city’s elected leaders decide upon a course of action</w:t>
      </w:r>
      <w:r w:rsidR="00370AE7">
        <w:rPr>
          <w:rFonts w:ascii="Times New Roman" w:hAnsi="Times New Roman" w:cs="Times New Roman"/>
        </w:rPr>
        <w:t>. Implementation is the physical activit</w:t>
      </w:r>
      <w:r w:rsidR="00BA4D8D">
        <w:rPr>
          <w:rFonts w:ascii="Times New Roman" w:hAnsi="Times New Roman" w:cs="Times New Roman"/>
        </w:rPr>
        <w:t xml:space="preserve">ies generated by the policy. Finally, </w:t>
      </w:r>
      <w:r w:rsidR="00B90424">
        <w:rPr>
          <w:rFonts w:ascii="Times New Roman" w:hAnsi="Times New Roman" w:cs="Times New Roman"/>
        </w:rPr>
        <w:t xml:space="preserve">the evaluation stage is crucial for determining the impact of the mitigation or adaptation policy, which can supply information on whether the project can be improved, renewed, or terminated. </w:t>
      </w:r>
    </w:p>
    <w:p w14:paraId="64959662" w14:textId="21077C77" w:rsidR="00B244EC" w:rsidRDefault="00B244EC" w:rsidP="00275D64">
      <w:pPr>
        <w:spacing w:line="480" w:lineRule="auto"/>
        <w:rPr>
          <w:rFonts w:ascii="Times New Roman" w:hAnsi="Times New Roman" w:cs="Times New Roman"/>
        </w:rPr>
      </w:pPr>
      <w:r>
        <w:rPr>
          <w:rFonts w:ascii="Times New Roman" w:hAnsi="Times New Roman" w:cs="Times New Roman"/>
        </w:rPr>
        <w:tab/>
        <w:t xml:space="preserve">However, these six stages of Brewer’s policy cycle are multidimensional </w:t>
      </w:r>
      <w:r w:rsidR="00002A13">
        <w:rPr>
          <w:rFonts w:ascii="Times New Roman" w:hAnsi="Times New Roman" w:cs="Times New Roman"/>
        </w:rPr>
        <w:t>and subject to the</w:t>
      </w:r>
      <w:r w:rsidR="0030304D">
        <w:rPr>
          <w:rFonts w:ascii="Times New Roman" w:hAnsi="Times New Roman" w:cs="Times New Roman"/>
        </w:rPr>
        <w:t xml:space="preserve"> </w:t>
      </w:r>
      <w:r w:rsidR="0007588C">
        <w:rPr>
          <w:rFonts w:ascii="Times New Roman" w:hAnsi="Times New Roman" w:cs="Times New Roman"/>
        </w:rPr>
        <w:t xml:space="preserve">four aspects of the </w:t>
      </w:r>
      <w:r w:rsidR="00710B23">
        <w:rPr>
          <w:rFonts w:ascii="Times New Roman" w:hAnsi="Times New Roman" w:cs="Times New Roman"/>
        </w:rPr>
        <w:t>policy environment: structural, social, economic, and political</w:t>
      </w:r>
      <w:r w:rsidR="004A2ED8">
        <w:rPr>
          <w:rFonts w:ascii="Times New Roman" w:hAnsi="Times New Roman" w:cs="Times New Roman"/>
        </w:rPr>
        <w:t xml:space="preserve"> (Birkland, 2020)</w:t>
      </w:r>
      <w:r w:rsidR="00710B23">
        <w:rPr>
          <w:rFonts w:ascii="Times New Roman" w:hAnsi="Times New Roman" w:cs="Times New Roman"/>
        </w:rPr>
        <w:t xml:space="preserve">. </w:t>
      </w:r>
      <w:r w:rsidR="004A2ED8">
        <w:rPr>
          <w:rFonts w:ascii="Times New Roman" w:hAnsi="Times New Roman" w:cs="Times New Roman"/>
        </w:rPr>
        <w:t xml:space="preserve">The structural environment describes how climate policy </w:t>
      </w:r>
      <w:r w:rsidR="00966E9B">
        <w:rPr>
          <w:rFonts w:ascii="Times New Roman" w:hAnsi="Times New Roman" w:cs="Times New Roman"/>
        </w:rPr>
        <w:t>moves through the legislative process and receives funding and implementation</w:t>
      </w:r>
      <w:r w:rsidR="00DB304D">
        <w:rPr>
          <w:rFonts w:ascii="Times New Roman" w:hAnsi="Times New Roman" w:cs="Times New Roman"/>
        </w:rPr>
        <w:t xml:space="preserve"> </w:t>
      </w:r>
      <w:r w:rsidR="00DB304D">
        <w:rPr>
          <w:rFonts w:ascii="Times New Roman" w:hAnsi="Times New Roman" w:cs="Times New Roman"/>
        </w:rPr>
        <w:t>(Birkland, 2020)</w:t>
      </w:r>
      <w:r w:rsidR="00966E9B">
        <w:rPr>
          <w:rFonts w:ascii="Times New Roman" w:hAnsi="Times New Roman" w:cs="Times New Roman"/>
        </w:rPr>
        <w:t xml:space="preserve">. </w:t>
      </w:r>
      <w:r w:rsidR="0000154F">
        <w:rPr>
          <w:rFonts w:ascii="Times New Roman" w:hAnsi="Times New Roman" w:cs="Times New Roman"/>
        </w:rPr>
        <w:t xml:space="preserve">For grassroots actors in a city that desires climate mitigation or adaptation, it is </w:t>
      </w:r>
      <w:r w:rsidR="006E0E19">
        <w:rPr>
          <w:rFonts w:ascii="Times New Roman" w:hAnsi="Times New Roman" w:cs="Times New Roman"/>
        </w:rPr>
        <w:t>vital to accurately understand the mechanics of how issues surface at city and county meetings, and what the procedures are for advancing policies</w:t>
      </w:r>
      <w:r w:rsidR="000F6878">
        <w:rPr>
          <w:rFonts w:ascii="Times New Roman" w:hAnsi="Times New Roman" w:cs="Times New Roman"/>
        </w:rPr>
        <w:t xml:space="preserve">. </w:t>
      </w:r>
      <w:r w:rsidR="00C42BE9">
        <w:rPr>
          <w:rFonts w:ascii="Times New Roman" w:hAnsi="Times New Roman" w:cs="Times New Roman"/>
        </w:rPr>
        <w:t>The social environment describes the demographics relevant to the policy issue</w:t>
      </w:r>
      <w:r w:rsidR="00DB304D">
        <w:rPr>
          <w:rFonts w:ascii="Times New Roman" w:hAnsi="Times New Roman" w:cs="Times New Roman"/>
        </w:rPr>
        <w:t xml:space="preserve"> </w:t>
      </w:r>
      <w:r w:rsidR="00DB304D">
        <w:rPr>
          <w:rFonts w:ascii="Times New Roman" w:hAnsi="Times New Roman" w:cs="Times New Roman"/>
        </w:rPr>
        <w:t>(Birkland, 2020)</w:t>
      </w:r>
      <w:r w:rsidR="00C42BE9">
        <w:rPr>
          <w:rFonts w:ascii="Times New Roman" w:hAnsi="Times New Roman" w:cs="Times New Roman"/>
        </w:rPr>
        <w:t xml:space="preserve">. Is the proposed policy more favored by one demographic or political party over another? </w:t>
      </w:r>
      <w:r w:rsidR="003F3E21">
        <w:rPr>
          <w:rFonts w:ascii="Times New Roman" w:hAnsi="Times New Roman" w:cs="Times New Roman"/>
        </w:rPr>
        <w:t xml:space="preserve">This type of question can help to understand the mood of different social groups that are competing in the policy space. </w:t>
      </w:r>
      <w:r w:rsidR="00DB304D">
        <w:rPr>
          <w:rFonts w:ascii="Times New Roman" w:hAnsi="Times New Roman" w:cs="Times New Roman"/>
        </w:rPr>
        <w:t xml:space="preserve">The political environment </w:t>
      </w:r>
      <w:r w:rsidR="0014728D">
        <w:rPr>
          <w:rFonts w:ascii="Times New Roman" w:hAnsi="Times New Roman" w:cs="Times New Roman"/>
        </w:rPr>
        <w:t>comprises the desires of politicians and realpolitik of policy debate</w:t>
      </w:r>
      <w:r w:rsidR="00DB304D">
        <w:rPr>
          <w:rFonts w:ascii="Times New Roman" w:hAnsi="Times New Roman" w:cs="Times New Roman"/>
        </w:rPr>
        <w:t xml:space="preserve"> </w:t>
      </w:r>
      <w:r w:rsidR="00DB304D">
        <w:rPr>
          <w:rFonts w:ascii="Times New Roman" w:hAnsi="Times New Roman" w:cs="Times New Roman"/>
        </w:rPr>
        <w:t>(Birkland, 2020)</w:t>
      </w:r>
      <w:r w:rsidR="00DB304D">
        <w:rPr>
          <w:rFonts w:ascii="Times New Roman" w:hAnsi="Times New Roman" w:cs="Times New Roman"/>
        </w:rPr>
        <w:t>.</w:t>
      </w:r>
      <w:r w:rsidR="005F1993">
        <w:rPr>
          <w:rFonts w:ascii="Times New Roman" w:hAnsi="Times New Roman" w:cs="Times New Roman"/>
        </w:rPr>
        <w:t xml:space="preserve"> Public approval data </w:t>
      </w:r>
      <w:r w:rsidR="00555B22">
        <w:rPr>
          <w:rFonts w:ascii="Times New Roman" w:hAnsi="Times New Roman" w:cs="Times New Roman"/>
        </w:rPr>
        <w:t>can help politicians to justify a certain climate policy</w:t>
      </w:r>
      <w:r w:rsidR="009D2679">
        <w:rPr>
          <w:rFonts w:ascii="Times New Roman" w:hAnsi="Times New Roman" w:cs="Times New Roman"/>
        </w:rPr>
        <w:t xml:space="preserve"> or to help understand the actual list of feasible </w:t>
      </w:r>
      <w:r w:rsidR="009D2679">
        <w:rPr>
          <w:rFonts w:ascii="Times New Roman" w:hAnsi="Times New Roman" w:cs="Times New Roman"/>
        </w:rPr>
        <w:lastRenderedPageBreak/>
        <w:t xml:space="preserve">policies that voters will support. </w:t>
      </w:r>
      <w:r w:rsidR="00611E04">
        <w:rPr>
          <w:rFonts w:ascii="Times New Roman" w:hAnsi="Times New Roman" w:cs="Times New Roman"/>
        </w:rPr>
        <w:t xml:space="preserve">Finally, the economic environment places the climate policy within the context of </w:t>
      </w:r>
      <w:r w:rsidR="002D3A2D">
        <w:rPr>
          <w:rFonts w:ascii="Times New Roman" w:hAnsi="Times New Roman" w:cs="Times New Roman"/>
        </w:rPr>
        <w:t xml:space="preserve">what the current economic conditions will allow for in terms of spending and appetite for debt. During economic downturns, voters may be less likely to support </w:t>
      </w:r>
      <w:r w:rsidR="002405CA">
        <w:rPr>
          <w:rFonts w:ascii="Times New Roman" w:hAnsi="Times New Roman" w:cs="Times New Roman"/>
        </w:rPr>
        <w:t xml:space="preserve">funding for climate actions over economic stimulus or social spending. </w:t>
      </w:r>
    </w:p>
    <w:p w14:paraId="6319DB98" w14:textId="0A770824" w:rsidR="004A75E5" w:rsidRDefault="00AA45B2" w:rsidP="00275D64">
      <w:pPr>
        <w:spacing w:line="480" w:lineRule="auto"/>
        <w:rPr>
          <w:rFonts w:ascii="Times New Roman" w:hAnsi="Times New Roman" w:cs="Times New Roman"/>
        </w:rPr>
      </w:pPr>
      <w:r>
        <w:rPr>
          <w:rFonts w:ascii="Times New Roman" w:hAnsi="Times New Roman" w:cs="Times New Roman"/>
        </w:rPr>
        <w:tab/>
      </w:r>
      <w:r w:rsidR="004F3E94">
        <w:rPr>
          <w:rFonts w:ascii="Times New Roman" w:hAnsi="Times New Roman" w:cs="Times New Roman"/>
        </w:rPr>
        <w:t>These four aspects of the policy environment</w:t>
      </w:r>
      <w:r w:rsidR="00602245">
        <w:rPr>
          <w:rFonts w:ascii="Times New Roman" w:hAnsi="Times New Roman" w:cs="Times New Roman"/>
        </w:rPr>
        <w:t xml:space="preserve"> help us to understand why certain policies were chosen</w:t>
      </w:r>
      <w:r w:rsidR="004F3E94">
        <w:rPr>
          <w:rFonts w:ascii="Times New Roman" w:hAnsi="Times New Roman" w:cs="Times New Roman"/>
        </w:rPr>
        <w:t xml:space="preserve"> </w:t>
      </w:r>
      <w:r w:rsidR="00DE39BD">
        <w:rPr>
          <w:rFonts w:ascii="Times New Roman" w:hAnsi="Times New Roman" w:cs="Times New Roman"/>
        </w:rPr>
        <w:t xml:space="preserve">over others. </w:t>
      </w:r>
      <w:r w:rsidR="00974D87">
        <w:rPr>
          <w:rFonts w:ascii="Times New Roman" w:hAnsi="Times New Roman" w:cs="Times New Roman"/>
        </w:rPr>
        <w:t>Climate change presents wicked problems that cannot be fully understood or solved by a single person or political body</w:t>
      </w:r>
      <w:r w:rsidR="00974D87">
        <w:rPr>
          <w:rFonts w:ascii="Times New Roman" w:hAnsi="Times New Roman" w:cs="Times New Roman"/>
        </w:rPr>
        <w:t xml:space="preserve">, </w:t>
      </w:r>
      <w:r w:rsidR="009C1732">
        <w:rPr>
          <w:rFonts w:ascii="Times New Roman" w:hAnsi="Times New Roman" w:cs="Times New Roman"/>
        </w:rPr>
        <w:t>and t</w:t>
      </w:r>
      <w:r w:rsidR="0072318E">
        <w:rPr>
          <w:rFonts w:ascii="Times New Roman" w:hAnsi="Times New Roman" w:cs="Times New Roman"/>
        </w:rPr>
        <w:t xml:space="preserve">he choices </w:t>
      </w:r>
      <w:r w:rsidR="00C04A1E">
        <w:rPr>
          <w:rFonts w:ascii="Times New Roman" w:hAnsi="Times New Roman" w:cs="Times New Roman"/>
        </w:rPr>
        <w:t xml:space="preserve">that voters and politicians make </w:t>
      </w:r>
      <w:r w:rsidR="00DD65DB">
        <w:rPr>
          <w:rFonts w:ascii="Times New Roman" w:hAnsi="Times New Roman" w:cs="Times New Roman"/>
        </w:rPr>
        <w:t>can be better understood using decision-making frameworks</w:t>
      </w:r>
      <w:r w:rsidR="00CC719B">
        <w:rPr>
          <w:rFonts w:ascii="Times New Roman" w:hAnsi="Times New Roman" w:cs="Times New Roman"/>
        </w:rPr>
        <w:t xml:space="preserve"> like rational-comprehensive decision making, bounded rationality, and incrementalism</w:t>
      </w:r>
      <w:r w:rsidR="00310EE3">
        <w:rPr>
          <w:rFonts w:ascii="Times New Roman" w:hAnsi="Times New Roman" w:cs="Times New Roman"/>
        </w:rPr>
        <w:t xml:space="preserve"> (Birkland, 2020</w:t>
      </w:r>
      <w:r w:rsidR="009C1732">
        <w:rPr>
          <w:rFonts w:ascii="Times New Roman" w:hAnsi="Times New Roman" w:cs="Times New Roman"/>
        </w:rPr>
        <w:t>).</w:t>
      </w:r>
      <w:r w:rsidR="00886217">
        <w:rPr>
          <w:rFonts w:ascii="Times New Roman" w:hAnsi="Times New Roman" w:cs="Times New Roman"/>
        </w:rPr>
        <w:t xml:space="preserve"> </w:t>
      </w:r>
      <w:r w:rsidR="00B47226">
        <w:rPr>
          <w:rFonts w:ascii="Times New Roman" w:hAnsi="Times New Roman" w:cs="Times New Roman"/>
        </w:rPr>
        <w:t>Rational comprehensive decision-making assumes that people are rational actors with all the knowledge and understanding needed to select the best decision</w:t>
      </w:r>
      <w:r w:rsidR="00EB28EA">
        <w:rPr>
          <w:rFonts w:ascii="Times New Roman" w:hAnsi="Times New Roman" w:cs="Times New Roman"/>
        </w:rPr>
        <w:t xml:space="preserve"> </w:t>
      </w:r>
      <w:r w:rsidR="00EB28EA">
        <w:rPr>
          <w:rFonts w:ascii="Times New Roman" w:hAnsi="Times New Roman" w:cs="Times New Roman"/>
        </w:rPr>
        <w:t>(Birkland, 2020)</w:t>
      </w:r>
      <w:r w:rsidR="00B47226">
        <w:rPr>
          <w:rFonts w:ascii="Times New Roman" w:hAnsi="Times New Roman" w:cs="Times New Roman"/>
        </w:rPr>
        <w:t xml:space="preserve">. </w:t>
      </w:r>
      <w:r w:rsidR="00D35F55">
        <w:rPr>
          <w:rFonts w:ascii="Times New Roman" w:hAnsi="Times New Roman" w:cs="Times New Roman"/>
        </w:rPr>
        <w:t>For climate mitigation and adaptation projects</w:t>
      </w:r>
      <w:r w:rsidR="00B47226">
        <w:rPr>
          <w:rFonts w:ascii="Times New Roman" w:hAnsi="Times New Roman" w:cs="Times New Roman"/>
        </w:rPr>
        <w:t xml:space="preserve">, </w:t>
      </w:r>
      <w:r w:rsidR="00C235DC">
        <w:rPr>
          <w:rFonts w:ascii="Times New Roman" w:hAnsi="Times New Roman" w:cs="Times New Roman"/>
        </w:rPr>
        <w:t xml:space="preserve">it is unlikely that all the city council members will have complete understanding of the climate models that determine </w:t>
      </w:r>
      <w:r w:rsidR="006D0B3A">
        <w:rPr>
          <w:rFonts w:ascii="Times New Roman" w:hAnsi="Times New Roman" w:cs="Times New Roman"/>
        </w:rPr>
        <w:t>how much carbon should be taxed</w:t>
      </w:r>
      <w:r w:rsidR="009D6534">
        <w:rPr>
          <w:rFonts w:ascii="Times New Roman" w:hAnsi="Times New Roman" w:cs="Times New Roman"/>
        </w:rPr>
        <w:t xml:space="preserve"> for mitigation</w:t>
      </w:r>
      <w:r w:rsidR="006D0B3A">
        <w:rPr>
          <w:rFonts w:ascii="Times New Roman" w:hAnsi="Times New Roman" w:cs="Times New Roman"/>
        </w:rPr>
        <w:t>, or what the risk assessme</w:t>
      </w:r>
      <w:r w:rsidR="009D6534">
        <w:rPr>
          <w:rFonts w:ascii="Times New Roman" w:hAnsi="Times New Roman" w:cs="Times New Roman"/>
        </w:rPr>
        <w:t xml:space="preserve">nts </w:t>
      </w:r>
      <w:r w:rsidR="006E3428">
        <w:rPr>
          <w:rFonts w:ascii="Times New Roman" w:hAnsi="Times New Roman" w:cs="Times New Roman"/>
        </w:rPr>
        <w:t>for damage to different public utilities</w:t>
      </w:r>
      <w:r w:rsidR="007732E9">
        <w:rPr>
          <w:rFonts w:ascii="Times New Roman" w:hAnsi="Times New Roman" w:cs="Times New Roman"/>
        </w:rPr>
        <w:t xml:space="preserve"> are with perfect accuracy in the case of adaptation. </w:t>
      </w:r>
      <w:r w:rsidR="00216C62">
        <w:rPr>
          <w:rFonts w:ascii="Times New Roman" w:hAnsi="Times New Roman" w:cs="Times New Roman"/>
        </w:rPr>
        <w:t xml:space="preserve">However, the city council members likely have some sense of what is possible given the political climate and personal expertise, and </w:t>
      </w:r>
      <w:r w:rsidR="00B0513C">
        <w:rPr>
          <w:rFonts w:ascii="Times New Roman" w:hAnsi="Times New Roman" w:cs="Times New Roman"/>
        </w:rPr>
        <w:t>by using experts can make decisions using</w:t>
      </w:r>
      <w:r w:rsidR="004E40D1">
        <w:rPr>
          <w:rFonts w:ascii="Times New Roman" w:hAnsi="Times New Roman" w:cs="Times New Roman"/>
        </w:rPr>
        <w:t xml:space="preserve"> a</w:t>
      </w:r>
      <w:r w:rsidR="00B0513C">
        <w:rPr>
          <w:rFonts w:ascii="Times New Roman" w:hAnsi="Times New Roman" w:cs="Times New Roman"/>
        </w:rPr>
        <w:t xml:space="preserve"> bound</w:t>
      </w:r>
      <w:r w:rsidR="004E40D1">
        <w:rPr>
          <w:rFonts w:ascii="Times New Roman" w:hAnsi="Times New Roman" w:cs="Times New Roman"/>
        </w:rPr>
        <w:t>ed</w:t>
      </w:r>
      <w:r w:rsidR="00B0513C">
        <w:rPr>
          <w:rFonts w:ascii="Times New Roman" w:hAnsi="Times New Roman" w:cs="Times New Roman"/>
        </w:rPr>
        <w:t xml:space="preserve"> rationality</w:t>
      </w:r>
      <w:r w:rsidR="004E40D1">
        <w:rPr>
          <w:rFonts w:ascii="Times New Roman" w:hAnsi="Times New Roman" w:cs="Times New Roman"/>
        </w:rPr>
        <w:t xml:space="preserve"> framework.</w:t>
      </w:r>
      <w:r w:rsidR="004D72BA">
        <w:rPr>
          <w:rFonts w:ascii="Times New Roman" w:hAnsi="Times New Roman" w:cs="Times New Roman"/>
        </w:rPr>
        <w:t xml:space="preserve"> With bounded rationality, actors </w:t>
      </w:r>
      <w:r w:rsidR="00B36131">
        <w:rPr>
          <w:rFonts w:ascii="Times New Roman" w:hAnsi="Times New Roman" w:cs="Times New Roman"/>
        </w:rPr>
        <w:t xml:space="preserve">recognize their limitations and </w:t>
      </w:r>
      <w:r w:rsidR="004D72BA">
        <w:rPr>
          <w:rFonts w:ascii="Times New Roman" w:hAnsi="Times New Roman" w:cs="Times New Roman"/>
        </w:rPr>
        <w:t xml:space="preserve">may not seek a perfectly optimal policy outcome, but instead aim for one that </w:t>
      </w:r>
      <w:r w:rsidR="004C1198">
        <w:rPr>
          <w:rFonts w:ascii="Times New Roman" w:hAnsi="Times New Roman" w:cs="Times New Roman"/>
        </w:rPr>
        <w:t>“</w:t>
      </w:r>
      <w:r w:rsidR="004D72BA">
        <w:rPr>
          <w:rFonts w:ascii="Times New Roman" w:hAnsi="Times New Roman" w:cs="Times New Roman"/>
        </w:rPr>
        <w:t>satisfices</w:t>
      </w:r>
      <w:r w:rsidR="004C1198">
        <w:rPr>
          <w:rFonts w:ascii="Times New Roman" w:hAnsi="Times New Roman" w:cs="Times New Roman"/>
        </w:rPr>
        <w:t xml:space="preserve">” (Storing, 1962). For a </w:t>
      </w:r>
      <w:r w:rsidR="007B0035">
        <w:rPr>
          <w:rFonts w:ascii="Times New Roman" w:hAnsi="Times New Roman" w:cs="Times New Roman"/>
        </w:rPr>
        <w:t xml:space="preserve">climate mitigation project, a satisficing outcome might be the </w:t>
      </w:r>
      <w:r w:rsidR="00532A83">
        <w:rPr>
          <w:rFonts w:ascii="Times New Roman" w:hAnsi="Times New Roman" w:cs="Times New Roman"/>
        </w:rPr>
        <w:t>construction of solar panels for a few, instead of all</w:t>
      </w:r>
      <w:r w:rsidR="002D56E7">
        <w:rPr>
          <w:rFonts w:ascii="Times New Roman" w:hAnsi="Times New Roman" w:cs="Times New Roman"/>
        </w:rPr>
        <w:t>,</w:t>
      </w:r>
      <w:r w:rsidR="00532A83">
        <w:rPr>
          <w:rFonts w:ascii="Times New Roman" w:hAnsi="Times New Roman" w:cs="Times New Roman"/>
        </w:rPr>
        <w:t xml:space="preserve"> public buildings in the city. For climate adaptation, a satisficing outcome might </w:t>
      </w:r>
      <w:r w:rsidR="008A6203">
        <w:rPr>
          <w:rFonts w:ascii="Times New Roman" w:hAnsi="Times New Roman" w:cs="Times New Roman"/>
        </w:rPr>
        <w:t xml:space="preserve">be the selection of a less effective but more cost-efficient </w:t>
      </w:r>
      <w:r w:rsidR="00EE758D">
        <w:rPr>
          <w:rFonts w:ascii="Times New Roman" w:hAnsi="Times New Roman" w:cs="Times New Roman"/>
        </w:rPr>
        <w:t xml:space="preserve">floodwater drainage system. </w:t>
      </w:r>
      <w:r w:rsidR="003E2118">
        <w:rPr>
          <w:rFonts w:ascii="Times New Roman" w:hAnsi="Times New Roman" w:cs="Times New Roman"/>
        </w:rPr>
        <w:t>However, t</w:t>
      </w:r>
      <w:r w:rsidR="00EE758D">
        <w:rPr>
          <w:rFonts w:ascii="Times New Roman" w:hAnsi="Times New Roman" w:cs="Times New Roman"/>
        </w:rPr>
        <w:t xml:space="preserve">hese decisions are not usually made without any </w:t>
      </w:r>
      <w:r w:rsidR="00B36131">
        <w:rPr>
          <w:rFonts w:ascii="Times New Roman" w:hAnsi="Times New Roman" w:cs="Times New Roman"/>
        </w:rPr>
        <w:t xml:space="preserve">sort of </w:t>
      </w:r>
      <w:r w:rsidR="009408B6">
        <w:rPr>
          <w:rFonts w:ascii="Times New Roman" w:hAnsi="Times New Roman" w:cs="Times New Roman"/>
        </w:rPr>
        <w:t xml:space="preserve">history. This is where the incrementalism framework helps to understand how small steps </w:t>
      </w:r>
      <w:r w:rsidR="009408B6">
        <w:rPr>
          <w:rFonts w:ascii="Times New Roman" w:hAnsi="Times New Roman" w:cs="Times New Roman"/>
        </w:rPr>
        <w:lastRenderedPageBreak/>
        <w:t>buil</w:t>
      </w:r>
      <w:r w:rsidR="007F0D91">
        <w:rPr>
          <w:rFonts w:ascii="Times New Roman" w:hAnsi="Times New Roman" w:cs="Times New Roman"/>
        </w:rPr>
        <w:t>d</w:t>
      </w:r>
      <w:r w:rsidR="009408B6">
        <w:rPr>
          <w:rFonts w:ascii="Times New Roman" w:hAnsi="Times New Roman" w:cs="Times New Roman"/>
        </w:rPr>
        <w:t xml:space="preserve"> towards larger policy outcomes</w:t>
      </w:r>
      <w:r w:rsidR="009332C0">
        <w:rPr>
          <w:rFonts w:ascii="Times New Roman" w:hAnsi="Times New Roman" w:cs="Times New Roman"/>
        </w:rPr>
        <w:t xml:space="preserve"> over time. In the context of climate policy, </w:t>
      </w:r>
      <w:r w:rsidR="004F0536">
        <w:rPr>
          <w:rFonts w:ascii="Times New Roman" w:hAnsi="Times New Roman" w:cs="Times New Roman"/>
        </w:rPr>
        <w:t xml:space="preserve">it is likely you will see studies, commissions, and resolutions by </w:t>
      </w:r>
      <w:r w:rsidR="00CE4E9D">
        <w:rPr>
          <w:rFonts w:ascii="Times New Roman" w:hAnsi="Times New Roman" w:cs="Times New Roman"/>
        </w:rPr>
        <w:t xml:space="preserve">political bodies about climate change that signal mitigation or adaptation policies </w:t>
      </w:r>
      <w:r w:rsidR="00E93CDF">
        <w:rPr>
          <w:rFonts w:ascii="Times New Roman" w:hAnsi="Times New Roman" w:cs="Times New Roman"/>
        </w:rPr>
        <w:t xml:space="preserve">may be in the future. </w:t>
      </w:r>
      <w:r w:rsidR="004F0536">
        <w:rPr>
          <w:rFonts w:ascii="Times New Roman" w:hAnsi="Times New Roman" w:cs="Times New Roman"/>
        </w:rPr>
        <w:t xml:space="preserve"> </w:t>
      </w:r>
    </w:p>
    <w:p w14:paraId="138144BB" w14:textId="5CE40B30" w:rsidR="00581B87" w:rsidRDefault="00F32994" w:rsidP="00275D64">
      <w:pPr>
        <w:spacing w:line="480" w:lineRule="auto"/>
        <w:rPr>
          <w:rFonts w:ascii="Times New Roman" w:hAnsi="Times New Roman" w:cs="Times New Roman"/>
          <w:b/>
          <w:bCs/>
        </w:rPr>
      </w:pPr>
      <w:r w:rsidRPr="00D901B5">
        <w:rPr>
          <w:rFonts w:ascii="Times New Roman" w:hAnsi="Times New Roman" w:cs="Times New Roman"/>
          <w:b/>
          <w:bCs/>
        </w:rPr>
        <w:t xml:space="preserve">Public </w:t>
      </w:r>
      <w:r w:rsidR="00647B36" w:rsidRPr="00D901B5">
        <w:rPr>
          <w:rFonts w:ascii="Times New Roman" w:hAnsi="Times New Roman" w:cs="Times New Roman"/>
          <w:b/>
          <w:bCs/>
        </w:rPr>
        <w:t>F</w:t>
      </w:r>
      <w:r w:rsidRPr="00D901B5">
        <w:rPr>
          <w:rFonts w:ascii="Times New Roman" w:hAnsi="Times New Roman" w:cs="Times New Roman"/>
          <w:b/>
          <w:bCs/>
        </w:rPr>
        <w:t xml:space="preserve">inance </w:t>
      </w:r>
      <w:r w:rsidR="00647B36" w:rsidRPr="00D901B5">
        <w:rPr>
          <w:rFonts w:ascii="Times New Roman" w:hAnsi="Times New Roman" w:cs="Times New Roman"/>
          <w:b/>
          <w:bCs/>
        </w:rPr>
        <w:t>C</w:t>
      </w:r>
      <w:r w:rsidRPr="00D901B5">
        <w:rPr>
          <w:rFonts w:ascii="Times New Roman" w:hAnsi="Times New Roman" w:cs="Times New Roman"/>
          <w:b/>
          <w:bCs/>
        </w:rPr>
        <w:t xml:space="preserve">onsiderations for </w:t>
      </w:r>
      <w:r w:rsidR="00647B36" w:rsidRPr="00D901B5">
        <w:rPr>
          <w:rFonts w:ascii="Times New Roman" w:hAnsi="Times New Roman" w:cs="Times New Roman"/>
          <w:b/>
          <w:bCs/>
        </w:rPr>
        <w:t>C</w:t>
      </w:r>
      <w:r w:rsidRPr="00D901B5">
        <w:rPr>
          <w:rFonts w:ascii="Times New Roman" w:hAnsi="Times New Roman" w:cs="Times New Roman"/>
          <w:b/>
          <w:bCs/>
        </w:rPr>
        <w:t xml:space="preserve">limate </w:t>
      </w:r>
      <w:r w:rsidR="00647B36" w:rsidRPr="00D901B5">
        <w:rPr>
          <w:rFonts w:ascii="Times New Roman" w:hAnsi="Times New Roman" w:cs="Times New Roman"/>
          <w:b/>
          <w:bCs/>
        </w:rPr>
        <w:t>Mitigation and Adaptation Policies</w:t>
      </w:r>
    </w:p>
    <w:p w14:paraId="171EBADE" w14:textId="423D1E9A" w:rsidR="006C0526" w:rsidRDefault="00C344F1" w:rsidP="00275D64">
      <w:pPr>
        <w:spacing w:line="480" w:lineRule="auto"/>
        <w:rPr>
          <w:rFonts w:ascii="Times New Roman" w:hAnsi="Times New Roman" w:cs="Times New Roman"/>
        </w:rPr>
      </w:pPr>
      <w:r>
        <w:rPr>
          <w:rFonts w:ascii="Times New Roman" w:hAnsi="Times New Roman" w:cs="Times New Roman"/>
          <w:b/>
          <w:bCs/>
        </w:rPr>
        <w:tab/>
      </w:r>
      <w:r w:rsidR="00815186">
        <w:rPr>
          <w:rFonts w:ascii="Times New Roman" w:hAnsi="Times New Roman" w:cs="Times New Roman"/>
        </w:rPr>
        <w:t xml:space="preserve">An important consideration of climate change mitigation and adaptation projects is </w:t>
      </w:r>
      <w:r w:rsidR="00F84B83">
        <w:rPr>
          <w:rFonts w:ascii="Times New Roman" w:hAnsi="Times New Roman" w:cs="Times New Roman"/>
        </w:rPr>
        <w:t xml:space="preserve">how the projects are going to be financed. </w:t>
      </w:r>
      <w:r w:rsidR="00206920">
        <w:rPr>
          <w:rFonts w:ascii="Times New Roman" w:hAnsi="Times New Roman" w:cs="Times New Roman"/>
        </w:rPr>
        <w:t>Mikesell (2016) identified four</w:t>
      </w:r>
      <w:r w:rsidR="00E7457E">
        <w:rPr>
          <w:rFonts w:ascii="Times New Roman" w:hAnsi="Times New Roman" w:cs="Times New Roman"/>
        </w:rPr>
        <w:t xml:space="preserve"> </w:t>
      </w:r>
      <w:r w:rsidR="00815186">
        <w:rPr>
          <w:rFonts w:ascii="Times New Roman" w:hAnsi="Times New Roman" w:cs="Times New Roman"/>
        </w:rPr>
        <w:t>phases of public budget</w:t>
      </w:r>
      <w:r w:rsidR="00CA5FD6">
        <w:rPr>
          <w:rFonts w:ascii="Times New Roman" w:hAnsi="Times New Roman" w:cs="Times New Roman"/>
        </w:rPr>
        <w:t>s that include executive preparation, legislative consideration, execution, and a</w:t>
      </w:r>
      <w:r w:rsidR="00DE06F8">
        <w:rPr>
          <w:rFonts w:ascii="Times New Roman" w:hAnsi="Times New Roman" w:cs="Times New Roman"/>
        </w:rPr>
        <w:t xml:space="preserve">udit and evaluation. During the executive preparation stage of </w:t>
      </w:r>
      <w:r w:rsidR="00581045">
        <w:rPr>
          <w:rFonts w:ascii="Times New Roman" w:hAnsi="Times New Roman" w:cs="Times New Roman"/>
        </w:rPr>
        <w:t xml:space="preserve">crafting a climate policy item in a budget, forecasting should be done to analyze </w:t>
      </w:r>
      <w:r w:rsidR="00417A3C">
        <w:rPr>
          <w:rFonts w:ascii="Times New Roman" w:hAnsi="Times New Roman" w:cs="Times New Roman"/>
        </w:rPr>
        <w:t>the cost of future damages as well as future income streams that may be tied to the project and expected future costs of implementation and maintenance</w:t>
      </w:r>
      <w:r w:rsidR="00C929B3">
        <w:rPr>
          <w:rFonts w:ascii="Times New Roman" w:hAnsi="Times New Roman" w:cs="Times New Roman"/>
        </w:rPr>
        <w:t xml:space="preserve"> </w:t>
      </w:r>
      <w:r w:rsidR="00EC48E2">
        <w:rPr>
          <w:rFonts w:ascii="Times New Roman" w:hAnsi="Times New Roman" w:cs="Times New Roman"/>
        </w:rPr>
        <w:t>(</w:t>
      </w:r>
      <w:r w:rsidR="00C929B3">
        <w:rPr>
          <w:rFonts w:ascii="Times New Roman" w:hAnsi="Times New Roman" w:cs="Times New Roman"/>
        </w:rPr>
        <w:t>Mikesell</w:t>
      </w:r>
      <w:r w:rsidR="00EC48E2">
        <w:rPr>
          <w:rFonts w:ascii="Times New Roman" w:hAnsi="Times New Roman" w:cs="Times New Roman"/>
        </w:rPr>
        <w:t xml:space="preserve">, </w:t>
      </w:r>
      <w:r w:rsidR="00C929B3">
        <w:rPr>
          <w:rFonts w:ascii="Times New Roman" w:hAnsi="Times New Roman" w:cs="Times New Roman"/>
        </w:rPr>
        <w:t xml:space="preserve">2016). </w:t>
      </w:r>
      <w:r w:rsidR="00EA6109">
        <w:rPr>
          <w:rFonts w:ascii="Times New Roman" w:hAnsi="Times New Roman" w:cs="Times New Roman"/>
        </w:rPr>
        <w:t xml:space="preserve">During cost analysis and estimation, the project will be summarized as a series of cost objects </w:t>
      </w:r>
      <w:r w:rsidR="00A416C2">
        <w:rPr>
          <w:rFonts w:ascii="Times New Roman" w:hAnsi="Times New Roman" w:cs="Times New Roman"/>
        </w:rPr>
        <w:t>with cost behavior th</w:t>
      </w:r>
      <w:r w:rsidR="00965ED0">
        <w:rPr>
          <w:rFonts w:ascii="Times New Roman" w:hAnsi="Times New Roman" w:cs="Times New Roman"/>
        </w:rPr>
        <w:t xml:space="preserve">at can be fixed or variable depending on the time horizon, specific cost object, and range of output provided by the expenditure </w:t>
      </w:r>
      <w:r w:rsidR="00261645">
        <w:rPr>
          <w:rFonts w:ascii="Times New Roman" w:hAnsi="Times New Roman" w:cs="Times New Roman"/>
        </w:rPr>
        <w:t>(</w:t>
      </w:r>
      <w:r w:rsidR="00564575">
        <w:rPr>
          <w:rFonts w:ascii="Times New Roman" w:hAnsi="Times New Roman" w:cs="Times New Roman"/>
        </w:rPr>
        <w:t>Mikesell</w:t>
      </w:r>
      <w:r w:rsidR="00261645">
        <w:rPr>
          <w:rFonts w:ascii="Times New Roman" w:hAnsi="Times New Roman" w:cs="Times New Roman"/>
        </w:rPr>
        <w:t xml:space="preserve">, </w:t>
      </w:r>
      <w:r w:rsidR="00564575">
        <w:rPr>
          <w:rFonts w:ascii="Times New Roman" w:hAnsi="Times New Roman" w:cs="Times New Roman"/>
        </w:rPr>
        <w:t>2016). The budget analysis shou</w:t>
      </w:r>
      <w:r w:rsidR="003174AE">
        <w:rPr>
          <w:rFonts w:ascii="Times New Roman" w:hAnsi="Times New Roman" w:cs="Times New Roman"/>
        </w:rPr>
        <w:t xml:space="preserve">ld be able to justify the chosen project by presenting cost comparisons for alternatives, such as privatization of different parts of the project, </w:t>
      </w:r>
      <w:r w:rsidR="00F4547C">
        <w:rPr>
          <w:rFonts w:ascii="Times New Roman" w:hAnsi="Times New Roman" w:cs="Times New Roman"/>
        </w:rPr>
        <w:t xml:space="preserve">if revenue will come from taxes or fees, and if the project will enhance economic development </w:t>
      </w:r>
      <w:r w:rsidR="00E869BF">
        <w:rPr>
          <w:rFonts w:ascii="Times New Roman" w:hAnsi="Times New Roman" w:cs="Times New Roman"/>
        </w:rPr>
        <w:t>(</w:t>
      </w:r>
      <w:r w:rsidR="00F4547C">
        <w:rPr>
          <w:rFonts w:ascii="Times New Roman" w:hAnsi="Times New Roman" w:cs="Times New Roman"/>
        </w:rPr>
        <w:t>Mikesell</w:t>
      </w:r>
      <w:r w:rsidR="00E869BF">
        <w:rPr>
          <w:rFonts w:ascii="Times New Roman" w:hAnsi="Times New Roman" w:cs="Times New Roman"/>
        </w:rPr>
        <w:t xml:space="preserve">, </w:t>
      </w:r>
      <w:r w:rsidR="00F4547C">
        <w:rPr>
          <w:rFonts w:ascii="Times New Roman" w:hAnsi="Times New Roman" w:cs="Times New Roman"/>
        </w:rPr>
        <w:t>2016).</w:t>
      </w:r>
    </w:p>
    <w:p w14:paraId="5B942077" w14:textId="4B17C799" w:rsidR="001F7E27" w:rsidRDefault="00B51F5D" w:rsidP="001F7E27">
      <w:pPr>
        <w:spacing w:line="480" w:lineRule="auto"/>
        <w:rPr>
          <w:rFonts w:ascii="Times New Roman" w:hAnsi="Times New Roman" w:cs="Times New Roman"/>
        </w:rPr>
      </w:pPr>
      <w:r>
        <w:rPr>
          <w:rFonts w:ascii="Times New Roman" w:hAnsi="Times New Roman" w:cs="Times New Roman"/>
        </w:rPr>
        <w:tab/>
      </w:r>
      <w:r w:rsidR="007A33DC">
        <w:rPr>
          <w:rFonts w:ascii="Times New Roman" w:hAnsi="Times New Roman" w:cs="Times New Roman"/>
        </w:rPr>
        <w:t xml:space="preserve">When crafting a carbon tax and </w:t>
      </w:r>
      <w:r w:rsidR="00CF5C38">
        <w:rPr>
          <w:rFonts w:ascii="Times New Roman" w:hAnsi="Times New Roman" w:cs="Times New Roman"/>
        </w:rPr>
        <w:t>estimating its revenue to the city,</w:t>
      </w:r>
      <w:r w:rsidR="00602307">
        <w:rPr>
          <w:rFonts w:ascii="Times New Roman" w:hAnsi="Times New Roman" w:cs="Times New Roman"/>
        </w:rPr>
        <w:t xml:space="preserve"> there</w:t>
      </w:r>
      <w:r w:rsidR="001379FC">
        <w:rPr>
          <w:rFonts w:ascii="Times New Roman" w:hAnsi="Times New Roman" w:cs="Times New Roman"/>
        </w:rPr>
        <w:t xml:space="preserve"> is the assumption </w:t>
      </w:r>
      <w:r w:rsidR="008F4285">
        <w:rPr>
          <w:rFonts w:ascii="Times New Roman" w:hAnsi="Times New Roman" w:cs="Times New Roman"/>
        </w:rPr>
        <w:t xml:space="preserve">that when carbon taxes are instituted to discourage carbon emissions, </w:t>
      </w:r>
      <w:r w:rsidR="00C76F44">
        <w:rPr>
          <w:rFonts w:ascii="Times New Roman" w:hAnsi="Times New Roman" w:cs="Times New Roman"/>
        </w:rPr>
        <w:t xml:space="preserve">the revenue from these taxes will decrease over time as society </w:t>
      </w:r>
      <w:r w:rsidR="00804CF9">
        <w:rPr>
          <w:rFonts w:ascii="Times New Roman" w:hAnsi="Times New Roman" w:cs="Times New Roman"/>
        </w:rPr>
        <w:t>cuts back</w:t>
      </w:r>
      <w:r w:rsidR="00A26D2C">
        <w:rPr>
          <w:rFonts w:ascii="Times New Roman" w:hAnsi="Times New Roman" w:cs="Times New Roman"/>
        </w:rPr>
        <w:t xml:space="preserve"> carbon-emitting behaviors to avoid the tax</w:t>
      </w:r>
      <w:r w:rsidR="00295F46">
        <w:rPr>
          <w:rFonts w:ascii="Times New Roman" w:hAnsi="Times New Roman" w:cs="Times New Roman"/>
        </w:rPr>
        <w:t xml:space="preserve"> </w:t>
      </w:r>
      <w:r w:rsidR="00295F46" w:rsidRPr="00295F46">
        <w:rPr>
          <w:rFonts w:ascii="Times New Roman" w:hAnsi="Times New Roman" w:cs="Times New Roman"/>
        </w:rPr>
        <w:t>(de Mello &amp; Martinez-Vazquez, 2022)</w:t>
      </w:r>
      <w:r w:rsidR="00295F46" w:rsidRPr="00295F46">
        <w:rPr>
          <w:rFonts w:ascii="Times New Roman" w:hAnsi="Times New Roman" w:cs="Times New Roman"/>
        </w:rPr>
        <w:t>.</w:t>
      </w:r>
      <w:r w:rsidR="00755BA5">
        <w:rPr>
          <w:rFonts w:ascii="Times New Roman" w:hAnsi="Times New Roman" w:cs="Times New Roman"/>
        </w:rPr>
        <w:t xml:space="preserve"> </w:t>
      </w:r>
      <w:r w:rsidR="00DF5D0D">
        <w:rPr>
          <w:rFonts w:ascii="Times New Roman" w:hAnsi="Times New Roman" w:cs="Times New Roman"/>
        </w:rPr>
        <w:t xml:space="preserve">It is important to remember that carbon taxes are not a long-term source of </w:t>
      </w:r>
      <w:r w:rsidR="00602307">
        <w:rPr>
          <w:rFonts w:ascii="Times New Roman" w:hAnsi="Times New Roman" w:cs="Times New Roman"/>
        </w:rPr>
        <w:t>funding,</w:t>
      </w:r>
      <w:r w:rsidR="00DF5D0D">
        <w:rPr>
          <w:rFonts w:ascii="Times New Roman" w:hAnsi="Times New Roman" w:cs="Times New Roman"/>
        </w:rPr>
        <w:t xml:space="preserve"> and their </w:t>
      </w:r>
      <w:r w:rsidR="004E4EAC">
        <w:rPr>
          <w:rFonts w:ascii="Times New Roman" w:hAnsi="Times New Roman" w:cs="Times New Roman"/>
        </w:rPr>
        <w:t xml:space="preserve">forecasted discounted income </w:t>
      </w:r>
      <w:r w:rsidR="00602307">
        <w:rPr>
          <w:rFonts w:ascii="Times New Roman" w:hAnsi="Times New Roman" w:cs="Times New Roman"/>
        </w:rPr>
        <w:t xml:space="preserve">value </w:t>
      </w:r>
      <w:r w:rsidR="004E4EAC">
        <w:rPr>
          <w:rFonts w:ascii="Times New Roman" w:hAnsi="Times New Roman" w:cs="Times New Roman"/>
        </w:rPr>
        <w:t>should be used for long-term public budget planning.</w:t>
      </w:r>
      <w:r w:rsidR="004D0D8A">
        <w:rPr>
          <w:rFonts w:ascii="Times New Roman" w:hAnsi="Times New Roman" w:cs="Times New Roman"/>
        </w:rPr>
        <w:t xml:space="preserve"> </w:t>
      </w:r>
      <w:r w:rsidR="00B44D96">
        <w:rPr>
          <w:rFonts w:ascii="Times New Roman" w:hAnsi="Times New Roman" w:cs="Times New Roman"/>
        </w:rPr>
        <w:t xml:space="preserve"> </w:t>
      </w:r>
      <w:r w:rsidR="00854145">
        <w:rPr>
          <w:rFonts w:ascii="Times New Roman" w:hAnsi="Times New Roman" w:cs="Times New Roman"/>
        </w:rPr>
        <w:t xml:space="preserve">When </w:t>
      </w:r>
      <w:r w:rsidR="003612EC">
        <w:rPr>
          <w:rFonts w:ascii="Times New Roman" w:hAnsi="Times New Roman" w:cs="Times New Roman"/>
        </w:rPr>
        <w:t xml:space="preserve">forecasting the revenue from carbon taxes the estimator should </w:t>
      </w:r>
      <w:r w:rsidR="005D5EA3">
        <w:rPr>
          <w:rFonts w:ascii="Times New Roman" w:hAnsi="Times New Roman" w:cs="Times New Roman"/>
        </w:rPr>
        <w:t>model the elasticity of the market response to the carbon taxes</w:t>
      </w:r>
      <w:r w:rsidR="001C4017">
        <w:rPr>
          <w:rFonts w:ascii="Times New Roman" w:hAnsi="Times New Roman" w:cs="Times New Roman"/>
        </w:rPr>
        <w:t>.</w:t>
      </w:r>
      <w:r w:rsidR="00804CF9">
        <w:rPr>
          <w:rFonts w:ascii="Times New Roman" w:hAnsi="Times New Roman" w:cs="Times New Roman"/>
        </w:rPr>
        <w:t xml:space="preserve"> </w:t>
      </w:r>
      <w:r w:rsidR="00F901B9">
        <w:rPr>
          <w:rFonts w:ascii="Times New Roman" w:hAnsi="Times New Roman" w:cs="Times New Roman"/>
        </w:rPr>
        <w:t xml:space="preserve">Certain sections of society </w:t>
      </w:r>
      <w:r w:rsidR="00147043">
        <w:rPr>
          <w:rFonts w:ascii="Times New Roman" w:hAnsi="Times New Roman" w:cs="Times New Roman"/>
        </w:rPr>
        <w:lastRenderedPageBreak/>
        <w:t>and</w:t>
      </w:r>
      <w:r w:rsidR="00F901B9">
        <w:rPr>
          <w:rFonts w:ascii="Times New Roman" w:hAnsi="Times New Roman" w:cs="Times New Roman"/>
        </w:rPr>
        <w:t xml:space="preserve"> certain geographic areas will be more </w:t>
      </w:r>
      <w:r w:rsidR="00147043">
        <w:rPr>
          <w:rFonts w:ascii="Times New Roman" w:hAnsi="Times New Roman" w:cs="Times New Roman"/>
        </w:rPr>
        <w:t>able to reduce carbon consumption than others.</w:t>
      </w:r>
      <w:r w:rsidR="001F7E27">
        <w:rPr>
          <w:rFonts w:ascii="Times New Roman" w:hAnsi="Times New Roman" w:cs="Times New Roman"/>
        </w:rPr>
        <w:t xml:space="preserve"> In a public policy catch-22, it is possible that </w:t>
      </w:r>
      <w:r w:rsidR="00531A49">
        <w:rPr>
          <w:rFonts w:ascii="Times New Roman" w:hAnsi="Times New Roman" w:cs="Times New Roman"/>
        </w:rPr>
        <w:t xml:space="preserve">climate change will drive up consumption of carbon </w:t>
      </w:r>
      <w:r w:rsidR="00D64317">
        <w:rPr>
          <w:rFonts w:ascii="Times New Roman" w:hAnsi="Times New Roman" w:cs="Times New Roman"/>
        </w:rPr>
        <w:t>in the form of electric and natural gas heating and cooling systems</w:t>
      </w:r>
      <w:r w:rsidR="00985560">
        <w:rPr>
          <w:rFonts w:ascii="Times New Roman" w:hAnsi="Times New Roman" w:cs="Times New Roman"/>
        </w:rPr>
        <w:t xml:space="preserve">. Policy makers studying a carbon tax to mitigate climate change should consider if the tax is </w:t>
      </w:r>
      <w:r w:rsidR="00325F2B">
        <w:rPr>
          <w:rFonts w:ascii="Times New Roman" w:hAnsi="Times New Roman" w:cs="Times New Roman"/>
        </w:rPr>
        <w:t>regressive</w:t>
      </w:r>
      <w:r w:rsidR="008D5A1C">
        <w:rPr>
          <w:rFonts w:ascii="Times New Roman" w:hAnsi="Times New Roman" w:cs="Times New Roman"/>
        </w:rPr>
        <w:t xml:space="preserve"> </w:t>
      </w:r>
      <w:r w:rsidR="00CF2393" w:rsidRPr="00295F46">
        <w:rPr>
          <w:rFonts w:ascii="Times New Roman" w:hAnsi="Times New Roman" w:cs="Times New Roman"/>
        </w:rPr>
        <w:t>(de Mello &amp; Martinez-Vazquez, 2022</w:t>
      </w:r>
      <w:r w:rsidR="001C05A9">
        <w:rPr>
          <w:rFonts w:ascii="Times New Roman" w:hAnsi="Times New Roman" w:cs="Times New Roman"/>
        </w:rPr>
        <w:t>). If the</w:t>
      </w:r>
      <w:r w:rsidR="00C548AA">
        <w:rPr>
          <w:rFonts w:ascii="Times New Roman" w:hAnsi="Times New Roman" w:cs="Times New Roman"/>
        </w:rPr>
        <w:t xml:space="preserve"> carbon</w:t>
      </w:r>
      <w:r w:rsidR="001C05A9">
        <w:rPr>
          <w:rFonts w:ascii="Times New Roman" w:hAnsi="Times New Roman" w:cs="Times New Roman"/>
        </w:rPr>
        <w:t xml:space="preserve"> tax </w:t>
      </w:r>
      <w:r w:rsidR="00C548AA">
        <w:rPr>
          <w:rFonts w:ascii="Times New Roman" w:hAnsi="Times New Roman" w:cs="Times New Roman"/>
        </w:rPr>
        <w:t>results in a</w:t>
      </w:r>
      <w:r w:rsidR="001C05A9">
        <w:rPr>
          <w:rFonts w:ascii="Times New Roman" w:hAnsi="Times New Roman" w:cs="Times New Roman"/>
        </w:rPr>
        <w:t xml:space="preserve"> tax burden </w:t>
      </w:r>
      <w:r w:rsidR="00C548AA">
        <w:rPr>
          <w:rFonts w:ascii="Times New Roman" w:hAnsi="Times New Roman" w:cs="Times New Roman"/>
        </w:rPr>
        <w:t xml:space="preserve">that </w:t>
      </w:r>
      <w:r w:rsidR="001C05A9">
        <w:rPr>
          <w:rFonts w:ascii="Times New Roman" w:hAnsi="Times New Roman" w:cs="Times New Roman"/>
        </w:rPr>
        <w:t xml:space="preserve">is disproportionately shouldered by lower-income </w:t>
      </w:r>
      <w:r w:rsidR="00C548AA">
        <w:rPr>
          <w:rFonts w:ascii="Times New Roman" w:hAnsi="Times New Roman" w:cs="Times New Roman"/>
        </w:rPr>
        <w:t xml:space="preserve">taxpayers, the tax may not socially equitable or politically feasible. </w:t>
      </w:r>
    </w:p>
    <w:p w14:paraId="1605481D" w14:textId="7E15E0A9" w:rsidR="00217DFF" w:rsidRDefault="005177BA" w:rsidP="00275D64">
      <w:pPr>
        <w:spacing w:line="480" w:lineRule="auto"/>
        <w:rPr>
          <w:rFonts w:ascii="Times New Roman" w:hAnsi="Times New Roman" w:cs="Times New Roman"/>
        </w:rPr>
      </w:pPr>
      <w:r>
        <w:rPr>
          <w:rFonts w:ascii="Times New Roman" w:hAnsi="Times New Roman" w:cs="Times New Roman"/>
        </w:rPr>
        <w:tab/>
      </w:r>
      <w:r w:rsidR="001C34EE">
        <w:rPr>
          <w:rFonts w:ascii="Times New Roman" w:hAnsi="Times New Roman" w:cs="Times New Roman"/>
        </w:rPr>
        <w:t>Adaptation</w:t>
      </w:r>
      <w:r w:rsidR="00CB7F93">
        <w:rPr>
          <w:rFonts w:ascii="Times New Roman" w:hAnsi="Times New Roman" w:cs="Times New Roman"/>
        </w:rPr>
        <w:t xml:space="preserve"> can be more costly than mitigation as it requires funding for capital </w:t>
      </w:r>
      <w:r w:rsidR="00843451">
        <w:rPr>
          <w:rFonts w:ascii="Times New Roman" w:hAnsi="Times New Roman" w:cs="Times New Roman"/>
        </w:rPr>
        <w:t>investments in infrastructure</w:t>
      </w:r>
      <w:r w:rsidR="000F26E8">
        <w:rPr>
          <w:rFonts w:ascii="Times New Roman" w:hAnsi="Times New Roman" w:cs="Times New Roman"/>
        </w:rPr>
        <w:t xml:space="preserve"> </w:t>
      </w:r>
      <w:r w:rsidR="000F26E8" w:rsidRPr="00295F46">
        <w:rPr>
          <w:rFonts w:ascii="Times New Roman" w:hAnsi="Times New Roman" w:cs="Times New Roman"/>
        </w:rPr>
        <w:t>(de Mello &amp; Martinez-Vazquez, 2022)</w:t>
      </w:r>
      <w:r w:rsidR="00843451">
        <w:rPr>
          <w:rFonts w:ascii="Times New Roman" w:hAnsi="Times New Roman" w:cs="Times New Roman"/>
        </w:rPr>
        <w:t xml:space="preserve">. </w:t>
      </w:r>
      <w:r w:rsidR="00C12E82">
        <w:rPr>
          <w:rFonts w:ascii="Times New Roman" w:hAnsi="Times New Roman" w:cs="Times New Roman"/>
        </w:rPr>
        <w:t xml:space="preserve">Capital investments </w:t>
      </w:r>
      <w:r w:rsidR="004B2A74">
        <w:rPr>
          <w:rFonts w:ascii="Times New Roman" w:hAnsi="Times New Roman" w:cs="Times New Roman"/>
        </w:rPr>
        <w:t xml:space="preserve">are accounted for in a capital budget that is </w:t>
      </w:r>
      <w:r w:rsidR="00167E4B">
        <w:rPr>
          <w:rFonts w:ascii="Times New Roman" w:hAnsi="Times New Roman" w:cs="Times New Roman"/>
        </w:rPr>
        <w:t xml:space="preserve">separate from the annual public budget. </w:t>
      </w:r>
      <w:r w:rsidR="000D2C41">
        <w:rPr>
          <w:rFonts w:ascii="Times New Roman" w:hAnsi="Times New Roman" w:cs="Times New Roman"/>
        </w:rPr>
        <w:t xml:space="preserve">A key difference between the capital budget and annual budget is that the capital budget is financed with payments over the course of its lifetime, </w:t>
      </w:r>
      <w:r w:rsidR="00262916">
        <w:rPr>
          <w:rFonts w:ascii="Times New Roman" w:hAnsi="Times New Roman" w:cs="Times New Roman"/>
        </w:rPr>
        <w:t xml:space="preserve">compared to the annual public budget which is balanced yearly (Mikesell, 2013). This </w:t>
      </w:r>
      <w:r w:rsidR="000A6228">
        <w:rPr>
          <w:rFonts w:ascii="Times New Roman" w:hAnsi="Times New Roman" w:cs="Times New Roman"/>
        </w:rPr>
        <w:t xml:space="preserve">distinction is important for how </w:t>
      </w:r>
      <w:r w:rsidR="003E7F49">
        <w:rPr>
          <w:rFonts w:ascii="Times New Roman" w:hAnsi="Times New Roman" w:cs="Times New Roman"/>
        </w:rPr>
        <w:t xml:space="preserve">cost-benefit analysis is conducted on the adaptation </w:t>
      </w:r>
      <w:r w:rsidR="00E01999">
        <w:rPr>
          <w:rFonts w:ascii="Times New Roman" w:hAnsi="Times New Roman" w:cs="Times New Roman"/>
        </w:rPr>
        <w:t>project.</w:t>
      </w:r>
      <w:r w:rsidR="00217DFF">
        <w:rPr>
          <w:rFonts w:ascii="Times New Roman" w:hAnsi="Times New Roman" w:cs="Times New Roman"/>
        </w:rPr>
        <w:t xml:space="preserve"> For capital projects, </w:t>
      </w:r>
      <w:r w:rsidR="003F78D8">
        <w:rPr>
          <w:rFonts w:ascii="Times New Roman" w:hAnsi="Times New Roman" w:cs="Times New Roman"/>
        </w:rPr>
        <w:t xml:space="preserve">cost-benefit analysis should categorize the project objectives, estimate the project’s impact on </w:t>
      </w:r>
      <w:r w:rsidR="00A01975">
        <w:rPr>
          <w:rFonts w:ascii="Times New Roman" w:hAnsi="Times New Roman" w:cs="Times New Roman"/>
        </w:rPr>
        <w:t xml:space="preserve">those </w:t>
      </w:r>
      <w:r w:rsidR="003F78D8">
        <w:rPr>
          <w:rFonts w:ascii="Times New Roman" w:hAnsi="Times New Roman" w:cs="Times New Roman"/>
        </w:rPr>
        <w:t>objectives, estimate the project</w:t>
      </w:r>
      <w:r w:rsidR="00A01975">
        <w:rPr>
          <w:rFonts w:ascii="Times New Roman" w:hAnsi="Times New Roman" w:cs="Times New Roman"/>
        </w:rPr>
        <w:t>’</w:t>
      </w:r>
      <w:r w:rsidR="003F78D8">
        <w:rPr>
          <w:rFonts w:ascii="Times New Roman" w:hAnsi="Times New Roman" w:cs="Times New Roman"/>
        </w:rPr>
        <w:t xml:space="preserve">s costs, discount cost and benefit </w:t>
      </w:r>
      <w:r w:rsidR="00A01975">
        <w:rPr>
          <w:rFonts w:ascii="Times New Roman" w:hAnsi="Times New Roman" w:cs="Times New Roman"/>
        </w:rPr>
        <w:t>streams</w:t>
      </w:r>
      <w:r w:rsidR="003F78D8">
        <w:rPr>
          <w:rFonts w:ascii="Times New Roman" w:hAnsi="Times New Roman" w:cs="Times New Roman"/>
        </w:rPr>
        <w:t xml:space="preserve"> at </w:t>
      </w:r>
      <w:r w:rsidR="00E2212D">
        <w:rPr>
          <w:rFonts w:ascii="Times New Roman" w:hAnsi="Times New Roman" w:cs="Times New Roman"/>
        </w:rPr>
        <w:t xml:space="preserve">a </w:t>
      </w:r>
      <w:r w:rsidR="00A01975">
        <w:rPr>
          <w:rFonts w:ascii="Times New Roman" w:hAnsi="Times New Roman" w:cs="Times New Roman"/>
        </w:rPr>
        <w:t>calculated discount rate, and summarize</w:t>
      </w:r>
      <w:r w:rsidR="00771D2E">
        <w:rPr>
          <w:rFonts w:ascii="Times New Roman" w:hAnsi="Times New Roman" w:cs="Times New Roman"/>
        </w:rPr>
        <w:t xml:space="preserve"> the</w:t>
      </w:r>
      <w:r w:rsidR="00A01975">
        <w:rPr>
          <w:rFonts w:ascii="Times New Roman" w:hAnsi="Times New Roman" w:cs="Times New Roman"/>
        </w:rPr>
        <w:t xml:space="preserve"> findings</w:t>
      </w:r>
      <w:r w:rsidR="00E2212D">
        <w:rPr>
          <w:rFonts w:ascii="Times New Roman" w:hAnsi="Times New Roman" w:cs="Times New Roman"/>
        </w:rPr>
        <w:t xml:space="preserve"> in a format that aids decision making </w:t>
      </w:r>
      <w:r w:rsidR="00E2212D">
        <w:rPr>
          <w:rFonts w:ascii="Times New Roman" w:hAnsi="Times New Roman" w:cs="Times New Roman"/>
        </w:rPr>
        <w:t>(Mikesell, 2013)</w:t>
      </w:r>
      <w:r w:rsidR="00E2212D">
        <w:rPr>
          <w:rFonts w:ascii="Times New Roman" w:hAnsi="Times New Roman" w:cs="Times New Roman"/>
        </w:rPr>
        <w:t xml:space="preserve">. </w:t>
      </w:r>
      <w:r w:rsidR="00771D2E">
        <w:rPr>
          <w:rFonts w:ascii="Times New Roman" w:hAnsi="Times New Roman" w:cs="Times New Roman"/>
        </w:rPr>
        <w:t>For adaptation projects</w:t>
      </w:r>
      <w:r w:rsidR="005E24D2">
        <w:rPr>
          <w:rFonts w:ascii="Times New Roman" w:hAnsi="Times New Roman" w:cs="Times New Roman"/>
        </w:rPr>
        <w:t xml:space="preserve">, it is important to </w:t>
      </w:r>
      <w:r w:rsidR="00E56A70">
        <w:rPr>
          <w:rFonts w:ascii="Times New Roman" w:hAnsi="Times New Roman" w:cs="Times New Roman"/>
        </w:rPr>
        <w:t xml:space="preserve">categorize the objectives so that different projects or policy options can be studied for </w:t>
      </w:r>
      <w:r w:rsidR="00A645C0">
        <w:rPr>
          <w:rFonts w:ascii="Times New Roman" w:hAnsi="Times New Roman" w:cs="Times New Roman"/>
        </w:rPr>
        <w:t xml:space="preserve">cost-effectiveness. </w:t>
      </w:r>
      <w:r w:rsidR="005375A1">
        <w:rPr>
          <w:rFonts w:ascii="Times New Roman" w:hAnsi="Times New Roman" w:cs="Times New Roman"/>
        </w:rPr>
        <w:t xml:space="preserve"> </w:t>
      </w:r>
      <w:r w:rsidR="005514A6">
        <w:rPr>
          <w:rFonts w:ascii="Times New Roman" w:hAnsi="Times New Roman" w:cs="Times New Roman"/>
        </w:rPr>
        <w:t xml:space="preserve">This can be difficult to do </w:t>
      </w:r>
      <w:r w:rsidR="006228FD">
        <w:rPr>
          <w:rFonts w:ascii="Times New Roman" w:hAnsi="Times New Roman" w:cs="Times New Roman"/>
        </w:rPr>
        <w:t xml:space="preserve">if metrics are not consistent between analyses of </w:t>
      </w:r>
      <w:r w:rsidR="003B043C">
        <w:rPr>
          <w:rFonts w:ascii="Times New Roman" w:hAnsi="Times New Roman" w:cs="Times New Roman"/>
        </w:rPr>
        <w:t xml:space="preserve">the </w:t>
      </w:r>
      <w:r w:rsidR="006228FD">
        <w:rPr>
          <w:rFonts w:ascii="Times New Roman" w:hAnsi="Times New Roman" w:cs="Times New Roman"/>
        </w:rPr>
        <w:t xml:space="preserve">multiple projects </w:t>
      </w:r>
      <w:r w:rsidR="003B043C">
        <w:rPr>
          <w:rFonts w:ascii="Times New Roman" w:hAnsi="Times New Roman" w:cs="Times New Roman"/>
        </w:rPr>
        <w:t xml:space="preserve">being evaluated for </w:t>
      </w:r>
      <w:r w:rsidR="007672BF">
        <w:rPr>
          <w:rFonts w:ascii="Times New Roman" w:hAnsi="Times New Roman" w:cs="Times New Roman"/>
        </w:rPr>
        <w:t>funding</w:t>
      </w:r>
      <w:r w:rsidR="003B043C">
        <w:rPr>
          <w:rFonts w:ascii="Times New Roman" w:hAnsi="Times New Roman" w:cs="Times New Roman"/>
        </w:rPr>
        <w:t xml:space="preserve">. </w:t>
      </w:r>
      <w:r w:rsidR="006228FD">
        <w:rPr>
          <w:rFonts w:ascii="Times New Roman" w:hAnsi="Times New Roman" w:cs="Times New Roman"/>
        </w:rPr>
        <w:t xml:space="preserve"> </w:t>
      </w:r>
    </w:p>
    <w:p w14:paraId="1B78CAD8" w14:textId="6F2482C9" w:rsidR="00D65800" w:rsidRDefault="007672BF" w:rsidP="00275D64">
      <w:pPr>
        <w:spacing w:line="480" w:lineRule="auto"/>
        <w:rPr>
          <w:rFonts w:ascii="Times New Roman" w:hAnsi="Times New Roman" w:cs="Times New Roman"/>
        </w:rPr>
      </w:pPr>
      <w:r>
        <w:rPr>
          <w:rFonts w:ascii="Times New Roman" w:hAnsi="Times New Roman" w:cs="Times New Roman"/>
        </w:rPr>
        <w:tab/>
      </w:r>
      <w:proofErr w:type="spellStart"/>
      <w:r w:rsidR="00227B7F">
        <w:rPr>
          <w:rFonts w:ascii="Times New Roman" w:hAnsi="Times New Roman" w:cs="Times New Roman"/>
        </w:rPr>
        <w:t>Reguero</w:t>
      </w:r>
      <w:proofErr w:type="spellEnd"/>
      <w:r w:rsidR="00227B7F">
        <w:rPr>
          <w:rFonts w:ascii="Times New Roman" w:hAnsi="Times New Roman" w:cs="Times New Roman"/>
        </w:rPr>
        <w:t xml:space="preserve"> et al. (</w:t>
      </w:r>
      <w:r w:rsidR="00246D4E">
        <w:rPr>
          <w:rFonts w:ascii="Times New Roman" w:hAnsi="Times New Roman" w:cs="Times New Roman"/>
        </w:rPr>
        <w:t>2018) examined the cost-effectiveness of three types of adaptation interventions</w:t>
      </w:r>
      <w:r w:rsidR="003B5445">
        <w:rPr>
          <w:rFonts w:ascii="Times New Roman" w:hAnsi="Times New Roman" w:cs="Times New Roman"/>
        </w:rPr>
        <w:t xml:space="preserve"> that coastal cities that are at risk of flooding could take</w:t>
      </w:r>
      <w:r w:rsidR="00F11895">
        <w:rPr>
          <w:rFonts w:ascii="Times New Roman" w:hAnsi="Times New Roman" w:cs="Times New Roman"/>
        </w:rPr>
        <w:t xml:space="preserve"> by analyzing </w:t>
      </w:r>
      <w:r w:rsidR="00E6434F">
        <w:rPr>
          <w:rFonts w:ascii="Times New Roman" w:hAnsi="Times New Roman" w:cs="Times New Roman"/>
        </w:rPr>
        <w:t>storm damage to counties on the gulf coast</w:t>
      </w:r>
      <w:r w:rsidR="003B5445">
        <w:rPr>
          <w:rFonts w:ascii="Times New Roman" w:hAnsi="Times New Roman" w:cs="Times New Roman"/>
        </w:rPr>
        <w:t>. These</w:t>
      </w:r>
      <w:r w:rsidR="00E6434F">
        <w:rPr>
          <w:rFonts w:ascii="Times New Roman" w:hAnsi="Times New Roman" w:cs="Times New Roman"/>
        </w:rPr>
        <w:t xml:space="preserve"> adaptations</w:t>
      </w:r>
      <w:r w:rsidR="003B5445">
        <w:rPr>
          <w:rFonts w:ascii="Times New Roman" w:hAnsi="Times New Roman" w:cs="Times New Roman"/>
        </w:rPr>
        <w:t xml:space="preserve"> include </w:t>
      </w:r>
      <w:r w:rsidR="00F11895">
        <w:rPr>
          <w:rFonts w:ascii="Times New Roman" w:hAnsi="Times New Roman" w:cs="Times New Roman"/>
        </w:rPr>
        <w:t>nature-based, such as restoring oyster reefs</w:t>
      </w:r>
      <w:r w:rsidR="00E6434F">
        <w:rPr>
          <w:rFonts w:ascii="Times New Roman" w:hAnsi="Times New Roman" w:cs="Times New Roman"/>
        </w:rPr>
        <w:t>;</w:t>
      </w:r>
      <w:r w:rsidR="00F11895">
        <w:rPr>
          <w:rFonts w:ascii="Times New Roman" w:hAnsi="Times New Roman" w:cs="Times New Roman"/>
        </w:rPr>
        <w:t xml:space="preserve"> structure or </w:t>
      </w:r>
      <w:r w:rsidR="00E6434F">
        <w:rPr>
          <w:rFonts w:ascii="Times New Roman" w:hAnsi="Times New Roman" w:cs="Times New Roman"/>
        </w:rPr>
        <w:t>“</w:t>
      </w:r>
      <w:r w:rsidR="00F11895">
        <w:rPr>
          <w:rFonts w:ascii="Times New Roman" w:hAnsi="Times New Roman" w:cs="Times New Roman"/>
        </w:rPr>
        <w:t>grey</w:t>
      </w:r>
      <w:r w:rsidR="00E6434F">
        <w:rPr>
          <w:rFonts w:ascii="Times New Roman" w:hAnsi="Times New Roman" w:cs="Times New Roman"/>
        </w:rPr>
        <w:t>”</w:t>
      </w:r>
      <w:r w:rsidR="00F11895">
        <w:rPr>
          <w:rFonts w:ascii="Times New Roman" w:hAnsi="Times New Roman" w:cs="Times New Roman"/>
        </w:rPr>
        <w:t xml:space="preserve"> investments into</w:t>
      </w:r>
      <w:r w:rsidR="00E6434F">
        <w:rPr>
          <w:rFonts w:ascii="Times New Roman" w:hAnsi="Times New Roman" w:cs="Times New Roman"/>
        </w:rPr>
        <w:t xml:space="preserve"> construction projects like seawalls; and policy </w:t>
      </w:r>
      <w:r w:rsidR="00E6434F">
        <w:rPr>
          <w:rFonts w:ascii="Times New Roman" w:hAnsi="Times New Roman" w:cs="Times New Roman"/>
        </w:rPr>
        <w:lastRenderedPageBreak/>
        <w:t xml:space="preserve">measures like requiring </w:t>
      </w:r>
      <w:r w:rsidR="00E940F5">
        <w:rPr>
          <w:rFonts w:ascii="Times New Roman" w:hAnsi="Times New Roman" w:cs="Times New Roman"/>
        </w:rPr>
        <w:t xml:space="preserve">home elevation in flood-prone areas. </w:t>
      </w:r>
      <w:proofErr w:type="spellStart"/>
      <w:r w:rsidR="00FE6622">
        <w:rPr>
          <w:rFonts w:ascii="Times New Roman" w:hAnsi="Times New Roman" w:cs="Times New Roman"/>
        </w:rPr>
        <w:t>Reguero</w:t>
      </w:r>
      <w:proofErr w:type="spellEnd"/>
      <w:r w:rsidR="000C19C3">
        <w:rPr>
          <w:rFonts w:ascii="Times New Roman" w:hAnsi="Times New Roman" w:cs="Times New Roman"/>
        </w:rPr>
        <w:t xml:space="preserve"> et al.’s (2018) analysis started by assessing baseline or current risk, estimating future risk using </w:t>
      </w:r>
      <w:r w:rsidR="008616D2">
        <w:rPr>
          <w:rFonts w:ascii="Times New Roman" w:hAnsi="Times New Roman" w:cs="Times New Roman"/>
        </w:rPr>
        <w:t xml:space="preserve">CLIMADA software, and then comparing the costs and benefits of adaptation measures. </w:t>
      </w:r>
      <w:r w:rsidR="006958E5">
        <w:rPr>
          <w:rFonts w:ascii="Times New Roman" w:hAnsi="Times New Roman" w:cs="Times New Roman"/>
        </w:rPr>
        <w:t>This analysis found that nature-based projects are the most cost-effective and contribute the most to overall damage reduction and include positive externalities (</w:t>
      </w:r>
      <w:proofErr w:type="spellStart"/>
      <w:r w:rsidR="006958E5">
        <w:rPr>
          <w:rFonts w:ascii="Times New Roman" w:hAnsi="Times New Roman" w:cs="Times New Roman"/>
        </w:rPr>
        <w:t>Reguero</w:t>
      </w:r>
      <w:proofErr w:type="spellEnd"/>
      <w:r w:rsidR="006958E5">
        <w:rPr>
          <w:rFonts w:ascii="Times New Roman" w:hAnsi="Times New Roman" w:cs="Times New Roman"/>
        </w:rPr>
        <w:t xml:space="preserve"> et al.</w:t>
      </w:r>
      <w:r w:rsidR="006958E5">
        <w:rPr>
          <w:rFonts w:ascii="Times New Roman" w:hAnsi="Times New Roman" w:cs="Times New Roman"/>
        </w:rPr>
        <w:t xml:space="preserve">, </w:t>
      </w:r>
      <w:r w:rsidR="006958E5">
        <w:rPr>
          <w:rFonts w:ascii="Times New Roman" w:hAnsi="Times New Roman" w:cs="Times New Roman"/>
        </w:rPr>
        <w:t>2018)</w:t>
      </w:r>
      <w:r w:rsidR="006958E5">
        <w:rPr>
          <w:rFonts w:ascii="Times New Roman" w:hAnsi="Times New Roman" w:cs="Times New Roman"/>
        </w:rPr>
        <w:t xml:space="preserve">. </w:t>
      </w:r>
      <w:r w:rsidR="00D5650C">
        <w:rPr>
          <w:rFonts w:ascii="Times New Roman" w:hAnsi="Times New Roman" w:cs="Times New Roman"/>
        </w:rPr>
        <w:t xml:space="preserve">Grey structure investments and policy measures </w:t>
      </w:r>
      <w:r w:rsidR="0003364E">
        <w:rPr>
          <w:rFonts w:ascii="Times New Roman" w:hAnsi="Times New Roman" w:cs="Times New Roman"/>
        </w:rPr>
        <w:t xml:space="preserve">deliver the greatest damage reduction from a single type of event, but are expensive and </w:t>
      </w:r>
      <w:proofErr w:type="gramStart"/>
      <w:r w:rsidR="0003364E">
        <w:rPr>
          <w:rFonts w:ascii="Times New Roman" w:hAnsi="Times New Roman" w:cs="Times New Roman"/>
        </w:rPr>
        <w:t>overall</w:t>
      </w:r>
      <w:proofErr w:type="gramEnd"/>
      <w:r w:rsidR="0003364E">
        <w:rPr>
          <w:rFonts w:ascii="Times New Roman" w:hAnsi="Times New Roman" w:cs="Times New Roman"/>
        </w:rPr>
        <w:t xml:space="preserve"> not very cost-effective </w:t>
      </w:r>
      <w:r w:rsidR="0003364E">
        <w:rPr>
          <w:rFonts w:ascii="Times New Roman" w:hAnsi="Times New Roman" w:cs="Times New Roman"/>
        </w:rPr>
        <w:t>(</w:t>
      </w:r>
      <w:proofErr w:type="spellStart"/>
      <w:r w:rsidR="0003364E">
        <w:rPr>
          <w:rFonts w:ascii="Times New Roman" w:hAnsi="Times New Roman" w:cs="Times New Roman"/>
        </w:rPr>
        <w:t>Reguero</w:t>
      </w:r>
      <w:proofErr w:type="spellEnd"/>
      <w:r w:rsidR="0003364E">
        <w:rPr>
          <w:rFonts w:ascii="Times New Roman" w:hAnsi="Times New Roman" w:cs="Times New Roman"/>
        </w:rPr>
        <w:t xml:space="preserve"> et al., 2018).</w:t>
      </w:r>
      <w:r w:rsidR="00F81354">
        <w:rPr>
          <w:rFonts w:ascii="Times New Roman" w:hAnsi="Times New Roman" w:cs="Times New Roman"/>
        </w:rPr>
        <w:t xml:space="preserve"> Cities that are </w:t>
      </w:r>
      <w:r w:rsidR="006A69BC">
        <w:rPr>
          <w:rFonts w:ascii="Times New Roman" w:hAnsi="Times New Roman" w:cs="Times New Roman"/>
        </w:rPr>
        <w:t xml:space="preserve">considering adaptation investments should take a multi-prong approach and </w:t>
      </w:r>
      <w:r w:rsidR="00B67646">
        <w:rPr>
          <w:rFonts w:ascii="Times New Roman" w:hAnsi="Times New Roman" w:cs="Times New Roman"/>
        </w:rPr>
        <w:t xml:space="preserve">identify the greatest threats posed by climate change, what natural or ecosystem investments </w:t>
      </w:r>
      <w:r w:rsidR="009F666C">
        <w:rPr>
          <w:rFonts w:ascii="Times New Roman" w:hAnsi="Times New Roman" w:cs="Times New Roman"/>
        </w:rPr>
        <w:t xml:space="preserve">are cost-effective, what types of </w:t>
      </w:r>
      <w:r w:rsidR="006F05EA">
        <w:rPr>
          <w:rFonts w:ascii="Times New Roman" w:hAnsi="Times New Roman" w:cs="Times New Roman"/>
        </w:rPr>
        <w:t xml:space="preserve">structures they can build to directly prevent damage, and what kind of policies help </w:t>
      </w:r>
      <w:r w:rsidR="0021719E">
        <w:rPr>
          <w:rFonts w:ascii="Times New Roman" w:hAnsi="Times New Roman" w:cs="Times New Roman"/>
        </w:rPr>
        <w:t xml:space="preserve">citizens to avoid damage. </w:t>
      </w:r>
      <w:r w:rsidR="00DF0709">
        <w:rPr>
          <w:rFonts w:ascii="Times New Roman" w:hAnsi="Times New Roman" w:cs="Times New Roman"/>
        </w:rPr>
        <w:t xml:space="preserve">When crafting policy </w:t>
      </w:r>
      <w:proofErr w:type="gramStart"/>
      <w:r w:rsidR="00DF0709">
        <w:rPr>
          <w:rFonts w:ascii="Times New Roman" w:hAnsi="Times New Roman" w:cs="Times New Roman"/>
        </w:rPr>
        <w:t>measures</w:t>
      </w:r>
      <w:proofErr w:type="gramEnd"/>
      <w:r w:rsidR="00DF0709">
        <w:rPr>
          <w:rFonts w:ascii="Times New Roman" w:hAnsi="Times New Roman" w:cs="Times New Roman"/>
        </w:rPr>
        <w:t xml:space="preserve"> it is important to </w:t>
      </w:r>
      <w:r w:rsidR="008922DF">
        <w:rPr>
          <w:rFonts w:ascii="Times New Roman" w:hAnsi="Times New Roman" w:cs="Times New Roman"/>
        </w:rPr>
        <w:t xml:space="preserve">consider unforeseen </w:t>
      </w:r>
      <w:r w:rsidR="0098495E">
        <w:rPr>
          <w:rFonts w:ascii="Times New Roman" w:hAnsi="Times New Roman" w:cs="Times New Roman"/>
        </w:rPr>
        <w:t>outcomes and avoid moral hazards, such as government insurance policies that encourage building in flood-prone areas</w:t>
      </w:r>
      <w:r w:rsidR="00FA1107">
        <w:rPr>
          <w:rFonts w:ascii="Times New Roman" w:hAnsi="Times New Roman" w:cs="Times New Roman"/>
        </w:rPr>
        <w:t xml:space="preserve"> </w:t>
      </w:r>
      <w:r w:rsidR="00FA1107" w:rsidRPr="00295F46">
        <w:rPr>
          <w:rFonts w:ascii="Times New Roman" w:hAnsi="Times New Roman" w:cs="Times New Roman"/>
        </w:rPr>
        <w:t>(de Mello &amp; Martinez-Vazquez, 2022)</w:t>
      </w:r>
      <w:r w:rsidR="0098495E">
        <w:rPr>
          <w:rFonts w:ascii="Times New Roman" w:hAnsi="Times New Roman" w:cs="Times New Roman"/>
        </w:rPr>
        <w:t xml:space="preserve">. </w:t>
      </w:r>
      <w:r w:rsidR="00E01999">
        <w:rPr>
          <w:rFonts w:ascii="Times New Roman" w:hAnsi="Times New Roman" w:cs="Times New Roman"/>
        </w:rPr>
        <w:t xml:space="preserve"> </w:t>
      </w:r>
    </w:p>
    <w:p w14:paraId="05647C0A" w14:textId="6ECAAB6A" w:rsidR="00524D93" w:rsidRPr="00C344F1" w:rsidRDefault="006B083B" w:rsidP="00275D64">
      <w:pPr>
        <w:spacing w:line="480" w:lineRule="auto"/>
        <w:rPr>
          <w:rFonts w:ascii="Times New Roman" w:hAnsi="Times New Roman" w:cs="Times New Roman"/>
        </w:rPr>
      </w:pPr>
      <w:r>
        <w:rPr>
          <w:rFonts w:ascii="Times New Roman" w:hAnsi="Times New Roman" w:cs="Times New Roman"/>
        </w:rPr>
        <w:tab/>
        <w:t xml:space="preserve">Cities can </w:t>
      </w:r>
      <w:r w:rsidR="003F6F24">
        <w:rPr>
          <w:rFonts w:ascii="Times New Roman" w:hAnsi="Times New Roman" w:cs="Times New Roman"/>
        </w:rPr>
        <w:t xml:space="preserve">better estimate the total costs of an adaptation project </w:t>
      </w:r>
      <w:r w:rsidR="00127CE3">
        <w:rPr>
          <w:rFonts w:ascii="Times New Roman" w:hAnsi="Times New Roman" w:cs="Times New Roman"/>
        </w:rPr>
        <w:t xml:space="preserve">by </w:t>
      </w:r>
      <w:r w:rsidR="003F6F24">
        <w:rPr>
          <w:rFonts w:ascii="Times New Roman" w:hAnsi="Times New Roman" w:cs="Times New Roman"/>
        </w:rPr>
        <w:t xml:space="preserve">using Activity Based Costing. </w:t>
      </w:r>
      <w:r w:rsidR="00E94432">
        <w:rPr>
          <w:rFonts w:ascii="Times New Roman" w:hAnsi="Times New Roman" w:cs="Times New Roman"/>
        </w:rPr>
        <w:t xml:space="preserve">Activity Based Costing </w:t>
      </w:r>
      <w:r w:rsidR="00A80B03">
        <w:rPr>
          <w:rFonts w:ascii="Times New Roman" w:hAnsi="Times New Roman" w:cs="Times New Roman"/>
        </w:rPr>
        <w:t>can help</w:t>
      </w:r>
      <w:r w:rsidR="001A3F97">
        <w:rPr>
          <w:rFonts w:ascii="Times New Roman" w:hAnsi="Times New Roman" w:cs="Times New Roman"/>
        </w:rPr>
        <w:t xml:space="preserve"> avoid the cost distortion caused by substantial indirect costs by</w:t>
      </w:r>
      <w:r w:rsidR="00A80B03">
        <w:rPr>
          <w:rFonts w:ascii="Times New Roman" w:hAnsi="Times New Roman" w:cs="Times New Roman"/>
        </w:rPr>
        <w:t xml:space="preserve"> turn</w:t>
      </w:r>
      <w:r w:rsidR="001A3F97">
        <w:rPr>
          <w:rFonts w:ascii="Times New Roman" w:hAnsi="Times New Roman" w:cs="Times New Roman"/>
        </w:rPr>
        <w:t>ing</w:t>
      </w:r>
      <w:r w:rsidR="00A80B03">
        <w:rPr>
          <w:rFonts w:ascii="Times New Roman" w:hAnsi="Times New Roman" w:cs="Times New Roman"/>
        </w:rPr>
        <w:t xml:space="preserve"> indirect costs into direct costs by </w:t>
      </w:r>
      <w:r w:rsidR="00EB2396">
        <w:rPr>
          <w:rFonts w:ascii="Times New Roman" w:hAnsi="Times New Roman" w:cs="Times New Roman"/>
        </w:rPr>
        <w:t xml:space="preserve">assigning them to </w:t>
      </w:r>
      <w:r w:rsidR="00EB0BF4">
        <w:rPr>
          <w:rFonts w:ascii="Times New Roman" w:hAnsi="Times New Roman" w:cs="Times New Roman"/>
        </w:rPr>
        <w:t>narrowly defined activities</w:t>
      </w:r>
      <w:r w:rsidR="0084002D">
        <w:rPr>
          <w:rFonts w:ascii="Times New Roman" w:hAnsi="Times New Roman" w:cs="Times New Roman"/>
        </w:rPr>
        <w:t xml:space="preserve"> rather than allocate them from a</w:t>
      </w:r>
      <w:r w:rsidR="00BD0A3B">
        <w:rPr>
          <w:rFonts w:ascii="Times New Roman" w:hAnsi="Times New Roman" w:cs="Times New Roman"/>
        </w:rPr>
        <w:t xml:space="preserve"> broadly defined cost pool </w:t>
      </w:r>
      <w:r w:rsidR="00742807">
        <w:rPr>
          <w:rFonts w:ascii="Times New Roman" w:hAnsi="Times New Roman" w:cs="Times New Roman"/>
        </w:rPr>
        <w:t>(Michel, 2004)</w:t>
      </w:r>
      <w:r w:rsidR="00BD0A3B">
        <w:rPr>
          <w:rFonts w:ascii="Times New Roman" w:hAnsi="Times New Roman" w:cs="Times New Roman"/>
        </w:rPr>
        <w:t xml:space="preserve">. </w:t>
      </w:r>
      <w:r w:rsidR="002110D0">
        <w:rPr>
          <w:rFonts w:ascii="Times New Roman" w:hAnsi="Times New Roman" w:cs="Times New Roman"/>
        </w:rPr>
        <w:t xml:space="preserve">A city can implement Activity Based Costing for a mitigation or adaptation project by </w:t>
      </w:r>
      <w:r w:rsidR="002C5856">
        <w:rPr>
          <w:rFonts w:ascii="Times New Roman" w:hAnsi="Times New Roman" w:cs="Times New Roman"/>
        </w:rPr>
        <w:t>allocating direct costs to cost objects</w:t>
      </w:r>
      <w:r w:rsidR="00DB7297">
        <w:rPr>
          <w:rFonts w:ascii="Times New Roman" w:hAnsi="Times New Roman" w:cs="Times New Roman"/>
        </w:rPr>
        <w:t xml:space="preserve"> and </w:t>
      </w:r>
      <w:r w:rsidR="002D1229">
        <w:rPr>
          <w:rFonts w:ascii="Times New Roman" w:hAnsi="Times New Roman" w:cs="Times New Roman"/>
        </w:rPr>
        <w:t xml:space="preserve">allocating indirect costs to cost activities. </w:t>
      </w:r>
      <w:r w:rsidR="00FD7DD2">
        <w:rPr>
          <w:rFonts w:ascii="Times New Roman" w:hAnsi="Times New Roman" w:cs="Times New Roman"/>
        </w:rPr>
        <w:t>In this example a direct cost might be the salaries of workers</w:t>
      </w:r>
      <w:r w:rsidR="00E93C81">
        <w:rPr>
          <w:rFonts w:ascii="Times New Roman" w:hAnsi="Times New Roman" w:cs="Times New Roman"/>
        </w:rPr>
        <w:t xml:space="preserve">, and the cost object would be </w:t>
      </w:r>
      <w:r w:rsidR="00FD7DD2">
        <w:rPr>
          <w:rFonts w:ascii="Times New Roman" w:hAnsi="Times New Roman" w:cs="Times New Roman"/>
        </w:rPr>
        <w:t>seawall</w:t>
      </w:r>
      <w:r w:rsidR="00E93C81">
        <w:rPr>
          <w:rFonts w:ascii="Times New Roman" w:hAnsi="Times New Roman" w:cs="Times New Roman"/>
        </w:rPr>
        <w:t xml:space="preserve"> being constructed</w:t>
      </w:r>
      <w:r w:rsidR="00FD7DD2">
        <w:rPr>
          <w:rFonts w:ascii="Times New Roman" w:hAnsi="Times New Roman" w:cs="Times New Roman"/>
        </w:rPr>
        <w:t xml:space="preserve"> as part of a grey infrastructure</w:t>
      </w:r>
      <w:r w:rsidR="00E93C81">
        <w:rPr>
          <w:rFonts w:ascii="Times New Roman" w:hAnsi="Times New Roman" w:cs="Times New Roman"/>
        </w:rPr>
        <w:t xml:space="preserve"> adaptation strategy. </w:t>
      </w:r>
      <w:r w:rsidR="00026A8D">
        <w:rPr>
          <w:rFonts w:ascii="Times New Roman" w:hAnsi="Times New Roman" w:cs="Times New Roman"/>
        </w:rPr>
        <w:t>An indirect cost would be the meetings and administrative overhead necessary for managing and monitoring the project,</w:t>
      </w:r>
      <w:r w:rsidR="00C31E9B">
        <w:rPr>
          <w:rFonts w:ascii="Times New Roman" w:hAnsi="Times New Roman" w:cs="Times New Roman"/>
        </w:rPr>
        <w:t xml:space="preserve"> and the cost activit</w:t>
      </w:r>
      <w:r w:rsidR="00BF5C4F">
        <w:rPr>
          <w:rFonts w:ascii="Times New Roman" w:hAnsi="Times New Roman" w:cs="Times New Roman"/>
        </w:rPr>
        <w:t xml:space="preserve">ies would </w:t>
      </w:r>
      <w:r w:rsidR="00A30458">
        <w:rPr>
          <w:rFonts w:ascii="Times New Roman" w:hAnsi="Times New Roman" w:cs="Times New Roman"/>
        </w:rPr>
        <w:t>be labeled</w:t>
      </w:r>
      <w:r w:rsidR="00BF5C4F">
        <w:rPr>
          <w:rFonts w:ascii="Times New Roman" w:hAnsi="Times New Roman" w:cs="Times New Roman"/>
        </w:rPr>
        <w:t xml:space="preserve"> collaboration and management</w:t>
      </w:r>
      <w:r w:rsidR="00A30458">
        <w:rPr>
          <w:rFonts w:ascii="Times New Roman" w:hAnsi="Times New Roman" w:cs="Times New Roman"/>
        </w:rPr>
        <w:t xml:space="preserve">. </w:t>
      </w:r>
      <w:r w:rsidR="0095782A">
        <w:rPr>
          <w:rFonts w:ascii="Times New Roman" w:hAnsi="Times New Roman" w:cs="Times New Roman"/>
        </w:rPr>
        <w:t xml:space="preserve">These cost activities that include meetings and </w:t>
      </w:r>
      <w:r w:rsidR="003D1240">
        <w:rPr>
          <w:rFonts w:ascii="Times New Roman" w:hAnsi="Times New Roman" w:cs="Times New Roman"/>
        </w:rPr>
        <w:lastRenderedPageBreak/>
        <w:t>administration</w:t>
      </w:r>
      <w:r w:rsidR="0095782A">
        <w:rPr>
          <w:rFonts w:ascii="Times New Roman" w:hAnsi="Times New Roman" w:cs="Times New Roman"/>
        </w:rPr>
        <w:t xml:space="preserve"> </w:t>
      </w:r>
      <w:r w:rsidR="003D1240">
        <w:rPr>
          <w:rFonts w:ascii="Times New Roman" w:hAnsi="Times New Roman" w:cs="Times New Roman"/>
        </w:rPr>
        <w:t xml:space="preserve">are then calculated and applied toward the cost object construction project, </w:t>
      </w:r>
      <w:r w:rsidR="00F361B0">
        <w:rPr>
          <w:rFonts w:ascii="Times New Roman" w:hAnsi="Times New Roman" w:cs="Times New Roman"/>
        </w:rPr>
        <w:t xml:space="preserve">which </w:t>
      </w:r>
      <w:r w:rsidR="00366795">
        <w:rPr>
          <w:rFonts w:ascii="Times New Roman" w:hAnsi="Times New Roman" w:cs="Times New Roman"/>
        </w:rPr>
        <w:t>including cost activities represents</w:t>
      </w:r>
      <w:r w:rsidR="00F361B0">
        <w:rPr>
          <w:rFonts w:ascii="Times New Roman" w:hAnsi="Times New Roman" w:cs="Times New Roman"/>
        </w:rPr>
        <w:t xml:space="preserve"> a more accurate description of costs. </w:t>
      </w:r>
      <w:r w:rsidR="00241775">
        <w:rPr>
          <w:rFonts w:ascii="Times New Roman" w:hAnsi="Times New Roman" w:cs="Times New Roman"/>
        </w:rPr>
        <w:t>Activity Based Costing can also be applied in stages</w:t>
      </w:r>
      <w:r w:rsidR="00213895">
        <w:rPr>
          <w:rFonts w:ascii="Times New Roman" w:hAnsi="Times New Roman" w:cs="Times New Roman"/>
        </w:rPr>
        <w:t xml:space="preserve"> when different </w:t>
      </w:r>
      <w:r w:rsidR="00C8605C">
        <w:rPr>
          <w:rFonts w:ascii="Times New Roman" w:hAnsi="Times New Roman" w:cs="Times New Roman"/>
        </w:rPr>
        <w:t xml:space="preserve">direct costs and cost activities arise at different </w:t>
      </w:r>
      <w:r w:rsidR="00AF068B">
        <w:rPr>
          <w:rFonts w:ascii="Times New Roman" w:hAnsi="Times New Roman" w:cs="Times New Roman"/>
        </w:rPr>
        <w:t>times of the project life cycle</w:t>
      </w:r>
      <w:r w:rsidR="00C8605C">
        <w:rPr>
          <w:rFonts w:ascii="Times New Roman" w:hAnsi="Times New Roman" w:cs="Times New Roman"/>
        </w:rPr>
        <w:t xml:space="preserve"> </w:t>
      </w:r>
      <w:r w:rsidR="00AF068B">
        <w:rPr>
          <w:rFonts w:ascii="Times New Roman" w:hAnsi="Times New Roman" w:cs="Times New Roman"/>
        </w:rPr>
        <w:t>(Michel, 2004)</w:t>
      </w:r>
      <w:r w:rsidR="00AF068B">
        <w:rPr>
          <w:rFonts w:ascii="Times New Roman" w:hAnsi="Times New Roman" w:cs="Times New Roman"/>
        </w:rPr>
        <w:t xml:space="preserve">. </w:t>
      </w:r>
      <w:r w:rsidR="00392CCA">
        <w:rPr>
          <w:rFonts w:ascii="Times New Roman" w:hAnsi="Times New Roman" w:cs="Times New Roman"/>
        </w:rPr>
        <w:t xml:space="preserve">For a climate change adaptation project, </w:t>
      </w:r>
      <w:r w:rsidR="00286412">
        <w:rPr>
          <w:rFonts w:ascii="Times New Roman" w:hAnsi="Times New Roman" w:cs="Times New Roman"/>
        </w:rPr>
        <w:t xml:space="preserve">this can be useful as there are many indirect costs that come from activities related to researching the </w:t>
      </w:r>
      <w:r w:rsidR="00DE1853">
        <w:rPr>
          <w:rFonts w:ascii="Times New Roman" w:hAnsi="Times New Roman" w:cs="Times New Roman"/>
        </w:rPr>
        <w:t>climate change threats to the city and possible routes for damage avoidance and resilience</w:t>
      </w:r>
      <w:r w:rsidR="006249AE">
        <w:rPr>
          <w:rFonts w:ascii="Times New Roman" w:hAnsi="Times New Roman" w:cs="Times New Roman"/>
        </w:rPr>
        <w:t xml:space="preserve"> during the early stages of planning. Once the project has been selected, direct costs can be applied to the cost objects that represent </w:t>
      </w:r>
      <w:r w:rsidR="00380FEC">
        <w:rPr>
          <w:rFonts w:ascii="Times New Roman" w:hAnsi="Times New Roman" w:cs="Times New Roman"/>
        </w:rPr>
        <w:t>the physical aspects of the project, and indirect costs</w:t>
      </w:r>
      <w:r w:rsidR="00A1280F">
        <w:rPr>
          <w:rFonts w:ascii="Times New Roman" w:hAnsi="Times New Roman" w:cs="Times New Roman"/>
        </w:rPr>
        <w:t xml:space="preserve">, such as </w:t>
      </w:r>
      <w:r w:rsidR="00206221">
        <w:rPr>
          <w:rFonts w:ascii="Times New Roman" w:hAnsi="Times New Roman" w:cs="Times New Roman"/>
        </w:rPr>
        <w:t>overseeing</w:t>
      </w:r>
      <w:r w:rsidR="00A1280F">
        <w:rPr>
          <w:rFonts w:ascii="Times New Roman" w:hAnsi="Times New Roman" w:cs="Times New Roman"/>
        </w:rPr>
        <w:t xml:space="preserve"> the construction process and financial draws,</w:t>
      </w:r>
      <w:r w:rsidR="00380FEC">
        <w:rPr>
          <w:rFonts w:ascii="Times New Roman" w:hAnsi="Times New Roman" w:cs="Times New Roman"/>
        </w:rPr>
        <w:t xml:space="preserve"> will b</w:t>
      </w:r>
      <w:r w:rsidR="00A1280F">
        <w:rPr>
          <w:rFonts w:ascii="Times New Roman" w:hAnsi="Times New Roman" w:cs="Times New Roman"/>
        </w:rPr>
        <w:t>e relatively smaller</w:t>
      </w:r>
      <w:r w:rsidR="00190D64">
        <w:rPr>
          <w:rFonts w:ascii="Times New Roman" w:hAnsi="Times New Roman" w:cs="Times New Roman"/>
        </w:rPr>
        <w:t xml:space="preserve">. At the end stages of the project when monitoring and evaluation come into play, indirect costs bundled into activities will again become important </w:t>
      </w:r>
      <w:r w:rsidR="00206221">
        <w:rPr>
          <w:rFonts w:ascii="Times New Roman" w:hAnsi="Times New Roman" w:cs="Times New Roman"/>
        </w:rPr>
        <w:t xml:space="preserve">to capture the full costs </w:t>
      </w:r>
      <w:r w:rsidR="001D48C5">
        <w:rPr>
          <w:rFonts w:ascii="Times New Roman" w:hAnsi="Times New Roman" w:cs="Times New Roman"/>
        </w:rPr>
        <w:t xml:space="preserve">of </w:t>
      </w:r>
      <w:r w:rsidR="008F424B">
        <w:rPr>
          <w:rFonts w:ascii="Times New Roman" w:hAnsi="Times New Roman" w:cs="Times New Roman"/>
        </w:rPr>
        <w:t xml:space="preserve">long-term monitoring and measuring the impact of the project. </w:t>
      </w:r>
    </w:p>
    <w:p w14:paraId="61A9323E" w14:textId="4C8AE8E3" w:rsidR="00581B87" w:rsidRDefault="00581B87" w:rsidP="00275D64">
      <w:pPr>
        <w:spacing w:line="480" w:lineRule="auto"/>
        <w:rPr>
          <w:rFonts w:ascii="Times New Roman" w:hAnsi="Times New Roman" w:cs="Times New Roman"/>
          <w:b/>
          <w:bCs/>
        </w:rPr>
      </w:pPr>
      <w:r>
        <w:rPr>
          <w:rFonts w:ascii="Times New Roman" w:hAnsi="Times New Roman" w:cs="Times New Roman"/>
          <w:b/>
          <w:bCs/>
        </w:rPr>
        <w:t>How do you Economically Justify a Climate Project?</w:t>
      </w:r>
    </w:p>
    <w:p w14:paraId="25CF401B" w14:textId="7D6B2639" w:rsidR="008A736F" w:rsidRDefault="004E63C1" w:rsidP="008A736F">
      <w:pPr>
        <w:spacing w:line="480" w:lineRule="auto"/>
        <w:ind w:firstLine="720"/>
        <w:rPr>
          <w:rFonts w:ascii="Times New Roman" w:hAnsi="Times New Roman" w:cs="Times New Roman"/>
        </w:rPr>
      </w:pPr>
      <w:r>
        <w:rPr>
          <w:rFonts w:ascii="Times New Roman" w:hAnsi="Times New Roman" w:cs="Times New Roman"/>
        </w:rPr>
        <w:t>Investment in climate mitigation</w:t>
      </w:r>
      <w:r w:rsidR="006B0C08">
        <w:rPr>
          <w:rFonts w:ascii="Times New Roman" w:hAnsi="Times New Roman" w:cs="Times New Roman"/>
        </w:rPr>
        <w:t xml:space="preserve"> and adaptation</w:t>
      </w:r>
      <w:r>
        <w:rPr>
          <w:rFonts w:ascii="Times New Roman" w:hAnsi="Times New Roman" w:cs="Times New Roman"/>
        </w:rPr>
        <w:t xml:space="preserve"> policies requires </w:t>
      </w:r>
      <w:r w:rsidR="00DD17EF">
        <w:rPr>
          <w:rFonts w:ascii="Times New Roman" w:hAnsi="Times New Roman" w:cs="Times New Roman"/>
        </w:rPr>
        <w:t xml:space="preserve">stakeholders to </w:t>
      </w:r>
      <w:r w:rsidR="00223FC7">
        <w:rPr>
          <w:rFonts w:ascii="Times New Roman" w:hAnsi="Times New Roman" w:cs="Times New Roman"/>
        </w:rPr>
        <w:t xml:space="preserve">invest </w:t>
      </w:r>
      <w:r w:rsidR="006B0C08">
        <w:rPr>
          <w:rFonts w:ascii="Times New Roman" w:hAnsi="Times New Roman" w:cs="Times New Roman"/>
        </w:rPr>
        <w:t xml:space="preserve">in projects with </w:t>
      </w:r>
      <w:r w:rsidR="00D87058">
        <w:rPr>
          <w:rFonts w:ascii="Times New Roman" w:hAnsi="Times New Roman" w:cs="Times New Roman"/>
        </w:rPr>
        <w:t>the understanding that the long-term payoff of the investment will outweigh</w:t>
      </w:r>
      <w:r w:rsidR="00474461">
        <w:rPr>
          <w:rFonts w:ascii="Times New Roman" w:hAnsi="Times New Roman" w:cs="Times New Roman"/>
        </w:rPr>
        <w:t xml:space="preserve"> the short</w:t>
      </w:r>
      <w:r w:rsidR="008A736F">
        <w:rPr>
          <w:rFonts w:ascii="Times New Roman" w:hAnsi="Times New Roman" w:cs="Times New Roman"/>
        </w:rPr>
        <w:t>-</w:t>
      </w:r>
      <w:r w:rsidR="00474461">
        <w:rPr>
          <w:rFonts w:ascii="Times New Roman" w:hAnsi="Times New Roman" w:cs="Times New Roman"/>
        </w:rPr>
        <w:t xml:space="preserve">term </w:t>
      </w:r>
      <w:r w:rsidR="00602484">
        <w:rPr>
          <w:rFonts w:ascii="Times New Roman" w:hAnsi="Times New Roman" w:cs="Times New Roman"/>
        </w:rPr>
        <w:t xml:space="preserve">benefit of not spending the money or spending the money in other ways. </w:t>
      </w:r>
      <w:r w:rsidR="00814948">
        <w:rPr>
          <w:rFonts w:ascii="Times New Roman" w:hAnsi="Times New Roman" w:cs="Times New Roman"/>
        </w:rPr>
        <w:t>To determine the</w:t>
      </w:r>
      <w:r w:rsidR="00CB3D98">
        <w:rPr>
          <w:rFonts w:ascii="Times New Roman" w:hAnsi="Times New Roman" w:cs="Times New Roman"/>
        </w:rPr>
        <w:t xml:space="preserve"> future</w:t>
      </w:r>
      <w:r w:rsidR="00814948">
        <w:rPr>
          <w:rFonts w:ascii="Times New Roman" w:hAnsi="Times New Roman" w:cs="Times New Roman"/>
        </w:rPr>
        <w:t xml:space="preserve"> value of money</w:t>
      </w:r>
      <w:r w:rsidR="00CB3D98">
        <w:rPr>
          <w:rFonts w:ascii="Times New Roman" w:hAnsi="Times New Roman" w:cs="Times New Roman"/>
        </w:rPr>
        <w:t xml:space="preserve"> you could potentially invest</w:t>
      </w:r>
      <w:r w:rsidR="003A7E1D">
        <w:rPr>
          <w:rFonts w:ascii="Times New Roman" w:hAnsi="Times New Roman" w:cs="Times New Roman"/>
        </w:rPr>
        <w:t xml:space="preserve">, you must convert </w:t>
      </w:r>
      <w:r w:rsidR="00CB3D98">
        <w:rPr>
          <w:rFonts w:ascii="Times New Roman" w:hAnsi="Times New Roman" w:cs="Times New Roman"/>
        </w:rPr>
        <w:t xml:space="preserve">the future value to present value using </w:t>
      </w:r>
      <w:r w:rsidR="002B5366">
        <w:rPr>
          <w:rFonts w:ascii="Times New Roman" w:hAnsi="Times New Roman" w:cs="Times New Roman"/>
        </w:rPr>
        <w:t xml:space="preserve">discounting. </w:t>
      </w:r>
      <w:r w:rsidR="00194EF0">
        <w:rPr>
          <w:rFonts w:ascii="Times New Roman" w:hAnsi="Times New Roman" w:cs="Times New Roman"/>
        </w:rPr>
        <w:t xml:space="preserve">Discounting </w:t>
      </w:r>
      <w:r w:rsidR="00001A9B">
        <w:rPr>
          <w:rFonts w:ascii="Times New Roman" w:hAnsi="Times New Roman" w:cs="Times New Roman"/>
        </w:rPr>
        <w:t xml:space="preserve">creates a comparable future value </w:t>
      </w:r>
      <w:r w:rsidR="005A3BAA">
        <w:rPr>
          <w:rFonts w:ascii="Times New Roman" w:hAnsi="Times New Roman" w:cs="Times New Roman"/>
        </w:rPr>
        <w:t xml:space="preserve">of money </w:t>
      </w:r>
      <w:r w:rsidR="00001A9B">
        <w:rPr>
          <w:rFonts w:ascii="Times New Roman" w:hAnsi="Times New Roman" w:cs="Times New Roman"/>
        </w:rPr>
        <w:t xml:space="preserve">by </w:t>
      </w:r>
      <w:r w:rsidR="005A3BAA">
        <w:rPr>
          <w:rFonts w:ascii="Times New Roman" w:hAnsi="Times New Roman" w:cs="Times New Roman"/>
        </w:rPr>
        <w:t>determining what the value of that investment would be when accounting for</w:t>
      </w:r>
      <w:r w:rsidR="00785FB1">
        <w:rPr>
          <w:rFonts w:ascii="Times New Roman" w:hAnsi="Times New Roman" w:cs="Times New Roman"/>
        </w:rPr>
        <w:t xml:space="preserve"> </w:t>
      </w:r>
      <w:r w:rsidR="005A3BAA">
        <w:rPr>
          <w:rFonts w:ascii="Times New Roman" w:hAnsi="Times New Roman" w:cs="Times New Roman"/>
        </w:rPr>
        <w:t>inflation</w:t>
      </w:r>
      <w:r w:rsidR="00915E2E">
        <w:rPr>
          <w:rFonts w:ascii="Times New Roman" w:hAnsi="Times New Roman" w:cs="Times New Roman"/>
        </w:rPr>
        <w:t xml:space="preserve"> (Rossi, et al., 2019). </w:t>
      </w:r>
      <w:r w:rsidR="00F23D72">
        <w:rPr>
          <w:rFonts w:ascii="Times New Roman" w:hAnsi="Times New Roman" w:cs="Times New Roman"/>
        </w:rPr>
        <w:t>Investments</w:t>
      </w:r>
      <w:r w:rsidR="003E2997">
        <w:rPr>
          <w:rFonts w:ascii="Times New Roman" w:hAnsi="Times New Roman" w:cs="Times New Roman"/>
        </w:rPr>
        <w:t xml:space="preserve"> into </w:t>
      </w:r>
      <w:r w:rsidR="00D87F2E">
        <w:rPr>
          <w:rFonts w:ascii="Times New Roman" w:hAnsi="Times New Roman" w:cs="Times New Roman"/>
        </w:rPr>
        <w:t xml:space="preserve">climate </w:t>
      </w:r>
      <w:r w:rsidR="003E2997">
        <w:rPr>
          <w:rFonts w:ascii="Times New Roman" w:hAnsi="Times New Roman" w:cs="Times New Roman"/>
        </w:rPr>
        <w:t>mitigation and adaptation</w:t>
      </w:r>
      <w:r w:rsidR="00F23D72">
        <w:rPr>
          <w:rFonts w:ascii="Times New Roman" w:hAnsi="Times New Roman" w:cs="Times New Roman"/>
        </w:rPr>
        <w:t xml:space="preserve"> are</w:t>
      </w:r>
      <w:r w:rsidR="003E2997">
        <w:rPr>
          <w:rFonts w:ascii="Times New Roman" w:hAnsi="Times New Roman" w:cs="Times New Roman"/>
        </w:rPr>
        <w:t xml:space="preserve"> typically large capital investments that must provide a net positive </w:t>
      </w:r>
      <w:r w:rsidR="00D87F2E">
        <w:rPr>
          <w:rFonts w:ascii="Times New Roman" w:hAnsi="Times New Roman" w:cs="Times New Roman"/>
        </w:rPr>
        <w:t xml:space="preserve">value over time. </w:t>
      </w:r>
      <w:r w:rsidR="00924384">
        <w:rPr>
          <w:rFonts w:ascii="Times New Roman" w:hAnsi="Times New Roman" w:cs="Times New Roman"/>
        </w:rPr>
        <w:t xml:space="preserve">To determine if the investment is feasible, the city must </w:t>
      </w:r>
      <w:r w:rsidR="00F23D72">
        <w:rPr>
          <w:rFonts w:ascii="Times New Roman" w:hAnsi="Times New Roman" w:cs="Times New Roman"/>
        </w:rPr>
        <w:t>calculate</w:t>
      </w:r>
      <w:r w:rsidR="00F23A91">
        <w:rPr>
          <w:rFonts w:ascii="Times New Roman" w:hAnsi="Times New Roman" w:cs="Times New Roman"/>
        </w:rPr>
        <w:t xml:space="preserve"> its probability that it will </w:t>
      </w:r>
      <w:r w:rsidR="00EF20B1">
        <w:rPr>
          <w:rFonts w:ascii="Times New Roman" w:hAnsi="Times New Roman" w:cs="Times New Roman"/>
        </w:rPr>
        <w:t>experience an adverse climate event, its discounted cost in damages, and its discounted cost</w:t>
      </w:r>
      <w:r w:rsidR="006B3459">
        <w:rPr>
          <w:rFonts w:ascii="Times New Roman" w:hAnsi="Times New Roman" w:cs="Times New Roman"/>
        </w:rPr>
        <w:t xml:space="preserve"> to avert or mitigate the damages. </w:t>
      </w:r>
    </w:p>
    <w:p w14:paraId="31916023" w14:textId="62DE7943" w:rsidR="001040FA" w:rsidRDefault="00E97BBC" w:rsidP="00967703">
      <w:pPr>
        <w:spacing w:line="480" w:lineRule="auto"/>
        <w:ind w:firstLine="720"/>
        <w:rPr>
          <w:rFonts w:ascii="Times New Roman" w:hAnsi="Times New Roman" w:cs="Times New Roman"/>
        </w:rPr>
      </w:pPr>
      <w:r>
        <w:rPr>
          <w:rFonts w:ascii="Times New Roman" w:hAnsi="Times New Roman" w:cs="Times New Roman"/>
        </w:rPr>
        <w:lastRenderedPageBreak/>
        <w:t xml:space="preserve">With the understanding that </w:t>
      </w:r>
      <w:r w:rsidR="007D7CD6">
        <w:rPr>
          <w:rFonts w:ascii="Times New Roman" w:hAnsi="Times New Roman" w:cs="Times New Roman"/>
        </w:rPr>
        <w:t>global climate change</w:t>
      </w:r>
      <w:r>
        <w:rPr>
          <w:rFonts w:ascii="Times New Roman" w:hAnsi="Times New Roman" w:cs="Times New Roman"/>
        </w:rPr>
        <w:t xml:space="preserve"> </w:t>
      </w:r>
      <w:r w:rsidR="007D7CD6">
        <w:rPr>
          <w:rFonts w:ascii="Times New Roman" w:hAnsi="Times New Roman" w:cs="Times New Roman"/>
        </w:rPr>
        <w:t>is</w:t>
      </w:r>
      <w:r>
        <w:rPr>
          <w:rFonts w:ascii="Times New Roman" w:hAnsi="Times New Roman" w:cs="Times New Roman"/>
        </w:rPr>
        <w:t xml:space="preserve"> a negative externality</w:t>
      </w:r>
      <w:r w:rsidR="005956A3">
        <w:rPr>
          <w:rFonts w:ascii="Times New Roman" w:hAnsi="Times New Roman" w:cs="Times New Roman"/>
        </w:rPr>
        <w:t xml:space="preserve"> of </w:t>
      </w:r>
      <w:r w:rsidR="007D7CD6">
        <w:rPr>
          <w:rFonts w:ascii="Times New Roman" w:hAnsi="Times New Roman" w:cs="Times New Roman"/>
        </w:rPr>
        <w:t xml:space="preserve">rising carbon dioxide levels generated through consumption of fossil fuels, </w:t>
      </w:r>
      <w:r w:rsidR="00BE2BA6">
        <w:rPr>
          <w:rFonts w:ascii="Times New Roman" w:hAnsi="Times New Roman" w:cs="Times New Roman"/>
        </w:rPr>
        <w:t xml:space="preserve">cities should want to reduce the impact of </w:t>
      </w:r>
      <w:r w:rsidR="00FC6DB8">
        <w:rPr>
          <w:rFonts w:ascii="Times New Roman" w:hAnsi="Times New Roman" w:cs="Times New Roman"/>
        </w:rPr>
        <w:t xml:space="preserve">this externality to its citizens. However, there is a gap between the amount of </w:t>
      </w:r>
      <w:r w:rsidR="00147A52">
        <w:rPr>
          <w:rFonts w:ascii="Times New Roman" w:hAnsi="Times New Roman" w:cs="Times New Roman"/>
        </w:rPr>
        <w:t xml:space="preserve">funding given to </w:t>
      </w:r>
      <w:r w:rsidR="004C5ABD">
        <w:rPr>
          <w:rFonts w:ascii="Times New Roman" w:hAnsi="Times New Roman" w:cs="Times New Roman"/>
        </w:rPr>
        <w:t xml:space="preserve">climate </w:t>
      </w:r>
      <w:r w:rsidR="00147A52">
        <w:rPr>
          <w:rFonts w:ascii="Times New Roman" w:hAnsi="Times New Roman" w:cs="Times New Roman"/>
        </w:rPr>
        <w:t xml:space="preserve">mitigation </w:t>
      </w:r>
      <w:r w:rsidR="004C5ABD">
        <w:rPr>
          <w:rFonts w:ascii="Times New Roman" w:hAnsi="Times New Roman" w:cs="Times New Roman"/>
        </w:rPr>
        <w:t>policies</w:t>
      </w:r>
      <w:r w:rsidR="00DF7256">
        <w:rPr>
          <w:rFonts w:ascii="Times New Roman" w:hAnsi="Times New Roman" w:cs="Times New Roman"/>
        </w:rPr>
        <w:t xml:space="preserve"> and </w:t>
      </w:r>
      <w:r w:rsidR="00B64D46">
        <w:rPr>
          <w:rFonts w:ascii="Times New Roman" w:hAnsi="Times New Roman" w:cs="Times New Roman"/>
        </w:rPr>
        <w:t>the funding level</w:t>
      </w:r>
      <w:r w:rsidR="00DF7256">
        <w:rPr>
          <w:rFonts w:ascii="Times New Roman" w:hAnsi="Times New Roman" w:cs="Times New Roman"/>
        </w:rPr>
        <w:t xml:space="preserve"> necessary to avert </w:t>
      </w:r>
      <w:r w:rsidR="00B64D46">
        <w:rPr>
          <w:rFonts w:ascii="Times New Roman" w:hAnsi="Times New Roman" w:cs="Times New Roman"/>
        </w:rPr>
        <w:t>climate damages</w:t>
      </w:r>
      <w:r w:rsidR="00147A52">
        <w:rPr>
          <w:rFonts w:ascii="Times New Roman" w:hAnsi="Times New Roman" w:cs="Times New Roman"/>
        </w:rPr>
        <w:t xml:space="preserve"> </w:t>
      </w:r>
      <w:r w:rsidR="004C5ABD">
        <w:rPr>
          <w:rFonts w:ascii="Times New Roman" w:hAnsi="Times New Roman" w:cs="Times New Roman"/>
        </w:rPr>
        <w:t xml:space="preserve">that Gillingham and Palmer (2014) refer to as the </w:t>
      </w:r>
      <w:r w:rsidR="00541F41">
        <w:rPr>
          <w:rFonts w:ascii="Times New Roman" w:hAnsi="Times New Roman" w:cs="Times New Roman"/>
        </w:rPr>
        <w:t>energy efficiency gap.</w:t>
      </w:r>
      <w:r w:rsidR="008A5D06">
        <w:rPr>
          <w:rFonts w:ascii="Times New Roman" w:hAnsi="Times New Roman" w:cs="Times New Roman"/>
        </w:rPr>
        <w:t xml:space="preserve"> In discounting terms,</w:t>
      </w:r>
      <w:r w:rsidR="00313D66">
        <w:rPr>
          <w:rFonts w:ascii="Times New Roman" w:hAnsi="Times New Roman" w:cs="Times New Roman"/>
        </w:rPr>
        <w:t xml:space="preserve"> individuals tend to heavily discount future energy savings</w:t>
      </w:r>
      <w:r w:rsidR="00052293">
        <w:rPr>
          <w:rFonts w:ascii="Times New Roman" w:hAnsi="Times New Roman" w:cs="Times New Roman"/>
        </w:rPr>
        <w:t xml:space="preserve"> when presented with options related to the energy efficiency of a durable good</w:t>
      </w:r>
      <w:r w:rsidR="00541F41">
        <w:rPr>
          <w:rFonts w:ascii="Times New Roman" w:hAnsi="Times New Roman" w:cs="Times New Roman"/>
        </w:rPr>
        <w:t xml:space="preserve"> </w:t>
      </w:r>
      <w:r w:rsidR="00052293">
        <w:rPr>
          <w:rFonts w:ascii="Times New Roman" w:hAnsi="Times New Roman" w:cs="Times New Roman"/>
        </w:rPr>
        <w:t xml:space="preserve">(Train, </w:t>
      </w:r>
      <w:r w:rsidR="003D0CA5">
        <w:rPr>
          <w:rFonts w:ascii="Times New Roman" w:hAnsi="Times New Roman" w:cs="Times New Roman"/>
        </w:rPr>
        <w:t>1985)</w:t>
      </w:r>
      <w:r w:rsidR="00052293">
        <w:rPr>
          <w:rFonts w:ascii="Times New Roman" w:hAnsi="Times New Roman" w:cs="Times New Roman"/>
        </w:rPr>
        <w:t>.</w:t>
      </w:r>
      <w:r w:rsidR="00F9683F">
        <w:rPr>
          <w:rFonts w:ascii="Times New Roman" w:hAnsi="Times New Roman" w:cs="Times New Roman"/>
        </w:rPr>
        <w:t xml:space="preserve"> This means that ind</w:t>
      </w:r>
      <w:r w:rsidR="002705EE">
        <w:rPr>
          <w:rFonts w:ascii="Times New Roman" w:hAnsi="Times New Roman" w:cs="Times New Roman"/>
        </w:rPr>
        <w:t>ividuals</w:t>
      </w:r>
      <w:r w:rsidR="003062DF">
        <w:rPr>
          <w:rFonts w:ascii="Times New Roman" w:hAnsi="Times New Roman" w:cs="Times New Roman"/>
        </w:rPr>
        <w:t xml:space="preserve"> place a </w:t>
      </w:r>
      <w:r w:rsidR="00CA78DD">
        <w:rPr>
          <w:rFonts w:ascii="Times New Roman" w:hAnsi="Times New Roman" w:cs="Times New Roman"/>
        </w:rPr>
        <w:t>low value on the return on energy efficiency investments rather than having the funds in hand now.</w:t>
      </w:r>
      <w:r w:rsidR="002705EE">
        <w:rPr>
          <w:rFonts w:ascii="Times New Roman" w:hAnsi="Times New Roman" w:cs="Times New Roman"/>
        </w:rPr>
        <w:t xml:space="preserve"> </w:t>
      </w:r>
      <w:r w:rsidR="00052293">
        <w:rPr>
          <w:rFonts w:ascii="Times New Roman" w:hAnsi="Times New Roman" w:cs="Times New Roman"/>
        </w:rPr>
        <w:t xml:space="preserve"> </w:t>
      </w:r>
      <w:r w:rsidR="00770176">
        <w:rPr>
          <w:rFonts w:ascii="Times New Roman" w:hAnsi="Times New Roman" w:cs="Times New Roman"/>
        </w:rPr>
        <w:t xml:space="preserve">This behavior </w:t>
      </w:r>
      <w:r w:rsidR="00891081">
        <w:rPr>
          <w:rFonts w:ascii="Times New Roman" w:hAnsi="Times New Roman" w:cs="Times New Roman"/>
        </w:rPr>
        <w:t xml:space="preserve">can result in a market failure when </w:t>
      </w:r>
      <w:r w:rsidR="00B82A96">
        <w:rPr>
          <w:rFonts w:ascii="Times New Roman" w:hAnsi="Times New Roman" w:cs="Times New Roman"/>
        </w:rPr>
        <w:t xml:space="preserve">climate damages could have been avoided had stakeholders sufficiently valued investments in </w:t>
      </w:r>
      <w:r w:rsidR="005B6D82">
        <w:rPr>
          <w:rFonts w:ascii="Times New Roman" w:hAnsi="Times New Roman" w:cs="Times New Roman"/>
        </w:rPr>
        <w:t xml:space="preserve">climate mitigation or adaptation. </w:t>
      </w:r>
      <w:r w:rsidR="00924BA5">
        <w:rPr>
          <w:rFonts w:ascii="Times New Roman" w:hAnsi="Times New Roman" w:cs="Times New Roman"/>
        </w:rPr>
        <w:t xml:space="preserve">Gillingham and Palmer (2014) </w:t>
      </w:r>
      <w:r w:rsidR="00A76F5A">
        <w:rPr>
          <w:rFonts w:ascii="Times New Roman" w:hAnsi="Times New Roman" w:cs="Times New Roman"/>
        </w:rPr>
        <w:t>studied</w:t>
      </w:r>
      <w:r w:rsidR="00924BA5">
        <w:rPr>
          <w:rFonts w:ascii="Times New Roman" w:hAnsi="Times New Roman" w:cs="Times New Roman"/>
        </w:rPr>
        <w:t xml:space="preserve"> the </w:t>
      </w:r>
      <w:r w:rsidR="00A76F5A">
        <w:rPr>
          <w:rFonts w:ascii="Times New Roman" w:hAnsi="Times New Roman" w:cs="Times New Roman"/>
        </w:rPr>
        <w:t xml:space="preserve">literature of </w:t>
      </w:r>
      <w:r w:rsidR="00924BA5">
        <w:rPr>
          <w:rFonts w:ascii="Times New Roman" w:hAnsi="Times New Roman" w:cs="Times New Roman"/>
        </w:rPr>
        <w:t xml:space="preserve">economic underpinnings of this behavior and found that </w:t>
      </w:r>
      <w:r w:rsidR="00A76F5A">
        <w:rPr>
          <w:rFonts w:ascii="Times New Roman" w:hAnsi="Times New Roman" w:cs="Times New Roman"/>
        </w:rPr>
        <w:t xml:space="preserve">imperfect information, </w:t>
      </w:r>
      <w:r w:rsidR="007C0D49">
        <w:rPr>
          <w:rFonts w:ascii="Times New Roman" w:hAnsi="Times New Roman" w:cs="Times New Roman"/>
        </w:rPr>
        <w:t xml:space="preserve">principal-agent issues, and credit constraints </w:t>
      </w:r>
      <w:r w:rsidR="00127CB8">
        <w:rPr>
          <w:rFonts w:ascii="Times New Roman" w:hAnsi="Times New Roman" w:cs="Times New Roman"/>
        </w:rPr>
        <w:t xml:space="preserve">often resulted in undervaluing investments in energy efficiency. </w:t>
      </w:r>
    </w:p>
    <w:p w14:paraId="6F35B055" w14:textId="77777777" w:rsidR="0099736B" w:rsidRDefault="00127CB8" w:rsidP="00A74E86">
      <w:pPr>
        <w:spacing w:line="480" w:lineRule="auto"/>
        <w:ind w:firstLine="720"/>
        <w:rPr>
          <w:rFonts w:ascii="Times New Roman" w:hAnsi="Times New Roman" w:cs="Times New Roman"/>
        </w:rPr>
      </w:pPr>
      <w:r>
        <w:rPr>
          <w:rFonts w:ascii="Times New Roman" w:hAnsi="Times New Roman" w:cs="Times New Roman"/>
        </w:rPr>
        <w:t xml:space="preserve">Gillingham and Palmer (2014) also explored behavioral </w:t>
      </w:r>
      <w:r w:rsidR="00BB7CE9">
        <w:rPr>
          <w:rFonts w:ascii="Times New Roman" w:hAnsi="Times New Roman" w:cs="Times New Roman"/>
        </w:rPr>
        <w:t>functions</w:t>
      </w:r>
      <w:r>
        <w:rPr>
          <w:rFonts w:ascii="Times New Roman" w:hAnsi="Times New Roman" w:cs="Times New Roman"/>
        </w:rPr>
        <w:t xml:space="preserve"> related to undervaluing</w:t>
      </w:r>
      <w:r w:rsidR="00BB7CE9">
        <w:rPr>
          <w:rFonts w:ascii="Times New Roman" w:hAnsi="Times New Roman" w:cs="Times New Roman"/>
        </w:rPr>
        <w:t xml:space="preserve"> energy efficiency</w:t>
      </w:r>
      <w:r>
        <w:rPr>
          <w:rFonts w:ascii="Times New Roman" w:hAnsi="Times New Roman" w:cs="Times New Roman"/>
        </w:rPr>
        <w:t xml:space="preserve"> investments</w:t>
      </w:r>
      <w:r w:rsidR="00807A2A">
        <w:rPr>
          <w:rFonts w:ascii="Times New Roman" w:hAnsi="Times New Roman" w:cs="Times New Roman"/>
        </w:rPr>
        <w:t xml:space="preserve"> </w:t>
      </w:r>
      <w:r w:rsidR="00383CBD">
        <w:rPr>
          <w:rFonts w:ascii="Times New Roman" w:hAnsi="Times New Roman" w:cs="Times New Roman"/>
        </w:rPr>
        <w:t>and found that nonstandard preferences</w:t>
      </w:r>
      <w:r w:rsidR="00663C7B">
        <w:rPr>
          <w:rFonts w:ascii="Times New Roman" w:hAnsi="Times New Roman" w:cs="Times New Roman"/>
        </w:rPr>
        <w:t xml:space="preserve"> </w:t>
      </w:r>
      <w:r w:rsidR="00E91BF1">
        <w:rPr>
          <w:rFonts w:ascii="Times New Roman" w:hAnsi="Times New Roman" w:cs="Times New Roman"/>
        </w:rPr>
        <w:t xml:space="preserve">in consumers can distort perceptions of value. These behaviors include self-control problems, reference-dependent preferences, </w:t>
      </w:r>
      <w:r w:rsidR="00A6465D">
        <w:rPr>
          <w:rFonts w:ascii="Times New Roman" w:hAnsi="Times New Roman" w:cs="Times New Roman"/>
        </w:rPr>
        <w:t xml:space="preserve">nonstandard beliefs, and nonstandard decision making (Gillingham &amp; Palmer, 2014). </w:t>
      </w:r>
      <w:r w:rsidR="003A1AD2">
        <w:rPr>
          <w:rFonts w:ascii="Times New Roman" w:hAnsi="Times New Roman" w:cs="Times New Roman"/>
        </w:rPr>
        <w:t xml:space="preserve">Reference-dependent </w:t>
      </w:r>
      <w:r w:rsidR="00CA67CA">
        <w:rPr>
          <w:rFonts w:ascii="Times New Roman" w:hAnsi="Times New Roman" w:cs="Times New Roman"/>
        </w:rPr>
        <w:t>preferences refers to consumers</w:t>
      </w:r>
      <w:r w:rsidR="006150D7">
        <w:rPr>
          <w:rFonts w:ascii="Times New Roman" w:hAnsi="Times New Roman" w:cs="Times New Roman"/>
        </w:rPr>
        <w:t xml:space="preserve">’ </w:t>
      </w:r>
      <w:r w:rsidR="003E4680">
        <w:rPr>
          <w:rFonts w:ascii="Times New Roman" w:hAnsi="Times New Roman" w:cs="Times New Roman"/>
        </w:rPr>
        <w:t>tendency to value an investment according to a particular point of reference</w:t>
      </w:r>
      <w:r w:rsidR="00B14E83">
        <w:rPr>
          <w:rFonts w:ascii="Times New Roman" w:hAnsi="Times New Roman" w:cs="Times New Roman"/>
        </w:rPr>
        <w:t xml:space="preserve">. </w:t>
      </w:r>
      <w:r w:rsidR="000704FA">
        <w:rPr>
          <w:rFonts w:ascii="Times New Roman" w:hAnsi="Times New Roman" w:cs="Times New Roman"/>
        </w:rPr>
        <w:t xml:space="preserve">Loss aversion is an example where </w:t>
      </w:r>
      <w:r w:rsidR="00ED4885">
        <w:rPr>
          <w:rFonts w:ascii="Times New Roman" w:hAnsi="Times New Roman" w:cs="Times New Roman"/>
        </w:rPr>
        <w:t xml:space="preserve">consumers tend to exaggerate the </w:t>
      </w:r>
      <w:r w:rsidR="0077573B">
        <w:rPr>
          <w:rFonts w:ascii="Times New Roman" w:hAnsi="Times New Roman" w:cs="Times New Roman"/>
        </w:rPr>
        <w:t>decline</w:t>
      </w:r>
      <w:r w:rsidR="00ED4885">
        <w:rPr>
          <w:rFonts w:ascii="Times New Roman" w:hAnsi="Times New Roman" w:cs="Times New Roman"/>
        </w:rPr>
        <w:t xml:space="preserve"> of </w:t>
      </w:r>
      <w:r w:rsidR="0077573B">
        <w:rPr>
          <w:rFonts w:ascii="Times New Roman" w:hAnsi="Times New Roman" w:cs="Times New Roman"/>
        </w:rPr>
        <w:t>utility</w:t>
      </w:r>
      <w:r w:rsidR="00ED4885">
        <w:rPr>
          <w:rFonts w:ascii="Times New Roman" w:hAnsi="Times New Roman" w:cs="Times New Roman"/>
        </w:rPr>
        <w:t xml:space="preserve"> </w:t>
      </w:r>
      <w:r w:rsidR="0077573B">
        <w:rPr>
          <w:rFonts w:ascii="Times New Roman" w:hAnsi="Times New Roman" w:cs="Times New Roman"/>
        </w:rPr>
        <w:t>from a relative loss compared to the increase of utility from a relative gain</w:t>
      </w:r>
      <w:r w:rsidR="006F59FD">
        <w:rPr>
          <w:rFonts w:ascii="Times New Roman" w:hAnsi="Times New Roman" w:cs="Times New Roman"/>
        </w:rPr>
        <w:t xml:space="preserve"> (T</w:t>
      </w:r>
      <w:r w:rsidR="006F59FD" w:rsidRPr="006F59FD">
        <w:rPr>
          <w:rFonts w:ascii="Times New Roman" w:hAnsi="Times New Roman" w:cs="Times New Roman"/>
        </w:rPr>
        <w:t xml:space="preserve">versky </w:t>
      </w:r>
      <w:r w:rsidR="006F59FD">
        <w:rPr>
          <w:rFonts w:ascii="Times New Roman" w:hAnsi="Times New Roman" w:cs="Times New Roman"/>
        </w:rPr>
        <w:t>&amp;</w:t>
      </w:r>
      <w:r w:rsidR="006F59FD" w:rsidRPr="006F59FD">
        <w:rPr>
          <w:rFonts w:ascii="Times New Roman" w:hAnsi="Times New Roman" w:cs="Times New Roman"/>
        </w:rPr>
        <w:t xml:space="preserve"> Kahneman</w:t>
      </w:r>
      <w:r w:rsidR="006F59FD">
        <w:rPr>
          <w:rFonts w:ascii="Times New Roman" w:hAnsi="Times New Roman" w:cs="Times New Roman"/>
        </w:rPr>
        <w:t>,</w:t>
      </w:r>
      <w:r w:rsidR="006F59FD" w:rsidRPr="006F59FD">
        <w:rPr>
          <w:rFonts w:ascii="Times New Roman" w:hAnsi="Times New Roman" w:cs="Times New Roman"/>
        </w:rPr>
        <w:t xml:space="preserve"> 1981)</w:t>
      </w:r>
      <w:r w:rsidR="0077573B">
        <w:rPr>
          <w:rFonts w:ascii="Times New Roman" w:hAnsi="Times New Roman" w:cs="Times New Roman"/>
        </w:rPr>
        <w:t xml:space="preserve">. </w:t>
      </w:r>
      <w:r w:rsidR="00777B54">
        <w:rPr>
          <w:rFonts w:ascii="Times New Roman" w:hAnsi="Times New Roman" w:cs="Times New Roman"/>
        </w:rPr>
        <w:t>Nonstandard beliefs</w:t>
      </w:r>
      <w:r w:rsidR="00B012D7">
        <w:rPr>
          <w:rFonts w:ascii="Times New Roman" w:hAnsi="Times New Roman" w:cs="Times New Roman"/>
        </w:rPr>
        <w:t xml:space="preserve"> about climate change</w:t>
      </w:r>
      <w:r w:rsidR="00777B54">
        <w:rPr>
          <w:rFonts w:ascii="Times New Roman" w:hAnsi="Times New Roman" w:cs="Times New Roman"/>
        </w:rPr>
        <w:t xml:space="preserve"> are also an important behavioral aspect </w:t>
      </w:r>
      <w:r w:rsidR="00B012D7">
        <w:rPr>
          <w:rFonts w:ascii="Times New Roman" w:hAnsi="Times New Roman" w:cs="Times New Roman"/>
        </w:rPr>
        <w:t xml:space="preserve">to consider alongside loss aversion. Due to its politicized nature, climate change mitigation and adaptation policies may run </w:t>
      </w:r>
      <w:r w:rsidR="00245E36">
        <w:rPr>
          <w:rFonts w:ascii="Times New Roman" w:hAnsi="Times New Roman" w:cs="Times New Roman"/>
        </w:rPr>
        <w:t xml:space="preserve">up against </w:t>
      </w:r>
      <w:r w:rsidR="008E564F">
        <w:rPr>
          <w:rFonts w:ascii="Times New Roman" w:hAnsi="Times New Roman" w:cs="Times New Roman"/>
        </w:rPr>
        <w:t xml:space="preserve">nonstandard </w:t>
      </w:r>
      <w:r w:rsidR="00245E36">
        <w:rPr>
          <w:rFonts w:ascii="Times New Roman" w:hAnsi="Times New Roman" w:cs="Times New Roman"/>
        </w:rPr>
        <w:t xml:space="preserve">beliefs that </w:t>
      </w:r>
      <w:r w:rsidR="00245E36">
        <w:rPr>
          <w:rFonts w:ascii="Times New Roman" w:hAnsi="Times New Roman" w:cs="Times New Roman"/>
        </w:rPr>
        <w:lastRenderedPageBreak/>
        <w:t>systematically incorrect about the future</w:t>
      </w:r>
      <w:r w:rsidR="000C0BB7">
        <w:rPr>
          <w:rFonts w:ascii="Times New Roman" w:hAnsi="Times New Roman" w:cs="Times New Roman"/>
        </w:rPr>
        <w:t xml:space="preserve"> </w:t>
      </w:r>
      <w:r w:rsidR="000C0BB7" w:rsidRPr="000C0BB7">
        <w:rPr>
          <w:rFonts w:ascii="Times New Roman" w:hAnsi="Times New Roman" w:cs="Times New Roman"/>
        </w:rPr>
        <w:t>(</w:t>
      </w:r>
      <w:proofErr w:type="spellStart"/>
      <w:r w:rsidR="000C0BB7" w:rsidRPr="000C0BB7">
        <w:rPr>
          <w:rFonts w:ascii="Times New Roman" w:hAnsi="Times New Roman" w:cs="Times New Roman"/>
        </w:rPr>
        <w:t>DellaVigna</w:t>
      </w:r>
      <w:proofErr w:type="spellEnd"/>
      <w:r w:rsidR="000C0BB7">
        <w:rPr>
          <w:rFonts w:ascii="Times New Roman" w:hAnsi="Times New Roman" w:cs="Times New Roman"/>
        </w:rPr>
        <w:t>,</w:t>
      </w:r>
      <w:r w:rsidR="000C0BB7" w:rsidRPr="000C0BB7">
        <w:rPr>
          <w:rFonts w:ascii="Times New Roman" w:hAnsi="Times New Roman" w:cs="Times New Roman"/>
        </w:rPr>
        <w:t xml:space="preserve"> 2009)</w:t>
      </w:r>
      <w:r w:rsidR="008E564F">
        <w:rPr>
          <w:rFonts w:ascii="Times New Roman" w:hAnsi="Times New Roman" w:cs="Times New Roman"/>
        </w:rPr>
        <w:t>. These</w:t>
      </w:r>
      <w:r w:rsidR="00737B7B">
        <w:rPr>
          <w:rFonts w:ascii="Times New Roman" w:hAnsi="Times New Roman" w:cs="Times New Roman"/>
        </w:rPr>
        <w:t xml:space="preserve"> unsupported beliefs can range from downplaying the </w:t>
      </w:r>
      <w:r w:rsidR="00967703">
        <w:rPr>
          <w:rFonts w:ascii="Times New Roman" w:hAnsi="Times New Roman" w:cs="Times New Roman"/>
        </w:rPr>
        <w:t>cost</w:t>
      </w:r>
      <w:r w:rsidR="00737B7B">
        <w:rPr>
          <w:rFonts w:ascii="Times New Roman" w:hAnsi="Times New Roman" w:cs="Times New Roman"/>
        </w:rPr>
        <w:t xml:space="preserve"> of climate change</w:t>
      </w:r>
      <w:r w:rsidR="00967703">
        <w:rPr>
          <w:rFonts w:ascii="Times New Roman" w:hAnsi="Times New Roman" w:cs="Times New Roman"/>
        </w:rPr>
        <w:t xml:space="preserve">, to beliefs that exaggerate the cost of climate change. </w:t>
      </w:r>
      <w:r w:rsidR="00862218">
        <w:rPr>
          <w:rFonts w:ascii="Times New Roman" w:hAnsi="Times New Roman" w:cs="Times New Roman"/>
        </w:rPr>
        <w:t xml:space="preserve">For cities considering climate mitigation or adaptation investments, </w:t>
      </w:r>
      <w:r w:rsidR="00F5742F">
        <w:rPr>
          <w:rFonts w:ascii="Times New Roman" w:hAnsi="Times New Roman" w:cs="Times New Roman"/>
        </w:rPr>
        <w:t xml:space="preserve">it is important to consider loss aversion </w:t>
      </w:r>
      <w:r w:rsidR="00777B54">
        <w:rPr>
          <w:rFonts w:ascii="Times New Roman" w:hAnsi="Times New Roman" w:cs="Times New Roman"/>
        </w:rPr>
        <w:t xml:space="preserve">and </w:t>
      </w:r>
      <w:r w:rsidR="0031010A">
        <w:rPr>
          <w:rFonts w:ascii="Times New Roman" w:hAnsi="Times New Roman" w:cs="Times New Roman"/>
        </w:rPr>
        <w:t xml:space="preserve">nonstandard beliefs </w:t>
      </w:r>
      <w:r w:rsidR="00F5742F">
        <w:rPr>
          <w:rFonts w:ascii="Times New Roman" w:hAnsi="Times New Roman" w:cs="Times New Roman"/>
        </w:rPr>
        <w:t xml:space="preserve">when framing the choices </w:t>
      </w:r>
      <w:r w:rsidR="004050D1">
        <w:rPr>
          <w:rFonts w:ascii="Times New Roman" w:hAnsi="Times New Roman" w:cs="Times New Roman"/>
        </w:rPr>
        <w:t>presented to stakeholders</w:t>
      </w:r>
      <w:r w:rsidR="000F1804">
        <w:rPr>
          <w:rFonts w:ascii="Times New Roman" w:hAnsi="Times New Roman" w:cs="Times New Roman"/>
        </w:rPr>
        <w:t xml:space="preserve"> (Gillingham &amp; Palmer, 2014).</w:t>
      </w:r>
      <w:r w:rsidR="003B4778">
        <w:rPr>
          <w:rFonts w:ascii="Times New Roman" w:hAnsi="Times New Roman" w:cs="Times New Roman"/>
        </w:rPr>
        <w:t xml:space="preserve"> </w:t>
      </w:r>
    </w:p>
    <w:p w14:paraId="634B9F3B" w14:textId="5B6F12A6" w:rsidR="00CA7C29" w:rsidRDefault="00CA7C29" w:rsidP="00A74E86">
      <w:pPr>
        <w:spacing w:line="480" w:lineRule="auto"/>
        <w:ind w:firstLine="720"/>
        <w:rPr>
          <w:rFonts w:ascii="Times New Roman" w:hAnsi="Times New Roman" w:cs="Times New Roman"/>
        </w:rPr>
      </w:pPr>
      <w:r>
        <w:rPr>
          <w:rFonts w:ascii="Times New Roman" w:hAnsi="Times New Roman" w:cs="Times New Roman"/>
        </w:rPr>
        <w:t xml:space="preserve">From both an economic and behavioral perspective, </w:t>
      </w:r>
      <w:proofErr w:type="gramStart"/>
      <w:r w:rsidR="00A74E86">
        <w:rPr>
          <w:rFonts w:ascii="Times New Roman" w:hAnsi="Times New Roman" w:cs="Times New Roman"/>
        </w:rPr>
        <w:t>Gillingham</w:t>
      </w:r>
      <w:proofErr w:type="gramEnd"/>
      <w:r w:rsidR="00A74E86">
        <w:rPr>
          <w:rFonts w:ascii="Times New Roman" w:hAnsi="Times New Roman" w:cs="Times New Roman"/>
        </w:rPr>
        <w:t xml:space="preserve"> </w:t>
      </w:r>
      <w:r w:rsidR="00E220F4">
        <w:rPr>
          <w:rFonts w:ascii="Times New Roman" w:hAnsi="Times New Roman" w:cs="Times New Roman"/>
        </w:rPr>
        <w:t>and</w:t>
      </w:r>
      <w:r w:rsidR="00A74E86">
        <w:rPr>
          <w:rFonts w:ascii="Times New Roman" w:hAnsi="Times New Roman" w:cs="Times New Roman"/>
        </w:rPr>
        <w:t xml:space="preserve"> Palmer (2014) recommend correcting information asymmetry </w:t>
      </w:r>
      <w:r w:rsidR="004905DF">
        <w:rPr>
          <w:rFonts w:ascii="Times New Roman" w:hAnsi="Times New Roman" w:cs="Times New Roman"/>
        </w:rPr>
        <w:t>as a critical step in determining first-best approaches</w:t>
      </w:r>
      <w:r w:rsidR="00623A18">
        <w:rPr>
          <w:rFonts w:ascii="Times New Roman" w:hAnsi="Times New Roman" w:cs="Times New Roman"/>
        </w:rPr>
        <w:t xml:space="preserve"> to help stakeholders correctly value investments</w:t>
      </w:r>
      <w:r w:rsidR="006F1342">
        <w:rPr>
          <w:rFonts w:ascii="Times New Roman" w:hAnsi="Times New Roman" w:cs="Times New Roman"/>
        </w:rPr>
        <w:t xml:space="preserve"> and make decisions. </w:t>
      </w:r>
      <w:r w:rsidR="000B3D7C">
        <w:rPr>
          <w:rFonts w:ascii="Times New Roman" w:hAnsi="Times New Roman" w:cs="Times New Roman"/>
        </w:rPr>
        <w:t xml:space="preserve">Also, Gillingham </w:t>
      </w:r>
      <w:r w:rsidR="00E220F4">
        <w:rPr>
          <w:rFonts w:ascii="Times New Roman" w:hAnsi="Times New Roman" w:cs="Times New Roman"/>
        </w:rPr>
        <w:t>and</w:t>
      </w:r>
      <w:r w:rsidR="000B3D7C">
        <w:rPr>
          <w:rFonts w:ascii="Times New Roman" w:hAnsi="Times New Roman" w:cs="Times New Roman"/>
        </w:rPr>
        <w:t xml:space="preserve"> Palmer (2014) recommend </w:t>
      </w:r>
      <w:r w:rsidR="00394409">
        <w:rPr>
          <w:rFonts w:ascii="Times New Roman" w:hAnsi="Times New Roman" w:cs="Times New Roman"/>
        </w:rPr>
        <w:t>policies that are matched and tailored to specific situations</w:t>
      </w:r>
      <w:r w:rsidR="00D7695B">
        <w:rPr>
          <w:rFonts w:ascii="Times New Roman" w:hAnsi="Times New Roman" w:cs="Times New Roman"/>
        </w:rPr>
        <w:t>, as opposed to general policies</w:t>
      </w:r>
      <w:r w:rsidR="00464189">
        <w:rPr>
          <w:rFonts w:ascii="Times New Roman" w:hAnsi="Times New Roman" w:cs="Times New Roman"/>
        </w:rPr>
        <w:t xml:space="preserve"> or blanket statements</w:t>
      </w:r>
      <w:r w:rsidR="00535A47">
        <w:rPr>
          <w:rFonts w:ascii="Times New Roman" w:hAnsi="Times New Roman" w:cs="Times New Roman"/>
        </w:rPr>
        <w:t>.</w:t>
      </w:r>
      <w:r w:rsidR="006E52FA">
        <w:rPr>
          <w:rFonts w:ascii="Times New Roman" w:hAnsi="Times New Roman" w:cs="Times New Roman"/>
        </w:rPr>
        <w:t xml:space="preserve"> An example of a tailored </w:t>
      </w:r>
      <w:r w:rsidR="00F80F9F">
        <w:rPr>
          <w:rFonts w:ascii="Times New Roman" w:hAnsi="Times New Roman" w:cs="Times New Roman"/>
        </w:rPr>
        <w:t>poli</w:t>
      </w:r>
      <w:r w:rsidR="00611B74">
        <w:rPr>
          <w:rFonts w:ascii="Times New Roman" w:hAnsi="Times New Roman" w:cs="Times New Roman"/>
        </w:rPr>
        <w:t xml:space="preserve">cy </w:t>
      </w:r>
      <w:r w:rsidR="00356500">
        <w:rPr>
          <w:rFonts w:ascii="Times New Roman" w:hAnsi="Times New Roman" w:cs="Times New Roman"/>
        </w:rPr>
        <w:t xml:space="preserve">to build disaster resilience </w:t>
      </w:r>
      <w:r w:rsidR="00611B74">
        <w:rPr>
          <w:rFonts w:ascii="Times New Roman" w:hAnsi="Times New Roman" w:cs="Times New Roman"/>
        </w:rPr>
        <w:t xml:space="preserve">is </w:t>
      </w:r>
      <w:r w:rsidR="00FC1BDC">
        <w:rPr>
          <w:rFonts w:ascii="Times New Roman" w:hAnsi="Times New Roman" w:cs="Times New Roman"/>
        </w:rPr>
        <w:t>the Federal Emergency</w:t>
      </w:r>
      <w:r w:rsidR="003C4E20">
        <w:rPr>
          <w:rFonts w:ascii="Times New Roman" w:hAnsi="Times New Roman" w:cs="Times New Roman"/>
        </w:rPr>
        <w:t xml:space="preserve"> Management Agency’s</w:t>
      </w:r>
      <w:r w:rsidR="00611B74">
        <w:rPr>
          <w:rFonts w:ascii="Times New Roman" w:hAnsi="Times New Roman" w:cs="Times New Roman"/>
        </w:rPr>
        <w:t xml:space="preserve"> Swift Current Initiative, </w:t>
      </w:r>
      <w:r w:rsidR="00356500">
        <w:rPr>
          <w:rFonts w:ascii="Times New Roman" w:hAnsi="Times New Roman" w:cs="Times New Roman"/>
        </w:rPr>
        <w:t xml:space="preserve">which is focused on </w:t>
      </w:r>
      <w:r w:rsidR="00DE44F1">
        <w:rPr>
          <w:rFonts w:ascii="Times New Roman" w:hAnsi="Times New Roman" w:cs="Times New Roman"/>
        </w:rPr>
        <w:t xml:space="preserve">making flood mitigation assistance available through annual grants for communities that are </w:t>
      </w:r>
      <w:r w:rsidR="00EA425F">
        <w:rPr>
          <w:rFonts w:ascii="Times New Roman" w:hAnsi="Times New Roman" w:cs="Times New Roman"/>
        </w:rPr>
        <w:t xml:space="preserve">repetitively flooded and receive substantial damage to buildings. </w:t>
      </w:r>
      <w:r w:rsidR="00CD7A75">
        <w:rPr>
          <w:rFonts w:ascii="Times New Roman" w:hAnsi="Times New Roman" w:cs="Times New Roman"/>
        </w:rPr>
        <w:t xml:space="preserve">In addition to tailored policies, </w:t>
      </w:r>
      <w:r w:rsidR="00B96230">
        <w:rPr>
          <w:rFonts w:ascii="Times New Roman" w:hAnsi="Times New Roman" w:cs="Times New Roman"/>
        </w:rPr>
        <w:t xml:space="preserve">cities can </w:t>
      </w:r>
      <w:r w:rsidR="00372961">
        <w:rPr>
          <w:rFonts w:ascii="Times New Roman" w:hAnsi="Times New Roman" w:cs="Times New Roman"/>
        </w:rPr>
        <w:t xml:space="preserve">address principal-agent problems </w:t>
      </w:r>
      <w:r w:rsidR="00026622">
        <w:rPr>
          <w:rFonts w:ascii="Times New Roman" w:hAnsi="Times New Roman" w:cs="Times New Roman"/>
        </w:rPr>
        <w:t xml:space="preserve">by contracting out government services </w:t>
      </w:r>
      <w:r w:rsidR="000C2B14">
        <w:rPr>
          <w:rFonts w:ascii="Times New Roman" w:hAnsi="Times New Roman" w:cs="Times New Roman"/>
        </w:rPr>
        <w:t>with clearly defined inputs and outputs.</w:t>
      </w:r>
    </w:p>
    <w:p w14:paraId="6810A78A" w14:textId="1A31A989" w:rsidR="00581B87" w:rsidRDefault="006616C0" w:rsidP="00275D64">
      <w:pPr>
        <w:spacing w:line="480" w:lineRule="auto"/>
        <w:rPr>
          <w:rFonts w:ascii="Times New Roman" w:hAnsi="Times New Roman" w:cs="Times New Roman"/>
          <w:b/>
          <w:bCs/>
        </w:rPr>
      </w:pPr>
      <w:r>
        <w:rPr>
          <w:rFonts w:ascii="Times New Roman" w:hAnsi="Times New Roman" w:cs="Times New Roman"/>
          <w:b/>
          <w:bCs/>
        </w:rPr>
        <w:t>Public Private Partnerships for Climate Mitigation and Adaptation</w:t>
      </w:r>
    </w:p>
    <w:p w14:paraId="37D3A7B9" w14:textId="5E985F96" w:rsidR="005658C6" w:rsidRDefault="00F45E05" w:rsidP="00F45E05">
      <w:pPr>
        <w:spacing w:line="480" w:lineRule="auto"/>
        <w:ind w:firstLine="360"/>
        <w:rPr>
          <w:rFonts w:ascii="Times New Roman" w:hAnsi="Times New Roman" w:cs="Times New Roman"/>
        </w:rPr>
      </w:pPr>
      <w:r>
        <w:rPr>
          <w:rFonts w:ascii="Times New Roman" w:hAnsi="Times New Roman" w:cs="Times New Roman"/>
        </w:rPr>
        <w:t xml:space="preserve">When undertaking climate mitigation and adaptation projects, cities </w:t>
      </w:r>
      <w:r w:rsidR="00301AC8">
        <w:rPr>
          <w:rFonts w:ascii="Times New Roman" w:hAnsi="Times New Roman" w:cs="Times New Roman"/>
        </w:rPr>
        <w:t xml:space="preserve">will likely need help from the private sector through </w:t>
      </w:r>
      <w:r w:rsidR="008311CE">
        <w:rPr>
          <w:rFonts w:ascii="Times New Roman" w:hAnsi="Times New Roman" w:cs="Times New Roman"/>
        </w:rPr>
        <w:t xml:space="preserve">Public-Private Partnerships, or PPPs. </w:t>
      </w:r>
      <w:r w:rsidR="00974CC7">
        <w:rPr>
          <w:rFonts w:ascii="Times New Roman" w:hAnsi="Times New Roman" w:cs="Times New Roman"/>
        </w:rPr>
        <w:t>PPPs</w:t>
      </w:r>
      <w:r w:rsidR="00B46FD6">
        <w:rPr>
          <w:rFonts w:ascii="Times New Roman" w:hAnsi="Times New Roman" w:cs="Times New Roman"/>
        </w:rPr>
        <w:t xml:space="preserve"> in the energy sector</w:t>
      </w:r>
      <w:r w:rsidR="00974CC7">
        <w:rPr>
          <w:rFonts w:ascii="Times New Roman" w:hAnsi="Times New Roman" w:cs="Times New Roman"/>
        </w:rPr>
        <w:t xml:space="preserve"> are “</w:t>
      </w:r>
      <w:r w:rsidR="00974CC7" w:rsidRPr="00974CC7">
        <w:rPr>
          <w:rFonts w:ascii="Times New Roman" w:hAnsi="Times New Roman" w:cs="Times New Roman"/>
        </w:rPr>
        <w:t>industry-government alliances that involve joint technology road mapping, collaborative priorities for the development of advanced energy-efficient and low-carbon technologies and cost sharing" (Brown, 2001</w:t>
      </w:r>
      <w:r w:rsidR="00917FCB">
        <w:rPr>
          <w:rFonts w:ascii="Times New Roman" w:hAnsi="Times New Roman" w:cs="Times New Roman"/>
        </w:rPr>
        <w:t>, p. 1204</w:t>
      </w:r>
      <w:r w:rsidR="00974CC7" w:rsidRPr="00974CC7">
        <w:rPr>
          <w:rFonts w:ascii="Times New Roman" w:hAnsi="Times New Roman" w:cs="Times New Roman"/>
        </w:rPr>
        <w:t xml:space="preserve">). </w:t>
      </w:r>
      <w:r w:rsidR="00481D7D">
        <w:rPr>
          <w:rFonts w:ascii="Times New Roman" w:hAnsi="Times New Roman" w:cs="Times New Roman"/>
        </w:rPr>
        <w:t>PPP collaboration</w:t>
      </w:r>
      <w:r w:rsidR="008311CE">
        <w:rPr>
          <w:rFonts w:ascii="Times New Roman" w:hAnsi="Times New Roman" w:cs="Times New Roman"/>
        </w:rPr>
        <w:t xml:space="preserve"> can come from hiring </w:t>
      </w:r>
      <w:r w:rsidR="00820E3F">
        <w:rPr>
          <w:rFonts w:ascii="Times New Roman" w:hAnsi="Times New Roman" w:cs="Times New Roman"/>
        </w:rPr>
        <w:t>private</w:t>
      </w:r>
      <w:r w:rsidR="008311CE">
        <w:rPr>
          <w:rFonts w:ascii="Times New Roman" w:hAnsi="Times New Roman" w:cs="Times New Roman"/>
        </w:rPr>
        <w:t xml:space="preserve"> firms to research </w:t>
      </w:r>
      <w:r w:rsidR="00CB7BFB">
        <w:rPr>
          <w:rFonts w:ascii="Times New Roman" w:hAnsi="Times New Roman" w:cs="Times New Roman"/>
        </w:rPr>
        <w:t xml:space="preserve">climate threats to the city and </w:t>
      </w:r>
      <w:r w:rsidR="00820E3F">
        <w:rPr>
          <w:rFonts w:ascii="Times New Roman" w:hAnsi="Times New Roman" w:cs="Times New Roman"/>
        </w:rPr>
        <w:t xml:space="preserve">suggest </w:t>
      </w:r>
      <w:r w:rsidR="00CB7BFB">
        <w:rPr>
          <w:rFonts w:ascii="Times New Roman" w:hAnsi="Times New Roman" w:cs="Times New Roman"/>
        </w:rPr>
        <w:t xml:space="preserve">policies to mitigate </w:t>
      </w:r>
      <w:r w:rsidR="008465C0">
        <w:rPr>
          <w:rFonts w:ascii="Times New Roman" w:hAnsi="Times New Roman" w:cs="Times New Roman"/>
        </w:rPr>
        <w:t xml:space="preserve">emissions </w:t>
      </w:r>
      <w:r w:rsidR="008B7637">
        <w:rPr>
          <w:rFonts w:ascii="Times New Roman" w:hAnsi="Times New Roman" w:cs="Times New Roman"/>
        </w:rPr>
        <w:t>and</w:t>
      </w:r>
      <w:r w:rsidR="00CB7BFB">
        <w:rPr>
          <w:rFonts w:ascii="Times New Roman" w:hAnsi="Times New Roman" w:cs="Times New Roman"/>
        </w:rPr>
        <w:t xml:space="preserve"> adapt to the threat</w:t>
      </w:r>
      <w:r w:rsidR="00820E3F">
        <w:rPr>
          <w:rFonts w:ascii="Times New Roman" w:hAnsi="Times New Roman" w:cs="Times New Roman"/>
        </w:rPr>
        <w:t xml:space="preserve">, </w:t>
      </w:r>
      <w:r w:rsidR="008B7637">
        <w:rPr>
          <w:rFonts w:ascii="Times New Roman" w:hAnsi="Times New Roman" w:cs="Times New Roman"/>
        </w:rPr>
        <w:t>and in the later stages by</w:t>
      </w:r>
      <w:r w:rsidR="00CF5919">
        <w:rPr>
          <w:rFonts w:ascii="Times New Roman" w:hAnsi="Times New Roman" w:cs="Times New Roman"/>
        </w:rPr>
        <w:t xml:space="preserve"> hiring private firms for the</w:t>
      </w:r>
      <w:r w:rsidR="00820E3F">
        <w:rPr>
          <w:rFonts w:ascii="Times New Roman" w:hAnsi="Times New Roman" w:cs="Times New Roman"/>
        </w:rPr>
        <w:t xml:space="preserve"> construction and maintenance of </w:t>
      </w:r>
      <w:r w:rsidR="00820E3F">
        <w:rPr>
          <w:rFonts w:ascii="Times New Roman" w:hAnsi="Times New Roman" w:cs="Times New Roman"/>
        </w:rPr>
        <w:lastRenderedPageBreak/>
        <w:t>capital projects</w:t>
      </w:r>
      <w:r w:rsidR="001C6E28">
        <w:rPr>
          <w:rFonts w:ascii="Times New Roman" w:hAnsi="Times New Roman" w:cs="Times New Roman"/>
        </w:rPr>
        <w:t>.</w:t>
      </w:r>
      <w:r w:rsidR="00766B35">
        <w:rPr>
          <w:rFonts w:ascii="Times New Roman" w:hAnsi="Times New Roman" w:cs="Times New Roman"/>
        </w:rPr>
        <w:t xml:space="preserve"> </w:t>
      </w:r>
      <w:proofErr w:type="spellStart"/>
      <w:r w:rsidR="00766B35" w:rsidRPr="00766B35">
        <w:rPr>
          <w:rFonts w:ascii="Times New Roman" w:hAnsi="Times New Roman" w:cs="Times New Roman"/>
        </w:rPr>
        <w:t>Buso</w:t>
      </w:r>
      <w:proofErr w:type="spellEnd"/>
      <w:r w:rsidR="00766B35" w:rsidRPr="00766B35">
        <w:rPr>
          <w:rFonts w:ascii="Times New Roman" w:hAnsi="Times New Roman" w:cs="Times New Roman"/>
        </w:rPr>
        <w:t xml:space="preserve"> </w:t>
      </w:r>
      <w:r w:rsidR="00D6519A">
        <w:rPr>
          <w:rFonts w:ascii="Times New Roman" w:hAnsi="Times New Roman" w:cs="Times New Roman"/>
        </w:rPr>
        <w:t>and</w:t>
      </w:r>
      <w:r w:rsidR="00766B35" w:rsidRPr="00766B35">
        <w:rPr>
          <w:rFonts w:ascii="Times New Roman" w:hAnsi="Times New Roman" w:cs="Times New Roman"/>
        </w:rPr>
        <w:t xml:space="preserve"> Stenger</w:t>
      </w:r>
      <w:r w:rsidR="00D6519A">
        <w:rPr>
          <w:rFonts w:ascii="Times New Roman" w:hAnsi="Times New Roman" w:cs="Times New Roman"/>
        </w:rPr>
        <w:t xml:space="preserve"> (</w:t>
      </w:r>
      <w:r w:rsidR="00766B35" w:rsidRPr="00766B35">
        <w:rPr>
          <w:rFonts w:ascii="Times New Roman" w:hAnsi="Times New Roman" w:cs="Times New Roman"/>
        </w:rPr>
        <w:t>2018)</w:t>
      </w:r>
      <w:r w:rsidR="00D6519A">
        <w:rPr>
          <w:rFonts w:ascii="Times New Roman" w:hAnsi="Times New Roman" w:cs="Times New Roman"/>
        </w:rPr>
        <w:t xml:space="preserve"> found that compared to public subsidies</w:t>
      </w:r>
      <w:r w:rsidR="00600D82">
        <w:rPr>
          <w:rFonts w:ascii="Times New Roman" w:hAnsi="Times New Roman" w:cs="Times New Roman"/>
        </w:rPr>
        <w:t xml:space="preserve">, PPPs can lead to higher outcomes and </w:t>
      </w:r>
      <w:r w:rsidR="00B813CC">
        <w:rPr>
          <w:rFonts w:ascii="Times New Roman" w:hAnsi="Times New Roman" w:cs="Times New Roman"/>
        </w:rPr>
        <w:t>performance</w:t>
      </w:r>
      <w:r w:rsidR="00435A0E">
        <w:rPr>
          <w:rFonts w:ascii="Times New Roman" w:hAnsi="Times New Roman" w:cs="Times New Roman"/>
        </w:rPr>
        <w:t xml:space="preserve"> when there is fair allocation of bargaining power between public and private contract</w:t>
      </w:r>
      <w:r w:rsidR="005E39D1">
        <w:rPr>
          <w:rFonts w:ascii="Times New Roman" w:hAnsi="Times New Roman" w:cs="Times New Roman"/>
        </w:rPr>
        <w:t xml:space="preserve">ors, when private and social returns are similar, and when bargaining procedures are not perceived as being too lengthy or costly. </w:t>
      </w:r>
    </w:p>
    <w:p w14:paraId="1D9DD1FA" w14:textId="77777777" w:rsidR="00721632" w:rsidRDefault="000E4886" w:rsidP="00083FDD">
      <w:pPr>
        <w:spacing w:line="480" w:lineRule="auto"/>
        <w:rPr>
          <w:rFonts w:ascii="Times New Roman" w:hAnsi="Times New Roman" w:cs="Times New Roman"/>
        </w:rPr>
      </w:pPr>
      <w:r>
        <w:rPr>
          <w:rFonts w:ascii="Times New Roman" w:hAnsi="Times New Roman" w:cs="Times New Roman"/>
        </w:rPr>
        <w:tab/>
        <w:t xml:space="preserve">Some of the main advantages of PPPs are that they </w:t>
      </w:r>
      <w:r w:rsidR="00A24D14">
        <w:rPr>
          <w:rFonts w:ascii="Times New Roman" w:hAnsi="Times New Roman" w:cs="Times New Roman"/>
        </w:rPr>
        <w:t>bring private capital to public infrastructure, can be a risk-sharing device,</w:t>
      </w:r>
      <w:r w:rsidR="00BE19B3">
        <w:rPr>
          <w:rFonts w:ascii="Times New Roman" w:hAnsi="Times New Roman" w:cs="Times New Roman"/>
        </w:rPr>
        <w:t xml:space="preserve"> can help to pool financing</w:t>
      </w:r>
      <w:r w:rsidR="008D79BC">
        <w:rPr>
          <w:rFonts w:ascii="Times New Roman" w:hAnsi="Times New Roman" w:cs="Times New Roman"/>
        </w:rPr>
        <w:t xml:space="preserve">, and can increase efficiency by </w:t>
      </w:r>
      <w:r w:rsidR="008645B5">
        <w:rPr>
          <w:rFonts w:ascii="Times New Roman" w:hAnsi="Times New Roman" w:cs="Times New Roman"/>
        </w:rPr>
        <w:t xml:space="preserve">bringing </w:t>
      </w:r>
      <w:r w:rsidR="00083FDD">
        <w:rPr>
          <w:rFonts w:ascii="Times New Roman" w:hAnsi="Times New Roman" w:cs="Times New Roman"/>
        </w:rPr>
        <w:t xml:space="preserve">cost discipline </w:t>
      </w:r>
      <w:r w:rsidR="00EE45AE">
        <w:rPr>
          <w:rFonts w:ascii="Times New Roman" w:hAnsi="Times New Roman" w:cs="Times New Roman"/>
        </w:rPr>
        <w:t xml:space="preserve">from the private sector </w:t>
      </w:r>
      <w:r w:rsidR="002A5C57">
        <w:rPr>
          <w:rFonts w:ascii="Times New Roman" w:hAnsi="Times New Roman" w:cs="Times New Roman"/>
        </w:rPr>
        <w:t>(</w:t>
      </w:r>
      <w:r w:rsidR="002A5C57" w:rsidRPr="00997779">
        <w:rPr>
          <w:rFonts w:ascii="Times New Roman" w:hAnsi="Times New Roman" w:cs="Times New Roman"/>
        </w:rPr>
        <w:t>Ahmad</w:t>
      </w:r>
      <w:r w:rsidR="002A5C57">
        <w:rPr>
          <w:rFonts w:ascii="Times New Roman" w:hAnsi="Times New Roman" w:cs="Times New Roman"/>
        </w:rPr>
        <w:t xml:space="preserve"> </w:t>
      </w:r>
      <w:r w:rsidR="002A5C57" w:rsidRPr="00997779">
        <w:rPr>
          <w:rFonts w:ascii="Times New Roman" w:hAnsi="Times New Roman" w:cs="Times New Roman"/>
        </w:rPr>
        <w:t>&amp; Xiao, 2018</w:t>
      </w:r>
      <w:r w:rsidR="002A5C57">
        <w:rPr>
          <w:rFonts w:ascii="Times New Roman" w:hAnsi="Times New Roman" w:cs="Times New Roman"/>
        </w:rPr>
        <w:t>).</w:t>
      </w:r>
      <w:r w:rsidR="005774FC">
        <w:rPr>
          <w:rFonts w:ascii="Times New Roman" w:hAnsi="Times New Roman" w:cs="Times New Roman"/>
        </w:rPr>
        <w:t xml:space="preserve"> </w:t>
      </w:r>
      <w:r w:rsidR="00E131FF">
        <w:rPr>
          <w:rFonts w:ascii="Times New Roman" w:hAnsi="Times New Roman" w:cs="Times New Roman"/>
        </w:rPr>
        <w:t>Ahmad and Xiao</w:t>
      </w:r>
      <w:r w:rsidR="00C705AB">
        <w:rPr>
          <w:rFonts w:ascii="Times New Roman" w:hAnsi="Times New Roman" w:cs="Times New Roman"/>
        </w:rPr>
        <w:t xml:space="preserve"> (2018)</w:t>
      </w:r>
      <w:r w:rsidR="00E131FF">
        <w:rPr>
          <w:rFonts w:ascii="Times New Roman" w:hAnsi="Times New Roman" w:cs="Times New Roman"/>
        </w:rPr>
        <w:t xml:space="preserve"> also found critiques of PPPs </w:t>
      </w:r>
      <w:r w:rsidR="0078539C">
        <w:rPr>
          <w:rFonts w:ascii="Times New Roman" w:hAnsi="Times New Roman" w:cs="Times New Roman"/>
        </w:rPr>
        <w:t xml:space="preserve">included government use of off balance-sheet investments to </w:t>
      </w:r>
      <w:r w:rsidR="00925C00">
        <w:rPr>
          <w:rFonts w:ascii="Times New Roman" w:hAnsi="Times New Roman" w:cs="Times New Roman"/>
        </w:rPr>
        <w:t xml:space="preserve">avoid budget restraints, questionably excessive private sector profits, </w:t>
      </w:r>
      <w:r w:rsidR="00C705AB">
        <w:rPr>
          <w:rFonts w:ascii="Times New Roman" w:hAnsi="Times New Roman" w:cs="Times New Roman"/>
        </w:rPr>
        <w:t xml:space="preserve">and increased administrative costs. </w:t>
      </w:r>
      <w:r w:rsidR="00B351D4">
        <w:rPr>
          <w:rFonts w:ascii="Times New Roman" w:hAnsi="Times New Roman" w:cs="Times New Roman"/>
        </w:rPr>
        <w:t xml:space="preserve">Information asymmetry is </w:t>
      </w:r>
      <w:r w:rsidR="009563D9">
        <w:rPr>
          <w:rFonts w:ascii="Times New Roman" w:hAnsi="Times New Roman" w:cs="Times New Roman"/>
        </w:rPr>
        <w:t xml:space="preserve">important for constructing contracts so that </w:t>
      </w:r>
      <w:r w:rsidR="00B67B8D">
        <w:rPr>
          <w:rFonts w:ascii="Times New Roman" w:hAnsi="Times New Roman" w:cs="Times New Roman"/>
        </w:rPr>
        <w:t xml:space="preserve">public managers are made fully aware of the liabilities and costs </w:t>
      </w:r>
      <w:r w:rsidR="00900A66">
        <w:rPr>
          <w:rFonts w:ascii="Times New Roman" w:hAnsi="Times New Roman" w:cs="Times New Roman"/>
        </w:rPr>
        <w:t>generated (</w:t>
      </w:r>
      <w:r w:rsidR="00900A66" w:rsidRPr="00997779">
        <w:rPr>
          <w:rFonts w:ascii="Times New Roman" w:hAnsi="Times New Roman" w:cs="Times New Roman"/>
        </w:rPr>
        <w:t>Ahmad</w:t>
      </w:r>
      <w:r w:rsidR="00900A66">
        <w:rPr>
          <w:rFonts w:ascii="Times New Roman" w:hAnsi="Times New Roman" w:cs="Times New Roman"/>
        </w:rPr>
        <w:t xml:space="preserve"> </w:t>
      </w:r>
      <w:r w:rsidR="00900A66" w:rsidRPr="00997779">
        <w:rPr>
          <w:rFonts w:ascii="Times New Roman" w:hAnsi="Times New Roman" w:cs="Times New Roman"/>
        </w:rPr>
        <w:t>&amp; Xiao, 2018</w:t>
      </w:r>
      <w:r w:rsidR="00900A66">
        <w:rPr>
          <w:rFonts w:ascii="Times New Roman" w:hAnsi="Times New Roman" w:cs="Times New Roman"/>
        </w:rPr>
        <w:t>).</w:t>
      </w:r>
      <w:r w:rsidR="00AC2F4E">
        <w:rPr>
          <w:rFonts w:ascii="Times New Roman" w:hAnsi="Times New Roman" w:cs="Times New Roman"/>
        </w:rPr>
        <w:t xml:space="preserve"> The acceptance of risk is a key part of c</w:t>
      </w:r>
      <w:r w:rsidR="00AC141E">
        <w:rPr>
          <w:rFonts w:ascii="Times New Roman" w:hAnsi="Times New Roman" w:cs="Times New Roman"/>
        </w:rPr>
        <w:t>ontracts for capital investments. Private contractors are less attracted to</w:t>
      </w:r>
      <w:r w:rsidR="00540687">
        <w:rPr>
          <w:rFonts w:ascii="Times New Roman" w:hAnsi="Times New Roman" w:cs="Times New Roman"/>
        </w:rPr>
        <w:t xml:space="preserve"> the</w:t>
      </w:r>
      <w:r w:rsidR="00835BEB">
        <w:rPr>
          <w:rFonts w:ascii="Times New Roman" w:hAnsi="Times New Roman" w:cs="Times New Roman"/>
        </w:rPr>
        <w:t xml:space="preserve"> </w:t>
      </w:r>
      <w:r w:rsidR="00540687">
        <w:rPr>
          <w:rFonts w:ascii="Times New Roman" w:hAnsi="Times New Roman" w:cs="Times New Roman"/>
        </w:rPr>
        <w:t>risker parts of</w:t>
      </w:r>
      <w:r w:rsidR="00AC141E">
        <w:rPr>
          <w:rFonts w:ascii="Times New Roman" w:hAnsi="Times New Roman" w:cs="Times New Roman"/>
        </w:rPr>
        <w:t xml:space="preserve"> projects</w:t>
      </w:r>
      <w:r w:rsidR="00540687">
        <w:rPr>
          <w:rFonts w:ascii="Times New Roman" w:hAnsi="Times New Roman" w:cs="Times New Roman"/>
        </w:rPr>
        <w:t>,</w:t>
      </w:r>
      <w:r w:rsidR="00AC141E">
        <w:rPr>
          <w:rFonts w:ascii="Times New Roman" w:hAnsi="Times New Roman" w:cs="Times New Roman"/>
        </w:rPr>
        <w:t xml:space="preserve"> </w:t>
      </w:r>
      <w:r w:rsidR="00D34743">
        <w:rPr>
          <w:rFonts w:ascii="Times New Roman" w:hAnsi="Times New Roman" w:cs="Times New Roman"/>
        </w:rPr>
        <w:t>such as preparation and construction</w:t>
      </w:r>
      <w:r w:rsidR="00540687">
        <w:rPr>
          <w:rFonts w:ascii="Times New Roman" w:hAnsi="Times New Roman" w:cs="Times New Roman"/>
        </w:rPr>
        <w:t xml:space="preserve"> in the early stages, but can be more willing to take on </w:t>
      </w:r>
      <w:r w:rsidR="00054616">
        <w:rPr>
          <w:rFonts w:ascii="Times New Roman" w:hAnsi="Times New Roman" w:cs="Times New Roman"/>
        </w:rPr>
        <w:t xml:space="preserve">elements of operations once the project is complete, such as maintenance and </w:t>
      </w:r>
      <w:r w:rsidR="008B3316">
        <w:rPr>
          <w:rFonts w:ascii="Times New Roman" w:hAnsi="Times New Roman" w:cs="Times New Roman"/>
        </w:rPr>
        <w:t>daily operations (</w:t>
      </w:r>
      <w:r w:rsidR="008B3316" w:rsidRPr="00997779">
        <w:rPr>
          <w:rFonts w:ascii="Times New Roman" w:hAnsi="Times New Roman" w:cs="Times New Roman"/>
        </w:rPr>
        <w:t>Ahmad</w:t>
      </w:r>
      <w:r w:rsidR="008B3316">
        <w:rPr>
          <w:rFonts w:ascii="Times New Roman" w:hAnsi="Times New Roman" w:cs="Times New Roman"/>
        </w:rPr>
        <w:t xml:space="preserve"> </w:t>
      </w:r>
      <w:r w:rsidR="008B3316" w:rsidRPr="00997779">
        <w:rPr>
          <w:rFonts w:ascii="Times New Roman" w:hAnsi="Times New Roman" w:cs="Times New Roman"/>
        </w:rPr>
        <w:t>&amp; Xiao, 2018</w:t>
      </w:r>
      <w:r w:rsidR="008B3316">
        <w:rPr>
          <w:rFonts w:ascii="Times New Roman" w:hAnsi="Times New Roman" w:cs="Times New Roman"/>
        </w:rPr>
        <w:t>).</w:t>
      </w:r>
      <w:r w:rsidR="009D3A1C">
        <w:rPr>
          <w:rFonts w:ascii="Times New Roman" w:hAnsi="Times New Roman" w:cs="Times New Roman"/>
        </w:rPr>
        <w:t xml:space="preserve"> </w:t>
      </w:r>
    </w:p>
    <w:p w14:paraId="56D9D808" w14:textId="299C82BA" w:rsidR="00083FDD" w:rsidRDefault="00B0597A" w:rsidP="00721632">
      <w:pPr>
        <w:spacing w:line="480" w:lineRule="auto"/>
        <w:ind w:firstLine="720"/>
        <w:rPr>
          <w:rFonts w:ascii="Times New Roman" w:hAnsi="Times New Roman" w:cs="Times New Roman"/>
        </w:rPr>
      </w:pPr>
      <w:r>
        <w:rPr>
          <w:rFonts w:ascii="Times New Roman" w:hAnsi="Times New Roman" w:cs="Times New Roman"/>
        </w:rPr>
        <w:t xml:space="preserve">PPPs are constrained by the </w:t>
      </w:r>
      <w:r w:rsidR="00017993">
        <w:rPr>
          <w:rFonts w:ascii="Times New Roman" w:hAnsi="Times New Roman" w:cs="Times New Roman"/>
        </w:rPr>
        <w:t xml:space="preserve">contracting framework they are negotiated in, which can be dynamic depending on the type of project and the </w:t>
      </w:r>
      <w:r w:rsidR="00D25388">
        <w:rPr>
          <w:rFonts w:ascii="Times New Roman" w:hAnsi="Times New Roman" w:cs="Times New Roman"/>
        </w:rPr>
        <w:t xml:space="preserve">legal and informational challenges that </w:t>
      </w:r>
      <w:r w:rsidR="00E6217F">
        <w:rPr>
          <w:rFonts w:ascii="Times New Roman" w:hAnsi="Times New Roman" w:cs="Times New Roman"/>
        </w:rPr>
        <w:t xml:space="preserve">arise. </w:t>
      </w:r>
      <w:r w:rsidR="00625A65">
        <w:rPr>
          <w:rFonts w:ascii="Times New Roman" w:hAnsi="Times New Roman" w:cs="Times New Roman"/>
        </w:rPr>
        <w:t xml:space="preserve">Governments </w:t>
      </w:r>
      <w:r w:rsidR="00631D96">
        <w:rPr>
          <w:rFonts w:ascii="Times New Roman" w:hAnsi="Times New Roman" w:cs="Times New Roman"/>
        </w:rPr>
        <w:t>should always pursue complete contracts with every contingency accounted for, but in</w:t>
      </w:r>
      <w:r w:rsidR="001F77C6">
        <w:rPr>
          <w:rFonts w:ascii="Times New Roman" w:hAnsi="Times New Roman" w:cs="Times New Roman"/>
        </w:rPr>
        <w:t xml:space="preserve"> a loosely linked</w:t>
      </w:r>
      <w:r w:rsidR="00631D96">
        <w:rPr>
          <w:rFonts w:ascii="Times New Roman" w:hAnsi="Times New Roman" w:cs="Times New Roman"/>
        </w:rPr>
        <w:t xml:space="preserve"> network</w:t>
      </w:r>
      <w:r w:rsidR="009430E6">
        <w:rPr>
          <w:rFonts w:ascii="Times New Roman" w:hAnsi="Times New Roman" w:cs="Times New Roman"/>
        </w:rPr>
        <w:t xml:space="preserve"> of public and private partners, incomplete contracts will likely be drawn. </w:t>
      </w:r>
      <w:r w:rsidR="00A57B95">
        <w:rPr>
          <w:rFonts w:ascii="Times New Roman" w:hAnsi="Times New Roman" w:cs="Times New Roman"/>
        </w:rPr>
        <w:t xml:space="preserve">Ahmad and Xiao (2018) shared insights into </w:t>
      </w:r>
      <w:r w:rsidR="00614808">
        <w:rPr>
          <w:rFonts w:ascii="Times New Roman" w:hAnsi="Times New Roman" w:cs="Times New Roman"/>
        </w:rPr>
        <w:t xml:space="preserve">how to achieve optimal results from a PPP in an incomplete contracting environment which include sharing information, </w:t>
      </w:r>
      <w:r w:rsidR="00D4624F">
        <w:rPr>
          <w:rFonts w:ascii="Times New Roman" w:hAnsi="Times New Roman" w:cs="Times New Roman"/>
        </w:rPr>
        <w:t xml:space="preserve">allow the private sector manager to be responsible for cost innovation, </w:t>
      </w:r>
      <w:r w:rsidR="003944C7">
        <w:rPr>
          <w:rFonts w:ascii="Times New Roman" w:hAnsi="Times New Roman" w:cs="Times New Roman"/>
        </w:rPr>
        <w:t xml:space="preserve">and the public sector manager to be responsible for quality assurance. </w:t>
      </w:r>
      <w:r w:rsidR="00754AC0">
        <w:rPr>
          <w:rFonts w:ascii="Times New Roman" w:hAnsi="Times New Roman" w:cs="Times New Roman"/>
        </w:rPr>
        <w:t>PPP contracts may be too complex for local governments</w:t>
      </w:r>
      <w:r w:rsidR="00B00443">
        <w:rPr>
          <w:rFonts w:ascii="Times New Roman" w:hAnsi="Times New Roman" w:cs="Times New Roman"/>
        </w:rPr>
        <w:t xml:space="preserve"> to </w:t>
      </w:r>
      <w:r w:rsidR="00B00443">
        <w:rPr>
          <w:rFonts w:ascii="Times New Roman" w:hAnsi="Times New Roman" w:cs="Times New Roman"/>
        </w:rPr>
        <w:lastRenderedPageBreak/>
        <w:t>optimally design and should seek support from a central PPP-management body (</w:t>
      </w:r>
      <w:r w:rsidR="00B00443" w:rsidRPr="00997779">
        <w:rPr>
          <w:rFonts w:ascii="Times New Roman" w:hAnsi="Times New Roman" w:cs="Times New Roman"/>
        </w:rPr>
        <w:t>Ahmad</w:t>
      </w:r>
      <w:r w:rsidR="00B00443">
        <w:rPr>
          <w:rFonts w:ascii="Times New Roman" w:hAnsi="Times New Roman" w:cs="Times New Roman"/>
        </w:rPr>
        <w:t xml:space="preserve"> </w:t>
      </w:r>
      <w:r w:rsidR="00B00443" w:rsidRPr="00997779">
        <w:rPr>
          <w:rFonts w:ascii="Times New Roman" w:hAnsi="Times New Roman" w:cs="Times New Roman"/>
        </w:rPr>
        <w:t>&amp; Xiao, 2018</w:t>
      </w:r>
      <w:r w:rsidR="00B00443">
        <w:rPr>
          <w:rFonts w:ascii="Times New Roman" w:hAnsi="Times New Roman" w:cs="Times New Roman"/>
        </w:rPr>
        <w:t>).</w:t>
      </w:r>
      <w:r w:rsidR="00F4129B">
        <w:rPr>
          <w:rFonts w:ascii="Times New Roman" w:hAnsi="Times New Roman" w:cs="Times New Roman"/>
        </w:rPr>
        <w:t xml:space="preserve"> As with any business negotiation, incentives should be aligned with </w:t>
      </w:r>
      <w:r w:rsidR="00081A41">
        <w:rPr>
          <w:rFonts w:ascii="Times New Roman" w:hAnsi="Times New Roman" w:cs="Times New Roman"/>
        </w:rPr>
        <w:t xml:space="preserve">outcomes so that principal-agent outcomes are avoided. </w:t>
      </w:r>
    </w:p>
    <w:p w14:paraId="273DD01D" w14:textId="4C6B4218" w:rsidR="005259A8" w:rsidRPr="005259A8" w:rsidRDefault="005259A8" w:rsidP="005259A8">
      <w:pPr>
        <w:spacing w:line="480" w:lineRule="auto"/>
        <w:rPr>
          <w:rFonts w:ascii="Times New Roman" w:hAnsi="Times New Roman" w:cs="Times New Roman"/>
          <w:b/>
          <w:bCs/>
        </w:rPr>
      </w:pPr>
      <w:r w:rsidRPr="005259A8">
        <w:rPr>
          <w:rFonts w:ascii="Times New Roman" w:hAnsi="Times New Roman" w:cs="Times New Roman"/>
          <w:b/>
          <w:bCs/>
        </w:rPr>
        <w:t>Decentralized networks for PPP Management</w:t>
      </w:r>
    </w:p>
    <w:p w14:paraId="5E1B72BF" w14:textId="77321A4E" w:rsidR="00AD2A40" w:rsidRDefault="00081A41" w:rsidP="00CC4FAA">
      <w:pPr>
        <w:spacing w:line="480" w:lineRule="auto"/>
        <w:rPr>
          <w:rFonts w:ascii="Times New Roman" w:hAnsi="Times New Roman" w:cs="Times New Roman"/>
        </w:rPr>
      </w:pPr>
      <w:r>
        <w:rPr>
          <w:rFonts w:ascii="Times New Roman" w:hAnsi="Times New Roman" w:cs="Times New Roman"/>
        </w:rPr>
        <w:tab/>
      </w:r>
      <w:r w:rsidR="0058277D">
        <w:rPr>
          <w:rFonts w:ascii="Times New Roman" w:hAnsi="Times New Roman" w:cs="Times New Roman"/>
        </w:rPr>
        <w:t>When undertaking a PPP for a climate mitigation or adaptation initiative</w:t>
      </w:r>
      <w:r w:rsidR="00873ED7">
        <w:rPr>
          <w:rFonts w:ascii="Times New Roman" w:hAnsi="Times New Roman" w:cs="Times New Roman"/>
        </w:rPr>
        <w:t xml:space="preserve">, managing that partnership will require savvy public managers who can operate </w:t>
      </w:r>
      <w:r w:rsidR="00C85BA1">
        <w:rPr>
          <w:rFonts w:ascii="Times New Roman" w:hAnsi="Times New Roman" w:cs="Times New Roman"/>
        </w:rPr>
        <w:t xml:space="preserve">in decentralized networks with </w:t>
      </w:r>
      <w:r w:rsidR="00090FEC">
        <w:rPr>
          <w:rFonts w:ascii="Times New Roman" w:hAnsi="Times New Roman" w:cs="Times New Roman"/>
        </w:rPr>
        <w:t>both formal and informal relationships.</w:t>
      </w:r>
      <w:r w:rsidR="00801818">
        <w:rPr>
          <w:rFonts w:ascii="Times New Roman" w:hAnsi="Times New Roman" w:cs="Times New Roman"/>
        </w:rPr>
        <w:t xml:space="preserve"> </w:t>
      </w:r>
      <w:proofErr w:type="spellStart"/>
      <w:r w:rsidR="00BF0298" w:rsidRPr="00CF13F5">
        <w:rPr>
          <w:rFonts w:ascii="Times New Roman" w:hAnsi="Times New Roman" w:cs="Times New Roman"/>
        </w:rPr>
        <w:t>Maraña</w:t>
      </w:r>
      <w:proofErr w:type="spellEnd"/>
      <w:r w:rsidR="00BF0298">
        <w:rPr>
          <w:rFonts w:ascii="Times New Roman" w:hAnsi="Times New Roman" w:cs="Times New Roman"/>
        </w:rPr>
        <w:t xml:space="preserve"> and</w:t>
      </w:r>
      <w:r w:rsidR="00BF0298" w:rsidRPr="00CF13F5">
        <w:rPr>
          <w:rFonts w:ascii="Times New Roman" w:hAnsi="Times New Roman" w:cs="Times New Roman"/>
        </w:rPr>
        <w:t xml:space="preserve"> </w:t>
      </w:r>
      <w:proofErr w:type="spellStart"/>
      <w:r w:rsidR="00BF0298" w:rsidRPr="00CF13F5">
        <w:rPr>
          <w:rFonts w:ascii="Times New Roman" w:hAnsi="Times New Roman" w:cs="Times New Roman"/>
        </w:rPr>
        <w:t>Sarriegi</w:t>
      </w:r>
      <w:proofErr w:type="spellEnd"/>
      <w:r w:rsidR="00BF0298">
        <w:rPr>
          <w:rFonts w:ascii="Times New Roman" w:hAnsi="Times New Roman" w:cs="Times New Roman"/>
        </w:rPr>
        <w:t xml:space="preserve"> (</w:t>
      </w:r>
      <w:r w:rsidR="00BF0298" w:rsidRPr="00CF13F5">
        <w:rPr>
          <w:rFonts w:ascii="Times New Roman" w:hAnsi="Times New Roman" w:cs="Times New Roman"/>
        </w:rPr>
        <w:t>2020</w:t>
      </w:r>
      <w:r w:rsidR="00BF0298">
        <w:rPr>
          <w:rFonts w:ascii="Times New Roman" w:hAnsi="Times New Roman" w:cs="Times New Roman"/>
        </w:rPr>
        <w:t>)</w:t>
      </w:r>
      <w:r w:rsidR="00925EE7">
        <w:rPr>
          <w:rFonts w:ascii="Times New Roman" w:hAnsi="Times New Roman" w:cs="Times New Roman"/>
        </w:rPr>
        <w:t xml:space="preserve"> embrace the </w:t>
      </w:r>
      <w:r w:rsidR="001F45FB">
        <w:rPr>
          <w:rFonts w:ascii="Times New Roman" w:hAnsi="Times New Roman" w:cs="Times New Roman"/>
        </w:rPr>
        <w:t xml:space="preserve">idea of informal relationships to boost </w:t>
      </w:r>
      <w:r w:rsidR="00DA6934">
        <w:rPr>
          <w:rFonts w:ascii="Times New Roman" w:hAnsi="Times New Roman" w:cs="Times New Roman"/>
        </w:rPr>
        <w:t xml:space="preserve">resilience </w:t>
      </w:r>
      <w:r w:rsidR="00510D7D">
        <w:rPr>
          <w:rFonts w:ascii="Times New Roman" w:hAnsi="Times New Roman" w:cs="Times New Roman"/>
        </w:rPr>
        <w:t>for critical infrastructure</w:t>
      </w:r>
      <w:r w:rsidR="001F45FB">
        <w:rPr>
          <w:rFonts w:ascii="Times New Roman" w:hAnsi="Times New Roman" w:cs="Times New Roman"/>
        </w:rPr>
        <w:t xml:space="preserve"> with their concept of a People Public Private Partnership</w:t>
      </w:r>
      <w:r w:rsidR="00510D7D">
        <w:rPr>
          <w:rFonts w:ascii="Times New Roman" w:hAnsi="Times New Roman" w:cs="Times New Roman"/>
        </w:rPr>
        <w:t>.</w:t>
      </w:r>
      <w:r w:rsidR="004603ED">
        <w:rPr>
          <w:rFonts w:ascii="Times New Roman" w:hAnsi="Times New Roman" w:cs="Times New Roman"/>
        </w:rPr>
        <w:t xml:space="preserve"> The People aspect of this partnership </w:t>
      </w:r>
      <w:r w:rsidR="00F11563">
        <w:rPr>
          <w:rFonts w:ascii="Times New Roman" w:hAnsi="Times New Roman" w:cs="Times New Roman"/>
        </w:rPr>
        <w:t xml:space="preserve">symbolizes the importance of involving the public in decisions and </w:t>
      </w:r>
      <w:r w:rsidR="00CC4FAA">
        <w:rPr>
          <w:rFonts w:ascii="Times New Roman" w:hAnsi="Times New Roman" w:cs="Times New Roman"/>
        </w:rPr>
        <w:t>the need for citizens to consider themselves relevant stakeholders (</w:t>
      </w:r>
      <w:proofErr w:type="spellStart"/>
      <w:r w:rsidR="00CC4FAA" w:rsidRPr="00CF13F5">
        <w:rPr>
          <w:rFonts w:ascii="Times New Roman" w:hAnsi="Times New Roman" w:cs="Times New Roman"/>
        </w:rPr>
        <w:t>Maraña</w:t>
      </w:r>
      <w:proofErr w:type="spellEnd"/>
      <w:r w:rsidR="00CC4FAA">
        <w:rPr>
          <w:rFonts w:ascii="Times New Roman" w:hAnsi="Times New Roman" w:cs="Times New Roman"/>
        </w:rPr>
        <w:t xml:space="preserve"> </w:t>
      </w:r>
      <w:r w:rsidR="00CC4FAA" w:rsidRPr="00CF13F5">
        <w:rPr>
          <w:rFonts w:ascii="Times New Roman" w:hAnsi="Times New Roman" w:cs="Times New Roman"/>
        </w:rPr>
        <w:t xml:space="preserve">&amp; </w:t>
      </w:r>
      <w:proofErr w:type="spellStart"/>
      <w:r w:rsidR="00CC4FAA" w:rsidRPr="00CF13F5">
        <w:rPr>
          <w:rFonts w:ascii="Times New Roman" w:hAnsi="Times New Roman" w:cs="Times New Roman"/>
        </w:rPr>
        <w:t>Sarriegi</w:t>
      </w:r>
      <w:proofErr w:type="spellEnd"/>
      <w:r w:rsidR="00CC4FAA">
        <w:rPr>
          <w:rFonts w:ascii="Times New Roman" w:hAnsi="Times New Roman" w:cs="Times New Roman"/>
        </w:rPr>
        <w:t xml:space="preserve">, </w:t>
      </w:r>
      <w:r w:rsidR="00CC4FAA" w:rsidRPr="00CF13F5">
        <w:rPr>
          <w:rFonts w:ascii="Times New Roman" w:hAnsi="Times New Roman" w:cs="Times New Roman"/>
        </w:rPr>
        <w:t>2020).</w:t>
      </w:r>
      <w:r w:rsidR="00C01961">
        <w:rPr>
          <w:rFonts w:ascii="Times New Roman" w:hAnsi="Times New Roman" w:cs="Times New Roman"/>
        </w:rPr>
        <w:t xml:space="preserve"> </w:t>
      </w:r>
      <w:proofErr w:type="spellStart"/>
      <w:r w:rsidR="00F70C67" w:rsidRPr="00CF13F5">
        <w:rPr>
          <w:rFonts w:ascii="Times New Roman" w:hAnsi="Times New Roman" w:cs="Times New Roman"/>
        </w:rPr>
        <w:t>Maraña</w:t>
      </w:r>
      <w:proofErr w:type="spellEnd"/>
      <w:r w:rsidR="00F70C67">
        <w:rPr>
          <w:rFonts w:ascii="Times New Roman" w:hAnsi="Times New Roman" w:cs="Times New Roman"/>
        </w:rPr>
        <w:t xml:space="preserve"> and</w:t>
      </w:r>
      <w:r w:rsidR="00F70C67" w:rsidRPr="00CF13F5">
        <w:rPr>
          <w:rFonts w:ascii="Times New Roman" w:hAnsi="Times New Roman" w:cs="Times New Roman"/>
        </w:rPr>
        <w:t xml:space="preserve"> </w:t>
      </w:r>
      <w:proofErr w:type="spellStart"/>
      <w:r w:rsidR="00F70C67" w:rsidRPr="00CF13F5">
        <w:rPr>
          <w:rFonts w:ascii="Times New Roman" w:hAnsi="Times New Roman" w:cs="Times New Roman"/>
        </w:rPr>
        <w:t>Sarriegi</w:t>
      </w:r>
      <w:proofErr w:type="spellEnd"/>
      <w:r w:rsidR="00F70C67">
        <w:rPr>
          <w:rFonts w:ascii="Times New Roman" w:hAnsi="Times New Roman" w:cs="Times New Roman"/>
        </w:rPr>
        <w:t xml:space="preserve"> (</w:t>
      </w:r>
      <w:r w:rsidR="00F70C67" w:rsidRPr="00CF13F5">
        <w:rPr>
          <w:rFonts w:ascii="Times New Roman" w:hAnsi="Times New Roman" w:cs="Times New Roman"/>
        </w:rPr>
        <w:t>2020</w:t>
      </w:r>
      <w:r w:rsidR="00F70C67">
        <w:rPr>
          <w:rFonts w:ascii="Times New Roman" w:hAnsi="Times New Roman" w:cs="Times New Roman"/>
        </w:rPr>
        <w:t xml:space="preserve">) conducted a literature review and surveyed experts to find </w:t>
      </w:r>
      <w:r w:rsidR="006072E3">
        <w:rPr>
          <w:rFonts w:ascii="Times New Roman" w:hAnsi="Times New Roman" w:cs="Times New Roman"/>
        </w:rPr>
        <w:t xml:space="preserve">what network characteristics were important, and at what stage of a project these characteristics were considered </w:t>
      </w:r>
      <w:r w:rsidR="00AD2A40">
        <w:rPr>
          <w:rFonts w:ascii="Times New Roman" w:hAnsi="Times New Roman" w:cs="Times New Roman"/>
        </w:rPr>
        <w:t xml:space="preserve">important and found that the </w:t>
      </w:r>
      <w:r w:rsidR="00294732">
        <w:rPr>
          <w:rFonts w:ascii="Times New Roman" w:hAnsi="Times New Roman" w:cs="Times New Roman"/>
        </w:rPr>
        <w:t xml:space="preserve">characteristics for information flow were highly valued in the </w:t>
      </w:r>
      <w:r w:rsidR="004C7180">
        <w:rPr>
          <w:rFonts w:ascii="Times New Roman" w:hAnsi="Times New Roman" w:cs="Times New Roman"/>
        </w:rPr>
        <w:t xml:space="preserve">beginning and middle stages. The qualities </w:t>
      </w:r>
      <w:proofErr w:type="spellStart"/>
      <w:r w:rsidR="00711F9C" w:rsidRPr="00CF13F5">
        <w:rPr>
          <w:rFonts w:ascii="Times New Roman" w:hAnsi="Times New Roman" w:cs="Times New Roman"/>
        </w:rPr>
        <w:t>Maraña</w:t>
      </w:r>
      <w:proofErr w:type="spellEnd"/>
      <w:r w:rsidR="00711F9C">
        <w:rPr>
          <w:rFonts w:ascii="Times New Roman" w:hAnsi="Times New Roman" w:cs="Times New Roman"/>
        </w:rPr>
        <w:t xml:space="preserve"> and</w:t>
      </w:r>
      <w:r w:rsidR="00711F9C" w:rsidRPr="00CF13F5">
        <w:rPr>
          <w:rFonts w:ascii="Times New Roman" w:hAnsi="Times New Roman" w:cs="Times New Roman"/>
        </w:rPr>
        <w:t xml:space="preserve"> </w:t>
      </w:r>
      <w:proofErr w:type="spellStart"/>
      <w:r w:rsidR="00711F9C" w:rsidRPr="00CF13F5">
        <w:rPr>
          <w:rFonts w:ascii="Times New Roman" w:hAnsi="Times New Roman" w:cs="Times New Roman"/>
        </w:rPr>
        <w:t>Sarriegi</w:t>
      </w:r>
      <w:proofErr w:type="spellEnd"/>
      <w:r w:rsidR="00711F9C">
        <w:rPr>
          <w:rFonts w:ascii="Times New Roman" w:hAnsi="Times New Roman" w:cs="Times New Roman"/>
        </w:rPr>
        <w:t xml:space="preserve"> (</w:t>
      </w:r>
      <w:r w:rsidR="00711F9C" w:rsidRPr="00CF13F5">
        <w:rPr>
          <w:rFonts w:ascii="Times New Roman" w:hAnsi="Times New Roman" w:cs="Times New Roman"/>
        </w:rPr>
        <w:t>2020</w:t>
      </w:r>
      <w:r w:rsidR="00711F9C">
        <w:rPr>
          <w:rFonts w:ascii="Times New Roman" w:hAnsi="Times New Roman" w:cs="Times New Roman"/>
        </w:rPr>
        <w:t xml:space="preserve">) identified </w:t>
      </w:r>
      <w:r w:rsidR="004C7180">
        <w:rPr>
          <w:rFonts w:ascii="Times New Roman" w:hAnsi="Times New Roman" w:cs="Times New Roman"/>
        </w:rPr>
        <w:t xml:space="preserve">include information quality, information sharing, participation, information accessibility, information transparency, and user friendliness. </w:t>
      </w:r>
    </w:p>
    <w:p w14:paraId="263A6CC0" w14:textId="28F45B35" w:rsidR="00081A41" w:rsidRDefault="00510D7D" w:rsidP="00083FDD">
      <w:pPr>
        <w:spacing w:line="480" w:lineRule="auto"/>
        <w:rPr>
          <w:rFonts w:ascii="Times New Roman" w:hAnsi="Times New Roman" w:cs="Times New Roman"/>
        </w:rPr>
      </w:pPr>
      <w:r>
        <w:rPr>
          <w:rFonts w:ascii="Times New Roman" w:hAnsi="Times New Roman" w:cs="Times New Roman"/>
        </w:rPr>
        <w:t xml:space="preserve"> </w:t>
      </w:r>
      <w:r w:rsidR="00010AA5">
        <w:rPr>
          <w:rFonts w:ascii="Times New Roman" w:hAnsi="Times New Roman" w:cs="Times New Roman"/>
        </w:rPr>
        <w:t xml:space="preserve"> describe modern critical infrastructure as an interdependent network that is only as resilient as </w:t>
      </w:r>
      <w:r w:rsidR="002946E3">
        <w:rPr>
          <w:rFonts w:ascii="Times New Roman" w:hAnsi="Times New Roman" w:cs="Times New Roman"/>
        </w:rPr>
        <w:t xml:space="preserve">the other critical infrastructure it relies on. </w:t>
      </w:r>
      <w:r w:rsidR="00EA282F">
        <w:rPr>
          <w:rFonts w:ascii="Times New Roman" w:hAnsi="Times New Roman" w:cs="Times New Roman"/>
        </w:rPr>
        <w:t xml:space="preserve">For example, </w:t>
      </w:r>
      <w:r w:rsidR="003A746E">
        <w:rPr>
          <w:rFonts w:ascii="Times New Roman" w:hAnsi="Times New Roman" w:cs="Times New Roman"/>
        </w:rPr>
        <w:t xml:space="preserve">a pump system for dispersing floodwater should have multiple </w:t>
      </w:r>
      <w:r w:rsidR="003D1E6B">
        <w:rPr>
          <w:rFonts w:ascii="Times New Roman" w:hAnsi="Times New Roman" w:cs="Times New Roman"/>
        </w:rPr>
        <w:t xml:space="preserve">power systems and internet connectivity options so that it can continue to function during an extreme weather event. </w:t>
      </w:r>
      <w:r w:rsidR="008E70BF">
        <w:rPr>
          <w:rFonts w:ascii="Times New Roman" w:hAnsi="Times New Roman" w:cs="Times New Roman"/>
        </w:rPr>
        <w:t xml:space="preserve">We should also not forget </w:t>
      </w:r>
      <w:r w:rsidR="005C59A6">
        <w:rPr>
          <w:rFonts w:ascii="Times New Roman" w:hAnsi="Times New Roman" w:cs="Times New Roman"/>
        </w:rPr>
        <w:t xml:space="preserve">the human resources who must operate critical infrastructure during extreme weather events and </w:t>
      </w:r>
      <w:r w:rsidR="00642CCE">
        <w:rPr>
          <w:rFonts w:ascii="Times New Roman" w:hAnsi="Times New Roman" w:cs="Times New Roman"/>
        </w:rPr>
        <w:t xml:space="preserve">prioritize training and </w:t>
      </w:r>
      <w:r w:rsidR="008F4881">
        <w:rPr>
          <w:rFonts w:ascii="Times New Roman" w:hAnsi="Times New Roman" w:cs="Times New Roman"/>
        </w:rPr>
        <w:t>contingency plans</w:t>
      </w:r>
      <w:r w:rsidR="00642CCE">
        <w:rPr>
          <w:rFonts w:ascii="Times New Roman" w:hAnsi="Times New Roman" w:cs="Times New Roman"/>
        </w:rPr>
        <w:t xml:space="preserve"> to reduce </w:t>
      </w:r>
      <w:r w:rsidR="008F4881">
        <w:rPr>
          <w:rFonts w:ascii="Times New Roman" w:hAnsi="Times New Roman" w:cs="Times New Roman"/>
        </w:rPr>
        <w:t xml:space="preserve">the likelihood of human error compounding difficulties in </w:t>
      </w:r>
      <w:proofErr w:type="gramStart"/>
      <w:r w:rsidR="008F4881">
        <w:rPr>
          <w:rFonts w:ascii="Times New Roman" w:hAnsi="Times New Roman" w:cs="Times New Roman"/>
        </w:rPr>
        <w:t>an emergency situation</w:t>
      </w:r>
      <w:proofErr w:type="gramEnd"/>
      <w:r w:rsidR="008F4881">
        <w:rPr>
          <w:rFonts w:ascii="Times New Roman" w:hAnsi="Times New Roman" w:cs="Times New Roman"/>
        </w:rPr>
        <w:t xml:space="preserve">. </w:t>
      </w:r>
    </w:p>
    <w:p w14:paraId="268114E7" w14:textId="2D713A38" w:rsidR="00CF13F5" w:rsidRDefault="0081273B" w:rsidP="00083FDD">
      <w:pPr>
        <w:spacing w:line="480" w:lineRule="auto"/>
        <w:rPr>
          <w:rFonts w:ascii="Times New Roman" w:hAnsi="Times New Roman" w:cs="Times New Roman"/>
        </w:rPr>
      </w:pPr>
      <w:r>
        <w:rPr>
          <w:rFonts w:ascii="Times New Roman" w:hAnsi="Times New Roman" w:cs="Times New Roman"/>
        </w:rPr>
        <w:lastRenderedPageBreak/>
        <w:tab/>
        <w:t xml:space="preserve">When public agencies that work for cities are </w:t>
      </w:r>
      <w:r w:rsidR="00DF7219">
        <w:rPr>
          <w:rFonts w:ascii="Times New Roman" w:hAnsi="Times New Roman" w:cs="Times New Roman"/>
        </w:rPr>
        <w:t xml:space="preserve">accomplishing goals using a decentralized and distributed network of cooperation and collaboration </w:t>
      </w:r>
      <w:r w:rsidR="005922AF">
        <w:rPr>
          <w:rFonts w:ascii="Times New Roman" w:hAnsi="Times New Roman" w:cs="Times New Roman"/>
        </w:rPr>
        <w:t>and loosely linked partners, that public agency is acting as a conductive agency (</w:t>
      </w:r>
      <w:proofErr w:type="spellStart"/>
      <w:r w:rsidR="005922AF">
        <w:rPr>
          <w:rFonts w:ascii="Times New Roman" w:hAnsi="Times New Roman" w:cs="Times New Roman"/>
        </w:rPr>
        <w:t>Agranoff</w:t>
      </w:r>
      <w:proofErr w:type="spellEnd"/>
      <w:r w:rsidR="005922AF">
        <w:rPr>
          <w:rFonts w:ascii="Times New Roman" w:hAnsi="Times New Roman" w:cs="Times New Roman"/>
        </w:rPr>
        <w:t xml:space="preserve">, 2012). </w:t>
      </w:r>
      <w:r w:rsidR="001B3760">
        <w:rPr>
          <w:rFonts w:ascii="Times New Roman" w:hAnsi="Times New Roman" w:cs="Times New Roman"/>
        </w:rPr>
        <w:t xml:space="preserve">These networks can be horizontal, where the conductive agency deals with counterparts in other agencies and the private sector, and vertical when it works with teams at higher and lower levels of its </w:t>
      </w:r>
      <w:r w:rsidR="00BB0209">
        <w:rPr>
          <w:rFonts w:ascii="Times New Roman" w:hAnsi="Times New Roman" w:cs="Times New Roman"/>
        </w:rPr>
        <w:t xml:space="preserve">organizational structure. </w:t>
      </w:r>
      <w:proofErr w:type="spellStart"/>
      <w:r w:rsidR="00BB0209">
        <w:rPr>
          <w:rFonts w:ascii="Times New Roman" w:hAnsi="Times New Roman" w:cs="Times New Roman"/>
        </w:rPr>
        <w:t>Agranoff</w:t>
      </w:r>
      <w:proofErr w:type="spellEnd"/>
      <w:r w:rsidR="00BB0209">
        <w:rPr>
          <w:rFonts w:ascii="Times New Roman" w:hAnsi="Times New Roman" w:cs="Times New Roman"/>
        </w:rPr>
        <w:t xml:space="preserve"> (2012) </w:t>
      </w:r>
      <w:r w:rsidR="007C0679">
        <w:rPr>
          <w:rFonts w:ascii="Times New Roman" w:hAnsi="Times New Roman" w:cs="Times New Roman"/>
        </w:rPr>
        <w:t xml:space="preserve">describes networks as non-hierarchical </w:t>
      </w:r>
      <w:proofErr w:type="spellStart"/>
      <w:r w:rsidR="007C0679">
        <w:rPr>
          <w:rFonts w:ascii="Times New Roman" w:hAnsi="Times New Roman" w:cs="Times New Roman"/>
        </w:rPr>
        <w:t>collaborarchies</w:t>
      </w:r>
      <w:proofErr w:type="spellEnd"/>
      <w:r w:rsidR="007C0679">
        <w:rPr>
          <w:rFonts w:ascii="Times New Roman" w:hAnsi="Times New Roman" w:cs="Times New Roman"/>
        </w:rPr>
        <w:t xml:space="preserve"> that </w:t>
      </w:r>
      <w:r w:rsidR="004A149F">
        <w:rPr>
          <w:rFonts w:ascii="Times New Roman" w:hAnsi="Times New Roman" w:cs="Times New Roman"/>
        </w:rPr>
        <w:t>mix bureaucra</w:t>
      </w:r>
      <w:r w:rsidR="00ED1A98">
        <w:rPr>
          <w:rFonts w:ascii="Times New Roman" w:hAnsi="Times New Roman" w:cs="Times New Roman"/>
        </w:rPr>
        <w:t xml:space="preserve">tic principles with </w:t>
      </w:r>
      <w:r w:rsidR="001E7AB9">
        <w:rPr>
          <w:rFonts w:ascii="Times New Roman" w:hAnsi="Times New Roman" w:cs="Times New Roman"/>
        </w:rPr>
        <w:t xml:space="preserve">ideals from volunteer organizations to create </w:t>
      </w:r>
      <w:r w:rsidR="00866788">
        <w:rPr>
          <w:rFonts w:ascii="Times New Roman" w:hAnsi="Times New Roman" w:cs="Times New Roman"/>
        </w:rPr>
        <w:t xml:space="preserve">a leadership structure that is flexible and based on </w:t>
      </w:r>
      <w:r w:rsidR="00FF067B">
        <w:rPr>
          <w:rFonts w:ascii="Times New Roman" w:hAnsi="Times New Roman" w:cs="Times New Roman"/>
        </w:rPr>
        <w:t>champions, advocates, and work groups.</w:t>
      </w:r>
      <w:r w:rsidR="00333A72">
        <w:rPr>
          <w:rFonts w:ascii="Times New Roman" w:hAnsi="Times New Roman" w:cs="Times New Roman"/>
        </w:rPr>
        <w:t xml:space="preserve"> </w:t>
      </w:r>
      <w:proofErr w:type="spellStart"/>
      <w:r w:rsidR="003C49B8">
        <w:rPr>
          <w:rFonts w:ascii="Times New Roman" w:hAnsi="Times New Roman" w:cs="Times New Roman"/>
        </w:rPr>
        <w:t>Pinske</w:t>
      </w:r>
      <w:proofErr w:type="spellEnd"/>
      <w:r w:rsidR="003C49B8">
        <w:rPr>
          <w:rFonts w:ascii="Times New Roman" w:hAnsi="Times New Roman" w:cs="Times New Roman"/>
        </w:rPr>
        <w:t xml:space="preserve"> and Kolk (2012) found that in the context of addressing climate change, </w:t>
      </w:r>
      <w:r w:rsidR="004F037C">
        <w:rPr>
          <w:rFonts w:ascii="Times New Roman" w:hAnsi="Times New Roman" w:cs="Times New Roman"/>
        </w:rPr>
        <w:t>partnerships help each party achieve more than either could have on their own</w:t>
      </w:r>
      <w:r w:rsidR="00813A21">
        <w:rPr>
          <w:rFonts w:ascii="Times New Roman" w:hAnsi="Times New Roman" w:cs="Times New Roman"/>
        </w:rPr>
        <w:t xml:space="preserve"> by filling in gaps based on their relative strengths and weaknesses. These gaps include </w:t>
      </w:r>
      <w:r w:rsidR="00916BDB">
        <w:rPr>
          <w:rFonts w:ascii="Times New Roman" w:hAnsi="Times New Roman" w:cs="Times New Roman"/>
        </w:rPr>
        <w:t>regulatory gaps, where public governance falls short of a needed goal, participation gaps</w:t>
      </w:r>
      <w:r w:rsidR="005B3948">
        <w:rPr>
          <w:rFonts w:ascii="Times New Roman" w:hAnsi="Times New Roman" w:cs="Times New Roman"/>
        </w:rPr>
        <w:t xml:space="preserve"> that lack</w:t>
      </w:r>
      <w:r w:rsidR="00916BDB">
        <w:rPr>
          <w:rFonts w:ascii="Times New Roman" w:hAnsi="Times New Roman" w:cs="Times New Roman"/>
        </w:rPr>
        <w:t xml:space="preserve"> inclusiveness and representation, resource gaps</w:t>
      </w:r>
      <w:r w:rsidR="005B3948">
        <w:rPr>
          <w:rFonts w:ascii="Times New Roman" w:hAnsi="Times New Roman" w:cs="Times New Roman"/>
        </w:rPr>
        <w:t xml:space="preserve"> </w:t>
      </w:r>
      <w:r w:rsidR="00343670">
        <w:rPr>
          <w:rFonts w:ascii="Times New Roman" w:hAnsi="Times New Roman" w:cs="Times New Roman"/>
        </w:rPr>
        <w:t xml:space="preserve">that can be addressed by pooling resources, and a learning gap that is addressed by </w:t>
      </w:r>
      <w:r w:rsidR="00AF7633">
        <w:rPr>
          <w:rFonts w:ascii="Times New Roman" w:hAnsi="Times New Roman" w:cs="Times New Roman"/>
        </w:rPr>
        <w:t xml:space="preserve">sharing information </w:t>
      </w:r>
      <w:r w:rsidR="00D02A0E">
        <w:rPr>
          <w:rFonts w:ascii="Times New Roman" w:hAnsi="Times New Roman" w:cs="Times New Roman"/>
        </w:rPr>
        <w:t>(</w:t>
      </w:r>
      <w:proofErr w:type="spellStart"/>
      <w:r w:rsidR="00AF7633">
        <w:rPr>
          <w:rFonts w:ascii="Times New Roman" w:hAnsi="Times New Roman" w:cs="Times New Roman"/>
        </w:rPr>
        <w:t>Pinske</w:t>
      </w:r>
      <w:proofErr w:type="spellEnd"/>
      <w:r w:rsidR="00AF7633">
        <w:rPr>
          <w:rFonts w:ascii="Times New Roman" w:hAnsi="Times New Roman" w:cs="Times New Roman"/>
        </w:rPr>
        <w:t xml:space="preserve"> </w:t>
      </w:r>
      <w:r w:rsidR="00D02A0E">
        <w:rPr>
          <w:rFonts w:ascii="Times New Roman" w:hAnsi="Times New Roman" w:cs="Times New Roman"/>
        </w:rPr>
        <w:t>&amp;</w:t>
      </w:r>
      <w:r w:rsidR="00AF7633">
        <w:rPr>
          <w:rFonts w:ascii="Times New Roman" w:hAnsi="Times New Roman" w:cs="Times New Roman"/>
        </w:rPr>
        <w:t xml:space="preserve"> Kolk</w:t>
      </w:r>
      <w:r w:rsidR="00D02A0E">
        <w:rPr>
          <w:rFonts w:ascii="Times New Roman" w:hAnsi="Times New Roman" w:cs="Times New Roman"/>
        </w:rPr>
        <w:t xml:space="preserve">, </w:t>
      </w:r>
      <w:r w:rsidR="00AF7633">
        <w:rPr>
          <w:rFonts w:ascii="Times New Roman" w:hAnsi="Times New Roman" w:cs="Times New Roman"/>
        </w:rPr>
        <w:t xml:space="preserve">2012). </w:t>
      </w:r>
      <w:r w:rsidR="00D959A1">
        <w:rPr>
          <w:rFonts w:ascii="Times New Roman" w:hAnsi="Times New Roman" w:cs="Times New Roman"/>
        </w:rPr>
        <w:t xml:space="preserve">Sharing information is critical </w:t>
      </w:r>
      <w:r w:rsidR="003E732D">
        <w:rPr>
          <w:rFonts w:ascii="Times New Roman" w:hAnsi="Times New Roman" w:cs="Times New Roman"/>
        </w:rPr>
        <w:t>for building a successful network as knowledge management is a key role of a conductive agency</w:t>
      </w:r>
      <w:r w:rsidR="00AC52E4">
        <w:rPr>
          <w:rFonts w:ascii="Times New Roman" w:hAnsi="Times New Roman" w:cs="Times New Roman"/>
        </w:rPr>
        <w:t xml:space="preserve"> that is expected to provide guidance and leadership through the process of selecting and implementing a climate mitigation or adaptation project. </w:t>
      </w:r>
    </w:p>
    <w:p w14:paraId="7A61D407" w14:textId="0E4698B6" w:rsidR="00DD2B61" w:rsidRDefault="00AC52E4" w:rsidP="00356075">
      <w:pPr>
        <w:spacing w:line="480" w:lineRule="auto"/>
        <w:ind w:firstLine="720"/>
        <w:rPr>
          <w:rFonts w:ascii="Times New Roman" w:hAnsi="Times New Roman" w:cs="Times New Roman"/>
          <w:color w:val="000000"/>
        </w:rPr>
      </w:pPr>
      <w:proofErr w:type="spellStart"/>
      <w:r w:rsidRPr="00EF278F">
        <w:rPr>
          <w:rFonts w:ascii="Times New Roman" w:hAnsi="Times New Roman" w:cs="Times New Roman"/>
          <w:color w:val="000000"/>
        </w:rPr>
        <w:t>Roggero</w:t>
      </w:r>
      <w:proofErr w:type="spellEnd"/>
      <w:r w:rsidRPr="00EF278F">
        <w:rPr>
          <w:rFonts w:ascii="Times New Roman" w:hAnsi="Times New Roman" w:cs="Times New Roman"/>
          <w:color w:val="000000"/>
        </w:rPr>
        <w:t xml:space="preserve"> and Thiel (2018) studied collaborative and isolated institution styles and found that collaborative agencies will adjust their existing coordination structures to adapt to the new event, and isolated institutions will create collaborative structures if the climate threat is perceived to be serious enough. </w:t>
      </w:r>
      <w:r w:rsidR="001A55C7">
        <w:rPr>
          <w:rFonts w:ascii="Times New Roman" w:hAnsi="Times New Roman" w:cs="Times New Roman"/>
          <w:color w:val="000000"/>
        </w:rPr>
        <w:t xml:space="preserve">This is important for building climate change coalitions </w:t>
      </w:r>
      <w:r w:rsidR="008957E5">
        <w:rPr>
          <w:rFonts w:ascii="Times New Roman" w:hAnsi="Times New Roman" w:cs="Times New Roman"/>
          <w:color w:val="000000"/>
        </w:rPr>
        <w:t xml:space="preserve">in a collaborative network. If there is an isolated agency that is uncooperative </w:t>
      </w:r>
      <w:r w:rsidR="00705554">
        <w:rPr>
          <w:rFonts w:ascii="Times New Roman" w:hAnsi="Times New Roman" w:cs="Times New Roman"/>
          <w:color w:val="000000"/>
        </w:rPr>
        <w:t xml:space="preserve">with your network, </w:t>
      </w:r>
      <w:r w:rsidR="00705554">
        <w:rPr>
          <w:rFonts w:ascii="Times New Roman" w:hAnsi="Times New Roman" w:cs="Times New Roman"/>
          <w:color w:val="000000"/>
        </w:rPr>
        <w:lastRenderedPageBreak/>
        <w:t>perhaps there is a better way to communicate how serious the problem is and how working together to mitigate or adapt to this threat is in both agency’s best interest</w:t>
      </w:r>
      <w:r w:rsidR="00FF7692">
        <w:rPr>
          <w:rFonts w:ascii="Times New Roman" w:hAnsi="Times New Roman" w:cs="Times New Roman"/>
          <w:color w:val="000000"/>
        </w:rPr>
        <w:t xml:space="preserve">s. </w:t>
      </w:r>
    </w:p>
    <w:p w14:paraId="3195A286" w14:textId="43B1A5E9" w:rsidR="005658C6" w:rsidRPr="005658C6" w:rsidRDefault="005658C6" w:rsidP="005658C6">
      <w:pPr>
        <w:spacing w:line="480" w:lineRule="auto"/>
        <w:rPr>
          <w:rFonts w:ascii="Times New Roman" w:hAnsi="Times New Roman" w:cs="Times New Roman"/>
        </w:rPr>
      </w:pPr>
      <w:r w:rsidRPr="005658C6">
        <w:rPr>
          <w:rFonts w:ascii="Times New Roman" w:hAnsi="Times New Roman" w:cs="Times New Roman"/>
          <w:b/>
          <w:bCs/>
        </w:rPr>
        <w:t xml:space="preserve">How do you </w:t>
      </w:r>
      <w:r w:rsidR="00977B70">
        <w:rPr>
          <w:rFonts w:ascii="Times New Roman" w:hAnsi="Times New Roman" w:cs="Times New Roman"/>
          <w:b/>
          <w:bCs/>
        </w:rPr>
        <w:t>E</w:t>
      </w:r>
      <w:r w:rsidRPr="005658C6">
        <w:rPr>
          <w:rFonts w:ascii="Times New Roman" w:hAnsi="Times New Roman" w:cs="Times New Roman"/>
          <w:b/>
          <w:bCs/>
        </w:rPr>
        <w:t xml:space="preserve">valuate a </w:t>
      </w:r>
      <w:r w:rsidR="00977B70">
        <w:rPr>
          <w:rFonts w:ascii="Times New Roman" w:hAnsi="Times New Roman" w:cs="Times New Roman"/>
          <w:b/>
          <w:bCs/>
        </w:rPr>
        <w:t>C</w:t>
      </w:r>
      <w:r w:rsidRPr="005658C6">
        <w:rPr>
          <w:rFonts w:ascii="Times New Roman" w:hAnsi="Times New Roman" w:cs="Times New Roman"/>
          <w:b/>
          <w:bCs/>
        </w:rPr>
        <w:t xml:space="preserve">limate </w:t>
      </w:r>
      <w:r w:rsidR="00977B70">
        <w:rPr>
          <w:rFonts w:ascii="Times New Roman" w:hAnsi="Times New Roman" w:cs="Times New Roman"/>
          <w:b/>
          <w:bCs/>
        </w:rPr>
        <w:t>P</w:t>
      </w:r>
      <w:r w:rsidRPr="005658C6">
        <w:rPr>
          <w:rFonts w:ascii="Times New Roman" w:hAnsi="Times New Roman" w:cs="Times New Roman"/>
          <w:b/>
          <w:bCs/>
        </w:rPr>
        <w:t xml:space="preserve">roject’s </w:t>
      </w:r>
      <w:r w:rsidR="00977B70">
        <w:rPr>
          <w:rFonts w:ascii="Times New Roman" w:hAnsi="Times New Roman" w:cs="Times New Roman"/>
          <w:b/>
          <w:bCs/>
        </w:rPr>
        <w:t>I</w:t>
      </w:r>
      <w:r w:rsidRPr="005658C6">
        <w:rPr>
          <w:rFonts w:ascii="Times New Roman" w:hAnsi="Times New Roman" w:cs="Times New Roman"/>
          <w:b/>
          <w:bCs/>
        </w:rPr>
        <w:t>mpact?</w:t>
      </w:r>
    </w:p>
    <w:p w14:paraId="7057F37B" w14:textId="6503FB8B" w:rsidR="005658C6" w:rsidRDefault="00C148D1" w:rsidP="005658C6">
      <w:pPr>
        <w:spacing w:line="480" w:lineRule="auto"/>
        <w:rPr>
          <w:rFonts w:ascii="Times New Roman" w:hAnsi="Times New Roman" w:cs="Times New Roman"/>
        </w:rPr>
      </w:pPr>
      <w:r>
        <w:rPr>
          <w:rFonts w:ascii="Times New Roman" w:hAnsi="Times New Roman" w:cs="Times New Roman"/>
        </w:rPr>
        <w:tab/>
        <w:t xml:space="preserve">Any climate project undertaken by a city should </w:t>
      </w:r>
      <w:r w:rsidR="00464142">
        <w:rPr>
          <w:rFonts w:ascii="Times New Roman" w:hAnsi="Times New Roman" w:cs="Times New Roman"/>
        </w:rPr>
        <w:t>be properly monitored so that its outcome and impact can be judged, and changes to the program can be made</w:t>
      </w:r>
      <w:r w:rsidR="00B779B3">
        <w:rPr>
          <w:rFonts w:ascii="Times New Roman" w:hAnsi="Times New Roman" w:cs="Times New Roman"/>
        </w:rPr>
        <w:t xml:space="preserve"> if needed</w:t>
      </w:r>
      <w:r w:rsidR="00464142">
        <w:rPr>
          <w:rFonts w:ascii="Times New Roman" w:hAnsi="Times New Roman" w:cs="Times New Roman"/>
        </w:rPr>
        <w:t xml:space="preserve">. </w:t>
      </w:r>
      <w:r w:rsidR="00FF3FB6">
        <w:rPr>
          <w:rFonts w:ascii="Times New Roman" w:hAnsi="Times New Roman" w:cs="Times New Roman"/>
        </w:rPr>
        <w:t>Different types of evaluations can be used for climate mitigation and adaptation projects, including needs assessment</w:t>
      </w:r>
      <w:r w:rsidR="0062418B">
        <w:rPr>
          <w:rFonts w:ascii="Times New Roman" w:hAnsi="Times New Roman" w:cs="Times New Roman"/>
        </w:rPr>
        <w:t>s</w:t>
      </w:r>
      <w:r w:rsidR="00FF3FB6">
        <w:rPr>
          <w:rFonts w:ascii="Times New Roman" w:hAnsi="Times New Roman" w:cs="Times New Roman"/>
        </w:rPr>
        <w:t>, assessment</w:t>
      </w:r>
      <w:r w:rsidR="0062418B">
        <w:rPr>
          <w:rFonts w:ascii="Times New Roman" w:hAnsi="Times New Roman" w:cs="Times New Roman"/>
        </w:rPr>
        <w:t>s</w:t>
      </w:r>
      <w:r w:rsidR="00FF3FB6">
        <w:rPr>
          <w:rFonts w:ascii="Times New Roman" w:hAnsi="Times New Roman" w:cs="Times New Roman"/>
        </w:rPr>
        <w:t xml:space="preserve"> of program theory and design, assessment</w:t>
      </w:r>
      <w:r w:rsidR="0062418B">
        <w:rPr>
          <w:rFonts w:ascii="Times New Roman" w:hAnsi="Times New Roman" w:cs="Times New Roman"/>
        </w:rPr>
        <w:t>s</w:t>
      </w:r>
      <w:r w:rsidR="00FF3FB6">
        <w:rPr>
          <w:rFonts w:ascii="Times New Roman" w:hAnsi="Times New Roman" w:cs="Times New Roman"/>
        </w:rPr>
        <w:t xml:space="preserve"> of program process, impact evaluation</w:t>
      </w:r>
      <w:r w:rsidR="0062418B">
        <w:rPr>
          <w:rFonts w:ascii="Times New Roman" w:hAnsi="Times New Roman" w:cs="Times New Roman"/>
        </w:rPr>
        <w:t>s, and cost and efficiency assessments (Rossi</w:t>
      </w:r>
      <w:r w:rsidR="00280E06">
        <w:rPr>
          <w:rFonts w:ascii="Times New Roman" w:hAnsi="Times New Roman" w:cs="Times New Roman"/>
        </w:rPr>
        <w:t xml:space="preserve"> et al., 2019)</w:t>
      </w:r>
      <w:r w:rsidR="00E74871">
        <w:rPr>
          <w:rFonts w:ascii="Times New Roman" w:hAnsi="Times New Roman" w:cs="Times New Roman"/>
        </w:rPr>
        <w:t xml:space="preserve">. When assessing program impact, it is key to create a causal design that </w:t>
      </w:r>
      <w:r w:rsidR="008031B0">
        <w:rPr>
          <w:rFonts w:ascii="Times New Roman" w:hAnsi="Times New Roman" w:cs="Times New Roman"/>
        </w:rPr>
        <w:t>can be described with a logic model (Rossi et al., 2019). For climate mitigation projects</w:t>
      </w:r>
      <w:r w:rsidR="00FF5BBB">
        <w:rPr>
          <w:rFonts w:ascii="Times New Roman" w:hAnsi="Times New Roman" w:cs="Times New Roman"/>
        </w:rPr>
        <w:t xml:space="preserve"> that seek to reduce</w:t>
      </w:r>
      <w:r w:rsidR="004A1E79">
        <w:rPr>
          <w:rFonts w:ascii="Times New Roman" w:hAnsi="Times New Roman" w:cs="Times New Roman"/>
        </w:rPr>
        <w:t xml:space="preserve"> the</w:t>
      </w:r>
      <w:r w:rsidR="00FF5BBB">
        <w:rPr>
          <w:rFonts w:ascii="Times New Roman" w:hAnsi="Times New Roman" w:cs="Times New Roman"/>
        </w:rPr>
        <w:t xml:space="preserve"> release of carbon dioxide</w:t>
      </w:r>
      <w:r w:rsidR="008031B0">
        <w:rPr>
          <w:rFonts w:ascii="Times New Roman" w:hAnsi="Times New Roman" w:cs="Times New Roman"/>
        </w:rPr>
        <w:t>, establish</w:t>
      </w:r>
      <w:r w:rsidR="00AE7489">
        <w:rPr>
          <w:rFonts w:ascii="Times New Roman" w:hAnsi="Times New Roman" w:cs="Times New Roman"/>
        </w:rPr>
        <w:t xml:space="preserve">ing </w:t>
      </w:r>
      <w:r w:rsidR="008031B0">
        <w:rPr>
          <w:rFonts w:ascii="Times New Roman" w:hAnsi="Times New Roman" w:cs="Times New Roman"/>
        </w:rPr>
        <w:t>causal</w:t>
      </w:r>
      <w:r w:rsidR="00FF5BBB">
        <w:rPr>
          <w:rFonts w:ascii="Times New Roman" w:hAnsi="Times New Roman" w:cs="Times New Roman"/>
        </w:rPr>
        <w:t>ity will require reliance on climate science and economics to determine</w:t>
      </w:r>
      <w:r w:rsidR="00AE7489">
        <w:rPr>
          <w:rFonts w:ascii="Times New Roman" w:hAnsi="Times New Roman" w:cs="Times New Roman"/>
        </w:rPr>
        <w:t xml:space="preserve"> how much carbon dioxide </w:t>
      </w:r>
      <w:r w:rsidR="00F608CE">
        <w:rPr>
          <w:rFonts w:ascii="Times New Roman" w:hAnsi="Times New Roman" w:cs="Times New Roman"/>
        </w:rPr>
        <w:t xml:space="preserve">release has been reduced and what that metric means specifically for the city. </w:t>
      </w:r>
      <w:r w:rsidR="00005AF7">
        <w:rPr>
          <w:rFonts w:ascii="Times New Roman" w:hAnsi="Times New Roman" w:cs="Times New Roman"/>
        </w:rPr>
        <w:t>It will be easier to study the impact and causality of adaptation projects that can be tested</w:t>
      </w:r>
      <w:r w:rsidR="00732B3B">
        <w:rPr>
          <w:rFonts w:ascii="Times New Roman" w:hAnsi="Times New Roman" w:cs="Times New Roman"/>
        </w:rPr>
        <w:t xml:space="preserve"> or observed during extreme weather events to determine if the adaptation project provided the expected level of resilience. </w:t>
      </w:r>
      <w:r w:rsidR="00893EC0">
        <w:rPr>
          <w:rFonts w:ascii="Times New Roman" w:hAnsi="Times New Roman" w:cs="Times New Roman"/>
        </w:rPr>
        <w:t xml:space="preserve">The goal </w:t>
      </w:r>
      <w:r w:rsidR="0044438A">
        <w:rPr>
          <w:rFonts w:ascii="Times New Roman" w:hAnsi="Times New Roman" w:cs="Times New Roman"/>
        </w:rPr>
        <w:t xml:space="preserve">of a causal evaluation design is to isolate the effects of the program on outcomes of interest to stakeholders and give unbiased estimates of the magnitude of the effects (Rossi et al., 2019). </w:t>
      </w:r>
      <w:r w:rsidR="00CC52BD">
        <w:rPr>
          <w:rFonts w:ascii="Times New Roman" w:hAnsi="Times New Roman" w:cs="Times New Roman"/>
        </w:rPr>
        <w:t xml:space="preserve">Establishing causality is a rigorous task but it can give </w:t>
      </w:r>
      <w:r w:rsidR="00A76DAB">
        <w:rPr>
          <w:rFonts w:ascii="Times New Roman" w:hAnsi="Times New Roman" w:cs="Times New Roman"/>
        </w:rPr>
        <w:t>extra legitimacy to projects where outcomes are easily linked to adaptation activities</w:t>
      </w:r>
      <w:r w:rsidR="000E2328">
        <w:rPr>
          <w:rFonts w:ascii="Times New Roman" w:hAnsi="Times New Roman" w:cs="Times New Roman"/>
        </w:rPr>
        <w:t xml:space="preserve">. </w:t>
      </w:r>
    </w:p>
    <w:p w14:paraId="2EA7E246" w14:textId="087EDC5E" w:rsidR="007030CF" w:rsidRDefault="007030CF" w:rsidP="005658C6">
      <w:pPr>
        <w:spacing w:line="480" w:lineRule="auto"/>
        <w:rPr>
          <w:rFonts w:ascii="Times New Roman" w:hAnsi="Times New Roman" w:cs="Times New Roman"/>
        </w:rPr>
      </w:pPr>
      <w:r>
        <w:rPr>
          <w:rFonts w:ascii="Times New Roman" w:hAnsi="Times New Roman" w:cs="Times New Roman"/>
        </w:rPr>
        <w:tab/>
        <w:t xml:space="preserve">One of the first steps in program evaluation is to identify the program outcome and the proper way to measure it. Outcome measurement properties that are relevant to </w:t>
      </w:r>
      <w:r w:rsidR="00044702">
        <w:rPr>
          <w:rFonts w:ascii="Times New Roman" w:hAnsi="Times New Roman" w:cs="Times New Roman"/>
        </w:rPr>
        <w:t>program impact</w:t>
      </w:r>
      <w:r>
        <w:rPr>
          <w:rFonts w:ascii="Times New Roman" w:hAnsi="Times New Roman" w:cs="Times New Roman"/>
        </w:rPr>
        <w:t xml:space="preserve"> are reliability, </w:t>
      </w:r>
      <w:r w:rsidR="009B58DF">
        <w:rPr>
          <w:rFonts w:ascii="Times New Roman" w:hAnsi="Times New Roman" w:cs="Times New Roman"/>
        </w:rPr>
        <w:t>validity, and sensitivity (Rossi et al., 2019)</w:t>
      </w:r>
      <w:r w:rsidR="002E4950">
        <w:rPr>
          <w:rFonts w:ascii="Times New Roman" w:hAnsi="Times New Roman" w:cs="Times New Roman"/>
        </w:rPr>
        <w:t xml:space="preserve">. </w:t>
      </w:r>
      <w:r w:rsidR="00044702">
        <w:rPr>
          <w:rFonts w:ascii="Times New Roman" w:hAnsi="Times New Roman" w:cs="Times New Roman"/>
        </w:rPr>
        <w:t>For climate mitigation</w:t>
      </w:r>
      <w:r w:rsidR="009F7025">
        <w:rPr>
          <w:rFonts w:ascii="Times New Roman" w:hAnsi="Times New Roman" w:cs="Times New Roman"/>
        </w:rPr>
        <w:t xml:space="preserve">, the Social Cost of Carbon is a </w:t>
      </w:r>
      <w:r w:rsidR="003B2392">
        <w:rPr>
          <w:rFonts w:ascii="Times New Roman" w:hAnsi="Times New Roman" w:cs="Times New Roman"/>
        </w:rPr>
        <w:t>widely accepted calculation that meets inspection for the</w:t>
      </w:r>
      <w:r w:rsidR="0060374D">
        <w:rPr>
          <w:rFonts w:ascii="Times New Roman" w:hAnsi="Times New Roman" w:cs="Times New Roman"/>
        </w:rPr>
        <w:t xml:space="preserve">se three properties. </w:t>
      </w:r>
      <w:r w:rsidR="005722C0">
        <w:rPr>
          <w:rFonts w:ascii="Times New Roman" w:hAnsi="Times New Roman" w:cs="Times New Roman"/>
        </w:rPr>
        <w:t xml:space="preserve">Owen (2020) found </w:t>
      </w:r>
      <w:r w:rsidR="004F542B">
        <w:rPr>
          <w:rFonts w:ascii="Times New Roman" w:hAnsi="Times New Roman" w:cs="Times New Roman"/>
        </w:rPr>
        <w:t xml:space="preserve">that some good adaptation practices include strengthening institutional </w:t>
      </w:r>
      <w:r w:rsidR="004F542B">
        <w:rPr>
          <w:rFonts w:ascii="Times New Roman" w:hAnsi="Times New Roman" w:cs="Times New Roman"/>
        </w:rPr>
        <w:lastRenderedPageBreak/>
        <w:t xml:space="preserve">partnerships, engaging local individuals and communities, </w:t>
      </w:r>
      <w:r w:rsidR="004814DF">
        <w:rPr>
          <w:rFonts w:ascii="Times New Roman" w:hAnsi="Times New Roman" w:cs="Times New Roman"/>
        </w:rPr>
        <w:t xml:space="preserve">promoting strong leadership, and facilitating social learning. </w:t>
      </w:r>
      <w:r w:rsidR="009F4CDB">
        <w:rPr>
          <w:rFonts w:ascii="Times New Roman" w:hAnsi="Times New Roman" w:cs="Times New Roman"/>
        </w:rPr>
        <w:t xml:space="preserve">Even in the evaluation stage, network management is key for ensuring quality </w:t>
      </w:r>
      <w:r w:rsidR="002905F3">
        <w:rPr>
          <w:rFonts w:ascii="Times New Roman" w:hAnsi="Times New Roman" w:cs="Times New Roman"/>
        </w:rPr>
        <w:t xml:space="preserve">and keeping stakeholders engaged so that the policy has the best result possible. </w:t>
      </w:r>
    </w:p>
    <w:p w14:paraId="03FDD4F3" w14:textId="3D52D997" w:rsidR="00D076F3" w:rsidRDefault="0094191B" w:rsidP="005658C6">
      <w:pPr>
        <w:spacing w:line="480" w:lineRule="auto"/>
        <w:rPr>
          <w:rFonts w:ascii="Times New Roman" w:hAnsi="Times New Roman" w:cs="Times New Roman"/>
        </w:rPr>
      </w:pPr>
      <w:r>
        <w:rPr>
          <w:rFonts w:ascii="Times New Roman" w:hAnsi="Times New Roman" w:cs="Times New Roman"/>
        </w:rPr>
        <w:tab/>
        <w:t>A good example of a logic model that could be applied to climate mitigation or adaptation policies is the Center for Disease Control’s</w:t>
      </w:r>
      <w:r w:rsidR="000D75B3">
        <w:rPr>
          <w:rFonts w:ascii="Times New Roman" w:hAnsi="Times New Roman" w:cs="Times New Roman"/>
        </w:rPr>
        <w:t xml:space="preserve"> </w:t>
      </w:r>
      <w:r w:rsidR="00616674">
        <w:rPr>
          <w:rFonts w:ascii="Times New Roman" w:hAnsi="Times New Roman" w:cs="Times New Roman"/>
        </w:rPr>
        <w:t xml:space="preserve">logic model developed by </w:t>
      </w:r>
      <w:r w:rsidR="00C471E1">
        <w:rPr>
          <w:rFonts w:ascii="Times New Roman" w:hAnsi="Times New Roman" w:cs="Times New Roman"/>
        </w:rPr>
        <w:t xml:space="preserve">their Program Performance and Evaluation Office. </w:t>
      </w:r>
      <w:r w:rsidR="00155A38">
        <w:rPr>
          <w:rFonts w:ascii="Times New Roman" w:hAnsi="Times New Roman" w:cs="Times New Roman"/>
        </w:rPr>
        <w:t xml:space="preserve">The CDC model uses a circular </w:t>
      </w:r>
      <w:r w:rsidR="001662C0">
        <w:rPr>
          <w:rFonts w:ascii="Times New Roman" w:hAnsi="Times New Roman" w:cs="Times New Roman"/>
        </w:rPr>
        <w:t>flow chart with six steps that include</w:t>
      </w:r>
      <w:r w:rsidR="00327C40">
        <w:rPr>
          <w:rFonts w:ascii="Times New Roman" w:hAnsi="Times New Roman" w:cs="Times New Roman"/>
        </w:rPr>
        <w:t>s engaging stakeholders, describing the program, focusing the evaluation design, gathering credible evidence, justifying conclusions, and ensuring use and sharing lessons learned (CDC</w:t>
      </w:r>
      <w:r w:rsidR="000E4320">
        <w:rPr>
          <w:rFonts w:ascii="Times New Roman" w:hAnsi="Times New Roman" w:cs="Times New Roman"/>
        </w:rPr>
        <w:t xml:space="preserve">, </w:t>
      </w:r>
      <w:r w:rsidR="00E84C60">
        <w:rPr>
          <w:rFonts w:ascii="Times New Roman" w:hAnsi="Times New Roman" w:cs="Times New Roman"/>
        </w:rPr>
        <w:t>2021</w:t>
      </w:r>
      <w:r w:rsidR="00327C40">
        <w:rPr>
          <w:rFonts w:ascii="Times New Roman" w:hAnsi="Times New Roman" w:cs="Times New Roman"/>
        </w:rPr>
        <w:t xml:space="preserve">). </w:t>
      </w:r>
      <w:r w:rsidR="006B6659">
        <w:rPr>
          <w:rFonts w:ascii="Times New Roman" w:hAnsi="Times New Roman" w:cs="Times New Roman"/>
        </w:rPr>
        <w:t>It is important to note the CDC model is circular and starts</w:t>
      </w:r>
      <w:r w:rsidR="000745D6">
        <w:rPr>
          <w:rFonts w:ascii="Times New Roman" w:hAnsi="Times New Roman" w:cs="Times New Roman"/>
        </w:rPr>
        <w:t xml:space="preserve"> and ends</w:t>
      </w:r>
      <w:r w:rsidR="006B6659">
        <w:rPr>
          <w:rFonts w:ascii="Times New Roman" w:hAnsi="Times New Roman" w:cs="Times New Roman"/>
        </w:rPr>
        <w:t xml:space="preserve"> by engaging stakeholders</w:t>
      </w:r>
      <w:r w:rsidR="000745D6">
        <w:rPr>
          <w:rFonts w:ascii="Times New Roman" w:hAnsi="Times New Roman" w:cs="Times New Roman"/>
        </w:rPr>
        <w:t xml:space="preserve"> and sharing lessons. This is important for climate policies </w:t>
      </w:r>
      <w:r w:rsidR="006C647F">
        <w:rPr>
          <w:rFonts w:ascii="Times New Roman" w:hAnsi="Times New Roman" w:cs="Times New Roman"/>
        </w:rPr>
        <w:t xml:space="preserve">so that successes and failures can be </w:t>
      </w:r>
      <w:proofErr w:type="gramStart"/>
      <w:r w:rsidR="006C647F">
        <w:rPr>
          <w:rFonts w:ascii="Times New Roman" w:hAnsi="Times New Roman" w:cs="Times New Roman"/>
        </w:rPr>
        <w:t>shared</w:t>
      </w:r>
      <w:proofErr w:type="gramEnd"/>
      <w:r w:rsidR="006C647F">
        <w:rPr>
          <w:rFonts w:ascii="Times New Roman" w:hAnsi="Times New Roman" w:cs="Times New Roman"/>
        </w:rPr>
        <w:t xml:space="preserve"> </w:t>
      </w:r>
      <w:r w:rsidR="005F01C0">
        <w:rPr>
          <w:rFonts w:ascii="Times New Roman" w:hAnsi="Times New Roman" w:cs="Times New Roman"/>
        </w:rPr>
        <w:t xml:space="preserve">and evidence-based practices are implemented and tested so that more effective policies </w:t>
      </w:r>
      <w:r w:rsidR="00BE4907">
        <w:rPr>
          <w:rFonts w:ascii="Times New Roman" w:hAnsi="Times New Roman" w:cs="Times New Roman"/>
        </w:rPr>
        <w:t xml:space="preserve">can be determined in the future. </w:t>
      </w:r>
      <w:r w:rsidR="009F09D3">
        <w:rPr>
          <w:rFonts w:ascii="Times New Roman" w:hAnsi="Times New Roman" w:cs="Times New Roman"/>
        </w:rPr>
        <w:t xml:space="preserve">For gathering evidence and justifying conclusions, </w:t>
      </w:r>
      <w:r w:rsidR="00517CE4">
        <w:rPr>
          <w:rFonts w:ascii="Times New Roman" w:hAnsi="Times New Roman" w:cs="Times New Roman"/>
        </w:rPr>
        <w:t xml:space="preserve">a policy analyst could </w:t>
      </w:r>
      <w:r w:rsidR="00553B7A">
        <w:rPr>
          <w:rFonts w:ascii="Times New Roman" w:hAnsi="Times New Roman" w:cs="Times New Roman"/>
        </w:rPr>
        <w:t xml:space="preserve">create </w:t>
      </w:r>
      <w:r w:rsidR="00517CE4">
        <w:rPr>
          <w:rFonts w:ascii="Times New Roman" w:hAnsi="Times New Roman" w:cs="Times New Roman"/>
        </w:rPr>
        <w:t>cost-benefit estimates</w:t>
      </w:r>
      <w:r w:rsidR="00553B7A">
        <w:rPr>
          <w:rFonts w:ascii="Times New Roman" w:hAnsi="Times New Roman" w:cs="Times New Roman"/>
        </w:rPr>
        <w:t xml:space="preserve"> to compare what the project costed versus savings from mitigation and adaptation. However, this may be difficult to </w:t>
      </w:r>
      <w:r w:rsidR="00F569F7">
        <w:rPr>
          <w:rFonts w:ascii="Times New Roman" w:hAnsi="Times New Roman" w:cs="Times New Roman"/>
        </w:rPr>
        <w:t>certify</w:t>
      </w:r>
      <w:r w:rsidR="0003707A">
        <w:rPr>
          <w:rFonts w:ascii="Times New Roman" w:hAnsi="Times New Roman" w:cs="Times New Roman"/>
        </w:rPr>
        <w:t xml:space="preserve"> as the counterfactual to implementing the project is </w:t>
      </w:r>
      <w:r w:rsidR="00F569F7">
        <w:rPr>
          <w:rFonts w:ascii="Times New Roman" w:hAnsi="Times New Roman" w:cs="Times New Roman"/>
        </w:rPr>
        <w:t xml:space="preserve">not doing the project while </w:t>
      </w:r>
      <w:r w:rsidR="00EE7A4F">
        <w:rPr>
          <w:rFonts w:ascii="Times New Roman" w:hAnsi="Times New Roman" w:cs="Times New Roman"/>
        </w:rPr>
        <w:t xml:space="preserve">still </w:t>
      </w:r>
      <w:r w:rsidR="00F569F7">
        <w:rPr>
          <w:rFonts w:ascii="Times New Roman" w:hAnsi="Times New Roman" w:cs="Times New Roman"/>
        </w:rPr>
        <w:t xml:space="preserve">experiencing the same weather event, so there is no </w:t>
      </w:r>
      <w:r w:rsidR="00E17A63">
        <w:rPr>
          <w:rFonts w:ascii="Times New Roman" w:hAnsi="Times New Roman" w:cs="Times New Roman"/>
        </w:rPr>
        <w:t xml:space="preserve">control group for projects such as seawall or drainage construction. In these cases, </w:t>
      </w:r>
      <w:r w:rsidR="00DE786D">
        <w:rPr>
          <w:rFonts w:ascii="Times New Roman" w:hAnsi="Times New Roman" w:cs="Times New Roman"/>
        </w:rPr>
        <w:t xml:space="preserve">the analysis may need to compare different areas </w:t>
      </w:r>
      <w:r w:rsidR="00C12024">
        <w:rPr>
          <w:rFonts w:ascii="Times New Roman" w:hAnsi="Times New Roman" w:cs="Times New Roman"/>
        </w:rPr>
        <w:t xml:space="preserve">that did or did not receive treatment and reconcile their differences such that a comparison can be made. One method of comparing two groups is with </w:t>
      </w:r>
      <w:r w:rsidR="00C12024" w:rsidRPr="00C12024">
        <w:rPr>
          <w:rFonts w:ascii="Times New Roman" w:hAnsi="Times New Roman" w:cs="Times New Roman"/>
        </w:rPr>
        <w:t>covariate-adjusted, regression-based estimates</w:t>
      </w:r>
      <w:r w:rsidR="00C12024">
        <w:rPr>
          <w:rFonts w:ascii="Times New Roman" w:hAnsi="Times New Roman" w:cs="Times New Roman"/>
        </w:rPr>
        <w:t xml:space="preserve"> </w:t>
      </w:r>
      <w:r w:rsidR="005210A5">
        <w:rPr>
          <w:rFonts w:ascii="Times New Roman" w:hAnsi="Times New Roman" w:cs="Times New Roman"/>
        </w:rPr>
        <w:t xml:space="preserve">(Rossi, et al., 2019). </w:t>
      </w:r>
      <w:r w:rsidR="00DF272B">
        <w:rPr>
          <w:rFonts w:ascii="Times New Roman" w:hAnsi="Times New Roman" w:cs="Times New Roman"/>
        </w:rPr>
        <w:t>This method first measures baseline characteristics for both groups</w:t>
      </w:r>
      <w:r w:rsidR="00045698">
        <w:rPr>
          <w:rFonts w:ascii="Times New Roman" w:hAnsi="Times New Roman" w:cs="Times New Roman"/>
        </w:rPr>
        <w:t xml:space="preserve"> and calculates the predictability of these covariates towards </w:t>
      </w:r>
      <w:r w:rsidR="0019127E">
        <w:rPr>
          <w:rFonts w:ascii="Times New Roman" w:hAnsi="Times New Roman" w:cs="Times New Roman"/>
        </w:rPr>
        <w:t>target outcome. To compare the groups, it is assumed that whatever differences in program out</w:t>
      </w:r>
      <w:r w:rsidR="00A95471" w:rsidRPr="00A95471">
        <w:rPr>
          <w:rFonts w:ascii="Times New Roman" w:hAnsi="Times New Roman" w:cs="Times New Roman"/>
        </w:rPr>
        <w:t xml:space="preserve">come that cannot be </w:t>
      </w:r>
      <w:r w:rsidR="00A95471">
        <w:rPr>
          <w:rFonts w:ascii="Times New Roman" w:hAnsi="Times New Roman" w:cs="Times New Roman"/>
        </w:rPr>
        <w:t>accounted for by the covariates</w:t>
      </w:r>
      <w:r w:rsidR="00B80177">
        <w:rPr>
          <w:rFonts w:ascii="Times New Roman" w:hAnsi="Times New Roman" w:cs="Times New Roman"/>
        </w:rPr>
        <w:t xml:space="preserve"> is the actual program effect. </w:t>
      </w:r>
      <w:r w:rsidR="005D3E76">
        <w:rPr>
          <w:rFonts w:ascii="Times New Roman" w:hAnsi="Times New Roman" w:cs="Times New Roman"/>
        </w:rPr>
        <w:t xml:space="preserve">This method is also effective as it </w:t>
      </w:r>
      <w:r w:rsidR="00570ADF">
        <w:rPr>
          <w:rFonts w:ascii="Times New Roman" w:hAnsi="Times New Roman" w:cs="Times New Roman"/>
        </w:rPr>
        <w:t xml:space="preserve">gives a quantitative </w:t>
      </w:r>
      <w:r w:rsidR="00570ADF">
        <w:rPr>
          <w:rFonts w:ascii="Times New Roman" w:hAnsi="Times New Roman" w:cs="Times New Roman"/>
        </w:rPr>
        <w:lastRenderedPageBreak/>
        <w:t xml:space="preserve">estimate of program effect that can be compared to the program’s cost to determine cost effectiveness and the unit cost of </w:t>
      </w:r>
      <w:r w:rsidR="00387FBE">
        <w:rPr>
          <w:rFonts w:ascii="Times New Roman" w:hAnsi="Times New Roman" w:cs="Times New Roman"/>
        </w:rPr>
        <w:t>project outcome</w:t>
      </w:r>
      <w:r w:rsidR="005A0220">
        <w:rPr>
          <w:rFonts w:ascii="Times New Roman" w:hAnsi="Times New Roman" w:cs="Times New Roman"/>
        </w:rPr>
        <w:t xml:space="preserve">, which is helpful for </w:t>
      </w:r>
      <w:proofErr w:type="gramStart"/>
      <w:r w:rsidR="005A0220">
        <w:rPr>
          <w:rFonts w:ascii="Times New Roman" w:hAnsi="Times New Roman" w:cs="Times New Roman"/>
        </w:rPr>
        <w:t>activity based</w:t>
      </w:r>
      <w:proofErr w:type="gramEnd"/>
      <w:r w:rsidR="005A0220">
        <w:rPr>
          <w:rFonts w:ascii="Times New Roman" w:hAnsi="Times New Roman" w:cs="Times New Roman"/>
        </w:rPr>
        <w:t xml:space="preserve"> costing</w:t>
      </w:r>
      <w:r w:rsidR="00570ADF">
        <w:rPr>
          <w:rFonts w:ascii="Times New Roman" w:hAnsi="Times New Roman" w:cs="Times New Roman"/>
        </w:rPr>
        <w:t xml:space="preserve">. </w:t>
      </w:r>
    </w:p>
    <w:p w14:paraId="516DBC29" w14:textId="751E143A" w:rsidR="00CA56BC" w:rsidRDefault="00D076F3" w:rsidP="005658C6">
      <w:pPr>
        <w:spacing w:line="480" w:lineRule="auto"/>
        <w:rPr>
          <w:rFonts w:ascii="Times New Roman" w:hAnsi="Times New Roman" w:cs="Times New Roman"/>
        </w:rPr>
      </w:pPr>
      <w:r>
        <w:rPr>
          <w:rFonts w:ascii="Times New Roman" w:hAnsi="Times New Roman" w:cs="Times New Roman"/>
        </w:rPr>
        <w:tab/>
        <w:t>One framework that a city could use to evaluate its</w:t>
      </w:r>
      <w:r w:rsidR="002A4328">
        <w:rPr>
          <w:rFonts w:ascii="Times New Roman" w:hAnsi="Times New Roman" w:cs="Times New Roman"/>
        </w:rPr>
        <w:t xml:space="preserve"> overall risk and readiness is the Urban Adaptation Assessment created by the University of Notre Dame (n.d.). This study provides scores and calculations for </w:t>
      </w:r>
      <w:r w:rsidR="00F16AC1">
        <w:rPr>
          <w:rFonts w:ascii="Times New Roman" w:hAnsi="Times New Roman" w:cs="Times New Roman"/>
        </w:rPr>
        <w:t xml:space="preserve">assessing different climate threats and preparedness levels for 278 cities in the United States. </w:t>
      </w:r>
      <w:r w:rsidR="008C4023">
        <w:rPr>
          <w:rFonts w:ascii="Times New Roman" w:hAnsi="Times New Roman" w:cs="Times New Roman"/>
        </w:rPr>
        <w:t xml:space="preserve">A city could create a scorecard for itself based on these metrics and measure </w:t>
      </w:r>
      <w:r w:rsidR="009560E9">
        <w:rPr>
          <w:rFonts w:ascii="Times New Roman" w:hAnsi="Times New Roman" w:cs="Times New Roman"/>
        </w:rPr>
        <w:t xml:space="preserve">its progress toward climate goals in relation to other cities with a comparable metric. </w:t>
      </w:r>
      <w:r w:rsidR="00AF4608">
        <w:rPr>
          <w:rFonts w:ascii="Times New Roman" w:hAnsi="Times New Roman" w:cs="Times New Roman"/>
        </w:rPr>
        <w:t xml:space="preserve">Figure A1 shows </w:t>
      </w:r>
      <w:r w:rsidR="00821ECD">
        <w:rPr>
          <w:rFonts w:ascii="Times New Roman" w:hAnsi="Times New Roman" w:cs="Times New Roman"/>
        </w:rPr>
        <w:t xml:space="preserve">Urban Adaptation Assessment </w:t>
      </w:r>
      <w:r w:rsidR="00AF4608">
        <w:rPr>
          <w:rFonts w:ascii="Times New Roman" w:hAnsi="Times New Roman" w:cs="Times New Roman"/>
        </w:rPr>
        <w:t>averages by region</w:t>
      </w:r>
      <w:r w:rsidR="00A90E05">
        <w:rPr>
          <w:rFonts w:ascii="Times New Roman" w:hAnsi="Times New Roman" w:cs="Times New Roman"/>
        </w:rPr>
        <w:t xml:space="preserve">, with </w:t>
      </w:r>
      <w:r w:rsidR="00821ECD">
        <w:rPr>
          <w:rFonts w:ascii="Times New Roman" w:hAnsi="Times New Roman" w:cs="Times New Roman"/>
        </w:rPr>
        <w:t xml:space="preserve">the highest average overall risk </w:t>
      </w:r>
      <w:r w:rsidR="00A90E05">
        <w:rPr>
          <w:rFonts w:ascii="Times New Roman" w:hAnsi="Times New Roman" w:cs="Times New Roman"/>
        </w:rPr>
        <w:t>going</w:t>
      </w:r>
      <w:r w:rsidR="00821ECD">
        <w:rPr>
          <w:rFonts w:ascii="Times New Roman" w:hAnsi="Times New Roman" w:cs="Times New Roman"/>
        </w:rPr>
        <w:t xml:space="preserve"> to the Northeast region, which is at high risk of flooding from sea level rise, and </w:t>
      </w:r>
      <w:r w:rsidR="00AF4608">
        <w:rPr>
          <w:rFonts w:ascii="Times New Roman" w:hAnsi="Times New Roman" w:cs="Times New Roman"/>
        </w:rPr>
        <w:t xml:space="preserve">the highest overall readiness </w:t>
      </w:r>
      <w:r w:rsidR="00A90E05">
        <w:rPr>
          <w:rFonts w:ascii="Times New Roman" w:hAnsi="Times New Roman" w:cs="Times New Roman"/>
        </w:rPr>
        <w:t>going</w:t>
      </w:r>
      <w:r w:rsidR="00AF4608">
        <w:rPr>
          <w:rFonts w:ascii="Times New Roman" w:hAnsi="Times New Roman" w:cs="Times New Roman"/>
        </w:rPr>
        <w:t xml:space="preserve"> to the upper Midwest</w:t>
      </w:r>
      <w:r w:rsidR="00A90E05">
        <w:rPr>
          <w:rFonts w:ascii="Times New Roman" w:hAnsi="Times New Roman" w:cs="Times New Roman"/>
        </w:rPr>
        <w:t xml:space="preserve">. </w:t>
      </w:r>
      <w:r w:rsidR="007B1721">
        <w:rPr>
          <w:rFonts w:ascii="Times New Roman" w:hAnsi="Times New Roman" w:cs="Times New Roman"/>
        </w:rPr>
        <w:t xml:space="preserve">The Urban Adaptation Assessment </w:t>
      </w:r>
      <w:r w:rsidR="00800DB8">
        <w:rPr>
          <w:rFonts w:ascii="Times New Roman" w:hAnsi="Times New Roman" w:cs="Times New Roman"/>
        </w:rPr>
        <w:t>(</w:t>
      </w:r>
      <w:r w:rsidR="00800DB8" w:rsidRPr="00E26AD5">
        <w:rPr>
          <w:rFonts w:ascii="Times New Roman" w:hAnsi="Times New Roman" w:cs="Times New Roman"/>
        </w:rPr>
        <w:t>University of Notre Dame</w:t>
      </w:r>
      <w:r w:rsidR="00800DB8">
        <w:rPr>
          <w:rFonts w:ascii="Times New Roman" w:hAnsi="Times New Roman" w:cs="Times New Roman"/>
        </w:rPr>
        <w:t xml:space="preserve">, </w:t>
      </w:r>
      <w:r w:rsidR="00800DB8" w:rsidRPr="00E26AD5">
        <w:rPr>
          <w:rFonts w:ascii="Times New Roman" w:hAnsi="Times New Roman" w:cs="Times New Roman"/>
        </w:rPr>
        <w:t>n.d.)</w:t>
      </w:r>
      <w:r w:rsidR="00800DB8">
        <w:rPr>
          <w:rFonts w:ascii="Times New Roman" w:hAnsi="Times New Roman" w:cs="Times New Roman"/>
        </w:rPr>
        <w:t xml:space="preserve"> </w:t>
      </w:r>
      <w:r w:rsidR="007B1721">
        <w:rPr>
          <w:rFonts w:ascii="Times New Roman" w:hAnsi="Times New Roman" w:cs="Times New Roman"/>
        </w:rPr>
        <w:t xml:space="preserve">includes policy factors such as the existence of drought management plans and the number of corruption convictions to build a </w:t>
      </w:r>
      <w:r w:rsidR="009C2D99">
        <w:rPr>
          <w:rFonts w:ascii="Times New Roman" w:hAnsi="Times New Roman" w:cs="Times New Roman"/>
        </w:rPr>
        <w:t xml:space="preserve">metric that is robust to political policy environment and could be highly useful for tracking cities with </w:t>
      </w:r>
      <w:r w:rsidR="00800DB8">
        <w:rPr>
          <w:rFonts w:ascii="Times New Roman" w:hAnsi="Times New Roman" w:cs="Times New Roman"/>
        </w:rPr>
        <w:t>similar demographics and political, social, and economic environments.</w:t>
      </w:r>
      <w:r w:rsidR="009C2D99">
        <w:rPr>
          <w:rFonts w:ascii="Times New Roman" w:hAnsi="Times New Roman" w:cs="Times New Roman"/>
        </w:rPr>
        <w:t xml:space="preserve"> </w:t>
      </w:r>
    </w:p>
    <w:p w14:paraId="63CE230A" w14:textId="065050E9" w:rsidR="002905F3" w:rsidRPr="002905F3" w:rsidRDefault="002905F3" w:rsidP="005658C6">
      <w:pPr>
        <w:spacing w:line="480" w:lineRule="auto"/>
        <w:rPr>
          <w:rFonts w:ascii="Times New Roman" w:hAnsi="Times New Roman" w:cs="Times New Roman"/>
          <w:b/>
          <w:bCs/>
        </w:rPr>
      </w:pPr>
      <w:r w:rsidRPr="00B733E0">
        <w:rPr>
          <w:rFonts w:ascii="Times New Roman" w:hAnsi="Times New Roman" w:cs="Times New Roman"/>
          <w:b/>
          <w:bCs/>
        </w:rPr>
        <w:t>Conclusion</w:t>
      </w:r>
    </w:p>
    <w:p w14:paraId="2CD16E47" w14:textId="00EA80B6" w:rsidR="005658C6" w:rsidRDefault="005322A4" w:rsidP="005658C6">
      <w:pPr>
        <w:spacing w:line="480" w:lineRule="auto"/>
        <w:rPr>
          <w:rFonts w:ascii="Times New Roman" w:hAnsi="Times New Roman" w:cs="Times New Roman"/>
        </w:rPr>
      </w:pPr>
      <w:r>
        <w:rPr>
          <w:rFonts w:ascii="Times New Roman" w:hAnsi="Times New Roman" w:cs="Times New Roman"/>
        </w:rPr>
        <w:tab/>
        <w:t>Climate change poses a</w:t>
      </w:r>
      <w:r w:rsidR="00FA7DB8">
        <w:rPr>
          <w:rFonts w:ascii="Times New Roman" w:hAnsi="Times New Roman" w:cs="Times New Roman"/>
        </w:rPr>
        <w:t xml:space="preserve">n </w:t>
      </w:r>
      <w:r>
        <w:rPr>
          <w:rFonts w:ascii="Times New Roman" w:hAnsi="Times New Roman" w:cs="Times New Roman"/>
        </w:rPr>
        <w:t>existential threat to</w:t>
      </w:r>
      <w:r w:rsidR="00BE588C">
        <w:rPr>
          <w:rFonts w:ascii="Times New Roman" w:hAnsi="Times New Roman" w:cs="Times New Roman"/>
        </w:rPr>
        <w:t xml:space="preserve"> certain</w:t>
      </w:r>
      <w:r>
        <w:rPr>
          <w:rFonts w:ascii="Times New Roman" w:hAnsi="Times New Roman" w:cs="Times New Roman"/>
        </w:rPr>
        <w:t xml:space="preserve"> cities that are not prepared to</w:t>
      </w:r>
      <w:r w:rsidR="00813C2C">
        <w:rPr>
          <w:rFonts w:ascii="Times New Roman" w:hAnsi="Times New Roman" w:cs="Times New Roman"/>
        </w:rPr>
        <w:t xml:space="preserve"> mitigate their contributions to the </w:t>
      </w:r>
      <w:r w:rsidR="00BE588C">
        <w:rPr>
          <w:rFonts w:ascii="Times New Roman" w:hAnsi="Times New Roman" w:cs="Times New Roman"/>
        </w:rPr>
        <w:t xml:space="preserve">climate </w:t>
      </w:r>
      <w:r w:rsidR="00813C2C">
        <w:rPr>
          <w:rFonts w:ascii="Times New Roman" w:hAnsi="Times New Roman" w:cs="Times New Roman"/>
        </w:rPr>
        <w:t>crisis and</w:t>
      </w:r>
      <w:r>
        <w:rPr>
          <w:rFonts w:ascii="Times New Roman" w:hAnsi="Times New Roman" w:cs="Times New Roman"/>
        </w:rPr>
        <w:t xml:space="preserve"> adapt</w:t>
      </w:r>
      <w:r w:rsidR="00813C2C">
        <w:rPr>
          <w:rFonts w:ascii="Times New Roman" w:hAnsi="Times New Roman" w:cs="Times New Roman"/>
        </w:rPr>
        <w:t xml:space="preserve"> to an uncertain future</w:t>
      </w:r>
      <w:r>
        <w:rPr>
          <w:rFonts w:ascii="Times New Roman" w:hAnsi="Times New Roman" w:cs="Times New Roman"/>
        </w:rPr>
        <w:t xml:space="preserve">. This paper discussed </w:t>
      </w:r>
      <w:r w:rsidR="00592A50">
        <w:rPr>
          <w:rFonts w:ascii="Times New Roman" w:hAnsi="Times New Roman" w:cs="Times New Roman"/>
        </w:rPr>
        <w:t xml:space="preserve">policy streams and the budget process at the initial stages of implementation, </w:t>
      </w:r>
      <w:r w:rsidR="00192E50">
        <w:rPr>
          <w:rFonts w:ascii="Times New Roman" w:hAnsi="Times New Roman" w:cs="Times New Roman"/>
        </w:rPr>
        <w:t>the economics of mitigation and adaptation activities</w:t>
      </w:r>
      <w:r w:rsidR="009E4F57">
        <w:rPr>
          <w:rFonts w:ascii="Times New Roman" w:hAnsi="Times New Roman" w:cs="Times New Roman"/>
        </w:rPr>
        <w:t xml:space="preserve">, contracting and organizational theory considerations, and elements of program evaluation for climate change projects for cities. </w:t>
      </w:r>
      <w:r w:rsidR="00CD01CC">
        <w:rPr>
          <w:rFonts w:ascii="Times New Roman" w:hAnsi="Times New Roman" w:cs="Times New Roman"/>
        </w:rPr>
        <w:t>Between the</w:t>
      </w:r>
      <w:r w:rsidR="00827D16">
        <w:rPr>
          <w:rFonts w:ascii="Times New Roman" w:hAnsi="Times New Roman" w:cs="Times New Roman"/>
        </w:rPr>
        <w:t>se dimensions</w:t>
      </w:r>
      <w:r w:rsidR="00B7272D">
        <w:rPr>
          <w:rFonts w:ascii="Times New Roman" w:hAnsi="Times New Roman" w:cs="Times New Roman"/>
        </w:rPr>
        <w:t xml:space="preserve"> there is</w:t>
      </w:r>
      <w:r w:rsidR="00827D16">
        <w:rPr>
          <w:rFonts w:ascii="Times New Roman" w:hAnsi="Times New Roman" w:cs="Times New Roman"/>
        </w:rPr>
        <w:t xml:space="preserve"> a common theme of </w:t>
      </w:r>
      <w:r w:rsidR="00B7272D">
        <w:rPr>
          <w:rFonts w:ascii="Times New Roman" w:hAnsi="Times New Roman" w:cs="Times New Roman"/>
        </w:rPr>
        <w:t>stakeholder engagement and collaboration</w:t>
      </w:r>
      <w:r w:rsidR="00B848DF">
        <w:rPr>
          <w:rFonts w:ascii="Times New Roman" w:hAnsi="Times New Roman" w:cs="Times New Roman"/>
        </w:rPr>
        <w:t xml:space="preserve">. For a policy to </w:t>
      </w:r>
      <w:r w:rsidR="00D36F48">
        <w:rPr>
          <w:rFonts w:ascii="Times New Roman" w:hAnsi="Times New Roman" w:cs="Times New Roman"/>
        </w:rPr>
        <w:t>make it on the agenda</w:t>
      </w:r>
      <w:r w:rsidR="00B848DF">
        <w:rPr>
          <w:rFonts w:ascii="Times New Roman" w:hAnsi="Times New Roman" w:cs="Times New Roman"/>
        </w:rPr>
        <w:t xml:space="preserve">, it must </w:t>
      </w:r>
      <w:r w:rsidR="00D36F48">
        <w:rPr>
          <w:rFonts w:ascii="Times New Roman" w:hAnsi="Times New Roman" w:cs="Times New Roman"/>
        </w:rPr>
        <w:t xml:space="preserve">appeal to a broad enough section of society that it is politically feasible. </w:t>
      </w:r>
      <w:r w:rsidR="00E618B2">
        <w:rPr>
          <w:rFonts w:ascii="Times New Roman" w:hAnsi="Times New Roman" w:cs="Times New Roman"/>
        </w:rPr>
        <w:t xml:space="preserve">This means that political organizations must be </w:t>
      </w:r>
      <w:r w:rsidR="00512423">
        <w:rPr>
          <w:rFonts w:ascii="Times New Roman" w:hAnsi="Times New Roman" w:cs="Times New Roman"/>
        </w:rPr>
        <w:t xml:space="preserve">in contact </w:t>
      </w:r>
      <w:r w:rsidR="00512423">
        <w:rPr>
          <w:rFonts w:ascii="Times New Roman" w:hAnsi="Times New Roman" w:cs="Times New Roman"/>
        </w:rPr>
        <w:lastRenderedPageBreak/>
        <w:t xml:space="preserve">with citizens and interest groups to gather </w:t>
      </w:r>
      <w:r w:rsidR="006031C8">
        <w:rPr>
          <w:rFonts w:ascii="Times New Roman" w:hAnsi="Times New Roman" w:cs="Times New Roman"/>
        </w:rPr>
        <w:t>stakeholder</w:t>
      </w:r>
      <w:r w:rsidR="00512423">
        <w:rPr>
          <w:rFonts w:ascii="Times New Roman" w:hAnsi="Times New Roman" w:cs="Times New Roman"/>
        </w:rPr>
        <w:t xml:space="preserve"> feelings on a particular climate threat, and what appropriate actions should be taken. </w:t>
      </w:r>
      <w:r w:rsidR="00747EEA">
        <w:rPr>
          <w:rFonts w:ascii="Times New Roman" w:hAnsi="Times New Roman" w:cs="Times New Roman"/>
        </w:rPr>
        <w:t>It should not be forgotten that machines do not move policies between the stages of the policy cycle, people do</w:t>
      </w:r>
      <w:r w:rsidR="00FA7DB8">
        <w:rPr>
          <w:rFonts w:ascii="Times New Roman" w:hAnsi="Times New Roman" w:cs="Times New Roman"/>
        </w:rPr>
        <w:t xml:space="preserve">, and their interactions govern the types of actions that a political body can take. </w:t>
      </w:r>
      <w:r w:rsidR="001076B5">
        <w:rPr>
          <w:rFonts w:ascii="Times New Roman" w:hAnsi="Times New Roman" w:cs="Times New Roman"/>
        </w:rPr>
        <w:t xml:space="preserve">Different decision-making frameworks </w:t>
      </w:r>
      <w:r w:rsidR="00A468BA">
        <w:rPr>
          <w:rFonts w:ascii="Times New Roman" w:hAnsi="Times New Roman" w:cs="Times New Roman"/>
        </w:rPr>
        <w:t>can</w:t>
      </w:r>
      <w:r w:rsidR="001076B5">
        <w:rPr>
          <w:rFonts w:ascii="Times New Roman" w:hAnsi="Times New Roman" w:cs="Times New Roman"/>
        </w:rPr>
        <w:t xml:space="preserve"> </w:t>
      </w:r>
      <w:r w:rsidR="00401D0B">
        <w:rPr>
          <w:rFonts w:ascii="Times New Roman" w:hAnsi="Times New Roman" w:cs="Times New Roman"/>
        </w:rPr>
        <w:t>estimate what a political body</w:t>
      </w:r>
      <w:r w:rsidR="00CA40AA">
        <w:rPr>
          <w:rFonts w:ascii="Times New Roman" w:hAnsi="Times New Roman" w:cs="Times New Roman"/>
        </w:rPr>
        <w:t xml:space="preserve"> of semi-rational individuals</w:t>
      </w:r>
      <w:r w:rsidR="00401D0B">
        <w:rPr>
          <w:rFonts w:ascii="Times New Roman" w:hAnsi="Times New Roman" w:cs="Times New Roman"/>
        </w:rPr>
        <w:t xml:space="preserve"> is capable of</w:t>
      </w:r>
      <w:r w:rsidR="00A468BA">
        <w:rPr>
          <w:rFonts w:ascii="Times New Roman" w:hAnsi="Times New Roman" w:cs="Times New Roman"/>
        </w:rPr>
        <w:t xml:space="preserve">, but there is a need for more research into the behavioral and organizational psychology of groups </w:t>
      </w:r>
      <w:r w:rsidR="00E22596">
        <w:rPr>
          <w:rFonts w:ascii="Times New Roman" w:hAnsi="Times New Roman" w:cs="Times New Roman"/>
        </w:rPr>
        <w:t xml:space="preserve">tackling climate change projects. Also, more research is needed on the efficacy of different tax policies for mitigation and their </w:t>
      </w:r>
      <w:r w:rsidR="00B733E0">
        <w:rPr>
          <w:rFonts w:ascii="Times New Roman" w:hAnsi="Times New Roman" w:cs="Times New Roman"/>
        </w:rPr>
        <w:t xml:space="preserve">real contributions toward reducing emissions. </w:t>
      </w:r>
      <w:r w:rsidR="005C0788">
        <w:rPr>
          <w:rFonts w:ascii="Times New Roman" w:hAnsi="Times New Roman" w:cs="Times New Roman"/>
        </w:rPr>
        <w:t>Ultimately</w:t>
      </w:r>
      <w:r w:rsidR="00AD0766">
        <w:rPr>
          <w:rFonts w:ascii="Times New Roman" w:hAnsi="Times New Roman" w:cs="Times New Roman"/>
        </w:rPr>
        <w:t>,</w:t>
      </w:r>
      <w:r w:rsidR="005C0788">
        <w:rPr>
          <w:rFonts w:ascii="Times New Roman" w:hAnsi="Times New Roman" w:cs="Times New Roman"/>
        </w:rPr>
        <w:t xml:space="preserve"> mitigation and adaptation policies should </w:t>
      </w:r>
      <w:r w:rsidR="007D6747">
        <w:rPr>
          <w:rFonts w:ascii="Times New Roman" w:hAnsi="Times New Roman" w:cs="Times New Roman"/>
        </w:rPr>
        <w:t>complement</w:t>
      </w:r>
      <w:r w:rsidR="005C0788">
        <w:rPr>
          <w:rFonts w:ascii="Times New Roman" w:hAnsi="Times New Roman" w:cs="Times New Roman"/>
        </w:rPr>
        <w:t xml:space="preserve"> each other to </w:t>
      </w:r>
      <w:r w:rsidR="007D6747">
        <w:rPr>
          <w:rFonts w:ascii="Times New Roman" w:hAnsi="Times New Roman" w:cs="Times New Roman"/>
        </w:rPr>
        <w:t xml:space="preserve">build a city that is sustainable and resilient to threats from climate change. </w:t>
      </w:r>
    </w:p>
    <w:p w14:paraId="47153EE3" w14:textId="77777777" w:rsidR="000C0AAE" w:rsidRDefault="000C0AAE" w:rsidP="005658C6">
      <w:pPr>
        <w:spacing w:line="480" w:lineRule="auto"/>
        <w:rPr>
          <w:rFonts w:ascii="Times New Roman" w:hAnsi="Times New Roman" w:cs="Times New Roman"/>
        </w:rPr>
      </w:pPr>
    </w:p>
    <w:p w14:paraId="533D14C5" w14:textId="77777777" w:rsidR="006D079B" w:rsidRDefault="006D079B" w:rsidP="000C0AAE">
      <w:pPr>
        <w:spacing w:line="480" w:lineRule="auto"/>
        <w:jc w:val="center"/>
        <w:rPr>
          <w:rFonts w:ascii="Times New Roman" w:hAnsi="Times New Roman" w:cs="Times New Roman"/>
          <w:b/>
          <w:bCs/>
        </w:rPr>
      </w:pPr>
    </w:p>
    <w:p w14:paraId="228D1BDE" w14:textId="77777777" w:rsidR="006D079B" w:rsidRDefault="006D079B" w:rsidP="000C0AAE">
      <w:pPr>
        <w:spacing w:line="480" w:lineRule="auto"/>
        <w:jc w:val="center"/>
        <w:rPr>
          <w:rFonts w:ascii="Times New Roman" w:hAnsi="Times New Roman" w:cs="Times New Roman"/>
          <w:b/>
          <w:bCs/>
        </w:rPr>
      </w:pPr>
    </w:p>
    <w:p w14:paraId="4521F0B0" w14:textId="77777777" w:rsidR="006D079B" w:rsidRDefault="006D079B" w:rsidP="000C0AAE">
      <w:pPr>
        <w:spacing w:line="480" w:lineRule="auto"/>
        <w:jc w:val="center"/>
        <w:rPr>
          <w:rFonts w:ascii="Times New Roman" w:hAnsi="Times New Roman" w:cs="Times New Roman"/>
          <w:b/>
          <w:bCs/>
        </w:rPr>
      </w:pPr>
    </w:p>
    <w:p w14:paraId="2F8AD66B" w14:textId="77777777" w:rsidR="006D079B" w:rsidRDefault="006D079B" w:rsidP="000C0AAE">
      <w:pPr>
        <w:spacing w:line="480" w:lineRule="auto"/>
        <w:jc w:val="center"/>
        <w:rPr>
          <w:rFonts w:ascii="Times New Roman" w:hAnsi="Times New Roman" w:cs="Times New Roman"/>
          <w:b/>
          <w:bCs/>
        </w:rPr>
      </w:pPr>
    </w:p>
    <w:p w14:paraId="375E2F66" w14:textId="77777777" w:rsidR="006D079B" w:rsidRDefault="006D079B" w:rsidP="000C0AAE">
      <w:pPr>
        <w:spacing w:line="480" w:lineRule="auto"/>
        <w:jc w:val="center"/>
        <w:rPr>
          <w:rFonts w:ascii="Times New Roman" w:hAnsi="Times New Roman" w:cs="Times New Roman"/>
          <w:b/>
          <w:bCs/>
        </w:rPr>
      </w:pPr>
    </w:p>
    <w:p w14:paraId="3521D7F7" w14:textId="77777777" w:rsidR="006D079B" w:rsidRDefault="006D079B" w:rsidP="000C0AAE">
      <w:pPr>
        <w:spacing w:line="480" w:lineRule="auto"/>
        <w:jc w:val="center"/>
        <w:rPr>
          <w:rFonts w:ascii="Times New Roman" w:hAnsi="Times New Roman" w:cs="Times New Roman"/>
          <w:b/>
          <w:bCs/>
        </w:rPr>
      </w:pPr>
    </w:p>
    <w:p w14:paraId="7FF603B9" w14:textId="77777777" w:rsidR="006D079B" w:rsidRDefault="006D079B" w:rsidP="000C0AAE">
      <w:pPr>
        <w:spacing w:line="480" w:lineRule="auto"/>
        <w:jc w:val="center"/>
        <w:rPr>
          <w:rFonts w:ascii="Times New Roman" w:hAnsi="Times New Roman" w:cs="Times New Roman"/>
          <w:b/>
          <w:bCs/>
        </w:rPr>
      </w:pPr>
    </w:p>
    <w:p w14:paraId="5AD1117A" w14:textId="77777777" w:rsidR="006D079B" w:rsidRDefault="006D079B" w:rsidP="000C0AAE">
      <w:pPr>
        <w:spacing w:line="480" w:lineRule="auto"/>
        <w:jc w:val="center"/>
        <w:rPr>
          <w:rFonts w:ascii="Times New Roman" w:hAnsi="Times New Roman" w:cs="Times New Roman"/>
          <w:b/>
          <w:bCs/>
        </w:rPr>
      </w:pPr>
    </w:p>
    <w:p w14:paraId="6A4FD301" w14:textId="77777777" w:rsidR="006D079B" w:rsidRDefault="006D079B" w:rsidP="000C0AAE">
      <w:pPr>
        <w:spacing w:line="480" w:lineRule="auto"/>
        <w:jc w:val="center"/>
        <w:rPr>
          <w:rFonts w:ascii="Times New Roman" w:hAnsi="Times New Roman" w:cs="Times New Roman"/>
          <w:b/>
          <w:bCs/>
        </w:rPr>
      </w:pPr>
    </w:p>
    <w:p w14:paraId="3606F09A" w14:textId="77777777" w:rsidR="006D079B" w:rsidRDefault="006D079B" w:rsidP="000C0AAE">
      <w:pPr>
        <w:spacing w:line="480" w:lineRule="auto"/>
        <w:jc w:val="center"/>
        <w:rPr>
          <w:rFonts w:ascii="Times New Roman" w:hAnsi="Times New Roman" w:cs="Times New Roman"/>
          <w:b/>
          <w:bCs/>
        </w:rPr>
      </w:pPr>
    </w:p>
    <w:p w14:paraId="633445CA" w14:textId="77777777" w:rsidR="006D079B" w:rsidRDefault="006D079B" w:rsidP="000C0AAE">
      <w:pPr>
        <w:spacing w:line="480" w:lineRule="auto"/>
        <w:jc w:val="center"/>
        <w:rPr>
          <w:rFonts w:ascii="Times New Roman" w:hAnsi="Times New Roman" w:cs="Times New Roman"/>
          <w:b/>
          <w:bCs/>
        </w:rPr>
      </w:pPr>
    </w:p>
    <w:p w14:paraId="6143B2F0" w14:textId="77777777" w:rsidR="005278BE" w:rsidRDefault="005278BE" w:rsidP="000C0AAE">
      <w:pPr>
        <w:spacing w:line="480" w:lineRule="auto"/>
        <w:jc w:val="center"/>
        <w:rPr>
          <w:rFonts w:ascii="Times New Roman" w:hAnsi="Times New Roman" w:cs="Times New Roman"/>
          <w:b/>
          <w:bCs/>
        </w:rPr>
      </w:pPr>
    </w:p>
    <w:p w14:paraId="4D3C3DAB" w14:textId="6EA594A0" w:rsidR="000C0AAE" w:rsidRDefault="000C0AAE" w:rsidP="000C0AAE">
      <w:pPr>
        <w:spacing w:line="480" w:lineRule="auto"/>
        <w:jc w:val="center"/>
        <w:rPr>
          <w:rFonts w:ascii="Times New Roman" w:hAnsi="Times New Roman" w:cs="Times New Roman"/>
          <w:b/>
          <w:bCs/>
        </w:rPr>
      </w:pPr>
      <w:r>
        <w:rPr>
          <w:rFonts w:ascii="Times New Roman" w:hAnsi="Times New Roman" w:cs="Times New Roman"/>
          <w:b/>
          <w:bCs/>
        </w:rPr>
        <w:lastRenderedPageBreak/>
        <w:t>References</w:t>
      </w:r>
    </w:p>
    <w:p w14:paraId="1B16B70B" w14:textId="77777777" w:rsidR="000C0AAE" w:rsidRPr="00385F4D" w:rsidRDefault="000C0AAE" w:rsidP="000C0AAE">
      <w:pPr>
        <w:shd w:val="clear" w:color="auto" w:fill="FFFFFF"/>
        <w:spacing w:line="480" w:lineRule="auto"/>
        <w:ind w:left="720" w:hanging="720"/>
        <w:rPr>
          <w:rFonts w:ascii="Times New Roman" w:eastAsia="Times New Roman" w:hAnsi="Times New Roman" w:cs="Times New Roman"/>
        </w:rPr>
      </w:pPr>
      <w:proofErr w:type="spellStart"/>
      <w:r w:rsidRPr="00BB5730">
        <w:rPr>
          <w:rFonts w:ascii="Times New Roman" w:eastAsia="Times New Roman" w:hAnsi="Times New Roman" w:cs="Times New Roman"/>
          <w:color w:val="000000"/>
        </w:rPr>
        <w:t>Agranoff</w:t>
      </w:r>
      <w:proofErr w:type="spellEnd"/>
      <w:r w:rsidRPr="00BB5730">
        <w:rPr>
          <w:rFonts w:ascii="Times New Roman" w:eastAsia="Times New Roman" w:hAnsi="Times New Roman" w:cs="Times New Roman"/>
          <w:color w:val="000000"/>
        </w:rPr>
        <w:t>, R. (</w:t>
      </w:r>
      <w:r w:rsidRPr="00BB5730">
        <w:rPr>
          <w:rFonts w:ascii="Times New Roman" w:eastAsia="Times New Roman" w:hAnsi="Times New Roman" w:cs="Times New Roman"/>
          <w:color w:val="000000"/>
          <w:lang w:val="es-ES"/>
        </w:rPr>
        <w:t>2012</w:t>
      </w:r>
      <w:r w:rsidRPr="00BB5730">
        <w:rPr>
          <w:rFonts w:ascii="Times New Roman" w:eastAsia="Times New Roman" w:hAnsi="Times New Roman" w:cs="Times New Roman"/>
          <w:color w:val="000000"/>
        </w:rPr>
        <w:t xml:space="preserve">). </w:t>
      </w:r>
      <w:r w:rsidRPr="00BB5730">
        <w:rPr>
          <w:rFonts w:ascii="Times New Roman" w:eastAsia="Times New Roman" w:hAnsi="Times New Roman" w:cs="Times New Roman"/>
          <w:i/>
          <w:iCs/>
          <w:color w:val="000000"/>
        </w:rPr>
        <w:t>Collaborating to Manage: A Primer for the Public Sector</w:t>
      </w:r>
      <w:r w:rsidRPr="00BB5730">
        <w:rPr>
          <w:rFonts w:ascii="Times New Roman" w:eastAsia="Times New Roman" w:hAnsi="Times New Roman" w:cs="Times New Roman"/>
          <w:color w:val="000000"/>
        </w:rPr>
        <w:t>. Washington, D.C.: Georgetown University Press.</w:t>
      </w:r>
    </w:p>
    <w:p w14:paraId="5178E661" w14:textId="77777777" w:rsidR="000C0AAE" w:rsidRDefault="000C0AAE" w:rsidP="000C0AAE">
      <w:pPr>
        <w:spacing w:line="480" w:lineRule="auto"/>
        <w:ind w:left="720" w:hanging="720"/>
        <w:rPr>
          <w:rFonts w:ascii="Times New Roman" w:hAnsi="Times New Roman" w:cs="Times New Roman"/>
        </w:rPr>
      </w:pPr>
      <w:r w:rsidRPr="00997779">
        <w:rPr>
          <w:rFonts w:ascii="Times New Roman" w:hAnsi="Times New Roman" w:cs="Times New Roman"/>
        </w:rPr>
        <w:t xml:space="preserve">Ahmad, </w:t>
      </w:r>
      <w:r>
        <w:rPr>
          <w:rFonts w:ascii="Times New Roman" w:hAnsi="Times New Roman" w:cs="Times New Roman"/>
        </w:rPr>
        <w:t>V.</w:t>
      </w:r>
      <w:r w:rsidRPr="00997779">
        <w:rPr>
          <w:rFonts w:ascii="Times New Roman" w:hAnsi="Times New Roman" w:cs="Times New Roman"/>
        </w:rPr>
        <w:t xml:space="preserve"> A., &amp; Xiao, K. (2018). Contracting arrangements and public private partnerships for sustainable development. </w:t>
      </w:r>
      <w:r w:rsidRPr="00385F4D">
        <w:rPr>
          <w:rFonts w:ascii="Times New Roman" w:hAnsi="Times New Roman" w:cs="Times New Roman"/>
          <w:i/>
          <w:iCs/>
        </w:rPr>
        <w:t>Public Sector Economics</w:t>
      </w:r>
      <w:r w:rsidRPr="00997779">
        <w:rPr>
          <w:rFonts w:ascii="Times New Roman" w:hAnsi="Times New Roman" w:cs="Times New Roman"/>
        </w:rPr>
        <w:t xml:space="preserve">, 42(2), 145–169. </w:t>
      </w:r>
      <w:hyperlink r:id="rId8" w:history="1">
        <w:r w:rsidRPr="00630680">
          <w:rPr>
            <w:rStyle w:val="Hyperlink"/>
            <w:rFonts w:ascii="Times New Roman" w:hAnsi="Times New Roman" w:cs="Times New Roman"/>
          </w:rPr>
          <w:t>https://doi.org/10.3326/pse.42.2.8</w:t>
        </w:r>
      </w:hyperlink>
    </w:p>
    <w:p w14:paraId="262AF8B9" w14:textId="77777777" w:rsidR="000C0AAE" w:rsidRPr="00E13E16" w:rsidRDefault="000C0AAE" w:rsidP="000C0AAE">
      <w:pPr>
        <w:shd w:val="clear" w:color="auto" w:fill="FFFFFF"/>
        <w:spacing w:line="480" w:lineRule="auto"/>
        <w:ind w:left="720" w:hanging="720"/>
        <w:rPr>
          <w:rFonts w:ascii="Times New Roman" w:hAnsi="Times New Roman" w:cs="Times New Roman"/>
          <w:color w:val="000000"/>
        </w:rPr>
      </w:pPr>
      <w:r w:rsidRPr="00E13E16">
        <w:rPr>
          <w:rFonts w:ascii="Times New Roman" w:hAnsi="Times New Roman" w:cs="Times New Roman"/>
          <w:color w:val="000000"/>
        </w:rPr>
        <w:t xml:space="preserve">Azevedo, I., &amp; Leal, V. M. S. (2017). Methodologies for the evaluation of local climate change mitigation actions: A review. Renewable &amp; Sustainable Energy Reviews, 79, 681–690. </w:t>
      </w:r>
      <w:hyperlink r:id="rId9" w:history="1">
        <w:r w:rsidRPr="00E13E16">
          <w:rPr>
            <w:rFonts w:ascii="Times New Roman" w:hAnsi="Times New Roman" w:cs="Times New Roman"/>
            <w:color w:val="000000"/>
          </w:rPr>
          <w:t>https://doi.org/10.1016/j.rser.2017.05.100</w:t>
        </w:r>
      </w:hyperlink>
    </w:p>
    <w:p w14:paraId="599490BF" w14:textId="77777777" w:rsidR="000C0AAE" w:rsidRDefault="000C0AAE" w:rsidP="000C0AAE">
      <w:pPr>
        <w:spacing w:line="480" w:lineRule="auto"/>
        <w:ind w:left="720" w:hanging="720"/>
        <w:rPr>
          <w:rFonts w:ascii="Times New Roman" w:hAnsi="Times New Roman" w:cs="Times New Roman"/>
        </w:rPr>
      </w:pPr>
      <w:r w:rsidRPr="00744D01">
        <w:rPr>
          <w:rFonts w:ascii="Times New Roman" w:hAnsi="Times New Roman" w:cs="Times New Roman"/>
        </w:rPr>
        <w:t>Birkland, T. A. (2020). An Introduction to the Policy Process: Theories, Concepts, and Models of Public Policy Making (5th ed.). New York, NY: Routledge</w:t>
      </w:r>
    </w:p>
    <w:p w14:paraId="3381CA6D" w14:textId="77777777" w:rsidR="000C0AAE" w:rsidRDefault="000C0AAE" w:rsidP="000C0AAE">
      <w:pPr>
        <w:spacing w:line="480" w:lineRule="auto"/>
        <w:ind w:left="720" w:hanging="720"/>
        <w:rPr>
          <w:rFonts w:ascii="Times New Roman" w:hAnsi="Times New Roman" w:cs="Times New Roman"/>
        </w:rPr>
      </w:pPr>
      <w:r w:rsidRPr="00B340FF">
        <w:rPr>
          <w:rFonts w:ascii="Times New Roman" w:hAnsi="Times New Roman" w:cs="Times New Roman"/>
        </w:rPr>
        <w:t xml:space="preserve">Brewer, </w:t>
      </w:r>
      <w:r>
        <w:rPr>
          <w:rFonts w:ascii="Times New Roman" w:hAnsi="Times New Roman" w:cs="Times New Roman"/>
        </w:rPr>
        <w:t>G.,</w:t>
      </w:r>
      <w:r w:rsidRPr="00B340FF">
        <w:rPr>
          <w:rFonts w:ascii="Times New Roman" w:hAnsi="Times New Roman" w:cs="Times New Roman"/>
        </w:rPr>
        <w:t xml:space="preserve"> </w:t>
      </w:r>
      <w:r>
        <w:rPr>
          <w:rFonts w:ascii="Times New Roman" w:hAnsi="Times New Roman" w:cs="Times New Roman"/>
        </w:rPr>
        <w:t xml:space="preserve">&amp; </w:t>
      </w:r>
      <w:proofErr w:type="spellStart"/>
      <w:r w:rsidRPr="00B340FF">
        <w:rPr>
          <w:rFonts w:ascii="Times New Roman" w:hAnsi="Times New Roman" w:cs="Times New Roman"/>
        </w:rPr>
        <w:t>deLeon</w:t>
      </w:r>
      <w:proofErr w:type="spellEnd"/>
      <w:r>
        <w:rPr>
          <w:rFonts w:ascii="Times New Roman" w:hAnsi="Times New Roman" w:cs="Times New Roman"/>
        </w:rPr>
        <w:t>, P.</w:t>
      </w:r>
      <w:r w:rsidRPr="00B340FF">
        <w:rPr>
          <w:rFonts w:ascii="Times New Roman" w:hAnsi="Times New Roman" w:cs="Times New Roman"/>
        </w:rPr>
        <w:t xml:space="preserve"> (1983). </w:t>
      </w:r>
      <w:r w:rsidRPr="00B340FF">
        <w:rPr>
          <w:rFonts w:ascii="Times New Roman" w:hAnsi="Times New Roman" w:cs="Times New Roman"/>
          <w:i/>
          <w:iCs/>
        </w:rPr>
        <w:t>The Foundations of Policy Analys</w:t>
      </w:r>
      <w:r w:rsidRPr="008870F9">
        <w:rPr>
          <w:rFonts w:ascii="Times New Roman" w:hAnsi="Times New Roman" w:cs="Times New Roman"/>
          <w:i/>
          <w:iCs/>
        </w:rPr>
        <w:t>is</w:t>
      </w:r>
      <w:r w:rsidRPr="00B340FF">
        <w:rPr>
          <w:rFonts w:ascii="Times New Roman" w:hAnsi="Times New Roman" w:cs="Times New Roman"/>
        </w:rPr>
        <w:t>, Pacific Grove: Brooks/Cole.</w:t>
      </w:r>
    </w:p>
    <w:p w14:paraId="153F85AD" w14:textId="77777777" w:rsidR="000C0AAE" w:rsidRDefault="000C0AAE" w:rsidP="000C0AAE">
      <w:pPr>
        <w:spacing w:line="480" w:lineRule="auto"/>
        <w:ind w:left="720" w:hanging="720"/>
        <w:rPr>
          <w:rFonts w:ascii="Times New Roman" w:hAnsi="Times New Roman" w:cs="Times New Roman"/>
        </w:rPr>
      </w:pPr>
      <w:r w:rsidRPr="009B4575">
        <w:rPr>
          <w:rFonts w:ascii="Times New Roman" w:hAnsi="Times New Roman" w:cs="Times New Roman"/>
        </w:rPr>
        <w:t>Brown, M.A.</w:t>
      </w:r>
      <w:r>
        <w:rPr>
          <w:rFonts w:ascii="Times New Roman" w:hAnsi="Times New Roman" w:cs="Times New Roman"/>
        </w:rPr>
        <w:t xml:space="preserve"> (</w:t>
      </w:r>
      <w:r w:rsidRPr="009B4575">
        <w:rPr>
          <w:rFonts w:ascii="Times New Roman" w:hAnsi="Times New Roman" w:cs="Times New Roman"/>
        </w:rPr>
        <w:t>2001</w:t>
      </w:r>
      <w:r>
        <w:rPr>
          <w:rFonts w:ascii="Times New Roman" w:hAnsi="Times New Roman" w:cs="Times New Roman"/>
        </w:rPr>
        <w:t>)</w:t>
      </w:r>
      <w:r w:rsidRPr="009B4575">
        <w:rPr>
          <w:rFonts w:ascii="Times New Roman" w:hAnsi="Times New Roman" w:cs="Times New Roman"/>
        </w:rPr>
        <w:t xml:space="preserve">. Market failures and barriers as a basis for clean energy policies. </w:t>
      </w:r>
      <w:r w:rsidRPr="009B4575">
        <w:rPr>
          <w:rFonts w:ascii="Times New Roman" w:hAnsi="Times New Roman" w:cs="Times New Roman"/>
          <w:i/>
          <w:iCs/>
        </w:rPr>
        <w:t>Energy Policy</w:t>
      </w:r>
      <w:r w:rsidRPr="009B4575">
        <w:rPr>
          <w:rFonts w:ascii="Times New Roman" w:hAnsi="Times New Roman" w:cs="Times New Roman"/>
        </w:rPr>
        <w:t xml:space="preserve"> 29 (14), 1197–1207</w:t>
      </w:r>
      <w:r>
        <w:rPr>
          <w:rFonts w:ascii="Times New Roman" w:hAnsi="Times New Roman" w:cs="Times New Roman"/>
        </w:rPr>
        <w:t>.</w:t>
      </w:r>
    </w:p>
    <w:p w14:paraId="40F7FBAA" w14:textId="77777777" w:rsidR="000C0AAE" w:rsidRDefault="000C0AAE" w:rsidP="000C0AAE">
      <w:pPr>
        <w:spacing w:line="480" w:lineRule="auto"/>
        <w:ind w:left="720" w:hanging="720"/>
        <w:rPr>
          <w:rFonts w:ascii="Times New Roman" w:hAnsi="Times New Roman" w:cs="Times New Roman"/>
        </w:rPr>
      </w:pPr>
      <w:proofErr w:type="spellStart"/>
      <w:r w:rsidRPr="00766B35">
        <w:rPr>
          <w:rFonts w:ascii="Times New Roman" w:hAnsi="Times New Roman" w:cs="Times New Roman"/>
        </w:rPr>
        <w:t>Buso</w:t>
      </w:r>
      <w:proofErr w:type="spellEnd"/>
      <w:r w:rsidRPr="00766B35">
        <w:rPr>
          <w:rFonts w:ascii="Times New Roman" w:hAnsi="Times New Roman" w:cs="Times New Roman"/>
        </w:rPr>
        <w:t xml:space="preserve">, M., &amp; Stenger, A. (2018). Public-private partnerships as a policy response to climate change. </w:t>
      </w:r>
      <w:r w:rsidRPr="00766B35">
        <w:rPr>
          <w:rFonts w:ascii="Times New Roman" w:hAnsi="Times New Roman" w:cs="Times New Roman"/>
          <w:i/>
          <w:iCs/>
        </w:rPr>
        <w:t>Energy Policy</w:t>
      </w:r>
      <w:r w:rsidRPr="00766B35">
        <w:rPr>
          <w:rFonts w:ascii="Times New Roman" w:hAnsi="Times New Roman" w:cs="Times New Roman"/>
        </w:rPr>
        <w:t xml:space="preserve">, 119, 487–494. </w:t>
      </w:r>
      <w:hyperlink r:id="rId10" w:history="1">
        <w:r w:rsidRPr="00766B35">
          <w:rPr>
            <w:rFonts w:ascii="Times New Roman" w:hAnsi="Times New Roman" w:cs="Times New Roman"/>
          </w:rPr>
          <w:t>https://doi.org/10.1016/j.enpol.2018.04.063</w:t>
        </w:r>
      </w:hyperlink>
    </w:p>
    <w:p w14:paraId="038D62F5" w14:textId="5C25001B" w:rsidR="000C0AAE" w:rsidRPr="00272A47" w:rsidRDefault="000C0AAE" w:rsidP="00272A47">
      <w:pPr>
        <w:spacing w:line="480" w:lineRule="auto"/>
        <w:ind w:left="720" w:hanging="720"/>
        <w:rPr>
          <w:rFonts w:ascii="Times New Roman" w:hAnsi="Times New Roman" w:cs="Times New Roman"/>
        </w:rPr>
      </w:pPr>
      <w:r w:rsidRPr="00272A47">
        <w:rPr>
          <w:rFonts w:ascii="Times New Roman" w:hAnsi="Times New Roman" w:cs="Times New Roman"/>
        </w:rPr>
        <w:t>[CDC]</w:t>
      </w:r>
      <w:r w:rsidR="00462221">
        <w:rPr>
          <w:rFonts w:ascii="Times New Roman" w:hAnsi="Times New Roman" w:cs="Times New Roman"/>
        </w:rPr>
        <w:t xml:space="preserve"> </w:t>
      </w:r>
      <w:r w:rsidR="00E84C60">
        <w:rPr>
          <w:rFonts w:ascii="Times New Roman" w:hAnsi="Times New Roman" w:cs="Times New Roman"/>
        </w:rPr>
        <w:t xml:space="preserve">Center for Disease Control. </w:t>
      </w:r>
      <w:r w:rsidR="00462221">
        <w:rPr>
          <w:rFonts w:ascii="Times New Roman" w:hAnsi="Times New Roman" w:cs="Times New Roman"/>
        </w:rPr>
        <w:t>(</w:t>
      </w:r>
      <w:r w:rsidR="00E84C60">
        <w:rPr>
          <w:rFonts w:ascii="Times New Roman" w:hAnsi="Times New Roman" w:cs="Times New Roman"/>
        </w:rPr>
        <w:t>2021</w:t>
      </w:r>
      <w:r w:rsidR="00462221">
        <w:rPr>
          <w:rFonts w:ascii="Times New Roman" w:hAnsi="Times New Roman" w:cs="Times New Roman"/>
        </w:rPr>
        <w:t>)</w:t>
      </w:r>
      <w:r w:rsidR="00E84C60">
        <w:rPr>
          <w:rFonts w:ascii="Times New Roman" w:hAnsi="Times New Roman" w:cs="Times New Roman"/>
        </w:rPr>
        <w:t>.</w:t>
      </w:r>
      <w:r w:rsidRPr="00272A47">
        <w:rPr>
          <w:rFonts w:ascii="Times New Roman" w:hAnsi="Times New Roman" w:cs="Times New Roman"/>
        </w:rPr>
        <w:t xml:space="preserve"> </w:t>
      </w:r>
      <w:r w:rsidRPr="00272A47">
        <w:rPr>
          <w:rFonts w:ascii="Times New Roman" w:hAnsi="Times New Roman" w:cs="Times New Roman"/>
          <w:i/>
          <w:iCs/>
        </w:rPr>
        <w:t>CDC Program Evaluation Steps</w:t>
      </w:r>
      <w:r w:rsidRPr="00272A47">
        <w:rPr>
          <w:rFonts w:ascii="Times New Roman" w:hAnsi="Times New Roman" w:cs="Times New Roman"/>
        </w:rPr>
        <w:t>. (2022, February 8).</w:t>
      </w:r>
      <w:r w:rsidRPr="00272A47">
        <w:rPr>
          <w:rFonts w:ascii="Times New Roman" w:hAnsi="Times New Roman" w:cs="Times New Roman"/>
        </w:rPr>
        <w:t xml:space="preserve"> </w:t>
      </w:r>
      <w:hyperlink r:id="rId11" w:history="1">
        <w:r w:rsidRPr="00272A47">
          <w:rPr>
            <w:rStyle w:val="Hyperlink"/>
            <w:rFonts w:ascii="Times New Roman" w:hAnsi="Times New Roman" w:cs="Times New Roman"/>
          </w:rPr>
          <w:t>https://www.cdc.gov/evalua</w:t>
        </w:r>
        <w:r w:rsidRPr="00272A47">
          <w:rPr>
            <w:rStyle w:val="Hyperlink"/>
            <w:rFonts w:ascii="Times New Roman" w:hAnsi="Times New Roman" w:cs="Times New Roman"/>
          </w:rPr>
          <w:t>t</w:t>
        </w:r>
        <w:r w:rsidRPr="00272A47">
          <w:rPr>
            <w:rStyle w:val="Hyperlink"/>
            <w:rFonts w:ascii="Times New Roman" w:hAnsi="Times New Roman" w:cs="Times New Roman"/>
          </w:rPr>
          <w:t>ion/steps/index.htm</w:t>
        </w:r>
      </w:hyperlink>
    </w:p>
    <w:p w14:paraId="13AABC8B" w14:textId="77777777" w:rsidR="00272A47" w:rsidRDefault="000C0AAE" w:rsidP="00272A47">
      <w:pPr>
        <w:spacing w:line="480" w:lineRule="auto"/>
        <w:ind w:left="720" w:hanging="720"/>
        <w:rPr>
          <w:rFonts w:ascii="Times New Roman" w:hAnsi="Times New Roman" w:cs="Times New Roman"/>
        </w:rPr>
      </w:pPr>
      <w:proofErr w:type="spellStart"/>
      <w:r w:rsidRPr="00ED3089">
        <w:rPr>
          <w:rFonts w:ascii="Times New Roman" w:hAnsi="Times New Roman" w:cs="Times New Roman"/>
        </w:rPr>
        <w:t>DellaVigna</w:t>
      </w:r>
      <w:proofErr w:type="spellEnd"/>
      <w:r w:rsidRPr="00ED3089">
        <w:rPr>
          <w:rFonts w:ascii="Times New Roman" w:hAnsi="Times New Roman" w:cs="Times New Roman"/>
        </w:rPr>
        <w:t xml:space="preserve">, </w:t>
      </w:r>
      <w:r>
        <w:rPr>
          <w:rFonts w:ascii="Times New Roman" w:hAnsi="Times New Roman" w:cs="Times New Roman"/>
        </w:rPr>
        <w:t>S</w:t>
      </w:r>
      <w:r w:rsidRPr="00ED3089">
        <w:rPr>
          <w:rFonts w:ascii="Times New Roman" w:hAnsi="Times New Roman" w:cs="Times New Roman"/>
        </w:rPr>
        <w:t xml:space="preserve">. </w:t>
      </w:r>
      <w:r>
        <w:rPr>
          <w:rFonts w:ascii="Times New Roman" w:hAnsi="Times New Roman" w:cs="Times New Roman"/>
        </w:rPr>
        <w:t>(</w:t>
      </w:r>
      <w:r w:rsidRPr="00ED3089">
        <w:rPr>
          <w:rFonts w:ascii="Times New Roman" w:hAnsi="Times New Roman" w:cs="Times New Roman"/>
        </w:rPr>
        <w:t>2009</w:t>
      </w:r>
      <w:r>
        <w:rPr>
          <w:rFonts w:ascii="Times New Roman" w:hAnsi="Times New Roman" w:cs="Times New Roman"/>
        </w:rPr>
        <w:t>)</w:t>
      </w:r>
      <w:r w:rsidRPr="00ED3089">
        <w:rPr>
          <w:rFonts w:ascii="Times New Roman" w:hAnsi="Times New Roman" w:cs="Times New Roman"/>
        </w:rPr>
        <w:t xml:space="preserve">. Psychology and economics: Evidence from the field. </w:t>
      </w:r>
      <w:r w:rsidRPr="00ED3089">
        <w:rPr>
          <w:rFonts w:ascii="Times New Roman" w:hAnsi="Times New Roman" w:cs="Times New Roman"/>
          <w:i/>
          <w:iCs/>
        </w:rPr>
        <w:t>Journal of Economic Literature</w:t>
      </w:r>
      <w:r w:rsidRPr="00ED3089">
        <w:rPr>
          <w:rFonts w:ascii="Times New Roman" w:hAnsi="Times New Roman" w:cs="Times New Roman"/>
        </w:rPr>
        <w:t xml:space="preserve"> 47 (2): 315–72.</w:t>
      </w:r>
    </w:p>
    <w:p w14:paraId="1B6CD162" w14:textId="408399A9" w:rsidR="000C0AAE" w:rsidRDefault="000C0AAE" w:rsidP="00272A47">
      <w:pPr>
        <w:spacing w:line="480" w:lineRule="auto"/>
        <w:ind w:left="720" w:hanging="720"/>
        <w:rPr>
          <w:rFonts w:ascii="Times New Roman" w:hAnsi="Times New Roman" w:cs="Times New Roman"/>
        </w:rPr>
      </w:pPr>
      <w:r w:rsidRPr="00664D4E">
        <w:rPr>
          <w:rFonts w:ascii="Times New Roman" w:hAnsi="Times New Roman" w:cs="Times New Roman"/>
        </w:rPr>
        <w:lastRenderedPageBreak/>
        <w:t xml:space="preserve">de Mello, L., &amp; Martinez-Vazquez, J. (2022). Climate Change Implications for the Public Finances and Fiscal Policy: An Agenda for Future Research and Filling the Gaps in Scholarly Work. </w:t>
      </w:r>
      <w:r w:rsidRPr="00664D4E">
        <w:rPr>
          <w:rFonts w:ascii="Times New Roman" w:hAnsi="Times New Roman" w:cs="Times New Roman"/>
          <w:i/>
          <w:iCs/>
        </w:rPr>
        <w:t>Economics</w:t>
      </w:r>
      <w:r w:rsidRPr="00664D4E">
        <w:rPr>
          <w:rFonts w:ascii="Times New Roman" w:hAnsi="Times New Roman" w:cs="Times New Roman"/>
        </w:rPr>
        <w:t xml:space="preserve">, 16(1), 194–198. </w:t>
      </w:r>
      <w:hyperlink r:id="rId12" w:history="1">
        <w:r w:rsidRPr="00664D4E">
          <w:rPr>
            <w:rFonts w:ascii="Times New Roman" w:hAnsi="Times New Roman" w:cs="Times New Roman"/>
          </w:rPr>
          <w:t>https://doi.org/10.1515/econ-2022-0026</w:t>
        </w:r>
      </w:hyperlink>
    </w:p>
    <w:p w14:paraId="38A963EF" w14:textId="77777777" w:rsidR="000C0AAE" w:rsidRDefault="000C0AAE" w:rsidP="000C0AAE">
      <w:pPr>
        <w:spacing w:line="480" w:lineRule="auto"/>
        <w:ind w:left="720" w:hanging="720"/>
        <w:rPr>
          <w:rFonts w:ascii="Times New Roman" w:hAnsi="Times New Roman" w:cs="Times New Roman"/>
        </w:rPr>
      </w:pPr>
      <w:r w:rsidRPr="003D0CA5">
        <w:rPr>
          <w:rFonts w:ascii="Times New Roman" w:hAnsi="Times New Roman" w:cs="Times New Roman"/>
        </w:rPr>
        <w:t xml:space="preserve">Gillingham, K., &amp; Palmer, K. (2014). Bridging the Energy Efficiency Gap: Policy Insights from Economic Theory and Empirical Evidence. </w:t>
      </w:r>
      <w:r w:rsidRPr="003D0CA5">
        <w:rPr>
          <w:rFonts w:ascii="Times New Roman" w:hAnsi="Times New Roman" w:cs="Times New Roman"/>
          <w:i/>
          <w:iCs/>
        </w:rPr>
        <w:t>Review of Environmental Economics and Policy</w:t>
      </w:r>
      <w:r w:rsidRPr="003D0CA5">
        <w:rPr>
          <w:rFonts w:ascii="Times New Roman" w:hAnsi="Times New Roman" w:cs="Times New Roman"/>
        </w:rPr>
        <w:t xml:space="preserve">, 8(1), 18–38. </w:t>
      </w:r>
      <w:hyperlink r:id="rId13" w:history="1">
        <w:r w:rsidRPr="003D0CA5">
          <w:rPr>
            <w:rFonts w:ascii="Times New Roman" w:hAnsi="Times New Roman" w:cs="Times New Roman"/>
          </w:rPr>
          <w:t>https://doi.org/10.1093/reep/ret021</w:t>
        </w:r>
      </w:hyperlink>
    </w:p>
    <w:p w14:paraId="556B9EAA" w14:textId="77777777" w:rsidR="000C0AAE" w:rsidRPr="008020E5" w:rsidRDefault="000C0AAE" w:rsidP="000C0AAE">
      <w:pPr>
        <w:spacing w:line="480" w:lineRule="auto"/>
        <w:ind w:left="720" w:hanging="720"/>
        <w:rPr>
          <w:rFonts w:ascii="Times New Roman" w:hAnsi="Times New Roman" w:cs="Times New Roman"/>
        </w:rPr>
      </w:pPr>
      <w:r w:rsidRPr="008020E5">
        <w:rPr>
          <w:rFonts w:ascii="Times New Roman" w:hAnsi="Times New Roman" w:cs="Times New Roman"/>
        </w:rPr>
        <w:t xml:space="preserve">Hughes, S. (2017). The Politics of Urban Climate Change Policy: Toward a Research Agenda. </w:t>
      </w:r>
      <w:r w:rsidRPr="008020E5">
        <w:rPr>
          <w:rFonts w:ascii="Times New Roman" w:hAnsi="Times New Roman" w:cs="Times New Roman"/>
          <w:i/>
          <w:iCs/>
        </w:rPr>
        <w:t>Urban Affairs Review</w:t>
      </w:r>
      <w:r w:rsidRPr="008020E5">
        <w:rPr>
          <w:rFonts w:ascii="Times New Roman" w:hAnsi="Times New Roman" w:cs="Times New Roman"/>
        </w:rPr>
        <w:t xml:space="preserve">, </w:t>
      </w:r>
      <w:r w:rsidRPr="008020E5">
        <w:rPr>
          <w:rFonts w:ascii="Times New Roman" w:hAnsi="Times New Roman" w:cs="Times New Roman"/>
          <w:i/>
          <w:iCs/>
        </w:rPr>
        <w:t>53</w:t>
      </w:r>
      <w:r w:rsidRPr="008020E5">
        <w:rPr>
          <w:rFonts w:ascii="Times New Roman" w:hAnsi="Times New Roman" w:cs="Times New Roman"/>
        </w:rPr>
        <w:t xml:space="preserve">(2), 362–380. </w:t>
      </w:r>
      <w:hyperlink r:id="rId14" w:history="1">
        <w:r w:rsidRPr="008020E5">
          <w:rPr>
            <w:rStyle w:val="Hyperlink"/>
            <w:rFonts w:ascii="Times New Roman" w:hAnsi="Times New Roman" w:cs="Times New Roman"/>
          </w:rPr>
          <w:t>https://doi.org/10.1177/1078087416649756</w:t>
        </w:r>
      </w:hyperlink>
    </w:p>
    <w:p w14:paraId="1CB2CD9B" w14:textId="77777777" w:rsidR="000C0AAE" w:rsidRDefault="000C0AAE" w:rsidP="000C0AAE">
      <w:pPr>
        <w:shd w:val="clear" w:color="auto" w:fill="FFFFFF"/>
        <w:spacing w:line="480" w:lineRule="auto"/>
        <w:ind w:left="720" w:hanging="720"/>
        <w:rPr>
          <w:rFonts w:ascii="Times New Roman" w:hAnsi="Times New Roman" w:cs="Times New Roman"/>
          <w:color w:val="000000"/>
        </w:rPr>
      </w:pPr>
      <w:r w:rsidRPr="00081B73">
        <w:rPr>
          <w:rFonts w:ascii="Times New Roman" w:hAnsi="Times New Roman" w:cs="Times New Roman"/>
          <w:color w:val="000000"/>
        </w:rPr>
        <w:t>Kanter, R., &amp; Martinez, C. (</w:t>
      </w:r>
      <w:proofErr w:type="gramStart"/>
      <w:r w:rsidRPr="00081B73">
        <w:rPr>
          <w:rFonts w:ascii="Times New Roman" w:hAnsi="Times New Roman" w:cs="Times New Roman"/>
          <w:color w:val="000000"/>
        </w:rPr>
        <w:t>March,</w:t>
      </w:r>
      <w:proofErr w:type="gramEnd"/>
      <w:r w:rsidRPr="00081B73">
        <w:rPr>
          <w:rFonts w:ascii="Times New Roman" w:hAnsi="Times New Roman" w:cs="Times New Roman"/>
          <w:color w:val="000000"/>
        </w:rPr>
        <w:t xml:space="preserve"> 2022) Climate Challenges for Cities: Introduction to Issues and Actions in the United States. Harvard Business School.</w:t>
      </w:r>
      <w:hyperlink r:id="rId15" w:history="1">
        <w:r w:rsidRPr="00081B73">
          <w:rPr>
            <w:rFonts w:ascii="Times New Roman" w:hAnsi="Times New Roman" w:cs="Times New Roman"/>
            <w:color w:val="000000"/>
          </w:rPr>
          <w:t xml:space="preserve"> https://store.hbr.org/product/climate-challenges-for-cities-introduction-to-issues-and-actions-in-the-united-states/322103</w:t>
        </w:r>
      </w:hyperlink>
    </w:p>
    <w:p w14:paraId="128671BA" w14:textId="77777777" w:rsidR="000C0AAE" w:rsidRPr="005D58D3" w:rsidRDefault="000C0AAE" w:rsidP="000C0AAE">
      <w:pPr>
        <w:shd w:val="clear" w:color="auto" w:fill="FFFFFF"/>
        <w:spacing w:line="480" w:lineRule="auto"/>
        <w:ind w:left="720" w:hanging="720"/>
        <w:rPr>
          <w:rFonts w:ascii="Times New Roman" w:hAnsi="Times New Roman" w:cs="Times New Roman"/>
        </w:rPr>
      </w:pPr>
      <w:proofErr w:type="spellStart"/>
      <w:r w:rsidRPr="005D58D3">
        <w:rPr>
          <w:rFonts w:ascii="Times New Roman" w:hAnsi="Times New Roman" w:cs="Times New Roman"/>
        </w:rPr>
        <w:t>Kingdon</w:t>
      </w:r>
      <w:proofErr w:type="spellEnd"/>
      <w:r w:rsidRPr="005D58D3">
        <w:rPr>
          <w:rFonts w:ascii="Times New Roman" w:hAnsi="Times New Roman" w:cs="Times New Roman"/>
        </w:rPr>
        <w:t>, John (</w:t>
      </w:r>
      <w:r>
        <w:rPr>
          <w:rFonts w:ascii="Times New Roman" w:hAnsi="Times New Roman" w:cs="Times New Roman"/>
        </w:rPr>
        <w:t>2011</w:t>
      </w:r>
      <w:r w:rsidRPr="005D58D3">
        <w:rPr>
          <w:rFonts w:ascii="Times New Roman" w:hAnsi="Times New Roman" w:cs="Times New Roman"/>
        </w:rPr>
        <w:t>). </w:t>
      </w:r>
      <w:r w:rsidRPr="005D58D3">
        <w:rPr>
          <w:rFonts w:ascii="Times New Roman" w:hAnsi="Times New Roman" w:cs="Times New Roman"/>
          <w:i/>
          <w:iCs/>
          <w:shd w:val="clear" w:color="auto" w:fill="FFFFFF"/>
        </w:rPr>
        <w:t>Agendas, Alternatives, and Public Policies</w:t>
      </w:r>
      <w:r w:rsidRPr="005D58D3">
        <w:rPr>
          <w:rFonts w:ascii="Times New Roman" w:hAnsi="Times New Roman" w:cs="Times New Roman"/>
        </w:rPr>
        <w:t> (2nd ed.). New York, NY: Pearson</w:t>
      </w:r>
    </w:p>
    <w:p w14:paraId="4AC5ABCF" w14:textId="77777777" w:rsidR="000C0AAE" w:rsidRPr="00A96DA9" w:rsidRDefault="000C0AAE" w:rsidP="000C0AAE">
      <w:pPr>
        <w:spacing w:line="480" w:lineRule="auto"/>
        <w:ind w:left="720" w:hanging="720"/>
        <w:rPr>
          <w:rFonts w:ascii="Times New Roman" w:hAnsi="Times New Roman" w:cs="Times New Roman"/>
          <w:color w:val="0000FF"/>
          <w:u w:val="single"/>
        </w:rPr>
      </w:pPr>
      <w:proofErr w:type="spellStart"/>
      <w:r w:rsidRPr="00CF13F5">
        <w:rPr>
          <w:rFonts w:ascii="Times New Roman" w:hAnsi="Times New Roman" w:cs="Times New Roman"/>
        </w:rPr>
        <w:t>Maraña</w:t>
      </w:r>
      <w:proofErr w:type="spellEnd"/>
      <w:r w:rsidRPr="00CF13F5">
        <w:rPr>
          <w:rFonts w:ascii="Times New Roman" w:hAnsi="Times New Roman" w:cs="Times New Roman"/>
        </w:rPr>
        <w:t xml:space="preserve">, </w:t>
      </w:r>
      <w:r>
        <w:rPr>
          <w:rFonts w:ascii="Times New Roman" w:hAnsi="Times New Roman" w:cs="Times New Roman"/>
        </w:rPr>
        <w:t>L.</w:t>
      </w:r>
      <w:r w:rsidRPr="00CF13F5">
        <w:rPr>
          <w:rFonts w:ascii="Times New Roman" w:hAnsi="Times New Roman" w:cs="Times New Roman"/>
        </w:rPr>
        <w:t xml:space="preserve"> L., &amp; </w:t>
      </w:r>
      <w:proofErr w:type="spellStart"/>
      <w:r w:rsidRPr="00CF13F5">
        <w:rPr>
          <w:rFonts w:ascii="Times New Roman" w:hAnsi="Times New Roman" w:cs="Times New Roman"/>
        </w:rPr>
        <w:t>Sarriegi</w:t>
      </w:r>
      <w:proofErr w:type="spellEnd"/>
      <w:r w:rsidRPr="00CF13F5">
        <w:rPr>
          <w:rFonts w:ascii="Times New Roman" w:hAnsi="Times New Roman" w:cs="Times New Roman"/>
        </w:rPr>
        <w:t xml:space="preserve">, J. M. (2020). We need them all: development of a public private people partnership to support a city resilience building process. </w:t>
      </w:r>
      <w:r w:rsidRPr="00CF13F5">
        <w:rPr>
          <w:rFonts w:ascii="Times New Roman" w:hAnsi="Times New Roman" w:cs="Times New Roman"/>
          <w:i/>
          <w:iCs/>
        </w:rPr>
        <w:t>Technological Forecasting &amp; Social Change</w:t>
      </w:r>
      <w:r w:rsidRPr="00CF13F5">
        <w:rPr>
          <w:rFonts w:ascii="Times New Roman" w:hAnsi="Times New Roman" w:cs="Times New Roman"/>
        </w:rPr>
        <w:t xml:space="preserve">, 154, 119954–. </w:t>
      </w:r>
      <w:hyperlink r:id="rId16" w:history="1">
        <w:r w:rsidRPr="00630680">
          <w:rPr>
            <w:rStyle w:val="Hyperlink"/>
            <w:rFonts w:ascii="Times New Roman" w:hAnsi="Times New Roman" w:cs="Times New Roman"/>
          </w:rPr>
          <w:t>https://doi.org/10.1016/j.techfore.2020.119954</w:t>
        </w:r>
      </w:hyperlink>
    </w:p>
    <w:p w14:paraId="1C5D09BB" w14:textId="77777777" w:rsidR="000C0AAE" w:rsidRDefault="000C0AAE" w:rsidP="000C0AAE">
      <w:pPr>
        <w:shd w:val="clear" w:color="auto" w:fill="FFFFFF"/>
        <w:spacing w:line="480" w:lineRule="auto"/>
        <w:ind w:left="720" w:hanging="720"/>
        <w:rPr>
          <w:rFonts w:ascii="Times New Roman" w:hAnsi="Times New Roman" w:cs="Times New Roman"/>
          <w:color w:val="000000"/>
        </w:rPr>
      </w:pPr>
      <w:r w:rsidRPr="00C67E07">
        <w:rPr>
          <w:rFonts w:ascii="Times New Roman" w:hAnsi="Times New Roman" w:cs="Times New Roman"/>
          <w:color w:val="000000"/>
        </w:rPr>
        <w:t xml:space="preserve">Mi, Z., Guan, D., Liu, Z., Liu, J., </w:t>
      </w:r>
      <w:proofErr w:type="spellStart"/>
      <w:r w:rsidRPr="00C67E07">
        <w:rPr>
          <w:rFonts w:ascii="Times New Roman" w:hAnsi="Times New Roman" w:cs="Times New Roman"/>
          <w:color w:val="000000"/>
        </w:rPr>
        <w:t>Viguié</w:t>
      </w:r>
      <w:proofErr w:type="spellEnd"/>
      <w:r w:rsidRPr="00C67E07">
        <w:rPr>
          <w:rFonts w:ascii="Times New Roman" w:hAnsi="Times New Roman" w:cs="Times New Roman"/>
          <w:color w:val="000000"/>
        </w:rPr>
        <w:t xml:space="preserve">, V., </w:t>
      </w:r>
      <w:proofErr w:type="spellStart"/>
      <w:r w:rsidRPr="00C67E07">
        <w:rPr>
          <w:rFonts w:ascii="Times New Roman" w:hAnsi="Times New Roman" w:cs="Times New Roman"/>
          <w:color w:val="000000"/>
        </w:rPr>
        <w:t>Fromer</w:t>
      </w:r>
      <w:proofErr w:type="spellEnd"/>
      <w:r w:rsidRPr="00C67E07">
        <w:rPr>
          <w:rFonts w:ascii="Times New Roman" w:hAnsi="Times New Roman" w:cs="Times New Roman"/>
          <w:color w:val="000000"/>
        </w:rPr>
        <w:t xml:space="preserve">, N., &amp; Wang, Y. (2019). Cities: The core of climate change mitigation. Journal of Cleaner Production, 207, 582–589. </w:t>
      </w:r>
      <w:hyperlink r:id="rId17" w:history="1">
        <w:r w:rsidRPr="00C67E07">
          <w:rPr>
            <w:rFonts w:ascii="Times New Roman" w:hAnsi="Times New Roman" w:cs="Times New Roman"/>
            <w:color w:val="000000"/>
          </w:rPr>
          <w:t>https://doi.org/10.1016/j.jclepro.2018.10.034</w:t>
        </w:r>
      </w:hyperlink>
    </w:p>
    <w:p w14:paraId="384B0321" w14:textId="77777777" w:rsidR="000C0AAE" w:rsidRPr="00C67E07" w:rsidRDefault="000C0AAE" w:rsidP="000C0AAE">
      <w:pPr>
        <w:shd w:val="clear" w:color="auto" w:fill="FFFFFF"/>
        <w:spacing w:line="480" w:lineRule="auto"/>
        <w:ind w:left="720" w:hanging="720"/>
        <w:rPr>
          <w:rFonts w:ascii="Times New Roman" w:hAnsi="Times New Roman" w:cs="Times New Roman"/>
          <w:color w:val="000000"/>
        </w:rPr>
      </w:pPr>
      <w:r w:rsidRPr="004D3DB8">
        <w:rPr>
          <w:rFonts w:ascii="Times New Roman" w:eastAsia="Times New Roman" w:hAnsi="Times New Roman" w:cs="Times New Roman"/>
        </w:rPr>
        <w:t>Michel, R. G. (2004). </w:t>
      </w:r>
      <w:r w:rsidRPr="004D3DB8">
        <w:rPr>
          <w:rFonts w:ascii="Times New Roman" w:eastAsia="Times New Roman" w:hAnsi="Times New Roman" w:cs="Times New Roman"/>
          <w:i/>
          <w:iCs/>
        </w:rPr>
        <w:t xml:space="preserve">Cost analysis and activity-based costing for government </w:t>
      </w:r>
      <w:r w:rsidRPr="004D3DB8">
        <w:rPr>
          <w:rFonts w:ascii="Times New Roman" w:eastAsia="Times New Roman" w:hAnsi="Times New Roman" w:cs="Times New Roman"/>
        </w:rPr>
        <w:t>(1st ed.)</w:t>
      </w:r>
      <w:r w:rsidRPr="004D3DB8">
        <w:rPr>
          <w:rFonts w:ascii="Times New Roman" w:eastAsia="Times New Roman" w:hAnsi="Times New Roman" w:cs="Times New Roman"/>
          <w:i/>
          <w:iCs/>
        </w:rPr>
        <w:t>. </w:t>
      </w:r>
      <w:r w:rsidRPr="004D3DB8">
        <w:rPr>
          <w:rFonts w:ascii="Times New Roman" w:eastAsia="Times New Roman" w:hAnsi="Times New Roman" w:cs="Times New Roman"/>
        </w:rPr>
        <w:t>Chicago, IL: Government Finance Officers Association.</w:t>
      </w:r>
    </w:p>
    <w:p w14:paraId="30C3EBAC" w14:textId="77777777" w:rsidR="000C0AAE" w:rsidRDefault="000C0AAE" w:rsidP="000C0AAE">
      <w:pPr>
        <w:shd w:val="clear" w:color="auto" w:fill="FFFFFF"/>
        <w:spacing w:line="480" w:lineRule="auto"/>
        <w:ind w:left="720" w:hanging="720"/>
        <w:rPr>
          <w:rFonts w:ascii="Times New Roman" w:hAnsi="Times New Roman" w:cs="Times New Roman"/>
          <w:color w:val="000000"/>
        </w:rPr>
      </w:pPr>
      <w:r w:rsidRPr="00C67E07">
        <w:rPr>
          <w:rFonts w:ascii="Times New Roman" w:hAnsi="Times New Roman" w:cs="Times New Roman"/>
          <w:color w:val="000000"/>
        </w:rPr>
        <w:lastRenderedPageBreak/>
        <w:t xml:space="preserve">Mikesell, J. L. (2016). </w:t>
      </w:r>
      <w:r w:rsidRPr="00C67E07">
        <w:rPr>
          <w:rFonts w:ascii="Times New Roman" w:hAnsi="Times New Roman" w:cs="Times New Roman"/>
          <w:i/>
          <w:iCs/>
          <w:color w:val="000000"/>
        </w:rPr>
        <w:t>Fiscal administration: Analysis and applications for the public sector</w:t>
      </w:r>
      <w:r w:rsidRPr="00C67E07">
        <w:rPr>
          <w:rFonts w:ascii="Times New Roman" w:hAnsi="Times New Roman" w:cs="Times New Roman"/>
          <w:color w:val="000000"/>
        </w:rPr>
        <w:t xml:space="preserve"> (9th ed.). Boston, MA: Wadsworth Publishing. </w:t>
      </w:r>
    </w:p>
    <w:p w14:paraId="0D7809B8" w14:textId="4D90E728" w:rsidR="0063379F" w:rsidRPr="007959FC" w:rsidRDefault="00E26AD5" w:rsidP="007959FC">
      <w:pPr>
        <w:spacing w:line="480" w:lineRule="auto"/>
        <w:ind w:left="720" w:hanging="720"/>
        <w:rPr>
          <w:rFonts w:ascii="Times New Roman" w:hAnsi="Times New Roman" w:cs="Times New Roman"/>
        </w:rPr>
      </w:pPr>
      <w:r w:rsidRPr="00E26AD5">
        <w:rPr>
          <w:rFonts w:ascii="Times New Roman" w:hAnsi="Times New Roman" w:cs="Times New Roman"/>
        </w:rPr>
        <w:t>University of Notre Dame</w:t>
      </w:r>
      <w:r w:rsidR="0063379F" w:rsidRPr="00E26AD5">
        <w:rPr>
          <w:rFonts w:ascii="Times New Roman" w:hAnsi="Times New Roman" w:cs="Times New Roman"/>
        </w:rPr>
        <w:t xml:space="preserve">. (n.d.). </w:t>
      </w:r>
      <w:r w:rsidR="0063379F" w:rsidRPr="00E26AD5">
        <w:rPr>
          <w:rFonts w:ascii="Times New Roman" w:hAnsi="Times New Roman" w:cs="Times New Roman"/>
          <w:i/>
          <w:iCs/>
        </w:rPr>
        <w:t xml:space="preserve">Urban Adaptation </w:t>
      </w:r>
      <w:r w:rsidR="00727BAD" w:rsidRPr="00E26AD5">
        <w:rPr>
          <w:rFonts w:ascii="Times New Roman" w:hAnsi="Times New Roman" w:cs="Times New Roman"/>
          <w:i/>
          <w:iCs/>
        </w:rPr>
        <w:t>Assessment</w:t>
      </w:r>
      <w:r w:rsidR="0063379F" w:rsidRPr="00E26AD5">
        <w:rPr>
          <w:rFonts w:ascii="Times New Roman" w:hAnsi="Times New Roman" w:cs="Times New Roman"/>
        </w:rPr>
        <w:t xml:space="preserve">. Notre Dame Global Adaptation Initiative. Retrieved November 19, 2022, from </w:t>
      </w:r>
      <w:hyperlink r:id="rId18" w:history="1">
        <w:r w:rsidR="0063379F" w:rsidRPr="00E26AD5">
          <w:rPr>
            <w:rStyle w:val="Hyperlink"/>
            <w:rFonts w:ascii="Times New Roman" w:hAnsi="Times New Roman" w:cs="Times New Roman"/>
          </w:rPr>
          <w:t>https://gain.nd</w:t>
        </w:r>
        <w:r w:rsidR="0063379F" w:rsidRPr="00E26AD5">
          <w:rPr>
            <w:rStyle w:val="Hyperlink"/>
            <w:rFonts w:ascii="Times New Roman" w:hAnsi="Times New Roman" w:cs="Times New Roman"/>
          </w:rPr>
          <w:t>.</w:t>
        </w:r>
        <w:r w:rsidR="0063379F" w:rsidRPr="00E26AD5">
          <w:rPr>
            <w:rStyle w:val="Hyperlink"/>
            <w:rFonts w:ascii="Times New Roman" w:hAnsi="Times New Roman" w:cs="Times New Roman"/>
          </w:rPr>
          <w:t>edu/our-work/urban-adaptation/</w:t>
        </w:r>
      </w:hyperlink>
    </w:p>
    <w:p w14:paraId="6734E16D" w14:textId="77777777" w:rsidR="000C0AAE" w:rsidRDefault="000C0AAE" w:rsidP="000C0AAE">
      <w:pPr>
        <w:spacing w:line="480" w:lineRule="auto"/>
        <w:ind w:left="720" w:hanging="720"/>
        <w:rPr>
          <w:rStyle w:val="Hyperlink"/>
          <w:rFonts w:ascii="Times New Roman" w:hAnsi="Times New Roman" w:cs="Times New Roman"/>
        </w:rPr>
      </w:pPr>
      <w:r w:rsidRPr="00DE4DE5">
        <w:rPr>
          <w:rFonts w:ascii="Times New Roman" w:hAnsi="Times New Roman" w:cs="Times New Roman"/>
        </w:rPr>
        <w:t xml:space="preserve">Office of Energy Efficiency and Renewable Energy (n.d.) </w:t>
      </w:r>
      <w:r w:rsidRPr="00DE4DE5">
        <w:rPr>
          <w:rFonts w:ascii="Times New Roman" w:hAnsi="Times New Roman" w:cs="Times New Roman"/>
          <w:i/>
          <w:iCs/>
        </w:rPr>
        <w:t>Understanding Energy Use in Cities.</w:t>
      </w:r>
      <w:r w:rsidRPr="00DE4DE5">
        <w:rPr>
          <w:rFonts w:ascii="Times New Roman" w:hAnsi="Times New Roman" w:cs="Times New Roman"/>
        </w:rPr>
        <w:t xml:space="preserve"> Energy.gov. </w:t>
      </w:r>
      <w:hyperlink r:id="rId19" w:history="1">
        <w:r w:rsidRPr="00DE4DE5">
          <w:rPr>
            <w:rStyle w:val="Hyperlink"/>
            <w:rFonts w:ascii="Times New Roman" w:hAnsi="Times New Roman" w:cs="Times New Roman"/>
          </w:rPr>
          <w:t>https://www.energy.gov/eere/understanding-energy-use-cities-infographic</w:t>
        </w:r>
      </w:hyperlink>
    </w:p>
    <w:p w14:paraId="72B8F86C" w14:textId="77777777" w:rsidR="000C0AAE" w:rsidRPr="003074A8" w:rsidRDefault="000C0AAE" w:rsidP="000C0AAE">
      <w:pPr>
        <w:spacing w:line="480" w:lineRule="auto"/>
        <w:ind w:left="720" w:hanging="720"/>
        <w:rPr>
          <w:rFonts w:ascii="Times New Roman" w:hAnsi="Times New Roman" w:cs="Times New Roman"/>
        </w:rPr>
      </w:pPr>
      <w:r w:rsidRPr="003074A8">
        <w:rPr>
          <w:rFonts w:ascii="Times New Roman" w:hAnsi="Times New Roman" w:cs="Times New Roman"/>
        </w:rPr>
        <w:t xml:space="preserve">Owen, G. (2020). What makes climate change adaptation effective? A systematic review of the literature. </w:t>
      </w:r>
      <w:r w:rsidRPr="003074A8">
        <w:rPr>
          <w:rFonts w:ascii="Times New Roman" w:hAnsi="Times New Roman" w:cs="Times New Roman"/>
          <w:i/>
          <w:iCs/>
        </w:rPr>
        <w:t>Global Environmental Change</w:t>
      </w:r>
      <w:r w:rsidRPr="003074A8">
        <w:rPr>
          <w:rFonts w:ascii="Times New Roman" w:hAnsi="Times New Roman" w:cs="Times New Roman"/>
        </w:rPr>
        <w:t xml:space="preserve">, </w:t>
      </w:r>
      <w:r w:rsidRPr="003074A8">
        <w:rPr>
          <w:rFonts w:ascii="Times New Roman" w:hAnsi="Times New Roman" w:cs="Times New Roman"/>
          <w:i/>
          <w:iCs/>
        </w:rPr>
        <w:t>62</w:t>
      </w:r>
      <w:r w:rsidRPr="003074A8">
        <w:rPr>
          <w:rFonts w:ascii="Times New Roman" w:hAnsi="Times New Roman" w:cs="Times New Roman"/>
        </w:rPr>
        <w:t xml:space="preserve">, 102071. </w:t>
      </w:r>
      <w:hyperlink r:id="rId20" w:history="1">
        <w:r w:rsidRPr="003074A8">
          <w:rPr>
            <w:rStyle w:val="Hyperlink"/>
            <w:rFonts w:ascii="Times New Roman" w:hAnsi="Times New Roman" w:cs="Times New Roman"/>
          </w:rPr>
          <w:t>https://doi.org/10.1016/j.gloenvcha.2020.102071</w:t>
        </w:r>
      </w:hyperlink>
    </w:p>
    <w:p w14:paraId="3D1F41AB" w14:textId="77777777" w:rsidR="000C0AAE" w:rsidRDefault="000C0AAE" w:rsidP="000C0AAE">
      <w:pPr>
        <w:spacing w:line="480" w:lineRule="auto"/>
        <w:ind w:left="720" w:hanging="720"/>
        <w:rPr>
          <w:rFonts w:ascii="Times New Roman" w:hAnsi="Times New Roman" w:cs="Times New Roman"/>
        </w:rPr>
      </w:pPr>
      <w:proofErr w:type="spellStart"/>
      <w:r w:rsidRPr="00DE4DE5">
        <w:rPr>
          <w:rFonts w:ascii="Times New Roman" w:hAnsi="Times New Roman" w:cs="Times New Roman"/>
        </w:rPr>
        <w:t>Pindyck</w:t>
      </w:r>
      <w:proofErr w:type="spellEnd"/>
      <w:r w:rsidRPr="00DE4DE5">
        <w:rPr>
          <w:rFonts w:ascii="Times New Roman" w:hAnsi="Times New Roman" w:cs="Times New Roman"/>
        </w:rPr>
        <w:t xml:space="preserve">, R. S. (2019). The social cost of carbon revisited. Journal of Environmental Economics and Management, 94, 140–160. </w:t>
      </w:r>
      <w:hyperlink r:id="rId21" w:history="1">
        <w:r w:rsidRPr="00DE4DE5">
          <w:rPr>
            <w:rFonts w:ascii="Times New Roman" w:hAnsi="Times New Roman" w:cs="Times New Roman"/>
          </w:rPr>
          <w:t>https://doi.org/10.1016/j.jeem.2019.02.003</w:t>
        </w:r>
      </w:hyperlink>
    </w:p>
    <w:p w14:paraId="73270F77" w14:textId="77777777" w:rsidR="000C0AAE" w:rsidRDefault="000C0AAE" w:rsidP="000C0AAE">
      <w:pPr>
        <w:spacing w:line="480" w:lineRule="auto"/>
        <w:ind w:left="720" w:hanging="720"/>
        <w:rPr>
          <w:rFonts w:ascii="Times New Roman" w:hAnsi="Times New Roman" w:cs="Times New Roman"/>
        </w:rPr>
      </w:pPr>
      <w:proofErr w:type="spellStart"/>
      <w:r w:rsidRPr="00916809">
        <w:rPr>
          <w:rFonts w:ascii="Times New Roman" w:hAnsi="Times New Roman" w:cs="Times New Roman"/>
        </w:rPr>
        <w:t>Pinkse</w:t>
      </w:r>
      <w:proofErr w:type="spellEnd"/>
      <w:r w:rsidRPr="00916809">
        <w:rPr>
          <w:rFonts w:ascii="Times New Roman" w:hAnsi="Times New Roman" w:cs="Times New Roman"/>
        </w:rPr>
        <w:t>, &amp; Kolk, A. (2012). Addressing the climate change: sustainable development nexus: the</w:t>
      </w:r>
      <w:r>
        <w:rPr>
          <w:rFonts w:ascii="Times New Roman" w:hAnsi="Times New Roman" w:cs="Times New Roman"/>
        </w:rPr>
        <w:t xml:space="preserve"> </w:t>
      </w:r>
      <w:r w:rsidRPr="00916809">
        <w:rPr>
          <w:rFonts w:ascii="Times New Roman" w:hAnsi="Times New Roman" w:cs="Times New Roman"/>
        </w:rPr>
        <w:t>role of multistakeholder partnerships. </w:t>
      </w:r>
      <w:r w:rsidRPr="00916809">
        <w:rPr>
          <w:rFonts w:ascii="Times New Roman" w:hAnsi="Times New Roman" w:cs="Times New Roman"/>
          <w:i/>
          <w:iCs/>
        </w:rPr>
        <w:t>Business &amp; Society</w:t>
      </w:r>
      <w:r w:rsidRPr="00916809">
        <w:rPr>
          <w:rFonts w:ascii="Times New Roman" w:hAnsi="Times New Roman" w:cs="Times New Roman"/>
        </w:rPr>
        <w:t>,</w:t>
      </w:r>
      <w:r>
        <w:rPr>
          <w:rFonts w:ascii="Times New Roman" w:hAnsi="Times New Roman" w:cs="Times New Roman"/>
        </w:rPr>
        <w:t xml:space="preserve"> </w:t>
      </w:r>
      <w:r w:rsidRPr="00916809">
        <w:rPr>
          <w:rFonts w:ascii="Times New Roman" w:hAnsi="Times New Roman" w:cs="Times New Roman"/>
        </w:rPr>
        <w:t xml:space="preserve">51(1), 176–210. </w:t>
      </w:r>
      <w:hyperlink r:id="rId22" w:history="1">
        <w:r w:rsidRPr="00916809">
          <w:rPr>
            <w:rFonts w:ascii="Times New Roman" w:hAnsi="Times New Roman" w:cs="Times New Roman"/>
          </w:rPr>
          <w:t>https://doi.org/10.1177/0007650311427426</w:t>
        </w:r>
      </w:hyperlink>
    </w:p>
    <w:p w14:paraId="3C8939F9" w14:textId="77777777" w:rsidR="000C0AAE" w:rsidRDefault="000C0AAE" w:rsidP="000C0AAE">
      <w:pPr>
        <w:spacing w:line="480" w:lineRule="auto"/>
        <w:ind w:left="720" w:hanging="720"/>
        <w:rPr>
          <w:rFonts w:ascii="Times New Roman" w:hAnsi="Times New Roman" w:cs="Times New Roman"/>
        </w:rPr>
      </w:pPr>
      <w:proofErr w:type="spellStart"/>
      <w:r w:rsidRPr="00227B7F">
        <w:rPr>
          <w:rFonts w:ascii="Times New Roman" w:hAnsi="Times New Roman" w:cs="Times New Roman"/>
        </w:rPr>
        <w:t>Reguero</w:t>
      </w:r>
      <w:proofErr w:type="spellEnd"/>
      <w:r w:rsidRPr="00227B7F">
        <w:rPr>
          <w:rFonts w:ascii="Times New Roman" w:hAnsi="Times New Roman" w:cs="Times New Roman"/>
        </w:rPr>
        <w:t xml:space="preserve">, B. G., Beck, M. W., </w:t>
      </w:r>
      <w:proofErr w:type="spellStart"/>
      <w:r w:rsidRPr="00227B7F">
        <w:rPr>
          <w:rFonts w:ascii="Times New Roman" w:hAnsi="Times New Roman" w:cs="Times New Roman"/>
        </w:rPr>
        <w:t>Bresch</w:t>
      </w:r>
      <w:proofErr w:type="spellEnd"/>
      <w:r w:rsidRPr="00227B7F">
        <w:rPr>
          <w:rFonts w:ascii="Times New Roman" w:hAnsi="Times New Roman" w:cs="Times New Roman"/>
        </w:rPr>
        <w:t xml:space="preserve">, D. N., </w:t>
      </w:r>
      <w:proofErr w:type="spellStart"/>
      <w:r w:rsidRPr="00227B7F">
        <w:rPr>
          <w:rFonts w:ascii="Times New Roman" w:hAnsi="Times New Roman" w:cs="Times New Roman"/>
        </w:rPr>
        <w:t>Calil</w:t>
      </w:r>
      <w:proofErr w:type="spellEnd"/>
      <w:r w:rsidRPr="00227B7F">
        <w:rPr>
          <w:rFonts w:ascii="Times New Roman" w:hAnsi="Times New Roman" w:cs="Times New Roman"/>
        </w:rPr>
        <w:t xml:space="preserve">, J., &amp; </w:t>
      </w:r>
      <w:proofErr w:type="spellStart"/>
      <w:r w:rsidRPr="00227B7F">
        <w:rPr>
          <w:rFonts w:ascii="Times New Roman" w:hAnsi="Times New Roman" w:cs="Times New Roman"/>
        </w:rPr>
        <w:t>Meliane</w:t>
      </w:r>
      <w:proofErr w:type="spellEnd"/>
      <w:r w:rsidRPr="00227B7F">
        <w:rPr>
          <w:rFonts w:ascii="Times New Roman" w:hAnsi="Times New Roman" w:cs="Times New Roman"/>
        </w:rPr>
        <w:t xml:space="preserve">, I. (2018). Comparing the cost effectiveness of nature-based and coastal adaptation: A case study from the Gulf Coast of the United States. </w:t>
      </w:r>
      <w:r w:rsidRPr="00227B7F">
        <w:rPr>
          <w:rFonts w:ascii="Times New Roman" w:hAnsi="Times New Roman" w:cs="Times New Roman"/>
          <w:i/>
          <w:iCs/>
        </w:rPr>
        <w:t>PLOS ONE</w:t>
      </w:r>
      <w:r w:rsidRPr="00227B7F">
        <w:rPr>
          <w:rFonts w:ascii="Times New Roman" w:hAnsi="Times New Roman" w:cs="Times New Roman"/>
        </w:rPr>
        <w:t>, 13(4), e0192132.</w:t>
      </w:r>
      <w:r>
        <w:rPr>
          <w:rFonts w:ascii="Times New Roman" w:hAnsi="Times New Roman" w:cs="Times New Roman"/>
        </w:rPr>
        <w:t xml:space="preserve"> </w:t>
      </w:r>
      <w:hyperlink r:id="rId23" w:history="1">
        <w:r w:rsidRPr="005C7E24">
          <w:rPr>
            <w:rStyle w:val="Hyperlink"/>
            <w:rFonts w:ascii="Times New Roman" w:hAnsi="Times New Roman" w:cs="Times New Roman"/>
          </w:rPr>
          <w:t>https://doi.org/10.1371/journal.pone.0192132</w:t>
        </w:r>
      </w:hyperlink>
    </w:p>
    <w:p w14:paraId="7781D51A" w14:textId="77777777" w:rsidR="000C0AAE" w:rsidRPr="003748A3" w:rsidRDefault="000C0AAE" w:rsidP="000C0AAE">
      <w:pPr>
        <w:shd w:val="clear" w:color="auto" w:fill="FFFFFF"/>
        <w:spacing w:line="480" w:lineRule="auto"/>
        <w:ind w:left="720" w:hanging="720"/>
        <w:rPr>
          <w:rFonts w:ascii="Times New Roman" w:hAnsi="Times New Roman" w:cs="Times New Roman"/>
          <w:color w:val="000000"/>
        </w:rPr>
      </w:pPr>
      <w:proofErr w:type="spellStart"/>
      <w:r w:rsidRPr="005D57BA">
        <w:rPr>
          <w:rFonts w:ascii="Times New Roman" w:hAnsi="Times New Roman" w:cs="Times New Roman"/>
          <w:color w:val="000000"/>
        </w:rPr>
        <w:t>Roggero</w:t>
      </w:r>
      <w:proofErr w:type="spellEnd"/>
      <w:r w:rsidRPr="005D57BA">
        <w:rPr>
          <w:rFonts w:ascii="Times New Roman" w:hAnsi="Times New Roman" w:cs="Times New Roman"/>
          <w:color w:val="000000"/>
        </w:rPr>
        <w:t xml:space="preserve">, M., &amp; Thiel, A. (2018). Adapting as usual: integrative and </w:t>
      </w:r>
      <w:proofErr w:type="spellStart"/>
      <w:r w:rsidRPr="005D57BA">
        <w:rPr>
          <w:rFonts w:ascii="Times New Roman" w:hAnsi="Times New Roman" w:cs="Times New Roman"/>
          <w:color w:val="000000"/>
        </w:rPr>
        <w:t>segregative</w:t>
      </w:r>
      <w:proofErr w:type="spellEnd"/>
      <w:r w:rsidRPr="005D57BA">
        <w:rPr>
          <w:rFonts w:ascii="Times New Roman" w:hAnsi="Times New Roman" w:cs="Times New Roman"/>
          <w:color w:val="000000"/>
        </w:rPr>
        <w:t xml:space="preserve"> institutions shaping adaptation to climate change in local public administrations. Journal of Institutional Economics, 14(3), 557–578. </w:t>
      </w:r>
      <w:hyperlink r:id="rId24" w:history="1">
        <w:r w:rsidRPr="005D57BA">
          <w:rPr>
            <w:rFonts w:ascii="Times New Roman" w:hAnsi="Times New Roman" w:cs="Times New Roman"/>
            <w:color w:val="000000"/>
          </w:rPr>
          <w:t>https://doi.org/10.1017/S1744137417000418</w:t>
        </w:r>
      </w:hyperlink>
    </w:p>
    <w:p w14:paraId="4AD949DF" w14:textId="77777777" w:rsidR="000C0AAE" w:rsidRDefault="000C0AAE" w:rsidP="000C0AAE">
      <w:pPr>
        <w:spacing w:line="480" w:lineRule="auto"/>
        <w:ind w:left="720" w:hanging="720"/>
        <w:rPr>
          <w:rFonts w:ascii="Times New Roman" w:hAnsi="Times New Roman" w:cs="Times New Roman"/>
        </w:rPr>
      </w:pPr>
      <w:r w:rsidRPr="00FA5B95">
        <w:rPr>
          <w:rFonts w:ascii="Times New Roman" w:hAnsi="Times New Roman" w:cs="Times New Roman"/>
        </w:rPr>
        <w:lastRenderedPageBreak/>
        <w:t>Rossi, P. H., Lipsey, M. W., &amp; Henry, G. T. (2019). </w:t>
      </w:r>
      <w:r w:rsidRPr="003D0CA5">
        <w:rPr>
          <w:rFonts w:ascii="Times New Roman" w:hAnsi="Times New Roman" w:cs="Times New Roman"/>
          <w:i/>
          <w:iCs/>
        </w:rPr>
        <w:t>Evaluation: A systematic approach</w:t>
      </w:r>
      <w:r w:rsidRPr="00FA5B95">
        <w:rPr>
          <w:rFonts w:ascii="Times New Roman" w:hAnsi="Times New Roman" w:cs="Times New Roman"/>
        </w:rPr>
        <w:t> (8th ed.) Sage.</w:t>
      </w:r>
    </w:p>
    <w:p w14:paraId="0CF3BA92" w14:textId="77777777" w:rsidR="000C0AAE" w:rsidRPr="00FC7BA8" w:rsidRDefault="000C0AAE" w:rsidP="000C0AAE">
      <w:pPr>
        <w:spacing w:line="480" w:lineRule="auto"/>
        <w:ind w:left="720" w:hanging="720"/>
        <w:rPr>
          <w:rFonts w:ascii="Times New Roman" w:hAnsi="Times New Roman" w:cs="Times New Roman"/>
        </w:rPr>
      </w:pPr>
      <w:r w:rsidRPr="00FC7BA8">
        <w:rPr>
          <w:rFonts w:ascii="Times New Roman" w:hAnsi="Times New Roman" w:cs="Times New Roman"/>
        </w:rPr>
        <w:t>Schattschneider</w:t>
      </w:r>
      <w:r>
        <w:rPr>
          <w:rFonts w:ascii="Times New Roman" w:hAnsi="Times New Roman" w:cs="Times New Roman"/>
        </w:rPr>
        <w:t>, E</w:t>
      </w:r>
      <w:r w:rsidRPr="00FC7BA8">
        <w:rPr>
          <w:rFonts w:ascii="Times New Roman" w:hAnsi="Times New Roman" w:cs="Times New Roman"/>
        </w:rPr>
        <w:t>. (1975). </w:t>
      </w:r>
      <w:r w:rsidRPr="00FC7BA8">
        <w:rPr>
          <w:rFonts w:ascii="Times New Roman" w:hAnsi="Times New Roman" w:cs="Times New Roman"/>
          <w:i/>
          <w:iCs/>
        </w:rPr>
        <w:t xml:space="preserve">The </w:t>
      </w:r>
      <w:proofErr w:type="spellStart"/>
      <w:r w:rsidRPr="00FC7BA8">
        <w:rPr>
          <w:rFonts w:ascii="Times New Roman" w:hAnsi="Times New Roman" w:cs="Times New Roman"/>
          <w:i/>
          <w:iCs/>
        </w:rPr>
        <w:t>semisovereign</w:t>
      </w:r>
      <w:proofErr w:type="spellEnd"/>
      <w:r w:rsidRPr="00FC7BA8">
        <w:rPr>
          <w:rFonts w:ascii="Times New Roman" w:hAnsi="Times New Roman" w:cs="Times New Roman"/>
          <w:i/>
          <w:iCs/>
        </w:rPr>
        <w:t xml:space="preserve"> </w:t>
      </w:r>
      <w:proofErr w:type="gramStart"/>
      <w:r w:rsidRPr="00FC7BA8">
        <w:rPr>
          <w:rFonts w:ascii="Times New Roman" w:hAnsi="Times New Roman" w:cs="Times New Roman"/>
          <w:i/>
          <w:iCs/>
        </w:rPr>
        <w:t>people :</w:t>
      </w:r>
      <w:proofErr w:type="gramEnd"/>
      <w:r w:rsidRPr="00FC7BA8">
        <w:rPr>
          <w:rFonts w:ascii="Times New Roman" w:hAnsi="Times New Roman" w:cs="Times New Roman"/>
          <w:i/>
          <w:iCs/>
        </w:rPr>
        <w:t xml:space="preserve"> a realist’s view of democracy in America</w:t>
      </w:r>
      <w:r w:rsidRPr="00FC7BA8">
        <w:rPr>
          <w:rFonts w:ascii="Times New Roman" w:hAnsi="Times New Roman" w:cs="Times New Roman"/>
        </w:rPr>
        <w:t>. Wadsworth Cengage Learning.</w:t>
      </w:r>
    </w:p>
    <w:p w14:paraId="7D491C3F" w14:textId="77777777" w:rsidR="000C0AAE" w:rsidRDefault="000C0AAE" w:rsidP="000C0AAE">
      <w:pPr>
        <w:shd w:val="clear" w:color="auto" w:fill="FFFFFF"/>
        <w:spacing w:line="480" w:lineRule="auto"/>
        <w:ind w:left="720" w:hanging="720"/>
        <w:rPr>
          <w:rFonts w:ascii="Times New Roman" w:hAnsi="Times New Roman" w:cs="Times New Roman"/>
          <w:color w:val="000000"/>
        </w:rPr>
      </w:pPr>
      <w:r w:rsidRPr="00FC7BA8">
        <w:rPr>
          <w:rFonts w:ascii="Times New Roman" w:hAnsi="Times New Roman" w:cs="Times New Roman"/>
          <w:color w:val="000000"/>
        </w:rPr>
        <w:t xml:space="preserve">Singh, C., </w:t>
      </w:r>
      <w:proofErr w:type="spellStart"/>
      <w:r w:rsidRPr="00FC7BA8">
        <w:rPr>
          <w:rFonts w:ascii="Times New Roman" w:hAnsi="Times New Roman" w:cs="Times New Roman"/>
          <w:color w:val="000000"/>
        </w:rPr>
        <w:t>Iyer</w:t>
      </w:r>
      <w:proofErr w:type="spellEnd"/>
      <w:r w:rsidRPr="00FC7BA8">
        <w:rPr>
          <w:rFonts w:ascii="Times New Roman" w:hAnsi="Times New Roman" w:cs="Times New Roman"/>
          <w:color w:val="000000"/>
        </w:rPr>
        <w:t xml:space="preserve">, S., New, M. G., Few, R., </w:t>
      </w:r>
      <w:proofErr w:type="spellStart"/>
      <w:r w:rsidRPr="00FC7BA8">
        <w:rPr>
          <w:rFonts w:ascii="Times New Roman" w:hAnsi="Times New Roman" w:cs="Times New Roman"/>
          <w:color w:val="000000"/>
        </w:rPr>
        <w:t>Kuchimanchi</w:t>
      </w:r>
      <w:proofErr w:type="spellEnd"/>
      <w:r w:rsidRPr="00FC7BA8">
        <w:rPr>
          <w:rFonts w:ascii="Times New Roman" w:hAnsi="Times New Roman" w:cs="Times New Roman"/>
          <w:color w:val="000000"/>
        </w:rPr>
        <w:t xml:space="preserve">, B., </w:t>
      </w:r>
      <w:proofErr w:type="spellStart"/>
      <w:r w:rsidRPr="00FC7BA8">
        <w:rPr>
          <w:rFonts w:ascii="Times New Roman" w:hAnsi="Times New Roman" w:cs="Times New Roman"/>
          <w:color w:val="000000"/>
        </w:rPr>
        <w:t>Segnon</w:t>
      </w:r>
      <w:proofErr w:type="spellEnd"/>
      <w:r w:rsidRPr="00FC7BA8">
        <w:rPr>
          <w:rFonts w:ascii="Times New Roman" w:hAnsi="Times New Roman" w:cs="Times New Roman"/>
          <w:color w:val="000000"/>
        </w:rPr>
        <w:t xml:space="preserve">, A. C., &amp; </w:t>
      </w:r>
      <w:proofErr w:type="spellStart"/>
      <w:r w:rsidRPr="00FC7BA8">
        <w:rPr>
          <w:rFonts w:ascii="Times New Roman" w:hAnsi="Times New Roman" w:cs="Times New Roman"/>
          <w:color w:val="000000"/>
        </w:rPr>
        <w:t>Morchain</w:t>
      </w:r>
      <w:proofErr w:type="spellEnd"/>
      <w:r w:rsidRPr="00FC7BA8">
        <w:rPr>
          <w:rFonts w:ascii="Times New Roman" w:hAnsi="Times New Roman" w:cs="Times New Roman"/>
          <w:color w:val="000000"/>
        </w:rPr>
        <w:t>, D. (2022). Interrogating ‘effectiveness’ in climate change adaptation: 11 guiding principles for adaptation research and practice. Climate and Development, 14(7), 650–664.</w:t>
      </w:r>
      <w:hyperlink r:id="rId25" w:history="1">
        <w:r w:rsidRPr="00FC7BA8">
          <w:rPr>
            <w:rFonts w:ascii="Times New Roman" w:hAnsi="Times New Roman" w:cs="Times New Roman"/>
            <w:color w:val="000000"/>
          </w:rPr>
          <w:t xml:space="preserve"> https://doi.org/10.1080/17565529.2021.1964937</w:t>
        </w:r>
      </w:hyperlink>
    </w:p>
    <w:p w14:paraId="78CD9957" w14:textId="77777777" w:rsidR="000C0AAE" w:rsidRPr="00514A1E" w:rsidRDefault="000C0AAE" w:rsidP="000C0AAE">
      <w:pPr>
        <w:spacing w:line="480" w:lineRule="auto"/>
        <w:ind w:left="720" w:hanging="720"/>
        <w:rPr>
          <w:rFonts w:ascii="Times New Roman" w:hAnsi="Times New Roman" w:cs="Times New Roman"/>
        </w:rPr>
      </w:pPr>
      <w:r w:rsidRPr="00514A1E">
        <w:rPr>
          <w:rFonts w:ascii="Times New Roman" w:hAnsi="Times New Roman" w:cs="Times New Roman"/>
        </w:rPr>
        <w:t xml:space="preserve">Storing, H. (1962). The Science of Administration: Herbert A. Simon. </w:t>
      </w:r>
      <w:r w:rsidRPr="00514A1E">
        <w:rPr>
          <w:rFonts w:ascii="Times New Roman" w:hAnsi="Times New Roman" w:cs="Times New Roman"/>
          <w:i/>
          <w:iCs/>
        </w:rPr>
        <w:t>Essays on the Scientific Study of Politics</w:t>
      </w:r>
      <w:r w:rsidRPr="00514A1E">
        <w:rPr>
          <w:rFonts w:ascii="Times New Roman" w:hAnsi="Times New Roman" w:cs="Times New Roman"/>
        </w:rPr>
        <w:t>, 63–150. New York: Holt,</w:t>
      </w:r>
      <w:r>
        <w:rPr>
          <w:rFonts w:ascii="Times New Roman" w:hAnsi="Times New Roman" w:cs="Times New Roman"/>
        </w:rPr>
        <w:t xml:space="preserve"> </w:t>
      </w:r>
      <w:r w:rsidRPr="00514A1E">
        <w:rPr>
          <w:rFonts w:ascii="Times New Roman" w:hAnsi="Times New Roman" w:cs="Times New Roman"/>
        </w:rPr>
        <w:t>Rinehart &amp; Winston</w:t>
      </w:r>
    </w:p>
    <w:p w14:paraId="02809393" w14:textId="77777777" w:rsidR="000C0AAE" w:rsidRDefault="000C0AAE" w:rsidP="000C0AAE">
      <w:pPr>
        <w:spacing w:line="480" w:lineRule="auto"/>
        <w:ind w:left="720" w:hanging="720"/>
        <w:rPr>
          <w:rFonts w:ascii="Times New Roman" w:hAnsi="Times New Roman" w:cs="Times New Roman"/>
        </w:rPr>
      </w:pPr>
      <w:r w:rsidRPr="00FC7BA8">
        <w:rPr>
          <w:rFonts w:ascii="Times New Roman" w:hAnsi="Times New Roman" w:cs="Times New Roman"/>
        </w:rPr>
        <w:t xml:space="preserve">Stott, P. (2016). How climate change affects extreme weather events. </w:t>
      </w:r>
      <w:r w:rsidRPr="00FC7BA8">
        <w:rPr>
          <w:rFonts w:ascii="Times New Roman" w:hAnsi="Times New Roman" w:cs="Times New Roman"/>
          <w:i/>
          <w:iCs/>
        </w:rPr>
        <w:t>Science</w:t>
      </w:r>
      <w:r w:rsidRPr="00FC7BA8">
        <w:rPr>
          <w:rFonts w:ascii="Times New Roman" w:hAnsi="Times New Roman" w:cs="Times New Roman"/>
        </w:rPr>
        <w:t xml:space="preserve">, </w:t>
      </w:r>
      <w:r w:rsidRPr="00FC7BA8">
        <w:rPr>
          <w:rFonts w:ascii="Times New Roman" w:hAnsi="Times New Roman" w:cs="Times New Roman"/>
          <w:i/>
          <w:iCs/>
        </w:rPr>
        <w:t>352</w:t>
      </w:r>
      <w:r w:rsidRPr="00FC7BA8">
        <w:rPr>
          <w:rFonts w:ascii="Times New Roman" w:hAnsi="Times New Roman" w:cs="Times New Roman"/>
        </w:rPr>
        <w:t xml:space="preserve">(6293), 1517–1518. </w:t>
      </w:r>
      <w:hyperlink r:id="rId26" w:history="1">
        <w:r w:rsidRPr="00FC7BA8">
          <w:rPr>
            <w:rFonts w:ascii="Times New Roman" w:hAnsi="Times New Roman" w:cs="Times New Roman"/>
            <w:color w:val="0000FF"/>
            <w:u w:val="single"/>
          </w:rPr>
          <w:t>https://doi.org/10.1126/science.aaf7271</w:t>
        </w:r>
      </w:hyperlink>
    </w:p>
    <w:p w14:paraId="19AA1059" w14:textId="77777777" w:rsidR="000C0AAE" w:rsidRDefault="000C0AAE" w:rsidP="000C0AAE">
      <w:pPr>
        <w:spacing w:line="480" w:lineRule="auto"/>
        <w:ind w:left="720" w:hanging="720"/>
        <w:rPr>
          <w:rFonts w:ascii="Times New Roman" w:hAnsi="Times New Roman" w:cs="Times New Roman"/>
        </w:rPr>
      </w:pPr>
      <w:r w:rsidRPr="003D0CA5">
        <w:rPr>
          <w:rFonts w:ascii="Times New Roman" w:hAnsi="Times New Roman" w:cs="Times New Roman"/>
        </w:rPr>
        <w:t xml:space="preserve">Train, K. (1985). Discount rates in consumers’ energy-related decisions: A review of the literature. </w:t>
      </w:r>
      <w:r w:rsidRPr="003D0CA5">
        <w:rPr>
          <w:rFonts w:ascii="Times New Roman" w:hAnsi="Times New Roman" w:cs="Times New Roman"/>
          <w:i/>
          <w:iCs/>
        </w:rPr>
        <w:t>Energy</w:t>
      </w:r>
      <w:r w:rsidRPr="003D0CA5">
        <w:rPr>
          <w:rFonts w:ascii="Times New Roman" w:hAnsi="Times New Roman" w:cs="Times New Roman"/>
        </w:rPr>
        <w:t xml:space="preserve"> 10 (12): 243–53.</w:t>
      </w:r>
    </w:p>
    <w:p w14:paraId="2C41E4AD" w14:textId="77777777" w:rsidR="000C0AAE" w:rsidRPr="00406709" w:rsidRDefault="000C0AAE" w:rsidP="000C0AAE">
      <w:pPr>
        <w:spacing w:line="480" w:lineRule="auto"/>
        <w:ind w:left="720" w:hanging="720"/>
        <w:rPr>
          <w:rFonts w:ascii="Times New Roman" w:hAnsi="Times New Roman" w:cs="Times New Roman"/>
        </w:rPr>
      </w:pPr>
      <w:r w:rsidRPr="00737134">
        <w:rPr>
          <w:rFonts w:ascii="Times New Roman" w:hAnsi="Times New Roman" w:cs="Times New Roman"/>
        </w:rPr>
        <w:t xml:space="preserve">Tversky, </w:t>
      </w:r>
      <w:r>
        <w:rPr>
          <w:rFonts w:ascii="Times New Roman" w:hAnsi="Times New Roman" w:cs="Times New Roman"/>
        </w:rPr>
        <w:t>A.</w:t>
      </w:r>
      <w:r w:rsidRPr="00737134">
        <w:rPr>
          <w:rFonts w:ascii="Times New Roman" w:hAnsi="Times New Roman" w:cs="Times New Roman"/>
        </w:rPr>
        <w:t xml:space="preserve">, </w:t>
      </w:r>
      <w:r>
        <w:rPr>
          <w:rFonts w:ascii="Times New Roman" w:hAnsi="Times New Roman" w:cs="Times New Roman"/>
        </w:rPr>
        <w:t>&amp;</w:t>
      </w:r>
      <w:r w:rsidRPr="00737134">
        <w:rPr>
          <w:rFonts w:ascii="Times New Roman" w:hAnsi="Times New Roman" w:cs="Times New Roman"/>
        </w:rPr>
        <w:t xml:space="preserve"> Kahneman</w:t>
      </w:r>
      <w:r>
        <w:rPr>
          <w:rFonts w:ascii="Times New Roman" w:hAnsi="Times New Roman" w:cs="Times New Roman"/>
        </w:rPr>
        <w:t>, D</w:t>
      </w:r>
      <w:r w:rsidRPr="00737134">
        <w:rPr>
          <w:rFonts w:ascii="Times New Roman" w:hAnsi="Times New Roman" w:cs="Times New Roman"/>
        </w:rPr>
        <w:t xml:space="preserve">. </w:t>
      </w:r>
      <w:r>
        <w:rPr>
          <w:rFonts w:ascii="Times New Roman" w:hAnsi="Times New Roman" w:cs="Times New Roman"/>
        </w:rPr>
        <w:t xml:space="preserve">(1981). </w:t>
      </w:r>
      <w:r w:rsidRPr="00406709">
        <w:rPr>
          <w:rFonts w:ascii="Times New Roman" w:hAnsi="Times New Roman" w:cs="Times New Roman"/>
        </w:rPr>
        <w:t xml:space="preserve">The framing of decisions and the psychology of choice. </w:t>
      </w:r>
      <w:r w:rsidRPr="00406709">
        <w:rPr>
          <w:rFonts w:ascii="Times New Roman" w:hAnsi="Times New Roman" w:cs="Times New Roman"/>
          <w:i/>
          <w:iCs/>
        </w:rPr>
        <w:t>Science</w:t>
      </w:r>
      <w:r w:rsidRPr="00406709">
        <w:rPr>
          <w:rFonts w:ascii="Times New Roman" w:hAnsi="Times New Roman" w:cs="Times New Roman"/>
        </w:rPr>
        <w:t xml:space="preserve"> 211 (4481): 453–58. </w:t>
      </w:r>
    </w:p>
    <w:p w14:paraId="76EE901E" w14:textId="77777777" w:rsidR="000C0AAE" w:rsidRPr="005363BC" w:rsidRDefault="000C0AAE" w:rsidP="000C0AAE">
      <w:pPr>
        <w:spacing w:line="480" w:lineRule="auto"/>
        <w:ind w:left="720" w:hanging="720"/>
        <w:rPr>
          <w:rFonts w:ascii="Times New Roman" w:hAnsi="Times New Roman" w:cs="Times New Roman"/>
        </w:rPr>
      </w:pPr>
      <w:r w:rsidRPr="005363BC">
        <w:rPr>
          <w:rFonts w:ascii="Times New Roman" w:hAnsi="Times New Roman" w:cs="Times New Roman"/>
          <w:i/>
          <w:iCs/>
        </w:rPr>
        <w:t>U.S. Cities Factsheet</w:t>
      </w:r>
      <w:r w:rsidRPr="005363BC">
        <w:rPr>
          <w:rFonts w:ascii="Times New Roman" w:hAnsi="Times New Roman" w:cs="Times New Roman"/>
        </w:rPr>
        <w:t xml:space="preserve">. (2021). University of Michigan Center for Sustainable Systems. </w:t>
      </w:r>
      <w:hyperlink r:id="rId27" w:history="1">
        <w:r w:rsidRPr="005363BC">
          <w:rPr>
            <w:rStyle w:val="Hyperlink"/>
            <w:rFonts w:ascii="Times New Roman" w:hAnsi="Times New Roman" w:cs="Times New Roman"/>
          </w:rPr>
          <w:t>https://css.umich.edu/publications/factsheets/built-environment/us-cities-factsheet</w:t>
        </w:r>
      </w:hyperlink>
    </w:p>
    <w:p w14:paraId="391BD5D8" w14:textId="77777777" w:rsidR="000C0AAE" w:rsidRDefault="000C0AAE" w:rsidP="000C0AAE">
      <w:pPr>
        <w:spacing w:line="480" w:lineRule="auto"/>
        <w:ind w:left="720" w:hanging="720"/>
      </w:pPr>
      <w:r w:rsidRPr="005363BC">
        <w:rPr>
          <w:rFonts w:ascii="Times New Roman" w:hAnsi="Times New Roman" w:cs="Times New Roman"/>
        </w:rPr>
        <w:t xml:space="preserve">van </w:t>
      </w:r>
      <w:proofErr w:type="spellStart"/>
      <w:r w:rsidRPr="005363BC">
        <w:rPr>
          <w:rFonts w:ascii="Times New Roman" w:hAnsi="Times New Roman" w:cs="Times New Roman"/>
        </w:rPr>
        <w:t>Valkengoed</w:t>
      </w:r>
      <w:proofErr w:type="spellEnd"/>
      <w:r w:rsidRPr="005363BC">
        <w:rPr>
          <w:rFonts w:ascii="Times New Roman" w:hAnsi="Times New Roman" w:cs="Times New Roman"/>
        </w:rPr>
        <w:t xml:space="preserve">, A. M., &amp; Steg, L. (2019). Meta-analyses of factors motivating climate change adaptation </w:t>
      </w:r>
      <w:proofErr w:type="spellStart"/>
      <w:r w:rsidRPr="005363BC">
        <w:rPr>
          <w:rFonts w:ascii="Times New Roman" w:hAnsi="Times New Roman" w:cs="Times New Roman"/>
        </w:rPr>
        <w:t>behaviour</w:t>
      </w:r>
      <w:proofErr w:type="spellEnd"/>
      <w:r w:rsidRPr="005363BC">
        <w:rPr>
          <w:rFonts w:ascii="Times New Roman" w:hAnsi="Times New Roman" w:cs="Times New Roman"/>
        </w:rPr>
        <w:t xml:space="preserve">. </w:t>
      </w:r>
      <w:r w:rsidRPr="005363BC">
        <w:rPr>
          <w:rFonts w:ascii="Times New Roman" w:hAnsi="Times New Roman" w:cs="Times New Roman"/>
          <w:i/>
          <w:iCs/>
        </w:rPr>
        <w:t>Nature Climate Change</w:t>
      </w:r>
      <w:r w:rsidRPr="005363BC">
        <w:rPr>
          <w:rFonts w:ascii="Times New Roman" w:hAnsi="Times New Roman" w:cs="Times New Roman"/>
        </w:rPr>
        <w:t xml:space="preserve">, </w:t>
      </w:r>
      <w:r w:rsidRPr="005363BC">
        <w:rPr>
          <w:rFonts w:ascii="Times New Roman" w:hAnsi="Times New Roman" w:cs="Times New Roman"/>
          <w:i/>
          <w:iCs/>
        </w:rPr>
        <w:t>9</w:t>
      </w:r>
      <w:r w:rsidRPr="005363BC">
        <w:rPr>
          <w:rFonts w:ascii="Times New Roman" w:hAnsi="Times New Roman" w:cs="Times New Roman"/>
        </w:rPr>
        <w:t>(2), 158</w:t>
      </w:r>
      <w:r>
        <w:t xml:space="preserve">–163. </w:t>
      </w:r>
      <w:hyperlink r:id="rId28" w:history="1">
        <w:r w:rsidRPr="005363BC">
          <w:rPr>
            <w:rStyle w:val="Hyperlink"/>
            <w:rFonts w:ascii="Times New Roman" w:hAnsi="Times New Roman" w:cs="Times New Roman"/>
          </w:rPr>
          <w:t>https://doi.org/10.1038/s41558-018-0371-y</w:t>
        </w:r>
      </w:hyperlink>
    </w:p>
    <w:p w14:paraId="32A05DD3" w14:textId="77777777" w:rsidR="000C0AAE" w:rsidRDefault="000C0AAE" w:rsidP="005658C6">
      <w:pPr>
        <w:spacing w:line="480" w:lineRule="auto"/>
        <w:rPr>
          <w:rFonts w:ascii="Times New Roman" w:hAnsi="Times New Roman" w:cs="Times New Roman"/>
        </w:rPr>
      </w:pPr>
    </w:p>
    <w:p w14:paraId="66743DEF" w14:textId="77777777" w:rsidR="00827D16" w:rsidRPr="00CD01CC" w:rsidRDefault="00827D16" w:rsidP="00B733E0">
      <w:pPr>
        <w:pStyle w:val="ListParagraph"/>
        <w:spacing w:line="480" w:lineRule="auto"/>
        <w:rPr>
          <w:rFonts w:ascii="Times New Roman" w:hAnsi="Times New Roman" w:cs="Times New Roman"/>
        </w:rPr>
      </w:pPr>
    </w:p>
    <w:p w14:paraId="3E6A6F63" w14:textId="57A94D5F" w:rsidR="00774359" w:rsidRPr="00774359" w:rsidRDefault="00774359" w:rsidP="00AB5B30">
      <w:pPr>
        <w:spacing w:line="480" w:lineRule="auto"/>
        <w:jc w:val="center"/>
        <w:rPr>
          <w:rFonts w:ascii="Times New Roman" w:hAnsi="Times New Roman" w:cs="Times New Roman"/>
          <w:b/>
          <w:bCs/>
        </w:rPr>
      </w:pPr>
      <w:r w:rsidRPr="00774359">
        <w:rPr>
          <w:rFonts w:ascii="Times New Roman" w:hAnsi="Times New Roman" w:cs="Times New Roman"/>
          <w:b/>
          <w:bCs/>
        </w:rPr>
        <w:lastRenderedPageBreak/>
        <w:t>Appendix</w:t>
      </w:r>
      <w:r w:rsidR="000C0AAE">
        <w:rPr>
          <w:rFonts w:ascii="Times New Roman" w:hAnsi="Times New Roman" w:cs="Times New Roman"/>
          <w:b/>
          <w:bCs/>
        </w:rPr>
        <w:t xml:space="preserve"> A</w:t>
      </w:r>
    </w:p>
    <w:p w14:paraId="1E238E4C" w14:textId="19353CDE" w:rsidR="005658C6" w:rsidRDefault="00526E79" w:rsidP="005658C6">
      <w:pPr>
        <w:spacing w:line="480" w:lineRule="auto"/>
        <w:rPr>
          <w:rFonts w:ascii="Times New Roman" w:hAnsi="Times New Roman" w:cs="Times New Roman"/>
        </w:rPr>
      </w:pPr>
      <w:r>
        <w:rPr>
          <w:rFonts w:ascii="Times New Roman" w:hAnsi="Times New Roman" w:cs="Times New Roman"/>
        </w:rPr>
        <w:t xml:space="preserve">Figure </w:t>
      </w:r>
      <w:r w:rsidR="00CD6BF6">
        <w:rPr>
          <w:rFonts w:ascii="Times New Roman" w:hAnsi="Times New Roman" w:cs="Times New Roman"/>
        </w:rPr>
        <w:t>A</w:t>
      </w:r>
      <w:r w:rsidR="00844504">
        <w:rPr>
          <w:rFonts w:ascii="Times New Roman" w:hAnsi="Times New Roman" w:cs="Times New Roman"/>
        </w:rPr>
        <w:t>1</w:t>
      </w:r>
      <w:r w:rsidR="00CD6BF6">
        <w:rPr>
          <w:rFonts w:ascii="Times New Roman" w:hAnsi="Times New Roman" w:cs="Times New Roman"/>
        </w:rPr>
        <w:t>. Average Risk and Readiness of Cities by Region</w:t>
      </w:r>
      <w:r w:rsidR="00AB5B30">
        <w:rPr>
          <w:rFonts w:ascii="Times New Roman" w:hAnsi="Times New Roman" w:cs="Times New Roman"/>
        </w:rPr>
        <w:t xml:space="preserve"> (</w:t>
      </w:r>
      <w:r w:rsidR="00AB5B30" w:rsidRPr="00E26AD5">
        <w:rPr>
          <w:rFonts w:ascii="Times New Roman" w:hAnsi="Times New Roman" w:cs="Times New Roman"/>
        </w:rPr>
        <w:t>University of Notre Dame</w:t>
      </w:r>
      <w:r w:rsidR="00AB5B30">
        <w:rPr>
          <w:rFonts w:ascii="Times New Roman" w:hAnsi="Times New Roman" w:cs="Times New Roman"/>
        </w:rPr>
        <w:t xml:space="preserve">, </w:t>
      </w:r>
      <w:r w:rsidR="00AB5B30" w:rsidRPr="00E26AD5">
        <w:rPr>
          <w:rFonts w:ascii="Times New Roman" w:hAnsi="Times New Roman" w:cs="Times New Roman"/>
        </w:rPr>
        <w:t>n.d.)</w:t>
      </w:r>
    </w:p>
    <w:p w14:paraId="6F1E5D0B" w14:textId="238D0D79" w:rsidR="00844504" w:rsidRDefault="002D7CAF" w:rsidP="005658C6">
      <w:pPr>
        <w:spacing w:line="480" w:lineRule="auto"/>
        <w:rPr>
          <w:rFonts w:ascii="Times New Roman" w:hAnsi="Times New Roman" w:cs="Times New Roman"/>
        </w:rPr>
      </w:pPr>
      <w:r>
        <w:rPr>
          <w:rFonts w:ascii="Times New Roman" w:hAnsi="Times New Roman" w:cs="Times New Roman"/>
          <w:noProof/>
        </w:rPr>
        <w:drawing>
          <wp:inline distT="0" distB="0" distL="0" distR="0" wp14:anchorId="754AA2BC" wp14:editId="63B6BD12">
            <wp:extent cx="4577284" cy="2945567"/>
            <wp:effectExtent l="0" t="0" r="0" b="1270"/>
            <wp:docPr id="2" name="Picture 2"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chat or text messag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594926" cy="2956920"/>
                    </a:xfrm>
                    <a:prstGeom prst="rect">
                      <a:avLst/>
                    </a:prstGeom>
                    <a:solidFill>
                      <a:schemeClr val="accent5">
                        <a:lumMod val="20000"/>
                        <a:lumOff val="80000"/>
                      </a:schemeClr>
                    </a:solidFill>
                  </pic:spPr>
                </pic:pic>
              </a:graphicData>
            </a:graphic>
          </wp:inline>
        </w:drawing>
      </w:r>
    </w:p>
    <w:p w14:paraId="7C773A9B" w14:textId="526FA2D6" w:rsidR="00844504" w:rsidRDefault="00526E79" w:rsidP="005658C6">
      <w:pPr>
        <w:spacing w:line="480" w:lineRule="auto"/>
        <w:rPr>
          <w:rFonts w:ascii="Times New Roman" w:hAnsi="Times New Roman" w:cs="Times New Roman"/>
        </w:rPr>
      </w:pPr>
      <w:r>
        <w:rPr>
          <w:rFonts w:ascii="Times New Roman" w:hAnsi="Times New Roman" w:cs="Times New Roman"/>
        </w:rPr>
        <w:t>Figure A</w:t>
      </w:r>
      <w:r w:rsidR="0076701B">
        <w:rPr>
          <w:rFonts w:ascii="Times New Roman" w:hAnsi="Times New Roman" w:cs="Times New Roman"/>
        </w:rPr>
        <w:t>2</w:t>
      </w:r>
      <w:r w:rsidR="00F77900">
        <w:rPr>
          <w:rFonts w:ascii="Times New Roman" w:hAnsi="Times New Roman" w:cs="Times New Roman"/>
        </w:rPr>
        <w:t xml:space="preserve">. Boxplot of Overall Risk </w:t>
      </w:r>
      <w:r w:rsidR="000C0AAE">
        <w:rPr>
          <w:rFonts w:ascii="Times New Roman" w:hAnsi="Times New Roman" w:cs="Times New Roman"/>
        </w:rPr>
        <w:t>g</w:t>
      </w:r>
      <w:r w:rsidR="00F77900">
        <w:rPr>
          <w:rFonts w:ascii="Times New Roman" w:hAnsi="Times New Roman" w:cs="Times New Roman"/>
        </w:rPr>
        <w:t>rouped by Region</w:t>
      </w:r>
      <w:r w:rsidR="00AB5B30">
        <w:rPr>
          <w:rFonts w:ascii="Times New Roman" w:hAnsi="Times New Roman" w:cs="Times New Roman"/>
        </w:rPr>
        <w:t xml:space="preserve"> </w:t>
      </w:r>
      <w:r w:rsidR="00AB5B30">
        <w:rPr>
          <w:rFonts w:ascii="Times New Roman" w:hAnsi="Times New Roman" w:cs="Times New Roman"/>
        </w:rPr>
        <w:t>(</w:t>
      </w:r>
      <w:r w:rsidR="00AB5B30" w:rsidRPr="00E26AD5">
        <w:rPr>
          <w:rFonts w:ascii="Times New Roman" w:hAnsi="Times New Roman" w:cs="Times New Roman"/>
        </w:rPr>
        <w:t>University of Notre Dame</w:t>
      </w:r>
      <w:r w:rsidR="00AB5B30">
        <w:rPr>
          <w:rFonts w:ascii="Times New Roman" w:hAnsi="Times New Roman" w:cs="Times New Roman"/>
        </w:rPr>
        <w:t xml:space="preserve">, </w:t>
      </w:r>
      <w:r w:rsidR="00AB5B30" w:rsidRPr="00E26AD5">
        <w:rPr>
          <w:rFonts w:ascii="Times New Roman" w:hAnsi="Times New Roman" w:cs="Times New Roman"/>
        </w:rPr>
        <w:t>n.d.)</w:t>
      </w:r>
    </w:p>
    <w:p w14:paraId="696CA719" w14:textId="4181892B" w:rsidR="0076701B" w:rsidRDefault="0076701B" w:rsidP="005658C6">
      <w:pPr>
        <w:spacing w:line="480" w:lineRule="auto"/>
        <w:rPr>
          <w:rFonts w:ascii="Times New Roman" w:hAnsi="Times New Roman" w:cs="Times New Roman"/>
        </w:rPr>
      </w:pPr>
      <w:r>
        <w:rPr>
          <w:rFonts w:ascii="Times New Roman" w:hAnsi="Times New Roman" w:cs="Times New Roman"/>
          <w:noProof/>
        </w:rPr>
        <w:drawing>
          <wp:inline distT="0" distB="0" distL="0" distR="0" wp14:anchorId="2177FE68" wp14:editId="5007746D">
            <wp:extent cx="4892256" cy="3942413"/>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917468" cy="3962730"/>
                    </a:xfrm>
                    <a:prstGeom prst="rect">
                      <a:avLst/>
                    </a:prstGeom>
                    <a:solidFill>
                      <a:schemeClr val="accent5">
                        <a:lumMod val="20000"/>
                        <a:lumOff val="80000"/>
                      </a:schemeClr>
                    </a:solidFill>
                  </pic:spPr>
                </pic:pic>
              </a:graphicData>
            </a:graphic>
          </wp:inline>
        </w:drawing>
      </w:r>
    </w:p>
    <w:p w14:paraId="2350B0D3" w14:textId="55FCC975" w:rsidR="00E2139C" w:rsidRDefault="00F77900" w:rsidP="005658C6">
      <w:pPr>
        <w:spacing w:line="480" w:lineRule="auto"/>
        <w:rPr>
          <w:rFonts w:ascii="Times New Roman" w:hAnsi="Times New Roman" w:cs="Times New Roman"/>
        </w:rPr>
      </w:pPr>
      <w:r>
        <w:rPr>
          <w:rFonts w:ascii="Times New Roman" w:hAnsi="Times New Roman" w:cs="Times New Roman"/>
        </w:rPr>
        <w:lastRenderedPageBreak/>
        <w:t>Figure</w:t>
      </w:r>
      <w:r w:rsidR="00E2139C">
        <w:rPr>
          <w:rFonts w:ascii="Times New Roman" w:hAnsi="Times New Roman" w:cs="Times New Roman"/>
        </w:rPr>
        <w:t xml:space="preserve"> </w:t>
      </w:r>
      <w:r>
        <w:rPr>
          <w:rFonts w:ascii="Times New Roman" w:hAnsi="Times New Roman" w:cs="Times New Roman"/>
        </w:rPr>
        <w:t>A</w:t>
      </w:r>
      <w:r w:rsidR="00E2139C">
        <w:rPr>
          <w:rFonts w:ascii="Times New Roman" w:hAnsi="Times New Roman" w:cs="Times New Roman"/>
        </w:rPr>
        <w:t>3</w:t>
      </w:r>
      <w:r w:rsidR="000C0AAE">
        <w:rPr>
          <w:rFonts w:ascii="Times New Roman" w:hAnsi="Times New Roman" w:cs="Times New Roman"/>
        </w:rPr>
        <w:t>. Boxplot of Overall Readiness grouped by Region</w:t>
      </w:r>
      <w:r w:rsidR="00AB5B30">
        <w:rPr>
          <w:rFonts w:ascii="Times New Roman" w:hAnsi="Times New Roman" w:cs="Times New Roman"/>
        </w:rPr>
        <w:t xml:space="preserve"> </w:t>
      </w:r>
      <w:r w:rsidR="00AB5B30">
        <w:rPr>
          <w:rFonts w:ascii="Times New Roman" w:hAnsi="Times New Roman" w:cs="Times New Roman"/>
        </w:rPr>
        <w:t>(</w:t>
      </w:r>
      <w:r w:rsidR="00AB5B30" w:rsidRPr="00E26AD5">
        <w:rPr>
          <w:rFonts w:ascii="Times New Roman" w:hAnsi="Times New Roman" w:cs="Times New Roman"/>
        </w:rPr>
        <w:t>University of Notre Dame</w:t>
      </w:r>
      <w:r w:rsidR="00AB5B30">
        <w:rPr>
          <w:rFonts w:ascii="Times New Roman" w:hAnsi="Times New Roman" w:cs="Times New Roman"/>
        </w:rPr>
        <w:t xml:space="preserve">, </w:t>
      </w:r>
      <w:r w:rsidR="00AB5B30" w:rsidRPr="00E26AD5">
        <w:rPr>
          <w:rFonts w:ascii="Times New Roman" w:hAnsi="Times New Roman" w:cs="Times New Roman"/>
        </w:rPr>
        <w:t>n.d.)</w:t>
      </w:r>
    </w:p>
    <w:p w14:paraId="22D8A731" w14:textId="56DFCB81" w:rsidR="00E2139C" w:rsidRPr="005658C6" w:rsidRDefault="00E2139C" w:rsidP="005658C6">
      <w:pPr>
        <w:spacing w:line="480" w:lineRule="auto"/>
        <w:rPr>
          <w:rFonts w:ascii="Times New Roman" w:hAnsi="Times New Roman" w:cs="Times New Roman"/>
        </w:rPr>
      </w:pPr>
      <w:r>
        <w:rPr>
          <w:rFonts w:ascii="Times New Roman" w:hAnsi="Times New Roman" w:cs="Times New Roman"/>
          <w:noProof/>
        </w:rPr>
        <w:drawing>
          <wp:inline distT="0" distB="0" distL="0" distR="0" wp14:anchorId="628EE5E8" wp14:editId="1CDBD073">
            <wp:extent cx="5943600" cy="5643245"/>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943600" cy="5643245"/>
                    </a:xfrm>
                    <a:prstGeom prst="rect">
                      <a:avLst/>
                    </a:prstGeom>
                    <a:solidFill>
                      <a:schemeClr val="accent5">
                        <a:lumMod val="20000"/>
                        <a:lumOff val="80000"/>
                      </a:schemeClr>
                    </a:solidFill>
                  </pic:spPr>
                </pic:pic>
              </a:graphicData>
            </a:graphic>
          </wp:inline>
        </w:drawing>
      </w:r>
    </w:p>
    <w:p w14:paraId="655FF155" w14:textId="77777777" w:rsidR="00737134" w:rsidRPr="003D0CA5" w:rsidRDefault="00737134" w:rsidP="00D124F4">
      <w:pPr>
        <w:spacing w:line="480" w:lineRule="auto"/>
        <w:rPr>
          <w:rFonts w:ascii="Times New Roman" w:hAnsi="Times New Roman" w:cs="Times New Roman"/>
        </w:rPr>
      </w:pPr>
    </w:p>
    <w:sectPr w:rsidR="00737134" w:rsidRPr="003D0CA5" w:rsidSect="003372C8">
      <w:headerReference w:type="even" r:id="rId32"/>
      <w:head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150DD" w14:textId="77777777" w:rsidR="008B6447" w:rsidRDefault="008B6447" w:rsidP="00BB452E">
      <w:r>
        <w:separator/>
      </w:r>
    </w:p>
  </w:endnote>
  <w:endnote w:type="continuationSeparator" w:id="0">
    <w:p w14:paraId="475B56A0" w14:textId="77777777" w:rsidR="008B6447" w:rsidRDefault="008B6447" w:rsidP="00BB4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488A0" w14:textId="77777777" w:rsidR="008B6447" w:rsidRDefault="008B6447" w:rsidP="00BB452E">
      <w:r>
        <w:separator/>
      </w:r>
    </w:p>
  </w:footnote>
  <w:footnote w:type="continuationSeparator" w:id="0">
    <w:p w14:paraId="31E27948" w14:textId="77777777" w:rsidR="008B6447" w:rsidRDefault="008B6447" w:rsidP="00BB45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6834720"/>
      <w:docPartObj>
        <w:docPartGallery w:val="Page Numbers (Top of Page)"/>
        <w:docPartUnique/>
      </w:docPartObj>
    </w:sdtPr>
    <w:sdtEndPr>
      <w:rPr>
        <w:rStyle w:val="PageNumber"/>
      </w:rPr>
    </w:sdtEndPr>
    <w:sdtContent>
      <w:p w14:paraId="22AE909F" w14:textId="6FB585F7" w:rsidR="00BB452E" w:rsidRDefault="00BB452E" w:rsidP="00A3590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135B9F" w14:textId="77777777" w:rsidR="00BB452E" w:rsidRDefault="00BB452E" w:rsidP="00BB452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354096"/>
      <w:docPartObj>
        <w:docPartGallery w:val="Page Numbers (Top of Page)"/>
        <w:docPartUnique/>
      </w:docPartObj>
    </w:sdtPr>
    <w:sdtEndPr>
      <w:rPr>
        <w:rStyle w:val="PageNumber"/>
      </w:rPr>
    </w:sdtEndPr>
    <w:sdtContent>
      <w:p w14:paraId="7BD3FA60" w14:textId="43B89A62" w:rsidR="00BB452E" w:rsidRDefault="00BB452E" w:rsidP="00A3590C">
        <w:pPr>
          <w:pStyle w:val="Header"/>
          <w:framePr w:wrap="none" w:vAnchor="text" w:hAnchor="margin" w:xAlign="right" w:y="1"/>
          <w:rPr>
            <w:rStyle w:val="PageNumber"/>
          </w:rPr>
        </w:pPr>
        <w:r w:rsidRPr="00C548AA">
          <w:rPr>
            <w:rStyle w:val="PageNumber"/>
            <w:rFonts w:ascii="Times New Roman" w:hAnsi="Times New Roman" w:cs="Times New Roman"/>
          </w:rPr>
          <w:t>Peterson</w:t>
        </w:r>
        <w:r>
          <w:rPr>
            <w:rStyle w:val="PageNumber"/>
          </w:rPr>
          <w:t xml:space="preserve"> </w:t>
        </w:r>
        <w:r w:rsidRPr="00EF61BC">
          <w:rPr>
            <w:rStyle w:val="PageNumber"/>
            <w:rFonts w:ascii="Times New Roman" w:hAnsi="Times New Roman" w:cs="Times New Roman"/>
          </w:rPr>
          <w:fldChar w:fldCharType="begin"/>
        </w:r>
        <w:r w:rsidRPr="00EF61BC">
          <w:rPr>
            <w:rStyle w:val="PageNumber"/>
            <w:rFonts w:ascii="Times New Roman" w:hAnsi="Times New Roman" w:cs="Times New Roman"/>
          </w:rPr>
          <w:instrText xml:space="preserve"> PAGE </w:instrText>
        </w:r>
        <w:r w:rsidRPr="00EF61BC">
          <w:rPr>
            <w:rStyle w:val="PageNumber"/>
            <w:rFonts w:ascii="Times New Roman" w:hAnsi="Times New Roman" w:cs="Times New Roman"/>
          </w:rPr>
          <w:fldChar w:fldCharType="separate"/>
        </w:r>
        <w:r w:rsidRPr="00EF61BC">
          <w:rPr>
            <w:rStyle w:val="PageNumber"/>
            <w:rFonts w:ascii="Times New Roman" w:hAnsi="Times New Roman" w:cs="Times New Roman"/>
            <w:noProof/>
          </w:rPr>
          <w:t>1</w:t>
        </w:r>
        <w:r w:rsidRPr="00EF61BC">
          <w:rPr>
            <w:rStyle w:val="PageNumber"/>
            <w:rFonts w:ascii="Times New Roman" w:hAnsi="Times New Roman" w:cs="Times New Roman"/>
          </w:rPr>
          <w:fldChar w:fldCharType="end"/>
        </w:r>
      </w:p>
    </w:sdtContent>
  </w:sdt>
  <w:p w14:paraId="71D46282" w14:textId="77777777" w:rsidR="00BB452E" w:rsidRDefault="00BB452E" w:rsidP="00BB452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E5A58"/>
    <w:multiLevelType w:val="hybridMultilevel"/>
    <w:tmpl w:val="009222E4"/>
    <w:lvl w:ilvl="0" w:tplc="8AF442D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C5428"/>
    <w:multiLevelType w:val="hybridMultilevel"/>
    <w:tmpl w:val="EC6A1FA0"/>
    <w:lvl w:ilvl="0" w:tplc="17FC632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B2D03"/>
    <w:multiLevelType w:val="hybridMultilevel"/>
    <w:tmpl w:val="41D28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31F1D"/>
    <w:multiLevelType w:val="hybridMultilevel"/>
    <w:tmpl w:val="96B63F34"/>
    <w:lvl w:ilvl="0" w:tplc="3E0A64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230B83"/>
    <w:multiLevelType w:val="hybridMultilevel"/>
    <w:tmpl w:val="C9D80C98"/>
    <w:lvl w:ilvl="0" w:tplc="E9B69E7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3F2BA7"/>
    <w:multiLevelType w:val="hybridMultilevel"/>
    <w:tmpl w:val="DE12E64E"/>
    <w:lvl w:ilvl="0" w:tplc="BF04A7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CD1386"/>
    <w:multiLevelType w:val="hybridMultilevel"/>
    <w:tmpl w:val="E1D8C6E4"/>
    <w:lvl w:ilvl="0" w:tplc="E9B69E7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D31167"/>
    <w:multiLevelType w:val="hybridMultilevel"/>
    <w:tmpl w:val="C27EF65E"/>
    <w:lvl w:ilvl="0" w:tplc="05283A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820283">
    <w:abstractNumId w:val="2"/>
  </w:num>
  <w:num w:numId="2" w16cid:durableId="1707827129">
    <w:abstractNumId w:val="6"/>
  </w:num>
  <w:num w:numId="3" w16cid:durableId="293875289">
    <w:abstractNumId w:val="4"/>
  </w:num>
  <w:num w:numId="4" w16cid:durableId="1295140523">
    <w:abstractNumId w:val="0"/>
  </w:num>
  <w:num w:numId="5" w16cid:durableId="1666319513">
    <w:abstractNumId w:val="3"/>
  </w:num>
  <w:num w:numId="6" w16cid:durableId="982856620">
    <w:abstractNumId w:val="7"/>
  </w:num>
  <w:num w:numId="7" w16cid:durableId="520556614">
    <w:abstractNumId w:val="1"/>
  </w:num>
  <w:num w:numId="8" w16cid:durableId="4293491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64"/>
    <w:rsid w:val="0000154F"/>
    <w:rsid w:val="00001A9B"/>
    <w:rsid w:val="00002A13"/>
    <w:rsid w:val="00005AF7"/>
    <w:rsid w:val="000106BD"/>
    <w:rsid w:val="00010AA5"/>
    <w:rsid w:val="00017993"/>
    <w:rsid w:val="00026622"/>
    <w:rsid w:val="00026A8D"/>
    <w:rsid w:val="00030CC8"/>
    <w:rsid w:val="00031914"/>
    <w:rsid w:val="00031BC7"/>
    <w:rsid w:val="0003364E"/>
    <w:rsid w:val="000345B8"/>
    <w:rsid w:val="0003707A"/>
    <w:rsid w:val="0003777A"/>
    <w:rsid w:val="00044702"/>
    <w:rsid w:val="00045698"/>
    <w:rsid w:val="00047C7E"/>
    <w:rsid w:val="000510C3"/>
    <w:rsid w:val="00052293"/>
    <w:rsid w:val="0005353A"/>
    <w:rsid w:val="00054616"/>
    <w:rsid w:val="0005737B"/>
    <w:rsid w:val="00064559"/>
    <w:rsid w:val="000704FA"/>
    <w:rsid w:val="000745D6"/>
    <w:rsid w:val="0007588C"/>
    <w:rsid w:val="000759DD"/>
    <w:rsid w:val="00081A41"/>
    <w:rsid w:val="00081B73"/>
    <w:rsid w:val="00083FDD"/>
    <w:rsid w:val="00090FEC"/>
    <w:rsid w:val="000962AC"/>
    <w:rsid w:val="000A6228"/>
    <w:rsid w:val="000B3D7C"/>
    <w:rsid w:val="000C0AAE"/>
    <w:rsid w:val="000C0BB7"/>
    <w:rsid w:val="000C19C3"/>
    <w:rsid w:val="000C2B14"/>
    <w:rsid w:val="000C3606"/>
    <w:rsid w:val="000C6A82"/>
    <w:rsid w:val="000D2C41"/>
    <w:rsid w:val="000D6B95"/>
    <w:rsid w:val="000D75B3"/>
    <w:rsid w:val="000E2328"/>
    <w:rsid w:val="000E4320"/>
    <w:rsid w:val="000E4886"/>
    <w:rsid w:val="000F1804"/>
    <w:rsid w:val="000F26E8"/>
    <w:rsid w:val="000F6261"/>
    <w:rsid w:val="000F6878"/>
    <w:rsid w:val="001040FA"/>
    <w:rsid w:val="001076B5"/>
    <w:rsid w:val="0011566A"/>
    <w:rsid w:val="00127CB8"/>
    <w:rsid w:val="00127CE3"/>
    <w:rsid w:val="00131301"/>
    <w:rsid w:val="001379FC"/>
    <w:rsid w:val="00147043"/>
    <w:rsid w:val="0014728D"/>
    <w:rsid w:val="00147A52"/>
    <w:rsid w:val="001559B6"/>
    <w:rsid w:val="00155A38"/>
    <w:rsid w:val="00161A69"/>
    <w:rsid w:val="001662C0"/>
    <w:rsid w:val="001662EC"/>
    <w:rsid w:val="00167E4B"/>
    <w:rsid w:val="00174936"/>
    <w:rsid w:val="00190D64"/>
    <w:rsid w:val="0019127E"/>
    <w:rsid w:val="00192E50"/>
    <w:rsid w:val="001930B1"/>
    <w:rsid w:val="00194EF0"/>
    <w:rsid w:val="001A3F97"/>
    <w:rsid w:val="001A55C7"/>
    <w:rsid w:val="001B27B0"/>
    <w:rsid w:val="001B3760"/>
    <w:rsid w:val="001B70E7"/>
    <w:rsid w:val="001B7B1B"/>
    <w:rsid w:val="001C05A9"/>
    <w:rsid w:val="001C34EE"/>
    <w:rsid w:val="001C4017"/>
    <w:rsid w:val="001C6E28"/>
    <w:rsid w:val="001D48C5"/>
    <w:rsid w:val="001E32C7"/>
    <w:rsid w:val="001E7AB9"/>
    <w:rsid w:val="001F45FB"/>
    <w:rsid w:val="001F77C6"/>
    <w:rsid w:val="001F7CC3"/>
    <w:rsid w:val="001F7E27"/>
    <w:rsid w:val="00200551"/>
    <w:rsid w:val="00206221"/>
    <w:rsid w:val="00206920"/>
    <w:rsid w:val="002110D0"/>
    <w:rsid w:val="00213895"/>
    <w:rsid w:val="00216C62"/>
    <w:rsid w:val="0021719E"/>
    <w:rsid w:val="00217DFF"/>
    <w:rsid w:val="0022228F"/>
    <w:rsid w:val="00223FC7"/>
    <w:rsid w:val="00227B7F"/>
    <w:rsid w:val="00231761"/>
    <w:rsid w:val="002405CA"/>
    <w:rsid w:val="00241775"/>
    <w:rsid w:val="00243EB8"/>
    <w:rsid w:val="00245E36"/>
    <w:rsid w:val="00246D4E"/>
    <w:rsid w:val="00261645"/>
    <w:rsid w:val="00262109"/>
    <w:rsid w:val="0026249C"/>
    <w:rsid w:val="00262916"/>
    <w:rsid w:val="002705EE"/>
    <w:rsid w:val="00272A47"/>
    <w:rsid w:val="00273A7A"/>
    <w:rsid w:val="00275D64"/>
    <w:rsid w:val="00280BA0"/>
    <w:rsid w:val="00280E06"/>
    <w:rsid w:val="00282751"/>
    <w:rsid w:val="00286412"/>
    <w:rsid w:val="002905F3"/>
    <w:rsid w:val="002946E3"/>
    <w:rsid w:val="00294732"/>
    <w:rsid w:val="00295F46"/>
    <w:rsid w:val="002A4328"/>
    <w:rsid w:val="002A5C57"/>
    <w:rsid w:val="002B5366"/>
    <w:rsid w:val="002C5856"/>
    <w:rsid w:val="002D1229"/>
    <w:rsid w:val="002D3A2D"/>
    <w:rsid w:val="002D3AC9"/>
    <w:rsid w:val="002D4152"/>
    <w:rsid w:val="002D56E7"/>
    <w:rsid w:val="002D7CAF"/>
    <w:rsid w:val="002E4950"/>
    <w:rsid w:val="002E6C99"/>
    <w:rsid w:val="00301AC8"/>
    <w:rsid w:val="0030304D"/>
    <w:rsid w:val="003062DF"/>
    <w:rsid w:val="003074A8"/>
    <w:rsid w:val="0031010A"/>
    <w:rsid w:val="00310EE3"/>
    <w:rsid w:val="00313D66"/>
    <w:rsid w:val="003174AE"/>
    <w:rsid w:val="0032397E"/>
    <w:rsid w:val="00325F2B"/>
    <w:rsid w:val="00327C40"/>
    <w:rsid w:val="00333A72"/>
    <w:rsid w:val="003372C8"/>
    <w:rsid w:val="00343670"/>
    <w:rsid w:val="00354EA4"/>
    <w:rsid w:val="00356075"/>
    <w:rsid w:val="00356500"/>
    <w:rsid w:val="003612EC"/>
    <w:rsid w:val="00365F04"/>
    <w:rsid w:val="00366795"/>
    <w:rsid w:val="00370AE7"/>
    <w:rsid w:val="00372961"/>
    <w:rsid w:val="003748A3"/>
    <w:rsid w:val="00380FEC"/>
    <w:rsid w:val="00381313"/>
    <w:rsid w:val="00383CBD"/>
    <w:rsid w:val="003849F1"/>
    <w:rsid w:val="00385F4D"/>
    <w:rsid w:val="00387FBE"/>
    <w:rsid w:val="00392CCA"/>
    <w:rsid w:val="00394409"/>
    <w:rsid w:val="003944C7"/>
    <w:rsid w:val="003A1AD2"/>
    <w:rsid w:val="003A5246"/>
    <w:rsid w:val="003A746E"/>
    <w:rsid w:val="003A7E1D"/>
    <w:rsid w:val="003B043C"/>
    <w:rsid w:val="003B2392"/>
    <w:rsid w:val="003B4778"/>
    <w:rsid w:val="003B5445"/>
    <w:rsid w:val="003C41C6"/>
    <w:rsid w:val="003C49B8"/>
    <w:rsid w:val="003C4E20"/>
    <w:rsid w:val="003D0CA5"/>
    <w:rsid w:val="003D1240"/>
    <w:rsid w:val="003D1E6B"/>
    <w:rsid w:val="003D7E61"/>
    <w:rsid w:val="003E0F2B"/>
    <w:rsid w:val="003E2118"/>
    <w:rsid w:val="003E2997"/>
    <w:rsid w:val="003E4680"/>
    <w:rsid w:val="003E732D"/>
    <w:rsid w:val="003E7F49"/>
    <w:rsid w:val="003F11DD"/>
    <w:rsid w:val="003F129B"/>
    <w:rsid w:val="003F3E21"/>
    <w:rsid w:val="003F6805"/>
    <w:rsid w:val="003F6F24"/>
    <w:rsid w:val="003F78D8"/>
    <w:rsid w:val="004017BC"/>
    <w:rsid w:val="00401D0B"/>
    <w:rsid w:val="004022E2"/>
    <w:rsid w:val="004045DC"/>
    <w:rsid w:val="004050D1"/>
    <w:rsid w:val="00406709"/>
    <w:rsid w:val="00417A3C"/>
    <w:rsid w:val="00435A0E"/>
    <w:rsid w:val="0044438A"/>
    <w:rsid w:val="00446C9D"/>
    <w:rsid w:val="004532E9"/>
    <w:rsid w:val="004603ED"/>
    <w:rsid w:val="00462221"/>
    <w:rsid w:val="00464142"/>
    <w:rsid w:val="00464189"/>
    <w:rsid w:val="00474461"/>
    <w:rsid w:val="004814DF"/>
    <w:rsid w:val="0048185F"/>
    <w:rsid w:val="00481D7D"/>
    <w:rsid w:val="004905DF"/>
    <w:rsid w:val="004A149F"/>
    <w:rsid w:val="004A1E79"/>
    <w:rsid w:val="004A2ED8"/>
    <w:rsid w:val="004A75E5"/>
    <w:rsid w:val="004B2A74"/>
    <w:rsid w:val="004B692A"/>
    <w:rsid w:val="004B71F4"/>
    <w:rsid w:val="004C1198"/>
    <w:rsid w:val="004C528C"/>
    <w:rsid w:val="004C5ABD"/>
    <w:rsid w:val="004C7180"/>
    <w:rsid w:val="004D0D8A"/>
    <w:rsid w:val="004D120F"/>
    <w:rsid w:val="004D1755"/>
    <w:rsid w:val="004D54BC"/>
    <w:rsid w:val="004D72BA"/>
    <w:rsid w:val="004E40D1"/>
    <w:rsid w:val="004E4EAC"/>
    <w:rsid w:val="004E63C1"/>
    <w:rsid w:val="004F037C"/>
    <w:rsid w:val="004F0536"/>
    <w:rsid w:val="004F066F"/>
    <w:rsid w:val="004F3E94"/>
    <w:rsid w:val="004F4AFB"/>
    <w:rsid w:val="004F542B"/>
    <w:rsid w:val="00510D7D"/>
    <w:rsid w:val="00512423"/>
    <w:rsid w:val="00514A1E"/>
    <w:rsid w:val="00517038"/>
    <w:rsid w:val="005177BA"/>
    <w:rsid w:val="00517CE4"/>
    <w:rsid w:val="005210A5"/>
    <w:rsid w:val="00524D93"/>
    <w:rsid w:val="005259A8"/>
    <w:rsid w:val="00526E79"/>
    <w:rsid w:val="005278BE"/>
    <w:rsid w:val="00531A49"/>
    <w:rsid w:val="005322A4"/>
    <w:rsid w:val="00532A83"/>
    <w:rsid w:val="00535A47"/>
    <w:rsid w:val="005363BC"/>
    <w:rsid w:val="005375A1"/>
    <w:rsid w:val="00540687"/>
    <w:rsid w:val="00540A78"/>
    <w:rsid w:val="00541F41"/>
    <w:rsid w:val="005514A6"/>
    <w:rsid w:val="00553B7A"/>
    <w:rsid w:val="00554451"/>
    <w:rsid w:val="00555B22"/>
    <w:rsid w:val="00564575"/>
    <w:rsid w:val="005658C6"/>
    <w:rsid w:val="005665B1"/>
    <w:rsid w:val="00570ADF"/>
    <w:rsid w:val="00570D37"/>
    <w:rsid w:val="005722C0"/>
    <w:rsid w:val="005774FC"/>
    <w:rsid w:val="0058011A"/>
    <w:rsid w:val="00581045"/>
    <w:rsid w:val="00581431"/>
    <w:rsid w:val="00581B87"/>
    <w:rsid w:val="0058277D"/>
    <w:rsid w:val="0058673C"/>
    <w:rsid w:val="00586B7F"/>
    <w:rsid w:val="005922AF"/>
    <w:rsid w:val="00592A50"/>
    <w:rsid w:val="005956A3"/>
    <w:rsid w:val="005A0220"/>
    <w:rsid w:val="005A3BAA"/>
    <w:rsid w:val="005A458C"/>
    <w:rsid w:val="005A5B5B"/>
    <w:rsid w:val="005B3948"/>
    <w:rsid w:val="005B4C7F"/>
    <w:rsid w:val="005B6D82"/>
    <w:rsid w:val="005B78E3"/>
    <w:rsid w:val="005C0788"/>
    <w:rsid w:val="005C1926"/>
    <w:rsid w:val="005C57D4"/>
    <w:rsid w:val="005C59A6"/>
    <w:rsid w:val="005D3364"/>
    <w:rsid w:val="005D3E76"/>
    <w:rsid w:val="005D57BA"/>
    <w:rsid w:val="005D58D3"/>
    <w:rsid w:val="005D5EA3"/>
    <w:rsid w:val="005E24D2"/>
    <w:rsid w:val="005E39D1"/>
    <w:rsid w:val="005E6962"/>
    <w:rsid w:val="005F01C0"/>
    <w:rsid w:val="005F1993"/>
    <w:rsid w:val="005F58FE"/>
    <w:rsid w:val="005F5EC1"/>
    <w:rsid w:val="005F7808"/>
    <w:rsid w:val="00600D82"/>
    <w:rsid w:val="00602245"/>
    <w:rsid w:val="00602307"/>
    <w:rsid w:val="00602484"/>
    <w:rsid w:val="00602E07"/>
    <w:rsid w:val="006031C8"/>
    <w:rsid w:val="0060374D"/>
    <w:rsid w:val="00605D45"/>
    <w:rsid w:val="006072E3"/>
    <w:rsid w:val="00611B74"/>
    <w:rsid w:val="00611E04"/>
    <w:rsid w:val="006125DF"/>
    <w:rsid w:val="00614808"/>
    <w:rsid w:val="006150D7"/>
    <w:rsid w:val="00616674"/>
    <w:rsid w:val="006228FD"/>
    <w:rsid w:val="00623A18"/>
    <w:rsid w:val="0062418B"/>
    <w:rsid w:val="006249AE"/>
    <w:rsid w:val="00625A65"/>
    <w:rsid w:val="006300AB"/>
    <w:rsid w:val="0063050D"/>
    <w:rsid w:val="00631D96"/>
    <w:rsid w:val="0063379F"/>
    <w:rsid w:val="006375D4"/>
    <w:rsid w:val="00642CCE"/>
    <w:rsid w:val="00647B36"/>
    <w:rsid w:val="006616C0"/>
    <w:rsid w:val="00663C7B"/>
    <w:rsid w:val="00664918"/>
    <w:rsid w:val="006649C4"/>
    <w:rsid w:val="00664D4E"/>
    <w:rsid w:val="00681588"/>
    <w:rsid w:val="00690278"/>
    <w:rsid w:val="00694280"/>
    <w:rsid w:val="00694506"/>
    <w:rsid w:val="006958E5"/>
    <w:rsid w:val="006A69BC"/>
    <w:rsid w:val="006B083B"/>
    <w:rsid w:val="006B089A"/>
    <w:rsid w:val="006B0C08"/>
    <w:rsid w:val="006B3459"/>
    <w:rsid w:val="006B3EE2"/>
    <w:rsid w:val="006B6659"/>
    <w:rsid w:val="006C0526"/>
    <w:rsid w:val="006C4D72"/>
    <w:rsid w:val="006C647F"/>
    <w:rsid w:val="006C746F"/>
    <w:rsid w:val="006D0095"/>
    <w:rsid w:val="006D027A"/>
    <w:rsid w:val="006D079B"/>
    <w:rsid w:val="006D0A0D"/>
    <w:rsid w:val="006D0B3A"/>
    <w:rsid w:val="006D2CDF"/>
    <w:rsid w:val="006D306A"/>
    <w:rsid w:val="006E0E19"/>
    <w:rsid w:val="006E3428"/>
    <w:rsid w:val="006E3568"/>
    <w:rsid w:val="006E3958"/>
    <w:rsid w:val="006E52FA"/>
    <w:rsid w:val="006E58F9"/>
    <w:rsid w:val="006E6323"/>
    <w:rsid w:val="006F05EA"/>
    <w:rsid w:val="006F1342"/>
    <w:rsid w:val="006F59FD"/>
    <w:rsid w:val="007030CF"/>
    <w:rsid w:val="00705554"/>
    <w:rsid w:val="0071049A"/>
    <w:rsid w:val="00710B23"/>
    <w:rsid w:val="00711F9C"/>
    <w:rsid w:val="00721632"/>
    <w:rsid w:val="0072318E"/>
    <w:rsid w:val="00726795"/>
    <w:rsid w:val="00727BAD"/>
    <w:rsid w:val="00730301"/>
    <w:rsid w:val="00732B3B"/>
    <w:rsid w:val="00737134"/>
    <w:rsid w:val="00737B7B"/>
    <w:rsid w:val="00742807"/>
    <w:rsid w:val="00744D01"/>
    <w:rsid w:val="00747EEA"/>
    <w:rsid w:val="00752AC1"/>
    <w:rsid w:val="00754AC0"/>
    <w:rsid w:val="00755BA5"/>
    <w:rsid w:val="00762D30"/>
    <w:rsid w:val="00763131"/>
    <w:rsid w:val="00766B35"/>
    <w:rsid w:val="0076701B"/>
    <w:rsid w:val="007672BF"/>
    <w:rsid w:val="00770176"/>
    <w:rsid w:val="00771D2E"/>
    <w:rsid w:val="007732E9"/>
    <w:rsid w:val="00774359"/>
    <w:rsid w:val="0077573B"/>
    <w:rsid w:val="00777B54"/>
    <w:rsid w:val="00780C38"/>
    <w:rsid w:val="0078539C"/>
    <w:rsid w:val="00785FB1"/>
    <w:rsid w:val="00793254"/>
    <w:rsid w:val="007959FC"/>
    <w:rsid w:val="007A33DC"/>
    <w:rsid w:val="007A3F68"/>
    <w:rsid w:val="007A7855"/>
    <w:rsid w:val="007B0035"/>
    <w:rsid w:val="007B1721"/>
    <w:rsid w:val="007B70CF"/>
    <w:rsid w:val="007C0679"/>
    <w:rsid w:val="007C0D49"/>
    <w:rsid w:val="007D49C6"/>
    <w:rsid w:val="007D6747"/>
    <w:rsid w:val="007D7CD6"/>
    <w:rsid w:val="007E2097"/>
    <w:rsid w:val="007F0D91"/>
    <w:rsid w:val="0080030C"/>
    <w:rsid w:val="00800DB8"/>
    <w:rsid w:val="00801818"/>
    <w:rsid w:val="008020E5"/>
    <w:rsid w:val="008031B0"/>
    <w:rsid w:val="00804CF9"/>
    <w:rsid w:val="00807A2A"/>
    <w:rsid w:val="00807F9B"/>
    <w:rsid w:val="00810953"/>
    <w:rsid w:val="00811AD5"/>
    <w:rsid w:val="0081273B"/>
    <w:rsid w:val="00813A21"/>
    <w:rsid w:val="00813C2C"/>
    <w:rsid w:val="00814948"/>
    <w:rsid w:val="00815186"/>
    <w:rsid w:val="00820E3F"/>
    <w:rsid w:val="00821B06"/>
    <w:rsid w:val="00821ECD"/>
    <w:rsid w:val="00827D16"/>
    <w:rsid w:val="008311CE"/>
    <w:rsid w:val="008347B5"/>
    <w:rsid w:val="00835BEB"/>
    <w:rsid w:val="0084002D"/>
    <w:rsid w:val="008421E0"/>
    <w:rsid w:val="00843451"/>
    <w:rsid w:val="00844504"/>
    <w:rsid w:val="008465C0"/>
    <w:rsid w:val="00847E7B"/>
    <w:rsid w:val="00854145"/>
    <w:rsid w:val="008616D2"/>
    <w:rsid w:val="00862218"/>
    <w:rsid w:val="008645B5"/>
    <w:rsid w:val="00866788"/>
    <w:rsid w:val="00866851"/>
    <w:rsid w:val="00873ED7"/>
    <w:rsid w:val="00886217"/>
    <w:rsid w:val="008870F9"/>
    <w:rsid w:val="00891081"/>
    <w:rsid w:val="008922DF"/>
    <w:rsid w:val="00893EC0"/>
    <w:rsid w:val="008957E5"/>
    <w:rsid w:val="008961D1"/>
    <w:rsid w:val="008A1334"/>
    <w:rsid w:val="008A34F8"/>
    <w:rsid w:val="008A5D06"/>
    <w:rsid w:val="008A6203"/>
    <w:rsid w:val="008A736F"/>
    <w:rsid w:val="008A7AE9"/>
    <w:rsid w:val="008B3316"/>
    <w:rsid w:val="008B6447"/>
    <w:rsid w:val="008B6E93"/>
    <w:rsid w:val="008B7637"/>
    <w:rsid w:val="008C3F06"/>
    <w:rsid w:val="008C4023"/>
    <w:rsid w:val="008D5A1C"/>
    <w:rsid w:val="008D79BC"/>
    <w:rsid w:val="008E564F"/>
    <w:rsid w:val="008E70BF"/>
    <w:rsid w:val="008F044D"/>
    <w:rsid w:val="008F424B"/>
    <w:rsid w:val="008F4285"/>
    <w:rsid w:val="008F4881"/>
    <w:rsid w:val="008F7230"/>
    <w:rsid w:val="00900A66"/>
    <w:rsid w:val="00913995"/>
    <w:rsid w:val="00915E2E"/>
    <w:rsid w:val="00916809"/>
    <w:rsid w:val="00916BDB"/>
    <w:rsid w:val="00917FCB"/>
    <w:rsid w:val="00924384"/>
    <w:rsid w:val="00924BA5"/>
    <w:rsid w:val="00925C00"/>
    <w:rsid w:val="00925EE7"/>
    <w:rsid w:val="009332C0"/>
    <w:rsid w:val="00937C9C"/>
    <w:rsid w:val="009408B6"/>
    <w:rsid w:val="0094191B"/>
    <w:rsid w:val="009430E6"/>
    <w:rsid w:val="009560E9"/>
    <w:rsid w:val="009563D9"/>
    <w:rsid w:val="0095782A"/>
    <w:rsid w:val="00961A3E"/>
    <w:rsid w:val="00965ED0"/>
    <w:rsid w:val="00965FC7"/>
    <w:rsid w:val="00966E9B"/>
    <w:rsid w:val="00967703"/>
    <w:rsid w:val="009713A1"/>
    <w:rsid w:val="00972DAC"/>
    <w:rsid w:val="00974CC7"/>
    <w:rsid w:val="00974D87"/>
    <w:rsid w:val="00975E16"/>
    <w:rsid w:val="00977B70"/>
    <w:rsid w:val="0098495E"/>
    <w:rsid w:val="00985560"/>
    <w:rsid w:val="0099108C"/>
    <w:rsid w:val="00993EF4"/>
    <w:rsid w:val="00996C1E"/>
    <w:rsid w:val="0099736B"/>
    <w:rsid w:val="00997779"/>
    <w:rsid w:val="009A5F21"/>
    <w:rsid w:val="009B1E0A"/>
    <w:rsid w:val="009B2400"/>
    <w:rsid w:val="009B4575"/>
    <w:rsid w:val="009B4D81"/>
    <w:rsid w:val="009B58DF"/>
    <w:rsid w:val="009C1732"/>
    <w:rsid w:val="009C2D99"/>
    <w:rsid w:val="009C36ED"/>
    <w:rsid w:val="009C5DEF"/>
    <w:rsid w:val="009D2679"/>
    <w:rsid w:val="009D3A1C"/>
    <w:rsid w:val="009D6534"/>
    <w:rsid w:val="009D6DCF"/>
    <w:rsid w:val="009E0B3F"/>
    <w:rsid w:val="009E4F57"/>
    <w:rsid w:val="009F09D3"/>
    <w:rsid w:val="009F46FC"/>
    <w:rsid w:val="009F4CDB"/>
    <w:rsid w:val="009F666C"/>
    <w:rsid w:val="009F7025"/>
    <w:rsid w:val="00A01975"/>
    <w:rsid w:val="00A1280F"/>
    <w:rsid w:val="00A12FC4"/>
    <w:rsid w:val="00A23773"/>
    <w:rsid w:val="00A24D14"/>
    <w:rsid w:val="00A26D2C"/>
    <w:rsid w:val="00A30458"/>
    <w:rsid w:val="00A4094D"/>
    <w:rsid w:val="00A41184"/>
    <w:rsid w:val="00A416C2"/>
    <w:rsid w:val="00A468BA"/>
    <w:rsid w:val="00A57B95"/>
    <w:rsid w:val="00A60E2C"/>
    <w:rsid w:val="00A645C0"/>
    <w:rsid w:val="00A6465D"/>
    <w:rsid w:val="00A7394F"/>
    <w:rsid w:val="00A74297"/>
    <w:rsid w:val="00A74E86"/>
    <w:rsid w:val="00A76DAB"/>
    <w:rsid w:val="00A76F5A"/>
    <w:rsid w:val="00A80B03"/>
    <w:rsid w:val="00A82A46"/>
    <w:rsid w:val="00A90E05"/>
    <w:rsid w:val="00A95471"/>
    <w:rsid w:val="00A96DA9"/>
    <w:rsid w:val="00AA0C19"/>
    <w:rsid w:val="00AA45B2"/>
    <w:rsid w:val="00AB5B30"/>
    <w:rsid w:val="00AB6A90"/>
    <w:rsid w:val="00AC141E"/>
    <w:rsid w:val="00AC2F4E"/>
    <w:rsid w:val="00AC34AB"/>
    <w:rsid w:val="00AC52E4"/>
    <w:rsid w:val="00AD0766"/>
    <w:rsid w:val="00AD2A40"/>
    <w:rsid w:val="00AD63C2"/>
    <w:rsid w:val="00AE53D4"/>
    <w:rsid w:val="00AE7489"/>
    <w:rsid w:val="00AF068B"/>
    <w:rsid w:val="00AF4608"/>
    <w:rsid w:val="00AF7633"/>
    <w:rsid w:val="00B00443"/>
    <w:rsid w:val="00B012D7"/>
    <w:rsid w:val="00B0513C"/>
    <w:rsid w:val="00B0597A"/>
    <w:rsid w:val="00B14E83"/>
    <w:rsid w:val="00B244EC"/>
    <w:rsid w:val="00B26FE8"/>
    <w:rsid w:val="00B340FF"/>
    <w:rsid w:val="00B351D4"/>
    <w:rsid w:val="00B36131"/>
    <w:rsid w:val="00B40333"/>
    <w:rsid w:val="00B44D96"/>
    <w:rsid w:val="00B46FD6"/>
    <w:rsid w:val="00B47226"/>
    <w:rsid w:val="00B51F5D"/>
    <w:rsid w:val="00B53E16"/>
    <w:rsid w:val="00B55977"/>
    <w:rsid w:val="00B64D46"/>
    <w:rsid w:val="00B65FCB"/>
    <w:rsid w:val="00B66081"/>
    <w:rsid w:val="00B67646"/>
    <w:rsid w:val="00B67B8D"/>
    <w:rsid w:val="00B7272D"/>
    <w:rsid w:val="00B733E0"/>
    <w:rsid w:val="00B779B3"/>
    <w:rsid w:val="00B80177"/>
    <w:rsid w:val="00B813CC"/>
    <w:rsid w:val="00B82A96"/>
    <w:rsid w:val="00B848DF"/>
    <w:rsid w:val="00B90424"/>
    <w:rsid w:val="00B96230"/>
    <w:rsid w:val="00BA4D8D"/>
    <w:rsid w:val="00BB0209"/>
    <w:rsid w:val="00BB1154"/>
    <w:rsid w:val="00BB452E"/>
    <w:rsid w:val="00BB6A99"/>
    <w:rsid w:val="00BB7CE9"/>
    <w:rsid w:val="00BD0A3B"/>
    <w:rsid w:val="00BD5B6F"/>
    <w:rsid w:val="00BE19B3"/>
    <w:rsid w:val="00BE250F"/>
    <w:rsid w:val="00BE2BA6"/>
    <w:rsid w:val="00BE2C9C"/>
    <w:rsid w:val="00BE4907"/>
    <w:rsid w:val="00BE588C"/>
    <w:rsid w:val="00BE7912"/>
    <w:rsid w:val="00BF0298"/>
    <w:rsid w:val="00BF5C4F"/>
    <w:rsid w:val="00C01961"/>
    <w:rsid w:val="00C04A1E"/>
    <w:rsid w:val="00C12024"/>
    <w:rsid w:val="00C12E82"/>
    <w:rsid w:val="00C148D1"/>
    <w:rsid w:val="00C22744"/>
    <w:rsid w:val="00C235DC"/>
    <w:rsid w:val="00C23EA2"/>
    <w:rsid w:val="00C31E9B"/>
    <w:rsid w:val="00C344F1"/>
    <w:rsid w:val="00C40A3C"/>
    <w:rsid w:val="00C42BE9"/>
    <w:rsid w:val="00C471E1"/>
    <w:rsid w:val="00C526B0"/>
    <w:rsid w:val="00C548AA"/>
    <w:rsid w:val="00C63F7F"/>
    <w:rsid w:val="00C67E07"/>
    <w:rsid w:val="00C705AB"/>
    <w:rsid w:val="00C71B82"/>
    <w:rsid w:val="00C71CD1"/>
    <w:rsid w:val="00C73945"/>
    <w:rsid w:val="00C76F44"/>
    <w:rsid w:val="00C85BA1"/>
    <w:rsid w:val="00C8605C"/>
    <w:rsid w:val="00C929B3"/>
    <w:rsid w:val="00CA40AA"/>
    <w:rsid w:val="00CA56BC"/>
    <w:rsid w:val="00CA5FD6"/>
    <w:rsid w:val="00CA67CA"/>
    <w:rsid w:val="00CA78DD"/>
    <w:rsid w:val="00CA7C29"/>
    <w:rsid w:val="00CB3D98"/>
    <w:rsid w:val="00CB7BFB"/>
    <w:rsid w:val="00CB7E93"/>
    <w:rsid w:val="00CB7F93"/>
    <w:rsid w:val="00CC1EF1"/>
    <w:rsid w:val="00CC4FAA"/>
    <w:rsid w:val="00CC52BD"/>
    <w:rsid w:val="00CC719B"/>
    <w:rsid w:val="00CD01CC"/>
    <w:rsid w:val="00CD0F6D"/>
    <w:rsid w:val="00CD6BF6"/>
    <w:rsid w:val="00CD7A75"/>
    <w:rsid w:val="00CE4E9D"/>
    <w:rsid w:val="00CF13F5"/>
    <w:rsid w:val="00CF2393"/>
    <w:rsid w:val="00CF4892"/>
    <w:rsid w:val="00CF4D20"/>
    <w:rsid w:val="00CF5919"/>
    <w:rsid w:val="00CF5C38"/>
    <w:rsid w:val="00CF7883"/>
    <w:rsid w:val="00D02A0E"/>
    <w:rsid w:val="00D076F3"/>
    <w:rsid w:val="00D124F4"/>
    <w:rsid w:val="00D25388"/>
    <w:rsid w:val="00D25E27"/>
    <w:rsid w:val="00D34743"/>
    <w:rsid w:val="00D35F55"/>
    <w:rsid w:val="00D36F48"/>
    <w:rsid w:val="00D403A7"/>
    <w:rsid w:val="00D40BBD"/>
    <w:rsid w:val="00D4624F"/>
    <w:rsid w:val="00D51EB6"/>
    <w:rsid w:val="00D5650C"/>
    <w:rsid w:val="00D64317"/>
    <w:rsid w:val="00D6519A"/>
    <w:rsid w:val="00D65800"/>
    <w:rsid w:val="00D765CE"/>
    <w:rsid w:val="00D7695B"/>
    <w:rsid w:val="00D80A51"/>
    <w:rsid w:val="00D87058"/>
    <w:rsid w:val="00D8748D"/>
    <w:rsid w:val="00D87F2E"/>
    <w:rsid w:val="00D901B5"/>
    <w:rsid w:val="00D91B8D"/>
    <w:rsid w:val="00D959A1"/>
    <w:rsid w:val="00DA0C33"/>
    <w:rsid w:val="00DA6934"/>
    <w:rsid w:val="00DB304D"/>
    <w:rsid w:val="00DB7297"/>
    <w:rsid w:val="00DC51AA"/>
    <w:rsid w:val="00DD17EF"/>
    <w:rsid w:val="00DD2B61"/>
    <w:rsid w:val="00DD65DB"/>
    <w:rsid w:val="00DD6F27"/>
    <w:rsid w:val="00DE06F8"/>
    <w:rsid w:val="00DE1853"/>
    <w:rsid w:val="00DE39BD"/>
    <w:rsid w:val="00DE44F1"/>
    <w:rsid w:val="00DE4DE5"/>
    <w:rsid w:val="00DE786D"/>
    <w:rsid w:val="00DF0709"/>
    <w:rsid w:val="00DF0CA1"/>
    <w:rsid w:val="00DF272B"/>
    <w:rsid w:val="00DF3E23"/>
    <w:rsid w:val="00DF4978"/>
    <w:rsid w:val="00DF5D0D"/>
    <w:rsid w:val="00DF7219"/>
    <w:rsid w:val="00DF7256"/>
    <w:rsid w:val="00E01999"/>
    <w:rsid w:val="00E12D3F"/>
    <w:rsid w:val="00E131FF"/>
    <w:rsid w:val="00E13E16"/>
    <w:rsid w:val="00E17A63"/>
    <w:rsid w:val="00E2139C"/>
    <w:rsid w:val="00E220F4"/>
    <w:rsid w:val="00E2212D"/>
    <w:rsid w:val="00E22596"/>
    <w:rsid w:val="00E25289"/>
    <w:rsid w:val="00E26AD5"/>
    <w:rsid w:val="00E30928"/>
    <w:rsid w:val="00E3469C"/>
    <w:rsid w:val="00E34C27"/>
    <w:rsid w:val="00E418FA"/>
    <w:rsid w:val="00E42C2D"/>
    <w:rsid w:val="00E511D4"/>
    <w:rsid w:val="00E56A70"/>
    <w:rsid w:val="00E618B2"/>
    <w:rsid w:val="00E6217F"/>
    <w:rsid w:val="00E6434F"/>
    <w:rsid w:val="00E7457E"/>
    <w:rsid w:val="00E74871"/>
    <w:rsid w:val="00E8244C"/>
    <w:rsid w:val="00E839A8"/>
    <w:rsid w:val="00E84C60"/>
    <w:rsid w:val="00E869BF"/>
    <w:rsid w:val="00E91BF1"/>
    <w:rsid w:val="00E93C81"/>
    <w:rsid w:val="00E93CDF"/>
    <w:rsid w:val="00E940F5"/>
    <w:rsid w:val="00E94432"/>
    <w:rsid w:val="00E97BBC"/>
    <w:rsid w:val="00E97C2B"/>
    <w:rsid w:val="00EA1A03"/>
    <w:rsid w:val="00EA282F"/>
    <w:rsid w:val="00EA425F"/>
    <w:rsid w:val="00EA6109"/>
    <w:rsid w:val="00EA70D8"/>
    <w:rsid w:val="00EB0BF4"/>
    <w:rsid w:val="00EB205A"/>
    <w:rsid w:val="00EB2396"/>
    <w:rsid w:val="00EB28EA"/>
    <w:rsid w:val="00EC1661"/>
    <w:rsid w:val="00EC3026"/>
    <w:rsid w:val="00EC48E2"/>
    <w:rsid w:val="00ED1A98"/>
    <w:rsid w:val="00ED3089"/>
    <w:rsid w:val="00ED4885"/>
    <w:rsid w:val="00EE1F93"/>
    <w:rsid w:val="00EE45AE"/>
    <w:rsid w:val="00EE758D"/>
    <w:rsid w:val="00EE7A4F"/>
    <w:rsid w:val="00EF20B1"/>
    <w:rsid w:val="00EF278F"/>
    <w:rsid w:val="00EF61BC"/>
    <w:rsid w:val="00F02CDD"/>
    <w:rsid w:val="00F069FD"/>
    <w:rsid w:val="00F11563"/>
    <w:rsid w:val="00F11895"/>
    <w:rsid w:val="00F16AC1"/>
    <w:rsid w:val="00F23A91"/>
    <w:rsid w:val="00F23D72"/>
    <w:rsid w:val="00F32994"/>
    <w:rsid w:val="00F361B0"/>
    <w:rsid w:val="00F36A0E"/>
    <w:rsid w:val="00F40BEF"/>
    <w:rsid w:val="00F4129B"/>
    <w:rsid w:val="00F4547C"/>
    <w:rsid w:val="00F45E05"/>
    <w:rsid w:val="00F52AA8"/>
    <w:rsid w:val="00F569F7"/>
    <w:rsid w:val="00F5742F"/>
    <w:rsid w:val="00F608CE"/>
    <w:rsid w:val="00F70C67"/>
    <w:rsid w:val="00F71E1F"/>
    <w:rsid w:val="00F72FF3"/>
    <w:rsid w:val="00F730A0"/>
    <w:rsid w:val="00F757C6"/>
    <w:rsid w:val="00F77900"/>
    <w:rsid w:val="00F80F9F"/>
    <w:rsid w:val="00F81354"/>
    <w:rsid w:val="00F8436F"/>
    <w:rsid w:val="00F84B83"/>
    <w:rsid w:val="00F901B9"/>
    <w:rsid w:val="00F9683F"/>
    <w:rsid w:val="00FA1107"/>
    <w:rsid w:val="00FA5B95"/>
    <w:rsid w:val="00FA7DB8"/>
    <w:rsid w:val="00FB365B"/>
    <w:rsid w:val="00FB3CA1"/>
    <w:rsid w:val="00FC1BDC"/>
    <w:rsid w:val="00FC69F4"/>
    <w:rsid w:val="00FC6DB8"/>
    <w:rsid w:val="00FC7BA8"/>
    <w:rsid w:val="00FD0B50"/>
    <w:rsid w:val="00FD5F31"/>
    <w:rsid w:val="00FD6879"/>
    <w:rsid w:val="00FD7DD2"/>
    <w:rsid w:val="00FE055D"/>
    <w:rsid w:val="00FE20AD"/>
    <w:rsid w:val="00FE6622"/>
    <w:rsid w:val="00FF067B"/>
    <w:rsid w:val="00FF3FB6"/>
    <w:rsid w:val="00FF5219"/>
    <w:rsid w:val="00FF5BBB"/>
    <w:rsid w:val="00FF7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E7994"/>
  <w15:chartTrackingRefBased/>
  <w15:docId w15:val="{853763A2-9B26-C348-BD86-7F2CA7CC2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62"/>
    <w:pPr>
      <w:ind w:left="720"/>
      <w:contextualSpacing/>
    </w:pPr>
  </w:style>
  <w:style w:type="character" w:styleId="Hyperlink">
    <w:name w:val="Hyperlink"/>
    <w:basedOn w:val="DefaultParagraphFont"/>
    <w:uiPriority w:val="99"/>
    <w:unhideWhenUsed/>
    <w:rsid w:val="00541F41"/>
    <w:rPr>
      <w:color w:val="0000FF"/>
      <w:u w:val="single"/>
    </w:rPr>
  </w:style>
  <w:style w:type="paragraph" w:styleId="NormalWeb">
    <w:name w:val="Normal (Web)"/>
    <w:basedOn w:val="Normal"/>
    <w:uiPriority w:val="99"/>
    <w:semiHidden/>
    <w:unhideWhenUsed/>
    <w:rsid w:val="003D0CA5"/>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8A1334"/>
    <w:rPr>
      <w:color w:val="605E5C"/>
      <w:shd w:val="clear" w:color="auto" w:fill="E1DFDD"/>
    </w:rPr>
  </w:style>
  <w:style w:type="character" w:styleId="FollowedHyperlink">
    <w:name w:val="FollowedHyperlink"/>
    <w:basedOn w:val="DefaultParagraphFont"/>
    <w:uiPriority w:val="99"/>
    <w:semiHidden/>
    <w:unhideWhenUsed/>
    <w:rsid w:val="003074A8"/>
    <w:rPr>
      <w:color w:val="954F72" w:themeColor="followedHyperlink"/>
      <w:u w:val="single"/>
    </w:rPr>
  </w:style>
  <w:style w:type="paragraph" w:styleId="Header">
    <w:name w:val="header"/>
    <w:basedOn w:val="Normal"/>
    <w:link w:val="HeaderChar"/>
    <w:uiPriority w:val="99"/>
    <w:unhideWhenUsed/>
    <w:rsid w:val="00BB452E"/>
    <w:pPr>
      <w:tabs>
        <w:tab w:val="center" w:pos="4680"/>
        <w:tab w:val="right" w:pos="9360"/>
      </w:tabs>
    </w:pPr>
  </w:style>
  <w:style w:type="character" w:customStyle="1" w:styleId="HeaderChar">
    <w:name w:val="Header Char"/>
    <w:basedOn w:val="DefaultParagraphFont"/>
    <w:link w:val="Header"/>
    <w:uiPriority w:val="99"/>
    <w:rsid w:val="00BB452E"/>
  </w:style>
  <w:style w:type="character" w:styleId="PageNumber">
    <w:name w:val="page number"/>
    <w:basedOn w:val="DefaultParagraphFont"/>
    <w:uiPriority w:val="99"/>
    <w:semiHidden/>
    <w:unhideWhenUsed/>
    <w:rsid w:val="00BB452E"/>
  </w:style>
  <w:style w:type="paragraph" w:styleId="Footer">
    <w:name w:val="footer"/>
    <w:basedOn w:val="Normal"/>
    <w:link w:val="FooterChar"/>
    <w:uiPriority w:val="99"/>
    <w:unhideWhenUsed/>
    <w:rsid w:val="00BB452E"/>
    <w:pPr>
      <w:tabs>
        <w:tab w:val="center" w:pos="4680"/>
        <w:tab w:val="right" w:pos="9360"/>
      </w:tabs>
    </w:pPr>
  </w:style>
  <w:style w:type="character" w:customStyle="1" w:styleId="FooterChar">
    <w:name w:val="Footer Char"/>
    <w:basedOn w:val="DefaultParagraphFont"/>
    <w:link w:val="Footer"/>
    <w:uiPriority w:val="99"/>
    <w:rsid w:val="00BB4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430477">
      <w:bodyDiv w:val="1"/>
      <w:marLeft w:val="0"/>
      <w:marRight w:val="0"/>
      <w:marTop w:val="0"/>
      <w:marBottom w:val="0"/>
      <w:divBdr>
        <w:top w:val="none" w:sz="0" w:space="0" w:color="auto"/>
        <w:left w:val="none" w:sz="0" w:space="0" w:color="auto"/>
        <w:bottom w:val="none" w:sz="0" w:space="0" w:color="auto"/>
        <w:right w:val="none" w:sz="0" w:space="0" w:color="auto"/>
      </w:divBdr>
      <w:divsChild>
        <w:div w:id="1154106466">
          <w:marLeft w:val="480"/>
          <w:marRight w:val="0"/>
          <w:marTop w:val="0"/>
          <w:marBottom w:val="0"/>
          <w:divBdr>
            <w:top w:val="none" w:sz="0" w:space="0" w:color="auto"/>
            <w:left w:val="none" w:sz="0" w:space="0" w:color="auto"/>
            <w:bottom w:val="none" w:sz="0" w:space="0" w:color="auto"/>
            <w:right w:val="none" w:sz="0" w:space="0" w:color="auto"/>
          </w:divBdr>
          <w:divsChild>
            <w:div w:id="14923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1128">
      <w:bodyDiv w:val="1"/>
      <w:marLeft w:val="0"/>
      <w:marRight w:val="0"/>
      <w:marTop w:val="0"/>
      <w:marBottom w:val="0"/>
      <w:divBdr>
        <w:top w:val="none" w:sz="0" w:space="0" w:color="auto"/>
        <w:left w:val="none" w:sz="0" w:space="0" w:color="auto"/>
        <w:bottom w:val="none" w:sz="0" w:space="0" w:color="auto"/>
        <w:right w:val="none" w:sz="0" w:space="0" w:color="auto"/>
      </w:divBdr>
      <w:divsChild>
        <w:div w:id="2049337535">
          <w:marLeft w:val="0"/>
          <w:marRight w:val="0"/>
          <w:marTop w:val="0"/>
          <w:marBottom w:val="0"/>
          <w:divBdr>
            <w:top w:val="none" w:sz="0" w:space="0" w:color="auto"/>
            <w:left w:val="none" w:sz="0" w:space="0" w:color="auto"/>
            <w:bottom w:val="none" w:sz="0" w:space="0" w:color="auto"/>
            <w:right w:val="none" w:sz="0" w:space="0" w:color="auto"/>
          </w:divBdr>
          <w:divsChild>
            <w:div w:id="1798404444">
              <w:marLeft w:val="0"/>
              <w:marRight w:val="0"/>
              <w:marTop w:val="0"/>
              <w:marBottom w:val="0"/>
              <w:divBdr>
                <w:top w:val="none" w:sz="0" w:space="0" w:color="auto"/>
                <w:left w:val="none" w:sz="0" w:space="0" w:color="auto"/>
                <w:bottom w:val="none" w:sz="0" w:space="0" w:color="auto"/>
                <w:right w:val="none" w:sz="0" w:space="0" w:color="auto"/>
              </w:divBdr>
              <w:divsChild>
                <w:div w:id="137299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494762">
      <w:bodyDiv w:val="1"/>
      <w:marLeft w:val="0"/>
      <w:marRight w:val="0"/>
      <w:marTop w:val="0"/>
      <w:marBottom w:val="0"/>
      <w:divBdr>
        <w:top w:val="none" w:sz="0" w:space="0" w:color="auto"/>
        <w:left w:val="none" w:sz="0" w:space="0" w:color="auto"/>
        <w:bottom w:val="none" w:sz="0" w:space="0" w:color="auto"/>
        <w:right w:val="none" w:sz="0" w:space="0" w:color="auto"/>
      </w:divBdr>
      <w:divsChild>
        <w:div w:id="1881241559">
          <w:marLeft w:val="0"/>
          <w:marRight w:val="0"/>
          <w:marTop w:val="0"/>
          <w:marBottom w:val="0"/>
          <w:divBdr>
            <w:top w:val="none" w:sz="0" w:space="0" w:color="auto"/>
            <w:left w:val="none" w:sz="0" w:space="0" w:color="auto"/>
            <w:bottom w:val="none" w:sz="0" w:space="0" w:color="auto"/>
            <w:right w:val="none" w:sz="0" w:space="0" w:color="auto"/>
          </w:divBdr>
          <w:divsChild>
            <w:div w:id="1170875117">
              <w:marLeft w:val="0"/>
              <w:marRight w:val="0"/>
              <w:marTop w:val="0"/>
              <w:marBottom w:val="0"/>
              <w:divBdr>
                <w:top w:val="none" w:sz="0" w:space="0" w:color="auto"/>
                <w:left w:val="none" w:sz="0" w:space="0" w:color="auto"/>
                <w:bottom w:val="none" w:sz="0" w:space="0" w:color="auto"/>
                <w:right w:val="none" w:sz="0" w:space="0" w:color="auto"/>
              </w:divBdr>
              <w:divsChild>
                <w:div w:id="16690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706">
      <w:bodyDiv w:val="1"/>
      <w:marLeft w:val="0"/>
      <w:marRight w:val="0"/>
      <w:marTop w:val="0"/>
      <w:marBottom w:val="0"/>
      <w:divBdr>
        <w:top w:val="none" w:sz="0" w:space="0" w:color="auto"/>
        <w:left w:val="none" w:sz="0" w:space="0" w:color="auto"/>
        <w:bottom w:val="none" w:sz="0" w:space="0" w:color="auto"/>
        <w:right w:val="none" w:sz="0" w:space="0" w:color="auto"/>
      </w:divBdr>
    </w:div>
    <w:div w:id="721320801">
      <w:bodyDiv w:val="1"/>
      <w:marLeft w:val="0"/>
      <w:marRight w:val="0"/>
      <w:marTop w:val="0"/>
      <w:marBottom w:val="0"/>
      <w:divBdr>
        <w:top w:val="none" w:sz="0" w:space="0" w:color="auto"/>
        <w:left w:val="none" w:sz="0" w:space="0" w:color="auto"/>
        <w:bottom w:val="none" w:sz="0" w:space="0" w:color="auto"/>
        <w:right w:val="none" w:sz="0" w:space="0" w:color="auto"/>
      </w:divBdr>
    </w:div>
    <w:div w:id="901604330">
      <w:bodyDiv w:val="1"/>
      <w:marLeft w:val="0"/>
      <w:marRight w:val="0"/>
      <w:marTop w:val="0"/>
      <w:marBottom w:val="0"/>
      <w:divBdr>
        <w:top w:val="none" w:sz="0" w:space="0" w:color="auto"/>
        <w:left w:val="none" w:sz="0" w:space="0" w:color="auto"/>
        <w:bottom w:val="none" w:sz="0" w:space="0" w:color="auto"/>
        <w:right w:val="none" w:sz="0" w:space="0" w:color="auto"/>
      </w:divBdr>
      <w:divsChild>
        <w:div w:id="1345132230">
          <w:marLeft w:val="0"/>
          <w:marRight w:val="0"/>
          <w:marTop w:val="0"/>
          <w:marBottom w:val="0"/>
          <w:divBdr>
            <w:top w:val="none" w:sz="0" w:space="0" w:color="auto"/>
            <w:left w:val="none" w:sz="0" w:space="0" w:color="auto"/>
            <w:bottom w:val="none" w:sz="0" w:space="0" w:color="auto"/>
            <w:right w:val="none" w:sz="0" w:space="0" w:color="auto"/>
          </w:divBdr>
          <w:divsChild>
            <w:div w:id="805508069">
              <w:marLeft w:val="0"/>
              <w:marRight w:val="0"/>
              <w:marTop w:val="0"/>
              <w:marBottom w:val="0"/>
              <w:divBdr>
                <w:top w:val="none" w:sz="0" w:space="0" w:color="auto"/>
                <w:left w:val="none" w:sz="0" w:space="0" w:color="auto"/>
                <w:bottom w:val="none" w:sz="0" w:space="0" w:color="auto"/>
                <w:right w:val="none" w:sz="0" w:space="0" w:color="auto"/>
              </w:divBdr>
              <w:divsChild>
                <w:div w:id="17012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19668">
      <w:bodyDiv w:val="1"/>
      <w:marLeft w:val="0"/>
      <w:marRight w:val="0"/>
      <w:marTop w:val="0"/>
      <w:marBottom w:val="0"/>
      <w:divBdr>
        <w:top w:val="none" w:sz="0" w:space="0" w:color="auto"/>
        <w:left w:val="none" w:sz="0" w:space="0" w:color="auto"/>
        <w:bottom w:val="none" w:sz="0" w:space="0" w:color="auto"/>
        <w:right w:val="none" w:sz="0" w:space="0" w:color="auto"/>
      </w:divBdr>
    </w:div>
    <w:div w:id="1138302898">
      <w:bodyDiv w:val="1"/>
      <w:marLeft w:val="0"/>
      <w:marRight w:val="0"/>
      <w:marTop w:val="0"/>
      <w:marBottom w:val="0"/>
      <w:divBdr>
        <w:top w:val="none" w:sz="0" w:space="0" w:color="auto"/>
        <w:left w:val="none" w:sz="0" w:space="0" w:color="auto"/>
        <w:bottom w:val="none" w:sz="0" w:space="0" w:color="auto"/>
        <w:right w:val="none" w:sz="0" w:space="0" w:color="auto"/>
      </w:divBdr>
      <w:divsChild>
        <w:div w:id="18748669">
          <w:marLeft w:val="0"/>
          <w:marRight w:val="0"/>
          <w:marTop w:val="0"/>
          <w:marBottom w:val="0"/>
          <w:divBdr>
            <w:top w:val="none" w:sz="0" w:space="0" w:color="auto"/>
            <w:left w:val="none" w:sz="0" w:space="0" w:color="auto"/>
            <w:bottom w:val="none" w:sz="0" w:space="0" w:color="auto"/>
            <w:right w:val="none" w:sz="0" w:space="0" w:color="auto"/>
          </w:divBdr>
          <w:divsChild>
            <w:div w:id="181477818">
              <w:marLeft w:val="0"/>
              <w:marRight w:val="0"/>
              <w:marTop w:val="0"/>
              <w:marBottom w:val="0"/>
              <w:divBdr>
                <w:top w:val="none" w:sz="0" w:space="0" w:color="auto"/>
                <w:left w:val="none" w:sz="0" w:space="0" w:color="auto"/>
                <w:bottom w:val="none" w:sz="0" w:space="0" w:color="auto"/>
                <w:right w:val="none" w:sz="0" w:space="0" w:color="auto"/>
              </w:divBdr>
              <w:divsChild>
                <w:div w:id="15056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08700">
      <w:bodyDiv w:val="1"/>
      <w:marLeft w:val="0"/>
      <w:marRight w:val="0"/>
      <w:marTop w:val="0"/>
      <w:marBottom w:val="0"/>
      <w:divBdr>
        <w:top w:val="none" w:sz="0" w:space="0" w:color="auto"/>
        <w:left w:val="none" w:sz="0" w:space="0" w:color="auto"/>
        <w:bottom w:val="none" w:sz="0" w:space="0" w:color="auto"/>
        <w:right w:val="none" w:sz="0" w:space="0" w:color="auto"/>
      </w:divBdr>
    </w:div>
    <w:div w:id="1434326309">
      <w:bodyDiv w:val="1"/>
      <w:marLeft w:val="0"/>
      <w:marRight w:val="0"/>
      <w:marTop w:val="0"/>
      <w:marBottom w:val="0"/>
      <w:divBdr>
        <w:top w:val="none" w:sz="0" w:space="0" w:color="auto"/>
        <w:left w:val="none" w:sz="0" w:space="0" w:color="auto"/>
        <w:bottom w:val="none" w:sz="0" w:space="0" w:color="auto"/>
        <w:right w:val="none" w:sz="0" w:space="0" w:color="auto"/>
      </w:divBdr>
      <w:divsChild>
        <w:div w:id="158815137">
          <w:marLeft w:val="480"/>
          <w:marRight w:val="0"/>
          <w:marTop w:val="0"/>
          <w:marBottom w:val="0"/>
          <w:divBdr>
            <w:top w:val="none" w:sz="0" w:space="0" w:color="auto"/>
            <w:left w:val="none" w:sz="0" w:space="0" w:color="auto"/>
            <w:bottom w:val="none" w:sz="0" w:space="0" w:color="auto"/>
            <w:right w:val="none" w:sz="0" w:space="0" w:color="auto"/>
          </w:divBdr>
          <w:divsChild>
            <w:div w:id="14797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reep/ret021" TargetMode="External"/><Relationship Id="rId18" Type="http://schemas.openxmlformats.org/officeDocument/2006/relationships/hyperlink" Target="https://gain.nd.edu/our-work/urban-adaptation/" TargetMode="External"/><Relationship Id="rId26" Type="http://schemas.openxmlformats.org/officeDocument/2006/relationships/hyperlink" Target="https://doi.org/10.1126/science.aaf7271" TargetMode="External"/><Relationship Id="rId3" Type="http://schemas.openxmlformats.org/officeDocument/2006/relationships/settings" Target="settings.xml"/><Relationship Id="rId21" Type="http://schemas.openxmlformats.org/officeDocument/2006/relationships/hyperlink" Target="https://doi.org/10.1016/j.jeem.2019.02.003" TargetMode="External"/><Relationship Id="rId34" Type="http://schemas.openxmlformats.org/officeDocument/2006/relationships/fontTable" Target="fontTable.xml"/><Relationship Id="rId7" Type="http://schemas.openxmlformats.org/officeDocument/2006/relationships/hyperlink" Target="onenote:" TargetMode="External"/><Relationship Id="rId12" Type="http://schemas.openxmlformats.org/officeDocument/2006/relationships/hyperlink" Target="https://doi.org/10.1515/econ-2022-0026" TargetMode="External"/><Relationship Id="rId17" Type="http://schemas.openxmlformats.org/officeDocument/2006/relationships/hyperlink" Target="https://doi.org/10.1016/j.jclepro.2018.10.034" TargetMode="External"/><Relationship Id="rId25" Type="http://schemas.openxmlformats.org/officeDocument/2006/relationships/hyperlink" Target="https://doi.org/10.1080/17565529.2021.1964937"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doi.org/10.1016/j.techfore.2020.119954" TargetMode="External"/><Relationship Id="rId20" Type="http://schemas.openxmlformats.org/officeDocument/2006/relationships/hyperlink" Target="https://doi.org/10.1016/j.gloenvcha.2020.102071"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c.gov/evaluation/steps/index.htm" TargetMode="External"/><Relationship Id="rId24" Type="http://schemas.openxmlformats.org/officeDocument/2006/relationships/hyperlink" Target="https://doi.org/10.1017/S1744137417000418"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store.hbr.org/product/climate-challenges-for-cities-introduction-to-issues-and-actions-in-the-united-states/322103" TargetMode="External"/><Relationship Id="rId23" Type="http://schemas.openxmlformats.org/officeDocument/2006/relationships/hyperlink" Target="https://doi.org/10.1371/journal.pone.0192132" TargetMode="External"/><Relationship Id="rId28" Type="http://schemas.openxmlformats.org/officeDocument/2006/relationships/hyperlink" Target="https://doi.org/10.1038/s41558-018-0371-y" TargetMode="External"/><Relationship Id="rId10" Type="http://schemas.openxmlformats.org/officeDocument/2006/relationships/hyperlink" Target="https://doi.org/10.1016/j.enpol.2018.04.063" TargetMode="External"/><Relationship Id="rId19" Type="http://schemas.openxmlformats.org/officeDocument/2006/relationships/hyperlink" Target="https://www.energy.gov/eere/understanding-energy-use-cities-infographic"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i.org/10.1016/j.rser.2017.05.100" TargetMode="External"/><Relationship Id="rId14" Type="http://schemas.openxmlformats.org/officeDocument/2006/relationships/hyperlink" Target="https://doi.org/10.1177/1078087416649756" TargetMode="External"/><Relationship Id="rId22" Type="http://schemas.openxmlformats.org/officeDocument/2006/relationships/hyperlink" Target="https://doi.org/10.1177/0007650311427426" TargetMode="External"/><Relationship Id="rId27" Type="http://schemas.openxmlformats.org/officeDocument/2006/relationships/hyperlink" Target="https://css.umich.edu/publications/factsheets/built-environment/us-cities-factsheet" TargetMode="External"/><Relationship Id="rId30" Type="http://schemas.openxmlformats.org/officeDocument/2006/relationships/image" Target="media/image2.png"/><Relationship Id="rId35" Type="http://schemas.openxmlformats.org/officeDocument/2006/relationships/theme" Target="theme/theme1.xml"/><Relationship Id="rId8" Type="http://schemas.openxmlformats.org/officeDocument/2006/relationships/hyperlink" Target="https://doi.org/10.3326/pse.42.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26</Pages>
  <Words>6956</Words>
  <Characters>39652</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Peterson</dc:creator>
  <cp:keywords/>
  <dc:description/>
  <cp:lastModifiedBy>Richard Peterson</cp:lastModifiedBy>
  <cp:revision>64</cp:revision>
  <dcterms:created xsi:type="dcterms:W3CDTF">2022-11-20T02:26:00Z</dcterms:created>
  <dcterms:modified xsi:type="dcterms:W3CDTF">2022-11-20T23:35:00Z</dcterms:modified>
</cp:coreProperties>
</file>