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C8C1C" w14:textId="77777777" w:rsidR="004C23DA" w:rsidRPr="004C23DA" w:rsidRDefault="004C23DA" w:rsidP="004C23DA">
      <w:pPr>
        <w:spacing w:line="480" w:lineRule="auto"/>
      </w:pPr>
    </w:p>
    <w:p w14:paraId="30A7E95C" w14:textId="77777777" w:rsidR="004C23DA" w:rsidRPr="004C23DA" w:rsidRDefault="004C23DA" w:rsidP="004C23DA">
      <w:pPr>
        <w:spacing w:line="480" w:lineRule="auto"/>
      </w:pPr>
    </w:p>
    <w:p w14:paraId="34B04A6F" w14:textId="77777777" w:rsidR="004C23DA" w:rsidRPr="004C23DA" w:rsidRDefault="004C23DA" w:rsidP="004C23DA">
      <w:pPr>
        <w:spacing w:line="480" w:lineRule="auto"/>
      </w:pPr>
    </w:p>
    <w:p w14:paraId="6A246042" w14:textId="77777777" w:rsidR="004C23DA" w:rsidRPr="004C23DA" w:rsidRDefault="004C23DA" w:rsidP="004C23DA">
      <w:pPr>
        <w:spacing w:line="480" w:lineRule="auto"/>
      </w:pPr>
    </w:p>
    <w:p w14:paraId="108DBF50" w14:textId="143EC3F8" w:rsidR="004C23DA" w:rsidRPr="004C23DA" w:rsidRDefault="00E70200" w:rsidP="004C23DA">
      <w:pPr>
        <w:spacing w:line="480" w:lineRule="auto"/>
        <w:jc w:val="center"/>
        <w:rPr>
          <w:b/>
          <w:bCs/>
        </w:rPr>
      </w:pPr>
      <w:r>
        <w:rPr>
          <w:b/>
          <w:bCs/>
        </w:rPr>
        <w:t>Program Evaluation</w:t>
      </w:r>
      <w:r w:rsidR="004C23DA" w:rsidRPr="004C23DA">
        <w:rPr>
          <w:b/>
          <w:bCs/>
        </w:rPr>
        <w:t>:</w:t>
      </w:r>
    </w:p>
    <w:p w14:paraId="28F112CA" w14:textId="46B0EE95" w:rsidR="004C23DA" w:rsidRPr="004C23DA" w:rsidRDefault="00E70200" w:rsidP="004C23DA">
      <w:pPr>
        <w:spacing w:line="480" w:lineRule="auto"/>
        <w:jc w:val="center"/>
        <w:rPr>
          <w:b/>
          <w:bCs/>
        </w:rPr>
      </w:pPr>
      <w:r>
        <w:rPr>
          <w:b/>
          <w:bCs/>
        </w:rPr>
        <w:t xml:space="preserve">Needs Assessment for </w:t>
      </w:r>
      <w:r w:rsidR="004C23DA" w:rsidRPr="004C23DA">
        <w:rPr>
          <w:b/>
          <w:bCs/>
        </w:rPr>
        <w:t>Colorado</w:t>
      </w:r>
      <w:r w:rsidR="000D654E">
        <w:rPr>
          <w:b/>
          <w:bCs/>
        </w:rPr>
        <w:t>’s</w:t>
      </w:r>
      <w:r w:rsidR="004C23DA" w:rsidRPr="004C23DA">
        <w:rPr>
          <w:b/>
          <w:bCs/>
        </w:rPr>
        <w:t xml:space="preserve"> Environmental Justice Act</w:t>
      </w:r>
    </w:p>
    <w:p w14:paraId="436AA819" w14:textId="77777777" w:rsidR="004C23DA" w:rsidRPr="004C23DA" w:rsidRDefault="004C23DA" w:rsidP="004C23DA">
      <w:pPr>
        <w:spacing w:line="480" w:lineRule="auto"/>
        <w:jc w:val="center"/>
        <w:rPr>
          <w:b/>
          <w:bCs/>
        </w:rPr>
      </w:pPr>
    </w:p>
    <w:p w14:paraId="6DBFA351" w14:textId="77777777" w:rsidR="004C23DA" w:rsidRPr="004C23DA" w:rsidRDefault="004C23DA" w:rsidP="004C23DA">
      <w:pPr>
        <w:spacing w:line="480" w:lineRule="auto"/>
        <w:jc w:val="center"/>
      </w:pPr>
      <w:r w:rsidRPr="004C23DA">
        <w:t>Richard Peterson</w:t>
      </w:r>
    </w:p>
    <w:p w14:paraId="6BE94B44" w14:textId="77777777" w:rsidR="004C23DA" w:rsidRPr="004C23DA" w:rsidRDefault="004C23DA" w:rsidP="004C23DA">
      <w:pPr>
        <w:spacing w:line="480" w:lineRule="auto"/>
        <w:jc w:val="center"/>
      </w:pPr>
      <w:r w:rsidRPr="004C23DA">
        <w:t>2022WI_MPPA_406-DL_SEC55</w:t>
      </w:r>
    </w:p>
    <w:p w14:paraId="6FF95ED2" w14:textId="768B16FF" w:rsidR="004C23DA" w:rsidRPr="004C23DA" w:rsidRDefault="00E70200" w:rsidP="004C23DA">
      <w:pPr>
        <w:spacing w:line="480" w:lineRule="auto"/>
        <w:jc w:val="center"/>
      </w:pPr>
      <w:r>
        <w:t>March</w:t>
      </w:r>
      <w:r w:rsidR="004C23DA" w:rsidRPr="004C23DA">
        <w:t xml:space="preserve"> </w:t>
      </w:r>
      <w:r>
        <w:t>14</w:t>
      </w:r>
      <w:r w:rsidR="004C23DA" w:rsidRPr="004C23DA">
        <w:t>, 2022</w:t>
      </w:r>
    </w:p>
    <w:p w14:paraId="4CB78684" w14:textId="77777777" w:rsidR="004C23DA" w:rsidRPr="004C23DA" w:rsidRDefault="004C23DA" w:rsidP="004C23DA">
      <w:pPr>
        <w:spacing w:line="480" w:lineRule="auto"/>
        <w:jc w:val="center"/>
      </w:pPr>
    </w:p>
    <w:p w14:paraId="37B042E8" w14:textId="77777777" w:rsidR="004C23DA" w:rsidRPr="004C23DA" w:rsidRDefault="004C23DA" w:rsidP="004C23DA">
      <w:pPr>
        <w:spacing w:line="480" w:lineRule="auto"/>
        <w:jc w:val="center"/>
      </w:pPr>
    </w:p>
    <w:p w14:paraId="000386AB" w14:textId="77777777" w:rsidR="004C23DA" w:rsidRPr="004C23DA" w:rsidRDefault="004C23DA" w:rsidP="004C23DA">
      <w:pPr>
        <w:spacing w:line="480" w:lineRule="auto"/>
        <w:jc w:val="center"/>
      </w:pPr>
    </w:p>
    <w:p w14:paraId="2251ED12" w14:textId="77777777" w:rsidR="004C23DA" w:rsidRPr="004C23DA" w:rsidRDefault="004C23DA" w:rsidP="004C23DA">
      <w:pPr>
        <w:spacing w:line="480" w:lineRule="auto"/>
        <w:jc w:val="center"/>
      </w:pPr>
    </w:p>
    <w:p w14:paraId="3C007FB1" w14:textId="77777777" w:rsidR="004C23DA" w:rsidRPr="004C23DA" w:rsidRDefault="004C23DA" w:rsidP="004C23DA">
      <w:pPr>
        <w:spacing w:line="480" w:lineRule="auto"/>
        <w:jc w:val="center"/>
      </w:pPr>
    </w:p>
    <w:p w14:paraId="7A2F7AC8" w14:textId="77777777" w:rsidR="004C23DA" w:rsidRPr="004C23DA" w:rsidRDefault="004C23DA" w:rsidP="004C23DA">
      <w:pPr>
        <w:spacing w:line="480" w:lineRule="auto"/>
        <w:jc w:val="center"/>
      </w:pPr>
    </w:p>
    <w:p w14:paraId="0A864C23" w14:textId="77777777" w:rsidR="004C23DA" w:rsidRPr="004C23DA" w:rsidRDefault="004C23DA" w:rsidP="004C23DA">
      <w:pPr>
        <w:spacing w:line="480" w:lineRule="auto"/>
        <w:jc w:val="center"/>
      </w:pPr>
    </w:p>
    <w:p w14:paraId="5D238965" w14:textId="77777777" w:rsidR="004C23DA" w:rsidRPr="004C23DA" w:rsidRDefault="004C23DA" w:rsidP="004C23DA">
      <w:pPr>
        <w:spacing w:line="480" w:lineRule="auto"/>
        <w:jc w:val="center"/>
      </w:pPr>
    </w:p>
    <w:p w14:paraId="375AC7C0" w14:textId="77777777" w:rsidR="004C23DA" w:rsidRPr="004C23DA" w:rsidRDefault="004C23DA" w:rsidP="004C23DA">
      <w:pPr>
        <w:spacing w:line="480" w:lineRule="auto"/>
        <w:jc w:val="center"/>
      </w:pPr>
    </w:p>
    <w:p w14:paraId="30ADE558" w14:textId="77777777" w:rsidR="004C23DA" w:rsidRPr="004C23DA" w:rsidRDefault="004C23DA" w:rsidP="004C23DA">
      <w:pPr>
        <w:spacing w:line="480" w:lineRule="auto"/>
        <w:jc w:val="center"/>
      </w:pPr>
    </w:p>
    <w:p w14:paraId="1A443D95" w14:textId="77777777" w:rsidR="004C23DA" w:rsidRPr="004C23DA" w:rsidRDefault="004C23DA" w:rsidP="004C23DA">
      <w:pPr>
        <w:spacing w:line="480" w:lineRule="auto"/>
      </w:pPr>
    </w:p>
    <w:p w14:paraId="46FB4416" w14:textId="4E18B125" w:rsidR="004C23DA" w:rsidRDefault="004C23DA" w:rsidP="004C23DA">
      <w:pPr>
        <w:spacing w:line="480" w:lineRule="auto"/>
      </w:pPr>
    </w:p>
    <w:p w14:paraId="2450BB59" w14:textId="77777777" w:rsidR="004C23DA" w:rsidRPr="004C23DA" w:rsidRDefault="004C23DA" w:rsidP="004C23DA">
      <w:pPr>
        <w:spacing w:line="480" w:lineRule="auto"/>
      </w:pPr>
    </w:p>
    <w:p w14:paraId="778DB907" w14:textId="73A87649" w:rsidR="00D50E83" w:rsidRDefault="004C23DA" w:rsidP="004C23DA">
      <w:pPr>
        <w:spacing w:line="480" w:lineRule="auto"/>
        <w:jc w:val="center"/>
        <w:rPr>
          <w:b/>
          <w:bCs/>
        </w:rPr>
      </w:pPr>
      <w:r w:rsidRPr="004C23DA">
        <w:rPr>
          <w:b/>
          <w:bCs/>
        </w:rPr>
        <w:lastRenderedPageBreak/>
        <w:t>Introduction</w:t>
      </w:r>
    </w:p>
    <w:p w14:paraId="18D9020E" w14:textId="301C93B7" w:rsidR="00623581" w:rsidRDefault="00BB1077" w:rsidP="004C23DA">
      <w:pPr>
        <w:spacing w:line="480" w:lineRule="auto"/>
      </w:pPr>
      <w:r>
        <w:tab/>
        <w:t xml:space="preserve">Colorado has </w:t>
      </w:r>
      <w:r w:rsidR="00342F37">
        <w:t xml:space="preserve">a history of </w:t>
      </w:r>
      <w:r w:rsidR="00173568">
        <w:t xml:space="preserve">environmental justice issues related to </w:t>
      </w:r>
      <w:r w:rsidR="003B5388">
        <w:t xml:space="preserve">industrial </w:t>
      </w:r>
      <w:r w:rsidR="00E60D13">
        <w:t>pollution</w:t>
      </w:r>
      <w:r w:rsidR="004A3128">
        <w:t xml:space="preserve"> and</w:t>
      </w:r>
      <w:r w:rsidR="00E60D13">
        <w:t xml:space="preserve"> Superfund sites</w:t>
      </w:r>
      <w:r w:rsidR="002F5AE5">
        <w:t xml:space="preserve"> </w:t>
      </w:r>
      <w:r w:rsidR="002F5AE5" w:rsidRPr="002F5AE5">
        <w:t>(Beaty, 2018)</w:t>
      </w:r>
      <w:r w:rsidR="00E60D13">
        <w:t xml:space="preserve">, </w:t>
      </w:r>
      <w:r w:rsidR="00360F32">
        <w:t>oil and gas extraction</w:t>
      </w:r>
      <w:r w:rsidR="00B32CB0">
        <w:t xml:space="preserve"> (</w:t>
      </w:r>
      <w:proofErr w:type="spellStart"/>
      <w:r w:rsidR="00B32CB0">
        <w:t>Sakas</w:t>
      </w:r>
      <w:proofErr w:type="spellEnd"/>
      <w:r w:rsidR="00B32CB0">
        <w:t>, 2020)</w:t>
      </w:r>
      <w:r w:rsidR="00373182">
        <w:t>,</w:t>
      </w:r>
      <w:r w:rsidR="00360F32">
        <w:t xml:space="preserve"> refineries</w:t>
      </w:r>
      <w:r w:rsidR="00A309E1">
        <w:t xml:space="preserve"> </w:t>
      </w:r>
      <w:r w:rsidR="00373182">
        <w:t>(</w:t>
      </w:r>
      <w:proofErr w:type="spellStart"/>
      <w:r w:rsidR="00373182">
        <w:t>Brasch</w:t>
      </w:r>
      <w:proofErr w:type="spellEnd"/>
      <w:r w:rsidR="00373182">
        <w:t>, 2021)</w:t>
      </w:r>
      <w:r w:rsidR="00360F32">
        <w:t xml:space="preserve">, and evidence of redlining </w:t>
      </w:r>
      <w:r w:rsidR="000F0899">
        <w:t xml:space="preserve">through </w:t>
      </w:r>
      <w:r w:rsidR="000F0899" w:rsidRPr="000F0899">
        <w:rPr>
          <w:rFonts w:eastAsiaTheme="minorHAnsi"/>
        </w:rPr>
        <w:t>anti-Indigenous, anti-immigrant, anti-Hispanic, or anti-Black laws</w:t>
      </w:r>
      <w:r w:rsidR="00A77F64">
        <w:t xml:space="preserve"> (Penney, 2020)</w:t>
      </w:r>
      <w:r w:rsidR="007219E4">
        <w:t>.</w:t>
      </w:r>
      <w:r w:rsidR="00666F09">
        <w:t xml:space="preserve"> </w:t>
      </w:r>
      <w:r w:rsidR="00360A5F">
        <w:t>In 2021</w:t>
      </w:r>
      <w:r w:rsidR="002175AE">
        <w:t>,</w:t>
      </w:r>
      <w:r w:rsidR="00360A5F">
        <w:t xml:space="preserve"> Colorado passed the Environmental Justice Act</w:t>
      </w:r>
      <w:r w:rsidR="009766F3">
        <w:t xml:space="preserve"> HB21-1266</w:t>
      </w:r>
      <w:r w:rsidR="00BB1934">
        <w:t>, referred to as “the Act”,</w:t>
      </w:r>
      <w:r w:rsidR="009766F3">
        <w:t xml:space="preserve"> to address environmental injustice for </w:t>
      </w:r>
      <w:r w:rsidR="002175AE">
        <w:t xml:space="preserve">disproportionately impacted </w:t>
      </w:r>
      <w:r w:rsidR="009766F3">
        <w:t>communities</w:t>
      </w:r>
      <w:r w:rsidR="002175AE">
        <w:t>, referred to</w:t>
      </w:r>
      <w:r w:rsidR="00DB2687">
        <w:t xml:space="preserve"> as </w:t>
      </w:r>
      <w:r w:rsidR="00BB1934">
        <w:t>“</w:t>
      </w:r>
      <w:r w:rsidR="00DB2687">
        <w:t>DICs</w:t>
      </w:r>
      <w:r w:rsidR="006A6151">
        <w:t>.</w:t>
      </w:r>
      <w:r w:rsidR="00BB1934">
        <w:t>”</w:t>
      </w:r>
      <w:r w:rsidR="006A6151">
        <w:t xml:space="preserve"> The Act</w:t>
      </w:r>
      <w:r w:rsidR="00B52B06">
        <w:t xml:space="preserve"> creates </w:t>
      </w:r>
      <w:r w:rsidR="00913DEE">
        <w:t xml:space="preserve">an Environmental Justice Task Force </w:t>
      </w:r>
      <w:r w:rsidR="00981B0A">
        <w:t xml:space="preserve">within the Department of Public Health and Environment that is </w:t>
      </w:r>
      <w:r w:rsidR="00913DEE">
        <w:t xml:space="preserve">responsible for </w:t>
      </w:r>
      <w:r w:rsidR="004C26C6">
        <w:t xml:space="preserve">defining, </w:t>
      </w:r>
      <w:r w:rsidR="00913DEE">
        <w:t>identifying</w:t>
      </w:r>
      <w:r w:rsidR="00607755">
        <w:t>, and engaging with</w:t>
      </w:r>
      <w:r w:rsidR="001F4725">
        <w:t xml:space="preserve"> DICs</w:t>
      </w:r>
      <w:r w:rsidR="00607755">
        <w:t xml:space="preserve"> to </w:t>
      </w:r>
      <w:r w:rsidR="00E8580D">
        <w:t xml:space="preserve">research environmental remediation projects for these areas, and </w:t>
      </w:r>
      <w:r w:rsidR="00AB128B">
        <w:t xml:space="preserve">directs the Air Quality Control Commission </w:t>
      </w:r>
      <w:r w:rsidR="0044295F">
        <w:t xml:space="preserve">to </w:t>
      </w:r>
      <w:r w:rsidR="007D2883">
        <w:t>establish new fees</w:t>
      </w:r>
      <w:r>
        <w:t xml:space="preserve"> to pay for engagement with DICs and remediation efforts (EJDICS, 2021).</w:t>
      </w:r>
      <w:r w:rsidR="00DC16AA">
        <w:t xml:space="preserve"> This needs assessment will </w:t>
      </w:r>
      <w:r w:rsidR="00D12DDC">
        <w:t xml:space="preserve">examine the inequality that </w:t>
      </w:r>
      <w:r w:rsidR="00CB2C2E">
        <w:t xml:space="preserve">the Act intends to address </w:t>
      </w:r>
      <w:r w:rsidR="00F72954">
        <w:t>with an analysis of the types of environme</w:t>
      </w:r>
      <w:r w:rsidR="00D67EE7">
        <w:t xml:space="preserve">ntal injustice that exist in Colorado, their reasons for existence, </w:t>
      </w:r>
      <w:r w:rsidR="00915664">
        <w:t xml:space="preserve">and evaluate the Act’s plan to </w:t>
      </w:r>
      <w:r w:rsidR="0082206D">
        <w:t xml:space="preserve">engage with and </w:t>
      </w:r>
      <w:r w:rsidR="009C1D8F">
        <w:t>remediate DIC areas</w:t>
      </w:r>
      <w:r w:rsidR="00510C62">
        <w:t xml:space="preserve"> using a logic model. </w:t>
      </w:r>
      <w:r w:rsidR="00357620">
        <w:t xml:space="preserve"> </w:t>
      </w:r>
    </w:p>
    <w:p w14:paraId="7272B2C0" w14:textId="14F38558" w:rsidR="004C23DA" w:rsidRDefault="004C23DA" w:rsidP="004C23DA">
      <w:pPr>
        <w:spacing w:line="480" w:lineRule="auto"/>
        <w:jc w:val="center"/>
        <w:rPr>
          <w:b/>
          <w:bCs/>
        </w:rPr>
      </w:pPr>
      <w:r w:rsidRPr="004C23DA">
        <w:rPr>
          <w:b/>
          <w:bCs/>
        </w:rPr>
        <w:t>Literature Review</w:t>
      </w:r>
    </w:p>
    <w:p w14:paraId="5D4F4C58" w14:textId="79EEA314" w:rsidR="004C23DA" w:rsidRDefault="00877433" w:rsidP="004C4511">
      <w:pPr>
        <w:spacing w:line="480" w:lineRule="auto"/>
        <w:ind w:firstLine="720"/>
      </w:pPr>
      <w:r>
        <w:t xml:space="preserve">For this needs assessment, it is important to understand the geographic distribution </w:t>
      </w:r>
      <w:r w:rsidR="00AD2911">
        <w:t>and</w:t>
      </w:r>
      <w:r>
        <w:t xml:space="preserve"> history of environmental injustice. </w:t>
      </w:r>
      <w:r w:rsidR="001B5F04">
        <w:t xml:space="preserve">Banzhaf et al. (2019a) </w:t>
      </w:r>
      <w:r w:rsidR="00B852EE">
        <w:t>describes two ways to approach environmental justice</w:t>
      </w:r>
      <w:r w:rsidR="001E0A7A">
        <w:t xml:space="preserve"> as</w:t>
      </w:r>
      <w:r w:rsidR="00AD2911">
        <w:t xml:space="preserve"> either</w:t>
      </w:r>
      <w:r w:rsidR="001E0A7A">
        <w:t xml:space="preserve"> </w:t>
      </w:r>
      <w:r w:rsidR="00DF001F">
        <w:t>distributive</w:t>
      </w:r>
      <w:r w:rsidR="001E0A7A">
        <w:t xml:space="preserve"> or procedural justice. Distributive justice is the analysis of the distribution of environmental pollution according to race, income, </w:t>
      </w:r>
      <w:r w:rsidR="00214FC6">
        <w:t>and other demographic variables</w:t>
      </w:r>
      <w:r w:rsidR="001334D5">
        <w:t xml:space="preserve"> (Banzhaf et al., 2019a). </w:t>
      </w:r>
      <w:r w:rsidR="00861BBA">
        <w:t xml:space="preserve">Banzhaf et al. (2019a) notes that </w:t>
      </w:r>
      <w:r w:rsidR="00837FAF">
        <w:t xml:space="preserve">the distribution of pollution </w:t>
      </w:r>
      <w:r w:rsidR="003F178F">
        <w:t xml:space="preserve">has been correlated to </w:t>
      </w:r>
      <w:r w:rsidR="008304F4">
        <w:t xml:space="preserve">race and income in many studies but found manufacturing employment to be a confounding variable </w:t>
      </w:r>
      <w:r w:rsidR="00E142C2">
        <w:t xml:space="preserve">as </w:t>
      </w:r>
      <w:r w:rsidR="00771DD7">
        <w:t xml:space="preserve">manufacturing </w:t>
      </w:r>
      <w:r w:rsidR="004C4511">
        <w:t>is often located in low-income areas and employs low-income workers. P</w:t>
      </w:r>
      <w:r w:rsidR="00303FFB">
        <w:t>rocedural justice is the analysis of what policies</w:t>
      </w:r>
      <w:r w:rsidR="00CE0499">
        <w:t xml:space="preserve"> or </w:t>
      </w:r>
      <w:r w:rsidR="00303FFB">
        <w:lastRenderedPageBreak/>
        <w:t xml:space="preserve">community actions led to the </w:t>
      </w:r>
      <w:r w:rsidR="004C4511">
        <w:t xml:space="preserve">inequitable </w:t>
      </w:r>
      <w:r w:rsidR="00303FFB">
        <w:t>distribution</w:t>
      </w:r>
      <w:r w:rsidR="00FF29FA">
        <w:t xml:space="preserve"> (Banzhaf et al., 2019a). </w:t>
      </w:r>
      <w:r w:rsidR="00817651">
        <w:t>Procedural justice</w:t>
      </w:r>
      <w:r w:rsidR="00744394">
        <w:t xml:space="preserve"> is often linked to the historical power structures that determine where people live, </w:t>
      </w:r>
      <w:r w:rsidR="00817651">
        <w:t xml:space="preserve">as well as the political power of communities (Banzhaf et al., 2019a). </w:t>
      </w:r>
    </w:p>
    <w:p w14:paraId="3CB0C1E6" w14:textId="0FA8EC9B" w:rsidR="00817651" w:rsidRDefault="00EC4BA5" w:rsidP="004C4511">
      <w:pPr>
        <w:spacing w:line="480" w:lineRule="auto"/>
        <w:ind w:firstLine="720"/>
      </w:pPr>
      <w:r>
        <w:t xml:space="preserve">In Colorado, </w:t>
      </w:r>
      <w:r w:rsidR="00C23965">
        <w:t>it is helpful to understand the economic underpinnings of how people “site and sort” themselves when faced with environmental pollution.</w:t>
      </w:r>
      <w:r>
        <w:t xml:space="preserve"> </w:t>
      </w:r>
      <w:r w:rsidR="00973AB2">
        <w:t xml:space="preserve"> </w:t>
      </w:r>
      <w:r w:rsidR="00817651">
        <w:t xml:space="preserve">Banzhaf et al. (2019b) </w:t>
      </w:r>
      <w:r w:rsidR="00E047AA">
        <w:t xml:space="preserve">examined </w:t>
      </w:r>
      <w:r w:rsidR="00B561AF">
        <w:t xml:space="preserve">the procedural causes of </w:t>
      </w:r>
      <w:r w:rsidR="006571EC">
        <w:t xml:space="preserve">environmental justice </w:t>
      </w:r>
      <w:r w:rsidR="000C41A6">
        <w:t xml:space="preserve">using </w:t>
      </w:r>
      <w:r w:rsidR="00AD1BD1">
        <w:t xml:space="preserve">the </w:t>
      </w:r>
      <w:r w:rsidR="000C41A6">
        <w:t xml:space="preserve">Coasean framework, which </w:t>
      </w:r>
      <w:r w:rsidR="00606440">
        <w:t xml:space="preserve">posits that an </w:t>
      </w:r>
      <w:r w:rsidR="00322973">
        <w:t xml:space="preserve">economically </w:t>
      </w:r>
      <w:r w:rsidR="00606440">
        <w:t>efficient allocation of pollution in a community is</w:t>
      </w:r>
      <w:r w:rsidR="00322973">
        <w:t xml:space="preserve"> determined by the</w:t>
      </w:r>
      <w:r w:rsidR="00B8310A">
        <w:t xml:space="preserve"> community’s</w:t>
      </w:r>
      <w:r w:rsidR="00322973">
        <w:t xml:space="preserve"> “willingness to accept” a level of pollution</w:t>
      </w:r>
      <w:r w:rsidR="00675E1E">
        <w:t xml:space="preserve"> </w:t>
      </w:r>
      <w:r w:rsidR="00B8310A">
        <w:t xml:space="preserve">in exchange for compensation. </w:t>
      </w:r>
      <w:r w:rsidR="00215DC7">
        <w:t xml:space="preserve">Banzhaf et al. (2019b) found that communities that are unable to </w:t>
      </w:r>
      <w:r w:rsidR="00FF3109">
        <w:t>effectively</w:t>
      </w:r>
      <w:r w:rsidR="00A33076">
        <w:t xml:space="preserve"> organize </w:t>
      </w:r>
      <w:r w:rsidR="002D1B4A">
        <w:t xml:space="preserve">often accept compensation that is too low and does not capture the full effect of the pollution. </w:t>
      </w:r>
      <w:r w:rsidR="00B561AF">
        <w:t xml:space="preserve">Reasons for </w:t>
      </w:r>
      <w:r w:rsidR="002A2272">
        <w:t>poor organization include lack of fundin</w:t>
      </w:r>
      <w:r w:rsidR="0089321A">
        <w:t xml:space="preserve">g, education, </w:t>
      </w:r>
      <w:r w:rsidR="005A1C7B">
        <w:t>or limited</w:t>
      </w:r>
      <w:r w:rsidR="0089321A">
        <w:t xml:space="preserve"> political access</w:t>
      </w:r>
      <w:r w:rsidR="00546FE8">
        <w:t xml:space="preserve"> </w:t>
      </w:r>
      <w:r w:rsidR="007B4F12">
        <w:t>(Banzhaf et al., 2019b)</w:t>
      </w:r>
      <w:r w:rsidR="00546FE8">
        <w:t>.</w:t>
      </w:r>
      <w:r w:rsidR="00522A07">
        <w:t xml:space="preserve"> </w:t>
      </w:r>
      <w:r w:rsidR="00552B24">
        <w:t xml:space="preserve">There is also disparity in the </w:t>
      </w:r>
      <w:r w:rsidR="009A07CE">
        <w:t xml:space="preserve">equity outcomes of government actions for communities affected by pollution, </w:t>
      </w:r>
      <w:r w:rsidR="00E66CA0">
        <w:t xml:space="preserve">where Banzhaf et al. (2019b) found that </w:t>
      </w:r>
      <w:r w:rsidR="00E66CA0" w:rsidRPr="0050230B">
        <w:t xml:space="preserve">government action </w:t>
      </w:r>
      <w:r w:rsidR="006553BE" w:rsidRPr="0050230B">
        <w:t xml:space="preserve">to alleviate unequal distribution has in certain cases had the opposite effect, due to </w:t>
      </w:r>
      <w:r w:rsidR="0050230B" w:rsidRPr="0050230B">
        <w:t>lower-income households typically spend</w:t>
      </w:r>
      <w:r w:rsidR="0050230B">
        <w:t>ing</w:t>
      </w:r>
      <w:r w:rsidR="0050230B" w:rsidRPr="0050230B">
        <w:t xml:space="preserve"> more on pollution-intensive goods</w:t>
      </w:r>
      <w:r w:rsidR="00066238">
        <w:t>,</w:t>
      </w:r>
      <w:r w:rsidR="0050230B" w:rsidRPr="0050230B">
        <w:t xml:space="preserve"> such as fuel and electricity</w:t>
      </w:r>
      <w:r w:rsidR="00066238">
        <w:t xml:space="preserve">, </w:t>
      </w:r>
      <w:r w:rsidR="0050230B" w:rsidRPr="0050230B">
        <w:t>and work</w:t>
      </w:r>
      <w:r w:rsidR="0050230B">
        <w:t>ing</w:t>
      </w:r>
      <w:r w:rsidR="0050230B" w:rsidRPr="0050230B">
        <w:t xml:space="preserve"> in polluting industries.</w:t>
      </w:r>
    </w:p>
    <w:p w14:paraId="067F786C" w14:textId="60230039" w:rsidR="0035146D" w:rsidRDefault="00362B99" w:rsidP="004C4511">
      <w:pPr>
        <w:spacing w:line="480" w:lineRule="auto"/>
        <w:ind w:firstLine="720"/>
      </w:pPr>
      <w:r>
        <w:t xml:space="preserve">One aspect of environmental justice is the </w:t>
      </w:r>
      <w:r w:rsidR="00CA2FC0">
        <w:t>geographic distribution of environmental costs versus economic benefits</w:t>
      </w:r>
      <w:r w:rsidR="008077ED">
        <w:t>.</w:t>
      </w:r>
      <w:r w:rsidR="00CA2FC0">
        <w:t xml:space="preserve"> </w:t>
      </w:r>
      <w:r w:rsidR="00CA2FC0" w:rsidRPr="003109AE">
        <w:t xml:space="preserve">Mischen &amp; Swim (2020) </w:t>
      </w:r>
      <w:r w:rsidR="00CD2E50" w:rsidRPr="003109AE">
        <w:t xml:space="preserve">examined </w:t>
      </w:r>
      <w:r w:rsidR="008077ED" w:rsidRPr="003109AE">
        <w:t>this distribution in the</w:t>
      </w:r>
      <w:r w:rsidR="00CD2E50" w:rsidRPr="003109AE">
        <w:t xml:space="preserve"> context of hydraulic fracturing, </w:t>
      </w:r>
      <w:r w:rsidR="008077ED" w:rsidRPr="003109AE">
        <w:t xml:space="preserve">or </w:t>
      </w:r>
      <w:r w:rsidR="00CD2E50" w:rsidRPr="003109AE">
        <w:t>“fracking”, in Pennsylvania</w:t>
      </w:r>
      <w:r w:rsidR="008077ED" w:rsidRPr="003109AE">
        <w:t xml:space="preserve"> and found that</w:t>
      </w:r>
      <w:r w:rsidR="003109AE" w:rsidRPr="003109AE">
        <w:t xml:space="preserve"> 15 of the 26 public managers explicitly recognized there was distributional benefits-sharing inequity from fracking, with a few members of the community receiving most of the economic benefits, and those closest to the pollution bearing most of the burden</w:t>
      </w:r>
      <w:r w:rsidR="00F20FF5">
        <w:t xml:space="preserve">. </w:t>
      </w:r>
      <w:r w:rsidR="00B86920">
        <w:t xml:space="preserve">This </w:t>
      </w:r>
      <w:r w:rsidR="0038079B">
        <w:t xml:space="preserve">type of inequity is important for Colorado as there are </w:t>
      </w:r>
      <w:r w:rsidR="0038079B">
        <w:lastRenderedPageBreak/>
        <w:t>over 50,000 fracking wells</w:t>
      </w:r>
      <w:r w:rsidR="00D604AA">
        <w:t xml:space="preserve"> </w:t>
      </w:r>
      <w:r w:rsidR="00306681">
        <w:t xml:space="preserve">in the state </w:t>
      </w:r>
      <w:r w:rsidR="00D604AA">
        <w:t>and the</w:t>
      </w:r>
      <w:r w:rsidR="007F76B3">
        <w:t xml:space="preserve"> </w:t>
      </w:r>
      <w:r w:rsidR="00D604AA">
        <w:t>“siting and sorting”</w:t>
      </w:r>
      <w:r w:rsidR="007466E3">
        <w:t xml:space="preserve"> (Banzhaf et al., 2019b)</w:t>
      </w:r>
      <w:r w:rsidR="00D604AA">
        <w:t xml:space="preserve"> </w:t>
      </w:r>
      <w:r w:rsidR="007466E3">
        <w:t xml:space="preserve">of these wells </w:t>
      </w:r>
      <w:r w:rsidR="004E4469">
        <w:t xml:space="preserve">is important for establishing </w:t>
      </w:r>
      <w:r w:rsidR="00C6538F">
        <w:t>inequitable distribution and identification as a DIC.</w:t>
      </w:r>
    </w:p>
    <w:p w14:paraId="7ECAC829" w14:textId="59D61B27" w:rsidR="0035146D" w:rsidRPr="0050230B" w:rsidRDefault="009369E6" w:rsidP="004C4511">
      <w:pPr>
        <w:spacing w:line="480" w:lineRule="auto"/>
        <w:ind w:firstLine="720"/>
      </w:pPr>
      <w:r>
        <w:t xml:space="preserve">Government can </w:t>
      </w:r>
      <w:r w:rsidRPr="00240A91">
        <w:t xml:space="preserve">respond to environmental justice </w:t>
      </w:r>
      <w:r w:rsidR="000C7C17" w:rsidRPr="00240A91">
        <w:t xml:space="preserve">in </w:t>
      </w:r>
      <w:r w:rsidR="00B47BBC" w:rsidRPr="00240A91">
        <w:t>several</w:t>
      </w:r>
      <w:r w:rsidR="000C7C17" w:rsidRPr="00240A91">
        <w:t xml:space="preserve"> ways, including regulations to protect impacted areas, cleanup and remediation activities, and fining polluters. </w:t>
      </w:r>
      <w:r w:rsidR="006B2D74" w:rsidRPr="00240A91">
        <w:t>Liang et al. (2020</w:t>
      </w:r>
      <w:r w:rsidR="006B2D74" w:rsidRPr="006A0530">
        <w:t xml:space="preserve">) studied the policy outputs of the EPA </w:t>
      </w:r>
      <w:r w:rsidR="00AD1FAE" w:rsidRPr="006A0530">
        <w:t xml:space="preserve">in the context of </w:t>
      </w:r>
      <w:r w:rsidR="00240A91" w:rsidRPr="006A0530">
        <w:t>these independent variables: minority bureaucratic representation, social vulnerability, the environmental policy problem</w:t>
      </w:r>
      <w:r w:rsidR="00977B53" w:rsidRPr="006A0530">
        <w:t xml:space="preserve">, and found that </w:t>
      </w:r>
      <w:r w:rsidR="006A0530" w:rsidRPr="006A0530">
        <w:t>minority representation in the EPA workforce and public administrators significantly impacts the equity of policy outputs</w:t>
      </w:r>
      <w:r w:rsidR="006A0530">
        <w:t xml:space="preserve">. </w:t>
      </w:r>
      <w:r w:rsidR="00391B99">
        <w:t xml:space="preserve">This finding is relevant to the Act’s Environmental Justice Task Force in terms of </w:t>
      </w:r>
      <w:r w:rsidR="00335103">
        <w:t>who is chosen to be a member and the overall demographic composition of the Task Force</w:t>
      </w:r>
      <w:r w:rsidR="008D5BFC">
        <w:t>.</w:t>
      </w:r>
    </w:p>
    <w:p w14:paraId="03ED0A51" w14:textId="35E2B3D1" w:rsidR="004C23DA" w:rsidRDefault="004C23DA" w:rsidP="004C23DA">
      <w:pPr>
        <w:spacing w:line="480" w:lineRule="auto"/>
        <w:jc w:val="center"/>
        <w:rPr>
          <w:b/>
          <w:bCs/>
        </w:rPr>
      </w:pPr>
      <w:r>
        <w:rPr>
          <w:b/>
          <w:bCs/>
        </w:rPr>
        <w:t>Stakeholders</w:t>
      </w:r>
    </w:p>
    <w:p w14:paraId="5519311E" w14:textId="46D6106E" w:rsidR="004C23DA" w:rsidRDefault="008D62C9" w:rsidP="00F22B5C">
      <w:pPr>
        <w:pStyle w:val="ListParagraph"/>
        <w:spacing w:line="480" w:lineRule="auto"/>
        <w:ind w:left="0" w:firstLine="720"/>
        <w:rPr>
          <w:rFonts w:ascii="Times New Roman" w:hAnsi="Times New Roman" w:cs="Times New Roman"/>
        </w:rPr>
      </w:pPr>
      <w:r>
        <w:rPr>
          <w:rFonts w:ascii="Times New Roman" w:hAnsi="Times New Roman" w:cs="Times New Roman"/>
        </w:rPr>
        <w:t>Stakehold</w:t>
      </w:r>
      <w:r w:rsidR="009E78BA">
        <w:rPr>
          <w:rFonts w:ascii="Times New Roman" w:hAnsi="Times New Roman" w:cs="Times New Roman"/>
        </w:rPr>
        <w:t xml:space="preserve">ers that are affected by the Environmental Justice Act include communities labeled as DICs, as well as communities </w:t>
      </w:r>
      <w:r w:rsidR="00F572C4">
        <w:rPr>
          <w:rFonts w:ascii="Times New Roman" w:hAnsi="Times New Roman" w:cs="Times New Roman"/>
        </w:rPr>
        <w:t xml:space="preserve">that have experienced environmental injustice but are not captured by the definition of DIC. </w:t>
      </w:r>
      <w:r w:rsidR="00515769">
        <w:rPr>
          <w:rFonts w:ascii="Times New Roman" w:hAnsi="Times New Roman" w:cs="Times New Roman"/>
        </w:rPr>
        <w:t xml:space="preserve">Industry </w:t>
      </w:r>
      <w:r w:rsidR="00515769" w:rsidRPr="001D1DBF">
        <w:rPr>
          <w:rFonts w:ascii="Times New Roman" w:hAnsi="Times New Roman" w:cs="Times New Roman"/>
        </w:rPr>
        <w:t xml:space="preserve">stakeholders include companies that will </w:t>
      </w:r>
      <w:r w:rsidR="00DE5322" w:rsidRPr="001D1DBF">
        <w:rPr>
          <w:rFonts w:ascii="Times New Roman" w:hAnsi="Times New Roman" w:cs="Times New Roman"/>
        </w:rPr>
        <w:t xml:space="preserve">pay fines on greenhouse gas emissions </w:t>
      </w:r>
      <w:r w:rsidR="00402ED5" w:rsidRPr="001D1DBF">
        <w:rPr>
          <w:rFonts w:ascii="Times New Roman" w:hAnsi="Times New Roman" w:cs="Times New Roman"/>
        </w:rPr>
        <w:t xml:space="preserve">and fines for being located near DICs, as well as their employees, who may or may not </w:t>
      </w:r>
      <w:r w:rsidR="0095490E" w:rsidRPr="001D1DBF">
        <w:rPr>
          <w:rFonts w:ascii="Times New Roman" w:hAnsi="Times New Roman" w:cs="Times New Roman"/>
        </w:rPr>
        <w:t xml:space="preserve">be a member of a DIC community. </w:t>
      </w:r>
      <w:r w:rsidR="001D1DBF" w:rsidRPr="001D1DBF">
        <w:rPr>
          <w:rFonts w:ascii="Times New Roman" w:hAnsi="Times New Roman" w:cs="Times New Roman"/>
        </w:rPr>
        <w:t xml:space="preserve">Government stakeholders include the newly created Environmental Justice Task Force and the Colorado Air Quality Control Commission, who will administer the </w:t>
      </w:r>
      <w:r w:rsidR="001D1DBF">
        <w:rPr>
          <w:rFonts w:ascii="Times New Roman" w:hAnsi="Times New Roman" w:cs="Times New Roman"/>
        </w:rPr>
        <w:t>new</w:t>
      </w:r>
      <w:r w:rsidR="001D1DBF" w:rsidRPr="001D1DBF">
        <w:rPr>
          <w:rFonts w:ascii="Times New Roman" w:hAnsi="Times New Roman" w:cs="Times New Roman"/>
        </w:rPr>
        <w:t xml:space="preserve"> fees. </w:t>
      </w:r>
    </w:p>
    <w:p w14:paraId="7FCA8FD7" w14:textId="1E31275A" w:rsidR="004C23DA" w:rsidRDefault="004C23DA" w:rsidP="004C23DA">
      <w:pPr>
        <w:spacing w:line="480" w:lineRule="auto"/>
        <w:jc w:val="center"/>
        <w:rPr>
          <w:b/>
          <w:bCs/>
        </w:rPr>
      </w:pPr>
      <w:r>
        <w:rPr>
          <w:b/>
          <w:bCs/>
        </w:rPr>
        <w:t>Program Description</w:t>
      </w:r>
    </w:p>
    <w:p w14:paraId="70659994" w14:textId="37A28015" w:rsidR="0075723B" w:rsidRPr="0075723B" w:rsidRDefault="0075723B" w:rsidP="0075723B">
      <w:pPr>
        <w:pStyle w:val="ListParagraph"/>
        <w:spacing w:line="480" w:lineRule="auto"/>
        <w:ind w:left="0" w:firstLine="720"/>
        <w:rPr>
          <w:rFonts w:ascii="Times New Roman" w:hAnsi="Times New Roman" w:cs="Times New Roman"/>
        </w:rPr>
      </w:pPr>
      <w:r>
        <w:rPr>
          <w:rFonts w:ascii="Times New Roman" w:hAnsi="Times New Roman" w:cs="Times New Roman"/>
        </w:rPr>
        <w:t>The Act’s primary goal is to alleviate environmental injustice for DICs, and it defines DICs as “</w:t>
      </w:r>
      <w:r w:rsidRPr="004C6CB5">
        <w:rPr>
          <w:rFonts w:ascii="Times New Roman" w:hAnsi="Times New Roman" w:cs="Times New Roman"/>
        </w:rPr>
        <w:t xml:space="preserve">A community that is in a census block group where the proportion of households that are low income, that identify as minority, or that are housing cost-burdened is greater than 40%; or any other community as identified or approved by a state agency, if the community: Has a </w:t>
      </w:r>
      <w:r w:rsidRPr="004C6CB5">
        <w:rPr>
          <w:rFonts w:ascii="Times New Roman" w:hAnsi="Times New Roman" w:cs="Times New Roman"/>
        </w:rPr>
        <w:lastRenderedPageBreak/>
        <w:t>history of environmental racism perpetuated through redlining, anti-Indigenous, anti-immigrant, anti-Hispanic, or anti-Black laws; or is one where multiple factors may act cumulatively to affect health and the environment and contribute to persistent disparities</w:t>
      </w:r>
      <w:r>
        <w:rPr>
          <w:rFonts w:ascii="Times New Roman" w:hAnsi="Times New Roman" w:cs="Times New Roman"/>
        </w:rPr>
        <w:t>” (EJDICS, 2021).</w:t>
      </w:r>
    </w:p>
    <w:p w14:paraId="5EBF6FB3" w14:textId="2EEAD055" w:rsidR="004C23DA" w:rsidRDefault="00500167" w:rsidP="0075723B">
      <w:pPr>
        <w:pStyle w:val="ListParagraph"/>
        <w:spacing w:line="480" w:lineRule="auto"/>
        <w:ind w:left="0" w:firstLine="720"/>
        <w:rPr>
          <w:rFonts w:ascii="Times New Roman" w:hAnsi="Times New Roman" w:cs="Times New Roman"/>
        </w:rPr>
      </w:pPr>
      <w:r>
        <w:rPr>
          <w:rFonts w:ascii="Times New Roman" w:hAnsi="Times New Roman" w:cs="Times New Roman"/>
        </w:rPr>
        <w:t>The Act has three main directives</w:t>
      </w:r>
      <w:r w:rsidR="005E73D3">
        <w:rPr>
          <w:rFonts w:ascii="Times New Roman" w:hAnsi="Times New Roman" w:cs="Times New Roman"/>
        </w:rPr>
        <w:t xml:space="preserve">. First, </w:t>
      </w:r>
      <w:r w:rsidR="00426FF6">
        <w:rPr>
          <w:rFonts w:ascii="Times New Roman" w:hAnsi="Times New Roman" w:cs="Times New Roman"/>
        </w:rPr>
        <w:t xml:space="preserve">it </w:t>
      </w:r>
      <w:r w:rsidR="00CC37F3">
        <w:rPr>
          <w:rFonts w:ascii="Times New Roman" w:hAnsi="Times New Roman" w:cs="Times New Roman"/>
        </w:rPr>
        <w:t>creates</w:t>
      </w:r>
      <w:r w:rsidR="005E73D3">
        <w:rPr>
          <w:rFonts w:ascii="Times New Roman" w:hAnsi="Times New Roman" w:cs="Times New Roman"/>
        </w:rPr>
        <w:t xml:space="preserve"> an Environmental Justice Task Force </w:t>
      </w:r>
      <w:r w:rsidR="0092754C">
        <w:rPr>
          <w:rFonts w:ascii="Times New Roman" w:hAnsi="Times New Roman" w:cs="Times New Roman"/>
        </w:rPr>
        <w:t xml:space="preserve">whose objective </w:t>
      </w:r>
      <w:r w:rsidR="008A0E6D">
        <w:rPr>
          <w:rFonts w:ascii="Times New Roman" w:hAnsi="Times New Roman" w:cs="Times New Roman"/>
        </w:rPr>
        <w:t>is to conduct research an</w:t>
      </w:r>
      <w:r w:rsidR="00145A80">
        <w:rPr>
          <w:rFonts w:ascii="Times New Roman" w:hAnsi="Times New Roman" w:cs="Times New Roman"/>
        </w:rPr>
        <w:t>d</w:t>
      </w:r>
      <w:r w:rsidR="008A0E6D">
        <w:rPr>
          <w:rFonts w:ascii="Times New Roman" w:hAnsi="Times New Roman" w:cs="Times New Roman"/>
        </w:rPr>
        <w:t xml:space="preserve"> interviews </w:t>
      </w:r>
      <w:r w:rsidR="00145A80">
        <w:rPr>
          <w:rFonts w:ascii="Times New Roman" w:hAnsi="Times New Roman" w:cs="Times New Roman"/>
        </w:rPr>
        <w:t>about</w:t>
      </w:r>
      <w:r w:rsidR="008A0E6D">
        <w:rPr>
          <w:rFonts w:ascii="Times New Roman" w:hAnsi="Times New Roman" w:cs="Times New Roman"/>
        </w:rPr>
        <w:t xml:space="preserve"> environmental injustice in DI</w:t>
      </w:r>
      <w:r w:rsidR="00145A80">
        <w:rPr>
          <w:rFonts w:ascii="Times New Roman" w:hAnsi="Times New Roman" w:cs="Times New Roman"/>
        </w:rPr>
        <w:t>C</w:t>
      </w:r>
      <w:r w:rsidR="00CC37F3">
        <w:rPr>
          <w:rFonts w:ascii="Times New Roman" w:hAnsi="Times New Roman" w:cs="Times New Roman"/>
        </w:rPr>
        <w:t>s</w:t>
      </w:r>
      <w:r w:rsidR="008A0E6D">
        <w:rPr>
          <w:rFonts w:ascii="Times New Roman" w:hAnsi="Times New Roman" w:cs="Times New Roman"/>
        </w:rPr>
        <w:t>, refine the definition of DIC areas</w:t>
      </w:r>
      <w:r w:rsidR="0024419C">
        <w:rPr>
          <w:rFonts w:ascii="Times New Roman" w:hAnsi="Times New Roman" w:cs="Times New Roman"/>
        </w:rPr>
        <w:t>, and propose recommendations to the general assembly</w:t>
      </w:r>
      <w:r w:rsidR="00426FF6">
        <w:rPr>
          <w:rFonts w:ascii="Times New Roman" w:hAnsi="Times New Roman" w:cs="Times New Roman"/>
        </w:rPr>
        <w:t xml:space="preserve"> for remediating environmental inequities (EJDICS, 2021). </w:t>
      </w:r>
      <w:r w:rsidR="003B5387">
        <w:rPr>
          <w:rFonts w:ascii="Times New Roman" w:hAnsi="Times New Roman" w:cs="Times New Roman"/>
        </w:rPr>
        <w:t>Second, it requires the Air Quality Control Commission</w:t>
      </w:r>
      <w:r w:rsidR="00AF4527">
        <w:rPr>
          <w:rFonts w:ascii="Times New Roman" w:hAnsi="Times New Roman" w:cs="Times New Roman"/>
        </w:rPr>
        <w:t xml:space="preserve"> to establish an annual </w:t>
      </w:r>
      <w:r w:rsidR="002E12E1">
        <w:rPr>
          <w:rFonts w:ascii="Times New Roman" w:hAnsi="Times New Roman" w:cs="Times New Roman"/>
        </w:rPr>
        <w:t xml:space="preserve">greenhouse gas fee to be applied as part of existing APEN notices and allocates the collected funds to be used for </w:t>
      </w:r>
      <w:r w:rsidR="00340E74">
        <w:rPr>
          <w:rFonts w:ascii="Times New Roman" w:hAnsi="Times New Roman" w:cs="Times New Roman"/>
        </w:rPr>
        <w:t>administration of the Task Force</w:t>
      </w:r>
      <w:r w:rsidR="00B5489D">
        <w:rPr>
          <w:rFonts w:ascii="Times New Roman" w:hAnsi="Times New Roman" w:cs="Times New Roman"/>
        </w:rPr>
        <w:t xml:space="preserve"> (EJDICS, 2021)</w:t>
      </w:r>
      <w:r w:rsidR="00340E74">
        <w:rPr>
          <w:rFonts w:ascii="Times New Roman" w:hAnsi="Times New Roman" w:cs="Times New Roman"/>
        </w:rPr>
        <w:t xml:space="preserve">. Third, </w:t>
      </w:r>
      <w:r w:rsidR="003917B8">
        <w:rPr>
          <w:rFonts w:ascii="Times New Roman" w:hAnsi="Times New Roman" w:cs="Times New Roman"/>
        </w:rPr>
        <w:t xml:space="preserve">the Act </w:t>
      </w:r>
      <w:r w:rsidR="009B30D0">
        <w:rPr>
          <w:rFonts w:ascii="Times New Roman" w:hAnsi="Times New Roman" w:cs="Times New Roman"/>
        </w:rPr>
        <w:t xml:space="preserve">requires the Air Quality Control Commission to adopt fees </w:t>
      </w:r>
      <w:r w:rsidR="00B5489D">
        <w:rPr>
          <w:rFonts w:ascii="Times New Roman" w:hAnsi="Times New Roman" w:cs="Times New Roman"/>
        </w:rPr>
        <w:t xml:space="preserve">that apply to </w:t>
      </w:r>
      <w:r w:rsidR="00B5489D" w:rsidRPr="00B5489D">
        <w:rPr>
          <w:rFonts w:ascii="Times New Roman" w:hAnsi="Times New Roman" w:cs="Times New Roman"/>
        </w:rPr>
        <w:t>permits for sources of pollutants that cause or contribute to significant health or environmental impacts in DICs</w:t>
      </w:r>
      <w:r w:rsidR="00540A46">
        <w:rPr>
          <w:rFonts w:ascii="Times New Roman" w:hAnsi="Times New Roman" w:cs="Times New Roman"/>
        </w:rPr>
        <w:t xml:space="preserve"> (EJDICS, 2021)</w:t>
      </w:r>
      <w:r w:rsidR="00B5489D" w:rsidRPr="00B5489D">
        <w:rPr>
          <w:rFonts w:ascii="Times New Roman" w:hAnsi="Times New Roman" w:cs="Times New Roman"/>
        </w:rPr>
        <w:t>.</w:t>
      </w:r>
      <w:r w:rsidR="00540A46">
        <w:rPr>
          <w:rFonts w:ascii="Times New Roman" w:hAnsi="Times New Roman" w:cs="Times New Roman"/>
        </w:rPr>
        <w:t xml:space="preserve"> </w:t>
      </w:r>
      <w:r w:rsidR="002A1DA0">
        <w:rPr>
          <w:rFonts w:ascii="Times New Roman" w:hAnsi="Times New Roman" w:cs="Times New Roman"/>
        </w:rPr>
        <w:t xml:space="preserve">Since the Act was passed in 2021 and is in the implementation stage, </w:t>
      </w:r>
      <w:r w:rsidR="00043D34">
        <w:rPr>
          <w:rFonts w:ascii="Times New Roman" w:hAnsi="Times New Roman" w:cs="Times New Roman"/>
        </w:rPr>
        <w:t>as of the writing of this needs assessment the only actions that have been taken are to appoint members to the Task Force</w:t>
      </w:r>
      <w:r w:rsidR="00AF3A85">
        <w:rPr>
          <w:rFonts w:ascii="Times New Roman" w:hAnsi="Times New Roman" w:cs="Times New Roman"/>
        </w:rPr>
        <w:t xml:space="preserve"> and</w:t>
      </w:r>
      <w:r w:rsidR="003C1E35">
        <w:rPr>
          <w:rFonts w:ascii="Times New Roman" w:hAnsi="Times New Roman" w:cs="Times New Roman"/>
        </w:rPr>
        <w:t xml:space="preserve"> beg</w:t>
      </w:r>
      <w:r w:rsidR="00AF3A85">
        <w:rPr>
          <w:rFonts w:ascii="Times New Roman" w:hAnsi="Times New Roman" w:cs="Times New Roman"/>
        </w:rPr>
        <w:t>i</w:t>
      </w:r>
      <w:r w:rsidR="003C1E35">
        <w:rPr>
          <w:rFonts w:ascii="Times New Roman" w:hAnsi="Times New Roman" w:cs="Times New Roman"/>
        </w:rPr>
        <w:t>n research and engagement with DIC</w:t>
      </w:r>
      <w:r w:rsidR="003A6E6D">
        <w:rPr>
          <w:rFonts w:ascii="Times New Roman" w:hAnsi="Times New Roman" w:cs="Times New Roman"/>
        </w:rPr>
        <w:t>s</w:t>
      </w:r>
      <w:r w:rsidR="00A010B7">
        <w:rPr>
          <w:rFonts w:ascii="Times New Roman" w:hAnsi="Times New Roman" w:cs="Times New Roman"/>
        </w:rPr>
        <w:t xml:space="preserve">. </w:t>
      </w:r>
    </w:p>
    <w:p w14:paraId="567010EC" w14:textId="5839AED9" w:rsidR="004C23DA" w:rsidRDefault="004C23DA" w:rsidP="004C23DA">
      <w:pPr>
        <w:spacing w:line="480" w:lineRule="auto"/>
        <w:jc w:val="center"/>
        <w:rPr>
          <w:b/>
          <w:bCs/>
        </w:rPr>
      </w:pPr>
      <w:r>
        <w:rPr>
          <w:b/>
          <w:bCs/>
        </w:rPr>
        <w:t>Evaluation Design</w:t>
      </w:r>
    </w:p>
    <w:p w14:paraId="34CFE091" w14:textId="645B5FA2" w:rsidR="00775B71" w:rsidRPr="002626C3" w:rsidRDefault="002626C3" w:rsidP="008A4DBA">
      <w:pPr>
        <w:spacing w:line="480" w:lineRule="auto"/>
        <w:ind w:firstLine="720"/>
      </w:pPr>
      <w:r>
        <w:t xml:space="preserve">This needs assessment will evaluate the scope and extent of </w:t>
      </w:r>
      <w:r w:rsidR="00184671">
        <w:t xml:space="preserve">pollution </w:t>
      </w:r>
      <w:r w:rsidR="00596689">
        <w:t>areas</w:t>
      </w:r>
      <w:r w:rsidR="00184671">
        <w:t xml:space="preserve">, </w:t>
      </w:r>
      <w:r w:rsidR="00CD005E">
        <w:t xml:space="preserve">the distribution of </w:t>
      </w:r>
      <w:r w:rsidR="00105259">
        <w:t>pollution-related risks</w:t>
      </w:r>
      <w:r w:rsidR="00184671">
        <w:t xml:space="preserve">, </w:t>
      </w:r>
      <w:r w:rsidR="00CD005E">
        <w:t xml:space="preserve">and </w:t>
      </w:r>
      <w:r w:rsidR="004555D9">
        <w:t>the definition of DICs</w:t>
      </w:r>
      <w:r w:rsidR="00CD005E">
        <w:t xml:space="preserve"> </w:t>
      </w:r>
      <w:r w:rsidR="00E45830">
        <w:t xml:space="preserve">to assess whether the Act and creation of Environmental Justice Task Force </w:t>
      </w:r>
      <w:r w:rsidR="00036991">
        <w:t>sufficiently</w:t>
      </w:r>
      <w:r w:rsidR="00E45830">
        <w:t xml:space="preserve"> addresses environmental injustice in Colorado.</w:t>
      </w:r>
    </w:p>
    <w:p w14:paraId="37F596C5" w14:textId="3F016D6E" w:rsidR="004C23DA" w:rsidRDefault="003F083D" w:rsidP="004C23DA">
      <w:pPr>
        <w:spacing w:line="480" w:lineRule="auto"/>
        <w:rPr>
          <w:b/>
          <w:bCs/>
        </w:rPr>
      </w:pPr>
      <w:r w:rsidRPr="0095652A">
        <w:rPr>
          <w:b/>
          <w:bCs/>
        </w:rPr>
        <w:t>Definition of Problem</w:t>
      </w:r>
    </w:p>
    <w:p w14:paraId="5C03BFD0" w14:textId="75C26DF6" w:rsidR="00A34EBE" w:rsidRPr="00A34EBE" w:rsidRDefault="00A34EBE" w:rsidP="004C23DA">
      <w:pPr>
        <w:spacing w:line="480" w:lineRule="auto"/>
      </w:pPr>
      <w:r>
        <w:tab/>
      </w:r>
      <w:r w:rsidR="006759EE">
        <w:t>The Environmental Justice Act is predicated on the perception that environmental pollution exists in Colorado</w:t>
      </w:r>
      <w:r w:rsidR="00F74A8D">
        <w:t xml:space="preserve">, is distributed unequally, and is correlated with increased health risks in DICs. The theory of action of the Act is that </w:t>
      </w:r>
      <w:r w:rsidR="00CE4F98">
        <w:t xml:space="preserve">to address environmental injustice, Colorado </w:t>
      </w:r>
      <w:r w:rsidR="00CE4F98">
        <w:lastRenderedPageBreak/>
        <w:t>can</w:t>
      </w:r>
      <w:r w:rsidR="00F74A8D">
        <w:t xml:space="preserve"> engag</w:t>
      </w:r>
      <w:r w:rsidR="00D00C17">
        <w:t>e</w:t>
      </w:r>
      <w:r w:rsidR="00F74A8D">
        <w:t xml:space="preserve"> </w:t>
      </w:r>
      <w:r w:rsidR="00CE4F98">
        <w:t xml:space="preserve">with DICs to </w:t>
      </w:r>
      <w:r w:rsidR="009741A3">
        <w:t>remediat</w:t>
      </w:r>
      <w:r w:rsidR="00CE4F98">
        <w:t>e</w:t>
      </w:r>
      <w:r w:rsidR="009741A3">
        <w:t xml:space="preserve"> environmental pollution</w:t>
      </w:r>
      <w:r w:rsidR="00CF4EDC">
        <w:t xml:space="preserve"> and increase the cost of polluting. </w:t>
      </w:r>
      <w:r w:rsidR="00D00C17">
        <w:t xml:space="preserve">The theory of change for the Act is that by </w:t>
      </w:r>
      <w:r w:rsidR="002448B7">
        <w:t>engaging with DICs and remediating environmental injustice, health risks</w:t>
      </w:r>
      <w:r w:rsidR="00775B71">
        <w:t xml:space="preserve"> linked to pollution</w:t>
      </w:r>
      <w:r w:rsidR="002448B7">
        <w:t xml:space="preserve"> can be decreased in</w:t>
      </w:r>
      <w:r w:rsidR="00775B71">
        <w:t xml:space="preserve"> DICs. </w:t>
      </w:r>
    </w:p>
    <w:p w14:paraId="6F27D70D" w14:textId="2D5C548D" w:rsidR="003F083D" w:rsidRDefault="003F083D" w:rsidP="004C23DA">
      <w:pPr>
        <w:spacing w:line="480" w:lineRule="auto"/>
        <w:rPr>
          <w:b/>
          <w:bCs/>
        </w:rPr>
      </w:pPr>
      <w:r w:rsidRPr="0095652A">
        <w:rPr>
          <w:b/>
          <w:bCs/>
        </w:rPr>
        <w:t>Scope and Extent</w:t>
      </w:r>
    </w:p>
    <w:p w14:paraId="34B355C8" w14:textId="66A3E60A" w:rsidR="0003755E" w:rsidRPr="00A3270E" w:rsidRDefault="00A617D0" w:rsidP="00C1379B">
      <w:pPr>
        <w:spacing w:line="480" w:lineRule="auto"/>
        <w:ind w:firstLine="360"/>
      </w:pPr>
      <w:r>
        <w:t xml:space="preserve">To determine the scope and extent of </w:t>
      </w:r>
      <w:r w:rsidR="00A27227">
        <w:t xml:space="preserve">inequitable pollution distribution and health risks, I will ask these 3 questions </w:t>
      </w:r>
      <w:r w:rsidR="00C1379B">
        <w:t xml:space="preserve">using data </w:t>
      </w:r>
      <w:r w:rsidR="00A27227">
        <w:t xml:space="preserve">from </w:t>
      </w:r>
      <w:r w:rsidR="00B47366">
        <w:t>the</w:t>
      </w:r>
      <w:r w:rsidR="00B97CD4">
        <w:t xml:space="preserve"> EPA</w:t>
      </w:r>
      <w:r w:rsidR="00B47366">
        <w:t xml:space="preserve"> </w:t>
      </w:r>
      <w:proofErr w:type="spellStart"/>
      <w:r w:rsidR="00B47366">
        <w:t>EJScreen</w:t>
      </w:r>
      <w:proofErr w:type="spellEnd"/>
      <w:r w:rsidR="00B47366">
        <w:t xml:space="preserve"> database</w:t>
      </w:r>
      <w:r w:rsidR="00C42335">
        <w:t xml:space="preserve"> (</w:t>
      </w:r>
      <w:proofErr w:type="spellStart"/>
      <w:r w:rsidR="00C42335" w:rsidRPr="00054C94">
        <w:rPr>
          <w:i/>
          <w:iCs/>
        </w:rPr>
        <w:t>EJScreen</w:t>
      </w:r>
      <w:proofErr w:type="spellEnd"/>
      <w:r w:rsidR="00C42335">
        <w:t>, n.d.)</w:t>
      </w:r>
      <w:r w:rsidR="00774FB5">
        <w:t>: 1) I</w:t>
      </w:r>
      <w:r w:rsidR="005A1913">
        <w:t>s there evidence of pollution in low-income and minority areas</w:t>
      </w:r>
      <w:r w:rsidR="00C1379B">
        <w:t xml:space="preserve">; 2) </w:t>
      </w:r>
      <w:r w:rsidR="004163EA">
        <w:t xml:space="preserve">Are low-income and minority areas more likely to be located near </w:t>
      </w:r>
      <w:r w:rsidR="00B24D22">
        <w:t xml:space="preserve">fracking </w:t>
      </w:r>
      <w:r w:rsidR="004163EA">
        <w:t xml:space="preserve">wells and </w:t>
      </w:r>
      <w:r w:rsidR="00B24D22">
        <w:t xml:space="preserve">pollution </w:t>
      </w:r>
      <w:r w:rsidR="004163EA">
        <w:t>sites</w:t>
      </w:r>
      <w:r w:rsidR="00C1379B">
        <w:t>; 3)</w:t>
      </w:r>
      <w:r w:rsidR="00C42335">
        <w:t xml:space="preserve"> </w:t>
      </w:r>
      <w:r w:rsidR="00C1379B">
        <w:t>A</w:t>
      </w:r>
      <w:r w:rsidR="0003755E">
        <w:t xml:space="preserve">re there greater </w:t>
      </w:r>
      <w:r>
        <w:t xml:space="preserve">pollution-related </w:t>
      </w:r>
      <w:r w:rsidR="0003755E">
        <w:t>health risks associated with low-income and minority areas?</w:t>
      </w:r>
    </w:p>
    <w:p w14:paraId="70D00CA9" w14:textId="6D2AC68E" w:rsidR="003F083D" w:rsidRDefault="003F083D" w:rsidP="004C23DA">
      <w:pPr>
        <w:spacing w:line="480" w:lineRule="auto"/>
        <w:rPr>
          <w:b/>
          <w:bCs/>
        </w:rPr>
      </w:pPr>
      <w:r w:rsidRPr="0095652A">
        <w:rPr>
          <w:b/>
          <w:bCs/>
        </w:rPr>
        <w:t>Target Population</w:t>
      </w:r>
    </w:p>
    <w:p w14:paraId="49C17711" w14:textId="6B02D2EE" w:rsidR="0083420E" w:rsidRDefault="009A5F1B" w:rsidP="004C23DA">
      <w:pPr>
        <w:spacing w:line="480" w:lineRule="auto"/>
      </w:pPr>
      <w:r>
        <w:tab/>
        <w:t xml:space="preserve">To assess whether the </w:t>
      </w:r>
      <w:r w:rsidR="005915F3">
        <w:t xml:space="preserve">Act </w:t>
      </w:r>
      <w:r w:rsidR="00234043">
        <w:t xml:space="preserve">sufficiently targets </w:t>
      </w:r>
      <w:r w:rsidR="004A5BD6">
        <w:t xml:space="preserve">the appropriate population in their definition of Disproportionately Impacted Community, </w:t>
      </w:r>
      <w:r w:rsidR="00BA7EE5">
        <w:t>I will</w:t>
      </w:r>
      <w:r w:rsidR="006A1210">
        <w:t xml:space="preserve"> use </w:t>
      </w:r>
      <w:proofErr w:type="spellStart"/>
      <w:r w:rsidR="006A1210">
        <w:t>EJScreen</w:t>
      </w:r>
      <w:proofErr w:type="spellEnd"/>
      <w:r w:rsidR="006A1210">
        <w:t xml:space="preserve"> data to</w:t>
      </w:r>
      <w:r w:rsidR="00BA7EE5">
        <w:t xml:space="preserve"> </w:t>
      </w:r>
      <w:r w:rsidR="009505DD">
        <w:t xml:space="preserve">compare </w:t>
      </w:r>
      <w:r w:rsidR="00F00679">
        <w:t xml:space="preserve">block groups that qualify </w:t>
      </w:r>
      <w:r w:rsidR="002A6AED">
        <w:t xml:space="preserve">as a DIC with block groups that </w:t>
      </w:r>
      <w:r w:rsidR="009B68F6">
        <w:t xml:space="preserve">are </w:t>
      </w:r>
      <w:r w:rsidR="006A1210">
        <w:t>proximally located to fracking and pollution sites</w:t>
      </w:r>
      <w:r w:rsidR="00072462">
        <w:t xml:space="preserve">. Block groups that </w:t>
      </w:r>
      <w:r w:rsidR="0088766E">
        <w:t>do not fit</w:t>
      </w:r>
      <w:r w:rsidR="00BB4665">
        <w:t xml:space="preserve"> the</w:t>
      </w:r>
      <w:r w:rsidR="0088766E">
        <w:t xml:space="preserve"> definition of DIC but </w:t>
      </w:r>
      <w:r w:rsidR="00D572D8">
        <w:t xml:space="preserve">are located near fracking and pollution sites will be identified and investigated. </w:t>
      </w:r>
    </w:p>
    <w:p w14:paraId="467C0352" w14:textId="5A3FAADA" w:rsidR="0095652A" w:rsidRDefault="0095652A" w:rsidP="0095652A">
      <w:pPr>
        <w:spacing w:line="480" w:lineRule="auto"/>
        <w:rPr>
          <w:b/>
          <w:bCs/>
        </w:rPr>
      </w:pPr>
      <w:r w:rsidRPr="0095652A">
        <w:rPr>
          <w:rFonts w:eastAsiaTheme="minorHAnsi"/>
          <w:b/>
          <w:bCs/>
        </w:rPr>
        <w:t xml:space="preserve">Characteristics of the </w:t>
      </w:r>
      <w:r w:rsidRPr="0095652A">
        <w:rPr>
          <w:b/>
          <w:bCs/>
        </w:rPr>
        <w:t>P</w:t>
      </w:r>
      <w:r w:rsidRPr="0095652A">
        <w:rPr>
          <w:rFonts w:eastAsiaTheme="minorHAnsi"/>
          <w:b/>
          <w:bCs/>
        </w:rPr>
        <w:t xml:space="preserve">roblem and </w:t>
      </w:r>
      <w:r w:rsidRPr="0095652A">
        <w:rPr>
          <w:b/>
          <w:bCs/>
        </w:rPr>
        <w:t>T</w:t>
      </w:r>
      <w:r w:rsidRPr="0095652A">
        <w:rPr>
          <w:rFonts w:eastAsiaTheme="minorHAnsi"/>
          <w:b/>
          <w:bCs/>
        </w:rPr>
        <w:t xml:space="preserve">arget </w:t>
      </w:r>
      <w:r w:rsidRPr="0095652A">
        <w:rPr>
          <w:b/>
          <w:bCs/>
        </w:rPr>
        <w:t>P</w:t>
      </w:r>
      <w:r w:rsidRPr="0095652A">
        <w:rPr>
          <w:rFonts w:eastAsiaTheme="minorHAnsi"/>
          <w:b/>
          <w:bCs/>
        </w:rPr>
        <w:t>opulation</w:t>
      </w:r>
    </w:p>
    <w:p w14:paraId="0E969E9E" w14:textId="43F746A4" w:rsidR="003F083D" w:rsidRPr="00481001" w:rsidRDefault="00C20BCA" w:rsidP="004C23DA">
      <w:pPr>
        <w:spacing w:line="480" w:lineRule="auto"/>
        <w:rPr>
          <w:rFonts w:eastAsiaTheme="minorHAnsi"/>
        </w:rPr>
      </w:pPr>
      <w:r>
        <w:rPr>
          <w:b/>
          <w:bCs/>
        </w:rPr>
        <w:tab/>
      </w:r>
      <w:r>
        <w:t xml:space="preserve">To assess </w:t>
      </w:r>
      <w:r w:rsidR="00E57A12">
        <w:t>characteristics of low-income and minority that have high levels of pollution-related health risks I wi</w:t>
      </w:r>
      <w:r w:rsidR="00186711">
        <w:t xml:space="preserve">ll examine each block groups’ levels of manufacturing employment </w:t>
      </w:r>
      <w:r w:rsidR="005F7722">
        <w:t xml:space="preserve">using Bureau of Labor Statistics data. </w:t>
      </w:r>
    </w:p>
    <w:p w14:paraId="31DBD1BF" w14:textId="3D18210A" w:rsidR="004C23DA" w:rsidRDefault="004C23DA" w:rsidP="009F0A7B">
      <w:pPr>
        <w:spacing w:line="480" w:lineRule="auto"/>
        <w:jc w:val="center"/>
        <w:rPr>
          <w:b/>
          <w:bCs/>
        </w:rPr>
      </w:pPr>
      <w:r w:rsidRPr="009F0A7B">
        <w:rPr>
          <w:b/>
          <w:bCs/>
        </w:rPr>
        <w:t>Evidence</w:t>
      </w:r>
    </w:p>
    <w:p w14:paraId="623EEDC7" w14:textId="77777777" w:rsidR="00BA71D7" w:rsidRDefault="002E69BD" w:rsidP="002E69BD">
      <w:pPr>
        <w:spacing w:line="480" w:lineRule="auto"/>
      </w:pPr>
      <w:r>
        <w:tab/>
        <w:t xml:space="preserve">To answer the questions in the Evaluation Design I will be using data collected from three online sources. </w:t>
      </w:r>
      <w:proofErr w:type="spellStart"/>
      <w:r w:rsidRPr="002E69BD">
        <w:rPr>
          <w:i/>
          <w:iCs/>
        </w:rPr>
        <w:t>EJScreen</w:t>
      </w:r>
      <w:proofErr w:type="spellEnd"/>
      <w:r>
        <w:t xml:space="preserve"> (n.d.) is a </w:t>
      </w:r>
      <w:r w:rsidR="00132FF2">
        <w:t xml:space="preserve">database and mapping tool created by the EPA that combines environmental and demographic indicators. It includes variables such as an index </w:t>
      </w:r>
      <w:r w:rsidR="00132FF2">
        <w:lastRenderedPageBreak/>
        <w:t xml:space="preserve">computed from percent low-income and people of color, air, water, and traffic pollution, and proximity to pollution sites. </w:t>
      </w:r>
      <w:r w:rsidR="00132FF2" w:rsidRPr="000A20D7">
        <w:t>FracTracker.org. (n.d.)</w:t>
      </w:r>
      <w:r w:rsidR="00132FF2">
        <w:t xml:space="preserve"> is an organization that tracks fracking wells across the U.S. and has created a database of fracking locations with latitude and longitude coordinates. My third data set is taken from the U.S. Bureau of Labor Statistics’ Quarterly Census of Employment and Wages</w:t>
      </w:r>
      <w:r w:rsidR="00907B4F">
        <w:t xml:space="preserve"> yearly average for 2020</w:t>
      </w:r>
      <w:r w:rsidR="00A51541">
        <w:t xml:space="preserve"> </w:t>
      </w:r>
      <w:r w:rsidR="00A51541">
        <w:t>(</w:t>
      </w:r>
      <w:r w:rsidR="00A51541" w:rsidRPr="000511A6">
        <w:rPr>
          <w:i/>
          <w:iCs/>
        </w:rPr>
        <w:t>QCEW Data Files</w:t>
      </w:r>
      <w:r w:rsidR="00A51541">
        <w:t>, n.d.)</w:t>
      </w:r>
      <w:r w:rsidR="00907B4F">
        <w:t xml:space="preserve">. </w:t>
      </w:r>
    </w:p>
    <w:p w14:paraId="0A3E4033" w14:textId="1922AC76" w:rsidR="00272FA5" w:rsidRDefault="00A51541" w:rsidP="00BA71D7">
      <w:pPr>
        <w:spacing w:line="480" w:lineRule="auto"/>
        <w:ind w:firstLine="720"/>
      </w:pPr>
      <w:r>
        <w:t xml:space="preserve">There are no common keys between these data sets, so comparison was done by </w:t>
      </w:r>
      <w:r>
        <w:t>using GIS functions to match latitude/longitude points</w:t>
      </w:r>
      <w:r w:rsidR="00272FA5">
        <w:t xml:space="preserve"> of fracking wells</w:t>
      </w:r>
      <w:r>
        <w:t xml:space="preserve"> with</w:t>
      </w:r>
      <w:r w:rsidR="00272FA5">
        <w:t>in</w:t>
      </w:r>
      <w:r>
        <w:t xml:space="preserve"> census block group polygons </w:t>
      </w:r>
      <w:r w:rsidR="00272FA5">
        <w:t xml:space="preserve">in the </w:t>
      </w:r>
      <w:proofErr w:type="spellStart"/>
      <w:r w:rsidR="00272FA5">
        <w:t>EJScreen</w:t>
      </w:r>
      <w:proofErr w:type="spellEnd"/>
      <w:r w:rsidR="00272FA5">
        <w:t xml:space="preserve"> data. To compare BLS data to </w:t>
      </w:r>
      <w:proofErr w:type="spellStart"/>
      <w:r w:rsidR="00272FA5">
        <w:t>EJScreen</w:t>
      </w:r>
      <w:proofErr w:type="spellEnd"/>
      <w:r w:rsidR="00272FA5">
        <w:t xml:space="preserve">, I </w:t>
      </w:r>
      <w:r w:rsidR="00272FA5">
        <w:t>calculated the percent DIC for each FIPS</w:t>
      </w:r>
      <w:r w:rsidR="00272FA5">
        <w:t xml:space="preserve"> in the </w:t>
      </w:r>
      <w:proofErr w:type="spellStart"/>
      <w:r w:rsidR="00272FA5">
        <w:t>EJScreen</w:t>
      </w:r>
      <w:proofErr w:type="spellEnd"/>
      <w:r w:rsidR="00272FA5">
        <w:t xml:space="preserve"> data and joined to BLS FIPS codes.</w:t>
      </w:r>
    </w:p>
    <w:p w14:paraId="2E530A95" w14:textId="3BA94D72" w:rsidR="00907B4F" w:rsidRPr="002E69BD" w:rsidRDefault="00907B4F" w:rsidP="002E69BD">
      <w:pPr>
        <w:spacing w:line="480" w:lineRule="auto"/>
      </w:pPr>
      <w:r>
        <w:tab/>
        <w:t xml:space="preserve">These three data sets were uploaded to a PostgreSQL </w:t>
      </w:r>
      <w:proofErr w:type="spellStart"/>
      <w:r>
        <w:t>PostGIS</w:t>
      </w:r>
      <w:proofErr w:type="spellEnd"/>
      <w:r>
        <w:t xml:space="preserve"> database and accessed using the </w:t>
      </w:r>
      <w:proofErr w:type="spellStart"/>
      <w:r>
        <w:t>sqlalchemy</w:t>
      </w:r>
      <w:proofErr w:type="spellEnd"/>
      <w:r>
        <w:t xml:space="preserve"> package </w:t>
      </w:r>
      <w:r w:rsidR="00BA71D7">
        <w:t xml:space="preserve">(Bayer, 2012) </w:t>
      </w:r>
      <w:r>
        <w:t xml:space="preserve">from a python </w:t>
      </w:r>
      <w:proofErr w:type="spellStart"/>
      <w:r>
        <w:t>Jupyter</w:t>
      </w:r>
      <w:proofErr w:type="spellEnd"/>
      <w:r>
        <w:t xml:space="preserve"> Notebook as well as QGIS mapping application. These are all public data sets and there is no non-public information in any of the data. </w:t>
      </w:r>
      <w:r w:rsidR="00E952D0">
        <w:t>Statistics were calculated using the python Pandas package</w:t>
      </w:r>
      <w:r w:rsidR="005656DD">
        <w:t xml:space="preserve"> (Pandas, 2010)</w:t>
      </w:r>
      <w:r w:rsidR="00E952D0">
        <w:t xml:space="preserve">. </w:t>
      </w:r>
    </w:p>
    <w:p w14:paraId="3F26D78B" w14:textId="77777777" w:rsidR="002E69BD" w:rsidRDefault="002E69BD" w:rsidP="002E69BD">
      <w:pPr>
        <w:spacing w:line="480" w:lineRule="auto"/>
        <w:jc w:val="center"/>
        <w:rPr>
          <w:b/>
          <w:bCs/>
        </w:rPr>
      </w:pPr>
      <w:r>
        <w:rPr>
          <w:b/>
          <w:bCs/>
        </w:rPr>
        <w:t>Justification of Conclusions</w:t>
      </w:r>
    </w:p>
    <w:p w14:paraId="56AE51F4" w14:textId="727C467D" w:rsidR="009F0A7B" w:rsidRDefault="009F0A7B" w:rsidP="009F0A7B">
      <w:pPr>
        <w:spacing w:line="480" w:lineRule="auto"/>
        <w:rPr>
          <w:b/>
          <w:bCs/>
        </w:rPr>
      </w:pPr>
      <w:r w:rsidRPr="009F0A7B">
        <w:rPr>
          <w:b/>
          <w:bCs/>
        </w:rPr>
        <w:t>1. Is there evidence of pollution in low-income and minority areas</w:t>
      </w:r>
      <w:r w:rsidR="0053175D">
        <w:rPr>
          <w:b/>
          <w:bCs/>
        </w:rPr>
        <w:t>?</w:t>
      </w:r>
    </w:p>
    <w:p w14:paraId="76609C57" w14:textId="6BBF3D50" w:rsidR="009F0A7B" w:rsidRDefault="00054C94" w:rsidP="009F0A7B">
      <w:pPr>
        <w:spacing w:line="480" w:lineRule="auto"/>
      </w:pPr>
      <w:r>
        <w:tab/>
        <w:t xml:space="preserve">Using data from </w:t>
      </w:r>
      <w:proofErr w:type="spellStart"/>
      <w:r>
        <w:rPr>
          <w:i/>
          <w:iCs/>
        </w:rPr>
        <w:t>EJScreen</w:t>
      </w:r>
      <w:proofErr w:type="spellEnd"/>
      <w:r>
        <w:rPr>
          <w:i/>
          <w:iCs/>
        </w:rPr>
        <w:t xml:space="preserve"> </w:t>
      </w:r>
      <w:r w:rsidRPr="002E69BD">
        <w:t>(n.d.),</w:t>
      </w:r>
      <w:r>
        <w:t xml:space="preserve"> </w:t>
      </w:r>
      <w:r w:rsidR="00E65BB2">
        <w:t>I did not find a</w:t>
      </w:r>
      <w:r w:rsidR="000E3F7C">
        <w:t>ny</w:t>
      </w:r>
      <w:r w:rsidR="00E65BB2">
        <w:t xml:space="preserve"> strong correlation</w:t>
      </w:r>
      <w:r w:rsidR="000E3F7C">
        <w:t>s</w:t>
      </w:r>
      <w:r w:rsidR="00E65BB2">
        <w:t xml:space="preserve"> between </w:t>
      </w:r>
      <w:r w:rsidR="000E3F7C">
        <w:t xml:space="preserve">low-income and minority areas with areas of </w:t>
      </w:r>
      <w:r w:rsidR="00292E4B">
        <w:t>air, water, or traffic pollution, with the highest R value</w:t>
      </w:r>
      <w:r w:rsidR="00EB6227">
        <w:t xml:space="preserve"> occurring for levels of diesel particulate matter at 0.25. </w:t>
      </w:r>
      <w:r w:rsidR="003A45B3">
        <w:t>However, when variable “</w:t>
      </w:r>
      <w:r w:rsidR="00E824F5">
        <w:t xml:space="preserve">VULEOPCT,” an index </w:t>
      </w:r>
      <w:r w:rsidR="001830C6">
        <w:t>based on percent low-income and percent people of color, was binned into quartiles</w:t>
      </w:r>
      <w:r w:rsidR="00CB2FE4">
        <w:t xml:space="preserve"> with group-wise averages</w:t>
      </w:r>
      <w:r w:rsidR="00DA3D28">
        <w:t>,</w:t>
      </w:r>
      <w:r w:rsidR="00CB2FE4">
        <w:t xml:space="preserve"> I found that</w:t>
      </w:r>
      <w:r w:rsidR="00DA3D28">
        <w:t xml:space="preserve"> </w:t>
      </w:r>
      <w:r w:rsidR="00886B23">
        <w:t>diesel particulate matter, PM2</w:t>
      </w:r>
      <w:r w:rsidR="00C028B5">
        <w:t>.</w:t>
      </w:r>
      <w:r w:rsidR="00886B23">
        <w:t>5</w:t>
      </w:r>
      <w:r w:rsidR="00E824F5">
        <w:t xml:space="preserve"> </w:t>
      </w:r>
      <w:r w:rsidR="00C028B5">
        <w:t xml:space="preserve">concentrations, </w:t>
      </w:r>
      <w:r w:rsidR="003329E5">
        <w:t xml:space="preserve">pollution </w:t>
      </w:r>
      <w:r w:rsidR="008A259E">
        <w:t>discharge</w:t>
      </w:r>
      <w:r w:rsidR="003329E5">
        <w:t xml:space="preserve"> into water</w:t>
      </w:r>
      <w:r w:rsidR="008A259E">
        <w:t xml:space="preserve">, and traffic pollution had </w:t>
      </w:r>
      <w:r w:rsidR="00532202">
        <w:t xml:space="preserve">higher averages in the </w:t>
      </w:r>
      <w:r w:rsidR="005E1B39">
        <w:t>4</w:t>
      </w:r>
      <w:r w:rsidR="005E1B39" w:rsidRPr="005E1B39">
        <w:rPr>
          <w:vertAlign w:val="superscript"/>
        </w:rPr>
        <w:t>th</w:t>
      </w:r>
      <w:r w:rsidR="005E1B39">
        <w:t xml:space="preserve"> quartile</w:t>
      </w:r>
      <w:r w:rsidR="004D3916">
        <w:t xml:space="preserve">. </w:t>
      </w:r>
      <w:r w:rsidR="00C73D45">
        <w:t>Notably, diesel particulate matter</w:t>
      </w:r>
      <w:r w:rsidR="00B031CE">
        <w:t xml:space="preserve"> in quartile 4</w:t>
      </w:r>
      <w:r w:rsidR="00C73D45">
        <w:t xml:space="preserve"> was </w:t>
      </w:r>
      <w:r w:rsidR="00F531B7">
        <w:t>3</w:t>
      </w:r>
      <w:r w:rsidR="00C73D45">
        <w:t xml:space="preserve">7% higher than </w:t>
      </w:r>
      <w:r w:rsidR="005F0473">
        <w:t xml:space="preserve">quartile 3, and </w:t>
      </w:r>
      <w:r w:rsidR="003329E5">
        <w:t xml:space="preserve">pollution discharge into water </w:t>
      </w:r>
      <w:r w:rsidR="00B031CE">
        <w:t xml:space="preserve">in quartile 4 </w:t>
      </w:r>
      <w:r w:rsidR="003329E5">
        <w:t xml:space="preserve">was </w:t>
      </w:r>
      <w:r w:rsidR="00F531B7">
        <w:t>127</w:t>
      </w:r>
      <w:r w:rsidR="003329E5">
        <w:t xml:space="preserve">% higher than quartile 3. </w:t>
      </w:r>
      <w:r w:rsidR="00F165A7">
        <w:t xml:space="preserve">See Appendix </w:t>
      </w:r>
      <w:r w:rsidR="00B031CE">
        <w:t xml:space="preserve">1 and 2. </w:t>
      </w:r>
    </w:p>
    <w:p w14:paraId="260739DF" w14:textId="601F72F4" w:rsidR="00B031CE" w:rsidRDefault="00B031CE" w:rsidP="00B031CE">
      <w:pPr>
        <w:spacing w:line="480" w:lineRule="auto"/>
        <w:rPr>
          <w:b/>
          <w:bCs/>
        </w:rPr>
      </w:pPr>
      <w:r>
        <w:rPr>
          <w:b/>
          <w:bCs/>
        </w:rPr>
        <w:lastRenderedPageBreak/>
        <w:t xml:space="preserve">2. </w:t>
      </w:r>
      <w:r w:rsidRPr="00B031CE">
        <w:rPr>
          <w:b/>
          <w:bCs/>
        </w:rPr>
        <w:t>Are low-income and minority areas more likely to be located near</w:t>
      </w:r>
      <w:r w:rsidR="00C4682F">
        <w:rPr>
          <w:b/>
          <w:bCs/>
        </w:rPr>
        <w:t xml:space="preserve"> </w:t>
      </w:r>
      <w:r w:rsidR="00C4682F" w:rsidRPr="00B031CE">
        <w:rPr>
          <w:b/>
          <w:bCs/>
        </w:rPr>
        <w:t>pollution sites</w:t>
      </w:r>
      <w:r w:rsidRPr="00B031CE">
        <w:rPr>
          <w:b/>
          <w:bCs/>
        </w:rPr>
        <w:t xml:space="preserve"> fracking wells</w:t>
      </w:r>
      <w:r>
        <w:rPr>
          <w:b/>
          <w:bCs/>
        </w:rPr>
        <w:t>?</w:t>
      </w:r>
    </w:p>
    <w:p w14:paraId="0533389D" w14:textId="22A027EA" w:rsidR="00B031CE" w:rsidRPr="00B031CE" w:rsidRDefault="00106E00" w:rsidP="00B031CE">
      <w:pPr>
        <w:spacing w:line="480" w:lineRule="auto"/>
      </w:pPr>
      <w:r>
        <w:tab/>
        <w:t xml:space="preserve">Using data from </w:t>
      </w:r>
      <w:proofErr w:type="spellStart"/>
      <w:r>
        <w:rPr>
          <w:i/>
          <w:iCs/>
        </w:rPr>
        <w:t>EJScreen</w:t>
      </w:r>
      <w:proofErr w:type="spellEnd"/>
      <w:r>
        <w:rPr>
          <w:i/>
          <w:iCs/>
        </w:rPr>
        <w:t xml:space="preserve"> </w:t>
      </w:r>
      <w:r w:rsidRPr="002E69BD">
        <w:t>(n.d.)</w:t>
      </w:r>
      <w:r w:rsidR="00C4682F" w:rsidRPr="002E69BD">
        <w:t>,</w:t>
      </w:r>
      <w:r w:rsidR="00C4682F">
        <w:t xml:space="preserve"> I found the highest correlation between proximity to pollution and the VULEOPCT income and people of color index to </w:t>
      </w:r>
      <w:r w:rsidR="0074187B">
        <w:t>be the</w:t>
      </w:r>
      <w:r w:rsidR="00C4682F">
        <w:t xml:space="preserve"> Risk Management Plan facilities </w:t>
      </w:r>
      <w:r w:rsidR="0074187B">
        <w:t>variable, with an R value of</w:t>
      </w:r>
      <w:r w:rsidR="00C4682F">
        <w:t xml:space="preserve"> 0.36. </w:t>
      </w:r>
      <w:r w:rsidR="0074187B">
        <w:t>Notably,</w:t>
      </w:r>
      <w:r w:rsidR="00C4682F">
        <w:t xml:space="preserve"> the fourth quartile group averages for the three </w:t>
      </w:r>
      <w:proofErr w:type="gramStart"/>
      <w:r w:rsidR="00C4682F">
        <w:t>proximity</w:t>
      </w:r>
      <w:proofErr w:type="gramEnd"/>
      <w:r w:rsidR="00C4682F">
        <w:t xml:space="preserve"> to pollution variables were </w:t>
      </w:r>
      <w:r w:rsidR="00F531B7">
        <w:t>35</w:t>
      </w:r>
      <w:r w:rsidR="00C4682F">
        <w:t xml:space="preserve">% to </w:t>
      </w:r>
      <w:r w:rsidR="00F531B7">
        <w:t>90</w:t>
      </w:r>
      <w:r w:rsidR="00C4682F">
        <w:t xml:space="preserve">% higher than quartile 3 group averages. See Appendix 3 and 4. </w:t>
      </w:r>
    </w:p>
    <w:p w14:paraId="58F89893" w14:textId="3481E49D" w:rsidR="00B031CE" w:rsidRPr="000A20D7" w:rsidRDefault="00C4682F" w:rsidP="009F0A7B">
      <w:pPr>
        <w:spacing w:line="480" w:lineRule="auto"/>
      </w:pPr>
      <w:r>
        <w:tab/>
      </w:r>
      <w:r w:rsidR="000A20D7">
        <w:t xml:space="preserve">Using data from </w:t>
      </w:r>
      <w:proofErr w:type="spellStart"/>
      <w:r w:rsidR="000A20D7">
        <w:rPr>
          <w:i/>
          <w:iCs/>
        </w:rPr>
        <w:t>EJScreen</w:t>
      </w:r>
      <w:proofErr w:type="spellEnd"/>
      <w:r w:rsidR="000A20D7">
        <w:rPr>
          <w:i/>
          <w:iCs/>
        </w:rPr>
        <w:t xml:space="preserve"> </w:t>
      </w:r>
      <w:r w:rsidR="000A20D7" w:rsidRPr="002E69BD">
        <w:t>(n.d.)</w:t>
      </w:r>
      <w:r w:rsidR="000A20D7">
        <w:t xml:space="preserve"> joined to </w:t>
      </w:r>
      <w:r w:rsidR="00491D96">
        <w:t xml:space="preserve">fracking </w:t>
      </w:r>
      <w:r w:rsidR="000A20D7">
        <w:t xml:space="preserve">well locations </w:t>
      </w:r>
      <w:r w:rsidR="00491D96">
        <w:t xml:space="preserve">provided by </w:t>
      </w:r>
      <w:r w:rsidR="000A20D7" w:rsidRPr="000A20D7">
        <w:t>FracTracker.org. (n.d.)</w:t>
      </w:r>
      <w:r w:rsidR="000A20D7">
        <w:t xml:space="preserve"> </w:t>
      </w:r>
      <w:r w:rsidR="00491D96">
        <w:t xml:space="preserve">I found a negative correlation of -0.012 between the low-income and people of color index VULEOPCT and the number of fracking wells in a block group. When VULEOPCT is broken into quartiles, the mean number of wells per block group is highest in quartiles 2 and 3. See Appendix 7. </w:t>
      </w:r>
    </w:p>
    <w:p w14:paraId="22926E97" w14:textId="03D39A55" w:rsidR="00E85C7C" w:rsidRDefault="00E85C7C" w:rsidP="00E85C7C">
      <w:pPr>
        <w:spacing w:line="480" w:lineRule="auto"/>
        <w:rPr>
          <w:b/>
          <w:bCs/>
        </w:rPr>
      </w:pPr>
      <w:r>
        <w:rPr>
          <w:b/>
          <w:bCs/>
        </w:rPr>
        <w:t>3</w:t>
      </w:r>
      <w:r>
        <w:rPr>
          <w:b/>
          <w:bCs/>
        </w:rPr>
        <w:t xml:space="preserve">. </w:t>
      </w:r>
      <w:r w:rsidRPr="00E85C7C">
        <w:rPr>
          <w:b/>
          <w:bCs/>
        </w:rPr>
        <w:t>Are there greater pollution-related health risks associated with low-income and minority areas?</w:t>
      </w:r>
    </w:p>
    <w:p w14:paraId="67D4601B" w14:textId="1032D201" w:rsidR="00E85C7C" w:rsidRPr="00E85C7C" w:rsidRDefault="00C63F8D" w:rsidP="00C63F8D">
      <w:pPr>
        <w:spacing w:line="480" w:lineRule="auto"/>
        <w:ind w:firstLine="720"/>
        <w:rPr>
          <w:b/>
          <w:bCs/>
        </w:rPr>
      </w:pPr>
      <w:r>
        <w:t xml:space="preserve">Using data from </w:t>
      </w:r>
      <w:proofErr w:type="spellStart"/>
      <w:r>
        <w:rPr>
          <w:i/>
          <w:iCs/>
        </w:rPr>
        <w:t>EJScreen</w:t>
      </w:r>
      <w:proofErr w:type="spellEnd"/>
      <w:r>
        <w:rPr>
          <w:i/>
          <w:iCs/>
        </w:rPr>
        <w:t xml:space="preserve"> </w:t>
      </w:r>
      <w:r w:rsidRPr="002E69BD">
        <w:t>(n.d.),</w:t>
      </w:r>
      <w:r>
        <w:t xml:space="preserve"> </w:t>
      </w:r>
      <w:r w:rsidR="00F531B7">
        <w:t xml:space="preserve">I found the correlation between the low-income and people of color block area index and the air toxics cancer risk to be </w:t>
      </w:r>
      <w:proofErr w:type="gramStart"/>
      <w:r w:rsidR="00F531B7">
        <w:t>0.13, and</w:t>
      </w:r>
      <w:proofErr w:type="gramEnd"/>
      <w:r w:rsidR="00F531B7">
        <w:t xml:space="preserve"> correlated to air toxic respiratory hazard at 0.24. When broken down by quartile, the correlation for each quartile was less than the overall correlation</w:t>
      </w:r>
      <w:r w:rsidR="0057227C">
        <w:t xml:space="preserve">. The quartile averages for </w:t>
      </w:r>
      <w:r w:rsidR="00CB2FE4">
        <w:t>airborne toxic</w:t>
      </w:r>
      <w:r w:rsidR="00EA0534">
        <w:t xml:space="preserve"> cancer </w:t>
      </w:r>
      <w:r w:rsidR="00CB2FE4">
        <w:t xml:space="preserve">risk </w:t>
      </w:r>
      <w:r w:rsidR="00EA0534">
        <w:t xml:space="preserve">and respiratory hazards were highest in quartile 4 of the low-income and people of color index, but not significantly higher than quartiles 1 to 3. See Appendix 5 and 6. </w:t>
      </w:r>
    </w:p>
    <w:p w14:paraId="489845FF" w14:textId="75AB8E5F" w:rsidR="00F83516" w:rsidRDefault="00F83516" w:rsidP="00F83516">
      <w:pPr>
        <w:spacing w:line="480" w:lineRule="auto"/>
        <w:rPr>
          <w:b/>
          <w:bCs/>
        </w:rPr>
      </w:pPr>
      <w:r>
        <w:rPr>
          <w:b/>
          <w:bCs/>
        </w:rPr>
        <w:t>4</w:t>
      </w:r>
      <w:r>
        <w:rPr>
          <w:b/>
          <w:bCs/>
        </w:rPr>
        <w:t xml:space="preserve">. </w:t>
      </w:r>
      <w:r>
        <w:rPr>
          <w:b/>
          <w:bCs/>
        </w:rPr>
        <w:t>Does the definition of DIC capture all the communities that are experiencing environmental injustice?</w:t>
      </w:r>
    </w:p>
    <w:p w14:paraId="5181BFC2" w14:textId="4B113B2B" w:rsidR="00F83516" w:rsidRDefault="000F2E72" w:rsidP="00F83516">
      <w:pPr>
        <w:spacing w:line="480" w:lineRule="auto"/>
      </w:pPr>
      <w:r>
        <w:lastRenderedPageBreak/>
        <w:tab/>
      </w:r>
      <w:r>
        <w:t xml:space="preserve">Using data from </w:t>
      </w:r>
      <w:proofErr w:type="spellStart"/>
      <w:r>
        <w:rPr>
          <w:i/>
          <w:iCs/>
        </w:rPr>
        <w:t>EJScreen</w:t>
      </w:r>
      <w:proofErr w:type="spellEnd"/>
      <w:r>
        <w:rPr>
          <w:i/>
          <w:iCs/>
        </w:rPr>
        <w:t xml:space="preserve"> </w:t>
      </w:r>
      <w:r w:rsidRPr="002E69BD">
        <w:t>(n.d.)</w:t>
      </w:r>
      <w:r>
        <w:t xml:space="preserve"> joined to fracking well locations provided by </w:t>
      </w:r>
      <w:r w:rsidRPr="000A20D7">
        <w:t>FracTracker.org. (n.d.)</w:t>
      </w:r>
      <w:r>
        <w:t xml:space="preserve"> I found 185 block groups that </w:t>
      </w:r>
      <w:r w:rsidR="00775A2F">
        <w:t xml:space="preserve">had fracking wells but </w:t>
      </w:r>
      <w:r w:rsidR="007049B6">
        <w:t xml:space="preserve">did not fit the definition of DIC. As expected, none of quartile 4 of VULEOPCT are in this list. Notably, quartile 3 of VULEOPCT did not have the highest average levels of cancer risk or respiratory </w:t>
      </w:r>
      <w:proofErr w:type="gramStart"/>
      <w:r w:rsidR="007049B6">
        <w:t>hazard, but</w:t>
      </w:r>
      <w:proofErr w:type="gramEnd"/>
      <w:r w:rsidR="007049B6">
        <w:t xml:space="preserve"> did have the highest average number of fracking wells. </w:t>
      </w:r>
      <w:r w:rsidR="00B03C01">
        <w:t>See Appendix 8.</w:t>
      </w:r>
    </w:p>
    <w:p w14:paraId="59273CDA" w14:textId="77777777" w:rsidR="00B03C01" w:rsidRPr="00B03C01" w:rsidRDefault="00B03C01" w:rsidP="00F83516">
      <w:pPr>
        <w:spacing w:line="480" w:lineRule="auto"/>
        <w:rPr>
          <w:b/>
          <w:bCs/>
        </w:rPr>
      </w:pPr>
      <w:r w:rsidRPr="00B03C01">
        <w:rPr>
          <w:b/>
          <w:bCs/>
        </w:rPr>
        <w:t>5. Is the average manufacturing employment for DICs higher than non-DICS?</w:t>
      </w:r>
    </w:p>
    <w:p w14:paraId="3E14EF19" w14:textId="5EB41DCE" w:rsidR="00770DEF" w:rsidRPr="00054C94" w:rsidRDefault="00B03C01" w:rsidP="009F0A7B">
      <w:pPr>
        <w:spacing w:line="480" w:lineRule="auto"/>
      </w:pPr>
      <w:r>
        <w:t xml:space="preserve"> </w:t>
      </w:r>
      <w:r w:rsidR="00683764">
        <w:tab/>
        <w:t xml:space="preserve">To answer this </w:t>
      </w:r>
      <w:proofErr w:type="gramStart"/>
      <w:r w:rsidR="00683764">
        <w:t>question</w:t>
      </w:r>
      <w:proofErr w:type="gramEnd"/>
      <w:r w:rsidR="00683764">
        <w:t xml:space="preserve"> I joined </w:t>
      </w:r>
      <w:proofErr w:type="spellStart"/>
      <w:r w:rsidR="00683764" w:rsidRPr="000511A6">
        <w:rPr>
          <w:i/>
          <w:iCs/>
        </w:rPr>
        <w:t>EJScreen</w:t>
      </w:r>
      <w:proofErr w:type="spellEnd"/>
      <w:r w:rsidR="00683764" w:rsidRPr="00683764">
        <w:t xml:space="preserve"> (n.d.)</w:t>
      </w:r>
      <w:r w:rsidR="00683764" w:rsidRPr="00683764">
        <w:t xml:space="preserve"> </w:t>
      </w:r>
      <w:r w:rsidR="00683764">
        <w:t xml:space="preserve">data with annual averages of employers and employment from U.S. Bureau of Labor Statistics for 2020 </w:t>
      </w:r>
      <w:r w:rsidR="00683764">
        <w:t>(</w:t>
      </w:r>
      <w:r w:rsidR="00683764" w:rsidRPr="000511A6">
        <w:rPr>
          <w:i/>
          <w:iCs/>
        </w:rPr>
        <w:t>QCEW Data Files</w:t>
      </w:r>
      <w:r w:rsidR="00683764">
        <w:t>, n.d.)</w:t>
      </w:r>
      <w:r w:rsidR="000511A6">
        <w:t xml:space="preserve"> on their respective </w:t>
      </w:r>
      <w:r w:rsidR="00A51541">
        <w:t>FIPS</w:t>
      </w:r>
      <w:r w:rsidR="000511A6">
        <w:t xml:space="preserve"> codes</w:t>
      </w:r>
      <w:r w:rsidR="00683764">
        <w:t xml:space="preserve">. </w:t>
      </w:r>
      <w:r w:rsidR="000511A6">
        <w:t xml:space="preserve">I found a correlation of 0.25 for number of employers and percent DIC, and a correlation of 0.32 for number of employees and percent DIC. </w:t>
      </w:r>
    </w:p>
    <w:p w14:paraId="2D8A8A8E" w14:textId="29FDB320" w:rsidR="00BA71D7" w:rsidRDefault="00BA71D7" w:rsidP="00BA71D7">
      <w:pPr>
        <w:spacing w:line="480" w:lineRule="auto"/>
        <w:rPr>
          <w:b/>
          <w:bCs/>
        </w:rPr>
      </w:pPr>
      <w:r>
        <w:rPr>
          <w:b/>
          <w:bCs/>
        </w:rPr>
        <w:t>6. Conclusions</w:t>
      </w:r>
    </w:p>
    <w:p w14:paraId="04CDA7AC" w14:textId="246944B4" w:rsidR="00BA71D7" w:rsidRDefault="0008087B" w:rsidP="00BA71D7">
      <w:pPr>
        <w:spacing w:line="480" w:lineRule="auto"/>
      </w:pPr>
      <w:r>
        <w:tab/>
        <w:t>There were some common trends in the data for existence of pollution</w:t>
      </w:r>
      <w:r w:rsidR="0074187B">
        <w:t xml:space="preserve"> </w:t>
      </w:r>
      <w:r>
        <w:t>and proximity to pollution, where a strong correlation could not be obtained from the overall data set, but when binned into quartiles based on the percent low-income and people of color index, the highest quartile</w:t>
      </w:r>
      <w:r w:rsidR="00062AEA">
        <w:t xml:space="preserve"> (</w:t>
      </w:r>
      <w:r w:rsidR="00062AEA">
        <w:t>low-income and people of color</w:t>
      </w:r>
      <w:r w:rsidR="00062AEA">
        <w:t>)</w:t>
      </w:r>
      <w:r>
        <w:t xml:space="preserve"> also had the highest group average</w:t>
      </w:r>
      <w:r w:rsidR="00062AEA">
        <w:t xml:space="preserve"> (</w:t>
      </w:r>
      <w:r w:rsidR="00974C7D">
        <w:t>highest average</w:t>
      </w:r>
      <w:r w:rsidR="00062AEA">
        <w:t xml:space="preserve"> pollution</w:t>
      </w:r>
      <w:r w:rsidR="00974C7D">
        <w:t xml:space="preserve"> or </w:t>
      </w:r>
      <w:r w:rsidR="00062AEA">
        <w:t>proximity)</w:t>
      </w:r>
      <w:r>
        <w:t xml:space="preserve">. However, while the strength of the correlation in this study was relatively low for all variables, and none broke an R value of </w:t>
      </w:r>
      <w:r w:rsidR="00062AEA">
        <w:t>0</w:t>
      </w:r>
      <w:r>
        <w:t>.</w:t>
      </w:r>
      <w:r w:rsidR="00062AEA">
        <w:t xml:space="preserve">50, the cutoff for what is considered a strong correlation should be examined further in these cases. The most notable </w:t>
      </w:r>
      <w:r w:rsidR="0074187B">
        <w:t xml:space="preserve">finding from the proximity analysis was the difference between the averages for quartile 3 and 4, where quartile 4 was </w:t>
      </w:r>
      <w:r w:rsidR="0074187B">
        <w:t>35% to 90%</w:t>
      </w:r>
      <w:r w:rsidR="0074187B">
        <w:t xml:space="preserve"> higher. It should also be noted that the existence of fracking wells was not strongly correlated to areas of low income and people of color.</w:t>
      </w:r>
    </w:p>
    <w:p w14:paraId="5ECE3719" w14:textId="77777777" w:rsidR="0033409B" w:rsidRDefault="006A03AE" w:rsidP="00BA71D7">
      <w:pPr>
        <w:spacing w:line="480" w:lineRule="auto"/>
      </w:pPr>
      <w:r>
        <w:tab/>
        <w:t xml:space="preserve">The analysis of the DIC target population compared to counts of fracking wells found </w:t>
      </w:r>
      <w:r w:rsidR="00B36D51">
        <w:t xml:space="preserve">that quartile 2 of the low-income and people of color index had the highest number of wells with </w:t>
      </w:r>
      <w:r w:rsidR="00B36D51">
        <w:lastRenderedPageBreak/>
        <w:t xml:space="preserve">some outliers in the thousands of wells per block group. However, since </w:t>
      </w:r>
      <w:proofErr w:type="spellStart"/>
      <w:r w:rsidR="00B36D51">
        <w:t>EJScreen</w:t>
      </w:r>
      <w:proofErr w:type="spellEnd"/>
      <w:r w:rsidR="00B36D51">
        <w:t xml:space="preserve"> only has airborne cancer risk, we cannot evaluate if the high number of wells are contributing to any other health issues in those areas. </w:t>
      </w:r>
      <w:r w:rsidR="0033409B">
        <w:t xml:space="preserve">For average manufacturing employment in Colorado, we found a relatively low correlation of </w:t>
      </w:r>
      <w:r w:rsidR="0033409B">
        <w:t>0.32</w:t>
      </w:r>
      <w:r w:rsidR="0033409B">
        <w:t xml:space="preserve"> between DIC designation and number of manufacturing employees. </w:t>
      </w:r>
    </w:p>
    <w:p w14:paraId="1CD47C52" w14:textId="31A79DCD" w:rsidR="006A03AE" w:rsidRPr="00BA71D7" w:rsidRDefault="0033409B" w:rsidP="00BA71D7">
      <w:pPr>
        <w:spacing w:line="480" w:lineRule="auto"/>
      </w:pPr>
      <w:r>
        <w:tab/>
        <w:t xml:space="preserve">To further investigate the likelihood of low-income and people of color areas situated in polluted areas, I would recommend a regression model with demographic and employment data as predictors for location in a polluted area. Also, further study could be done using cancer rate data other than the airborne toxins cancer risks provided by </w:t>
      </w:r>
      <w:proofErr w:type="spellStart"/>
      <w:r>
        <w:t>EJScreen</w:t>
      </w:r>
      <w:proofErr w:type="spellEnd"/>
      <w:r w:rsidR="00751805">
        <w:t xml:space="preserve"> to provide a more comprehensive health linkage between pollution sites and demographics.</w:t>
      </w:r>
    </w:p>
    <w:p w14:paraId="12C7B287" w14:textId="59A35FE0" w:rsidR="0033409B" w:rsidRDefault="00A52E33" w:rsidP="00751805">
      <w:pPr>
        <w:spacing w:line="480" w:lineRule="auto"/>
        <w:jc w:val="center"/>
        <w:rPr>
          <w:b/>
          <w:bCs/>
        </w:rPr>
      </w:pPr>
      <w:r>
        <w:rPr>
          <w:b/>
          <w:bCs/>
        </w:rPr>
        <w:t>Ensure use and Share Lessons</w:t>
      </w:r>
    </w:p>
    <w:p w14:paraId="6BA20A3A" w14:textId="694C413B" w:rsidR="00751805" w:rsidRPr="00751805" w:rsidRDefault="00751805" w:rsidP="00751805">
      <w:pPr>
        <w:spacing w:line="480" w:lineRule="auto"/>
      </w:pPr>
      <w:r>
        <w:tab/>
        <w:t xml:space="preserve">To ensure use and share lessons from this needs assessment, a fact sheet will be created and sent to the Environmental Justice Task Force. It </w:t>
      </w:r>
      <w:r w:rsidR="00974C7D">
        <w:t>will</w:t>
      </w:r>
      <w:r>
        <w:t xml:space="preserve"> have the statistics listed above, as well as maps designating cancer risk, pollution sites, and fracking wells. The information will not be highly technical and </w:t>
      </w:r>
      <w:r w:rsidR="00974C7D">
        <w:t xml:space="preserve">will be </w:t>
      </w:r>
      <w:r>
        <w:t xml:space="preserve">in an </w:t>
      </w:r>
      <w:r w:rsidR="0011609E">
        <w:t>easy-to-read</w:t>
      </w:r>
      <w:r>
        <w:t xml:space="preserve"> format. Another way to share this data is through a web app dashboard </w:t>
      </w:r>
      <w:proofErr w:type="gramStart"/>
      <w:r w:rsidR="0011609E">
        <w:t>similar to</w:t>
      </w:r>
      <w:proofErr w:type="gramEnd"/>
      <w:r>
        <w:t xml:space="preserve"> the </w:t>
      </w:r>
      <w:proofErr w:type="spellStart"/>
      <w:r>
        <w:t>EJScreen</w:t>
      </w:r>
      <w:proofErr w:type="spellEnd"/>
      <w:r>
        <w:t xml:space="preserve"> mapping tool. Since the data is already cleaned and housed in a database, it would only require a front-end design using Tableau or </w:t>
      </w:r>
      <w:proofErr w:type="spellStart"/>
      <w:r>
        <w:t>PowerBI</w:t>
      </w:r>
      <w:proofErr w:type="spellEnd"/>
      <w:r>
        <w:t xml:space="preserve">, or a web app platform, to create maps with simple controls and reports. </w:t>
      </w:r>
    </w:p>
    <w:p w14:paraId="60DDAEFA" w14:textId="417C0A6B" w:rsidR="00A52E33" w:rsidRDefault="00A52E33" w:rsidP="00A52E33">
      <w:pPr>
        <w:spacing w:line="480" w:lineRule="auto"/>
        <w:jc w:val="center"/>
        <w:rPr>
          <w:b/>
          <w:bCs/>
        </w:rPr>
      </w:pPr>
      <w:r>
        <w:rPr>
          <w:b/>
          <w:bCs/>
        </w:rPr>
        <w:t>Logic Model</w:t>
      </w:r>
    </w:p>
    <w:p w14:paraId="4EA87C78" w14:textId="6109766E" w:rsidR="00835042" w:rsidRDefault="00835042" w:rsidP="00835042">
      <w:pPr>
        <w:spacing w:line="480" w:lineRule="auto"/>
      </w:pPr>
      <w:r>
        <w:tab/>
      </w:r>
      <w:r w:rsidR="00AC52B6">
        <w:t xml:space="preserve">The below logic model describes the Colorado Environmental Justice Act from inputs to impact. </w:t>
      </w:r>
      <w:r>
        <w:t xml:space="preserve"> </w:t>
      </w:r>
      <w:r w:rsidR="00756185">
        <w:t xml:space="preserve">The Environmental Justice Task Force’s main impact goal is to reduce pollution-related health risks and cancer statistics in DIC areas, as well as reduce inequitable distribution of pollution in DIC areas. It will appoint members and use funds from APEN greenhouse gas fees </w:t>
      </w:r>
      <w:r w:rsidR="00756185">
        <w:lastRenderedPageBreak/>
        <w:t xml:space="preserve">and fees for polluting in DIC areas to appoint members and hire a support staff. Their activities and outputs contribute towards identifying polluted DIC areas, presenting the Colorado General Assembly with a cleanup plan for the area, and then monitoring the short-term cleanup work as well as census block group statistics in cleanup areas. The attention given to polluted DIC areas by the Task Force will help keep the cleanup of these areas on the political agenda, as well as providing a formal resource within the Department of Public Health and Environment for addressing environmental justice issues.  </w:t>
      </w:r>
    </w:p>
    <w:p w14:paraId="431135AC" w14:textId="3D5AA3FB" w:rsidR="00CC7F39" w:rsidRPr="00835042" w:rsidRDefault="00CC7F39" w:rsidP="00CC7F39">
      <w:pPr>
        <w:spacing w:line="480" w:lineRule="auto"/>
        <w:ind w:firstLine="720"/>
      </w:pPr>
      <w:r>
        <w:t xml:space="preserve">The greenhouse gas APEN fees and the fee for polluting in a DIC area will fund the Environmental Justice Task Force efforts, as well as provide long-term funding and economic disincentives for polluting. </w:t>
      </w:r>
    </w:p>
    <w:p w14:paraId="70A5699A" w14:textId="5EBBC3E2" w:rsidR="002B4BD0" w:rsidRDefault="00CC7F39" w:rsidP="00A52E33">
      <w:pPr>
        <w:spacing w:line="480" w:lineRule="auto"/>
      </w:pPr>
      <w:r w:rsidRPr="00CC7F39">
        <w:drawing>
          <wp:inline distT="0" distB="0" distL="0" distR="0" wp14:anchorId="6456A81D" wp14:editId="003F844F">
            <wp:extent cx="5943600" cy="228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7905"/>
                    </a:xfrm>
                    <a:prstGeom prst="rect">
                      <a:avLst/>
                    </a:prstGeom>
                  </pic:spPr>
                </pic:pic>
              </a:graphicData>
            </a:graphic>
          </wp:inline>
        </w:drawing>
      </w:r>
    </w:p>
    <w:p w14:paraId="364B7E01" w14:textId="77777777" w:rsidR="002B4BD0" w:rsidRDefault="002B4BD0" w:rsidP="00A52E33">
      <w:pPr>
        <w:spacing w:line="480" w:lineRule="auto"/>
      </w:pPr>
    </w:p>
    <w:p w14:paraId="21164E97" w14:textId="77777777" w:rsidR="00C97284" w:rsidRDefault="00C97284" w:rsidP="00A52E33">
      <w:pPr>
        <w:spacing w:line="480" w:lineRule="auto"/>
        <w:jc w:val="center"/>
        <w:rPr>
          <w:b/>
          <w:bCs/>
        </w:rPr>
      </w:pPr>
    </w:p>
    <w:p w14:paraId="5A5506FB" w14:textId="77777777" w:rsidR="00C97284" w:rsidRDefault="00C97284" w:rsidP="00A52E33">
      <w:pPr>
        <w:spacing w:line="480" w:lineRule="auto"/>
        <w:jc w:val="center"/>
        <w:rPr>
          <w:b/>
          <w:bCs/>
        </w:rPr>
      </w:pPr>
    </w:p>
    <w:p w14:paraId="26762644" w14:textId="77777777" w:rsidR="00C97284" w:rsidRDefault="00C97284" w:rsidP="00A52E33">
      <w:pPr>
        <w:spacing w:line="480" w:lineRule="auto"/>
        <w:jc w:val="center"/>
        <w:rPr>
          <w:b/>
          <w:bCs/>
        </w:rPr>
      </w:pPr>
    </w:p>
    <w:p w14:paraId="2314B9DA" w14:textId="77777777" w:rsidR="00974C7D" w:rsidRDefault="00974C7D" w:rsidP="00924DFE">
      <w:pPr>
        <w:spacing w:line="480" w:lineRule="auto"/>
        <w:jc w:val="center"/>
        <w:rPr>
          <w:b/>
          <w:bCs/>
        </w:rPr>
      </w:pPr>
    </w:p>
    <w:p w14:paraId="1921B49C" w14:textId="77777777" w:rsidR="00974C7D" w:rsidRDefault="00974C7D" w:rsidP="00924DFE">
      <w:pPr>
        <w:spacing w:line="480" w:lineRule="auto"/>
        <w:jc w:val="center"/>
        <w:rPr>
          <w:b/>
          <w:bCs/>
        </w:rPr>
      </w:pPr>
    </w:p>
    <w:p w14:paraId="23CB1253" w14:textId="6D2AAC52" w:rsidR="00A52E33" w:rsidRDefault="00A52E33" w:rsidP="00924DFE">
      <w:pPr>
        <w:spacing w:line="480" w:lineRule="auto"/>
        <w:jc w:val="center"/>
        <w:rPr>
          <w:b/>
          <w:bCs/>
        </w:rPr>
      </w:pPr>
      <w:r>
        <w:rPr>
          <w:b/>
          <w:bCs/>
        </w:rPr>
        <w:lastRenderedPageBreak/>
        <w:t>References</w:t>
      </w:r>
    </w:p>
    <w:p w14:paraId="4394D16C" w14:textId="79C4EB65" w:rsidR="0041595C" w:rsidRDefault="0041595C" w:rsidP="00C064D9">
      <w:pPr>
        <w:ind w:left="720" w:hanging="720"/>
      </w:pPr>
      <w:r w:rsidRPr="00103375">
        <w:t>Banzhaf, S., Ma, L., &amp; Timmins, C. (2019</w:t>
      </w:r>
      <w:r w:rsidR="00ED2947">
        <w:t>a</w:t>
      </w:r>
      <w:r w:rsidRPr="00103375">
        <w:t xml:space="preserve">). Environmental Justice: The Economics of Race, Place, and Pollution. </w:t>
      </w:r>
      <w:r w:rsidRPr="00103375">
        <w:rPr>
          <w:i/>
          <w:iCs/>
        </w:rPr>
        <w:t>Journal of Economic Perspectives</w:t>
      </w:r>
      <w:r w:rsidRPr="00103375">
        <w:t xml:space="preserve">, </w:t>
      </w:r>
      <w:r w:rsidRPr="00103375">
        <w:rPr>
          <w:i/>
          <w:iCs/>
        </w:rPr>
        <w:t>33</w:t>
      </w:r>
      <w:r w:rsidRPr="00103375">
        <w:t>(1), 185–208.</w:t>
      </w:r>
      <w:r w:rsidR="00C064D9">
        <w:t xml:space="preserve"> </w:t>
      </w:r>
      <w:hyperlink r:id="rId8" w:history="1">
        <w:r w:rsidR="00C064D9" w:rsidRPr="005B1CBC">
          <w:rPr>
            <w:rStyle w:val="Hyperlink"/>
          </w:rPr>
          <w:t>https://www.aeaweb.org/articles?id=10.1257/jep.33.1.185</w:t>
        </w:r>
      </w:hyperlink>
      <w:r w:rsidR="00C064D9">
        <w:t xml:space="preserve"> </w:t>
      </w:r>
    </w:p>
    <w:p w14:paraId="3B6964C3" w14:textId="12BF840B" w:rsidR="004724C4" w:rsidRPr="004724C4" w:rsidRDefault="004724C4" w:rsidP="00C064D9">
      <w:pPr>
        <w:ind w:left="720" w:hanging="720"/>
      </w:pPr>
      <w:r w:rsidRPr="004724C4">
        <w:t>Banzhaf, H. S., Ma, L., &amp; Timmins, C. (2019</w:t>
      </w:r>
      <w:r w:rsidR="00E66CA0">
        <w:t>b</w:t>
      </w:r>
      <w:r w:rsidRPr="004724C4">
        <w:t xml:space="preserve">). Environmental Justice: Establishing Causal Relationships. </w:t>
      </w:r>
      <w:r w:rsidRPr="004724C4">
        <w:rPr>
          <w:i/>
          <w:iCs/>
        </w:rPr>
        <w:t>Annual Review of Resource Economics</w:t>
      </w:r>
      <w:r w:rsidRPr="004724C4">
        <w:t xml:space="preserve">, </w:t>
      </w:r>
      <w:r w:rsidRPr="004724C4">
        <w:rPr>
          <w:i/>
          <w:iCs/>
        </w:rPr>
        <w:t>11</w:t>
      </w:r>
      <w:r w:rsidRPr="004724C4">
        <w:t xml:space="preserve">(1), 377–398. </w:t>
      </w:r>
      <w:hyperlink r:id="rId9" w:history="1">
        <w:r w:rsidRPr="004724C4">
          <w:rPr>
            <w:rStyle w:val="Hyperlink"/>
          </w:rPr>
          <w:t>https://doi.org/10.1146/annurev-resource-100518-094131</w:t>
        </w:r>
      </w:hyperlink>
    </w:p>
    <w:p w14:paraId="55B35FA9" w14:textId="02D1BEE4" w:rsidR="00506D53" w:rsidRDefault="00506D53" w:rsidP="00C064D9">
      <w:pPr>
        <w:ind w:left="720" w:hanging="720"/>
      </w:pPr>
      <w:r w:rsidRPr="00506D53">
        <w:t xml:space="preserve">Beaty, K. (2018, December 10). As a big chunk of a Superfund nears closing, north Denver residents worry polluted soils still pose a threat. </w:t>
      </w:r>
      <w:r w:rsidRPr="00506D53">
        <w:rPr>
          <w:i/>
          <w:iCs/>
        </w:rPr>
        <w:t>Denverite</w:t>
      </w:r>
      <w:r w:rsidRPr="00506D53">
        <w:t xml:space="preserve">. </w:t>
      </w:r>
      <w:hyperlink r:id="rId10" w:history="1">
        <w:r w:rsidRPr="00506D53">
          <w:rPr>
            <w:color w:val="0000FF"/>
            <w:u w:val="single"/>
          </w:rPr>
          <w:t>https://denverite.com/2018/12/10/vasquez-i-70-superfund-ou1-to-close-but-residents-fear-soil-pollution/</w:t>
        </w:r>
      </w:hyperlink>
      <w:r w:rsidR="00C71545">
        <w:t xml:space="preserve"> </w:t>
      </w:r>
    </w:p>
    <w:p w14:paraId="4C49EDD5" w14:textId="5AB34081" w:rsidR="00272FA5" w:rsidRPr="00272FA5" w:rsidRDefault="00A309E1" w:rsidP="00272FA5">
      <w:pPr>
        <w:ind w:left="720" w:hanging="720"/>
        <w:rPr>
          <w:color w:val="0000FF"/>
          <w:u w:val="single"/>
        </w:rPr>
      </w:pPr>
      <w:proofErr w:type="spellStart"/>
      <w:r w:rsidRPr="00A309E1">
        <w:t>Brasch</w:t>
      </w:r>
      <w:proofErr w:type="spellEnd"/>
      <w:r w:rsidRPr="00A309E1">
        <w:t xml:space="preserve">, S. (2021, March 10). </w:t>
      </w:r>
      <w:r w:rsidRPr="00A309E1">
        <w:rPr>
          <w:i/>
          <w:iCs/>
        </w:rPr>
        <w:t xml:space="preserve">Distrustful Of Suncor </w:t>
      </w:r>
      <w:proofErr w:type="gramStart"/>
      <w:r w:rsidRPr="00A309E1">
        <w:rPr>
          <w:i/>
          <w:iCs/>
        </w:rPr>
        <w:t>And</w:t>
      </w:r>
      <w:proofErr w:type="gramEnd"/>
      <w:r w:rsidRPr="00A309E1">
        <w:rPr>
          <w:i/>
          <w:iCs/>
        </w:rPr>
        <w:t xml:space="preserve"> Government, A Commerce City Nonprofit Wants To Monitor The Air Itself</w:t>
      </w:r>
      <w:r w:rsidRPr="00A309E1">
        <w:t xml:space="preserve">. Colorado Public Radio. </w:t>
      </w:r>
      <w:hyperlink r:id="rId11" w:history="1">
        <w:r w:rsidRPr="00A309E1">
          <w:rPr>
            <w:color w:val="0000FF"/>
            <w:u w:val="single"/>
          </w:rPr>
          <w:t>https://www.cpr.org/2021/03/10/distrustful-of-suncor-and-government-a-commerce-city-nonprofit-wants-to-monitor-the-air-itself/</w:t>
        </w:r>
      </w:hyperlink>
    </w:p>
    <w:p w14:paraId="0E558B44" w14:textId="1972FCC0" w:rsidR="00272FA5" w:rsidRDefault="00272FA5" w:rsidP="00BA71D7">
      <w:pPr>
        <w:ind w:left="720" w:hanging="720"/>
      </w:pPr>
      <w:r>
        <w:t xml:space="preserve">Bayer, M. (2012). </w:t>
      </w:r>
      <w:proofErr w:type="spellStart"/>
      <w:r>
        <w:t>SQLAlchemy</w:t>
      </w:r>
      <w:proofErr w:type="spellEnd"/>
      <w:r>
        <w:t xml:space="preserve">. </w:t>
      </w:r>
      <w:r w:rsidRPr="00272FA5">
        <w:t xml:space="preserve">The Architecture of </w:t>
      </w:r>
      <w:proofErr w:type="gramStart"/>
      <w:r w:rsidRPr="00272FA5">
        <w:t>Open Source</w:t>
      </w:r>
      <w:proofErr w:type="gramEnd"/>
      <w:r w:rsidRPr="00272FA5">
        <w:t xml:space="preserve"> Applications Volume II: Structure, Scale, and a Few More Fearless Hacks</w:t>
      </w:r>
      <w:r w:rsidR="00BA71D7">
        <w:t>.</w:t>
      </w:r>
      <w:r w:rsidR="00BA71D7" w:rsidRPr="00BA71D7">
        <w:t xml:space="preserve"> </w:t>
      </w:r>
      <w:hyperlink r:id="rId12" w:history="1">
        <w:r w:rsidR="00BA71D7" w:rsidRPr="005B1CBC">
          <w:rPr>
            <w:rStyle w:val="Hyperlink"/>
          </w:rPr>
          <w:t>https://www.sqlalchemy.org/</w:t>
        </w:r>
      </w:hyperlink>
      <w:r w:rsidR="00BA71D7">
        <w:t xml:space="preserve"> </w:t>
      </w:r>
    </w:p>
    <w:p w14:paraId="1883C869" w14:textId="29BE8DE0" w:rsidR="00B7277E" w:rsidRDefault="001D4A04" w:rsidP="00C064D9">
      <w:pPr>
        <w:ind w:left="720" w:hanging="720"/>
        <w:rPr>
          <w:rStyle w:val="Hyperlink"/>
        </w:rPr>
      </w:pPr>
      <w:r>
        <w:t xml:space="preserve">[EJDICS] </w:t>
      </w:r>
      <w:r w:rsidR="00B7277E" w:rsidRPr="001D4A04">
        <w:t>Environmental Justice Disproportionate Impacted Community Summary, HB21-1266, Colorado General Assembly, 2021 Regular Session. Retrieved January 13, 202</w:t>
      </w:r>
      <w:r>
        <w:t>2</w:t>
      </w:r>
      <w:r w:rsidR="00B7277E" w:rsidRPr="001D4A04">
        <w:t xml:space="preserve">, from </w:t>
      </w:r>
      <w:hyperlink r:id="rId13" w:history="1">
        <w:r w:rsidR="00B7277E" w:rsidRPr="001D4A04">
          <w:rPr>
            <w:rStyle w:val="Hyperlink"/>
          </w:rPr>
          <w:t>https://leg.colorado.gov/bills/hb21-1266</w:t>
        </w:r>
      </w:hyperlink>
    </w:p>
    <w:p w14:paraId="6D163CD2" w14:textId="38D34979" w:rsidR="00C42335" w:rsidRDefault="00C42335" w:rsidP="00E9402F">
      <w:pPr>
        <w:rPr>
          <w:color w:val="0000FF"/>
          <w:u w:val="single"/>
        </w:rPr>
      </w:pPr>
      <w:proofErr w:type="spellStart"/>
      <w:r w:rsidRPr="00C42335">
        <w:rPr>
          <w:i/>
          <w:iCs/>
        </w:rPr>
        <w:t>EJScreen</w:t>
      </w:r>
      <w:proofErr w:type="spellEnd"/>
      <w:r w:rsidRPr="00C42335">
        <w:t xml:space="preserve">. (n.d.). EPA. Retrieved March 12, 2022, from </w:t>
      </w:r>
      <w:hyperlink r:id="rId14" w:history="1">
        <w:r w:rsidRPr="00C42335">
          <w:rPr>
            <w:color w:val="0000FF"/>
            <w:u w:val="single"/>
          </w:rPr>
          <w:t>https://ejscreen.epa.gov/mapper/</w:t>
        </w:r>
      </w:hyperlink>
    </w:p>
    <w:p w14:paraId="6002F09C" w14:textId="77777777" w:rsidR="000A20D7" w:rsidRPr="000A20D7" w:rsidRDefault="000A20D7" w:rsidP="00683764">
      <w:pPr>
        <w:ind w:left="720" w:hanging="720"/>
      </w:pPr>
      <w:r w:rsidRPr="000A20D7">
        <w:t xml:space="preserve">FracTracker.org. (n.d.). </w:t>
      </w:r>
      <w:proofErr w:type="spellStart"/>
      <w:r w:rsidRPr="000A20D7">
        <w:rPr>
          <w:i/>
          <w:iCs/>
        </w:rPr>
        <w:t>FracTracker</w:t>
      </w:r>
      <w:proofErr w:type="spellEnd"/>
      <w:r w:rsidRPr="000A20D7">
        <w:rPr>
          <w:i/>
          <w:iCs/>
        </w:rPr>
        <w:t xml:space="preserve"> Alliance</w:t>
      </w:r>
      <w:r w:rsidRPr="000A20D7">
        <w:t xml:space="preserve">. Retrieved March 13, 2022, from </w:t>
      </w:r>
      <w:hyperlink r:id="rId15" w:history="1">
        <w:r w:rsidRPr="000A20D7">
          <w:rPr>
            <w:color w:val="0000FF"/>
            <w:u w:val="single"/>
          </w:rPr>
          <w:t>https://www.fractracker.org/data/</w:t>
        </w:r>
      </w:hyperlink>
    </w:p>
    <w:p w14:paraId="1CB678B5" w14:textId="0996AB31" w:rsidR="000A20D7" w:rsidRPr="00CD45E0" w:rsidRDefault="005656DD" w:rsidP="005656DD">
      <w:pPr>
        <w:ind w:left="720" w:hanging="720"/>
      </w:pPr>
      <w:r>
        <w:t xml:space="preserve">[Pandas] </w:t>
      </w:r>
      <w:r w:rsidR="00E952D0" w:rsidRPr="005656DD">
        <w:t xml:space="preserve">McKinney, W., &amp; others. (2010). Data structures for statistical computing in python. </w:t>
      </w:r>
      <w:r w:rsidR="00E952D0" w:rsidRPr="005656DD">
        <w:rPr>
          <w:i/>
          <w:iCs/>
        </w:rPr>
        <w:t>In Proceedings of the 9th Python in Science Conference</w:t>
      </w:r>
      <w:r w:rsidR="00E952D0" w:rsidRPr="005656DD">
        <w:t> (Vol. 445, pp. 51–56).</w:t>
      </w:r>
      <w:r>
        <w:t xml:space="preserve"> </w:t>
      </w:r>
      <w:hyperlink r:id="rId16" w:history="1">
        <w:r w:rsidRPr="005B1CBC">
          <w:rPr>
            <w:rStyle w:val="Hyperlink"/>
          </w:rPr>
          <w:t>https://pandas.pydata.org/</w:t>
        </w:r>
      </w:hyperlink>
      <w:r>
        <w:t xml:space="preserve"> </w:t>
      </w:r>
    </w:p>
    <w:p w14:paraId="127603C9" w14:textId="44DB2697" w:rsidR="004C23DA" w:rsidRDefault="004E1349" w:rsidP="00683764">
      <w:pPr>
        <w:ind w:left="720" w:hanging="720"/>
      </w:pPr>
      <w:r w:rsidRPr="00B7277E">
        <w:t xml:space="preserve">Penney, V. (2020, September 30). </w:t>
      </w:r>
      <w:r w:rsidRPr="00B7277E">
        <w:rPr>
          <w:i/>
          <w:iCs/>
        </w:rPr>
        <w:t>Denver Wants to Fix a Legacy of Environmental Racism</w:t>
      </w:r>
      <w:r w:rsidRPr="00B7277E">
        <w:t xml:space="preserve">. The New York Times. </w:t>
      </w:r>
      <w:hyperlink r:id="rId17" w:history="1">
        <w:r w:rsidRPr="00B7277E">
          <w:rPr>
            <w:rStyle w:val="Hyperlink"/>
          </w:rPr>
          <w:t>https://www.nytimes.com/2020/09/30/climate/city-parks.html</w:t>
        </w:r>
      </w:hyperlink>
      <w:r w:rsidRPr="00B7277E">
        <w:t xml:space="preserve"> </w:t>
      </w:r>
    </w:p>
    <w:p w14:paraId="26644A92" w14:textId="2896BE01" w:rsidR="00683764" w:rsidRDefault="00683764" w:rsidP="003A382F">
      <w:pPr>
        <w:ind w:left="720" w:hanging="720"/>
      </w:pPr>
      <w:r w:rsidRPr="00683764">
        <w:rPr>
          <w:i/>
          <w:iCs/>
        </w:rPr>
        <w:t>QCEW Data Files: U.S. Bureau of Labor Statistics</w:t>
      </w:r>
      <w:r w:rsidRPr="00683764">
        <w:t xml:space="preserve">. (n.d.). Retrieved March 13, 2022, from </w:t>
      </w:r>
      <w:hyperlink r:id="rId18" w:history="1">
        <w:r w:rsidRPr="00683764">
          <w:rPr>
            <w:color w:val="0000FF"/>
            <w:u w:val="single"/>
          </w:rPr>
          <w:t>https://www.bls.gov/cew/downloadable-data-files.htm</w:t>
        </w:r>
      </w:hyperlink>
    </w:p>
    <w:p w14:paraId="4B7EC21A" w14:textId="77777777" w:rsidR="00B139C3" w:rsidRPr="00B139C3" w:rsidRDefault="00B139C3" w:rsidP="00683764">
      <w:pPr>
        <w:ind w:left="720" w:hanging="720"/>
      </w:pPr>
      <w:proofErr w:type="spellStart"/>
      <w:r w:rsidRPr="00B139C3">
        <w:t>Sakas</w:t>
      </w:r>
      <w:proofErr w:type="spellEnd"/>
      <w:r w:rsidRPr="00B139C3">
        <w:t xml:space="preserve">, M. E. (2020, July 30). </w:t>
      </w:r>
      <w:r w:rsidRPr="00B139C3">
        <w:rPr>
          <w:i/>
          <w:iCs/>
        </w:rPr>
        <w:t xml:space="preserve">Safety Fears Hang </w:t>
      </w:r>
      <w:proofErr w:type="gramStart"/>
      <w:r w:rsidRPr="00B139C3">
        <w:rPr>
          <w:i/>
          <w:iCs/>
        </w:rPr>
        <w:t>In</w:t>
      </w:r>
      <w:proofErr w:type="gramEnd"/>
      <w:r w:rsidRPr="00B139C3">
        <w:rPr>
          <w:i/>
          <w:iCs/>
        </w:rPr>
        <w:t xml:space="preserve"> The Air After A Benzene Spike At A Greeley School With A Neighboring Oil And Gas Well</w:t>
      </w:r>
      <w:r w:rsidRPr="00B139C3">
        <w:t xml:space="preserve">. Colorado Public Radio. </w:t>
      </w:r>
      <w:hyperlink r:id="rId19" w:history="1">
        <w:r w:rsidRPr="00B139C3">
          <w:rPr>
            <w:color w:val="0000FF"/>
            <w:u w:val="single"/>
          </w:rPr>
          <w:t>https://www.cpr.org/2020/07/30/safety-fears-hang-in-the-air-after-a-benzene-spike-at-a-greeley-school-with-a-neighboring-oil-and-gas-well/</w:t>
        </w:r>
      </w:hyperlink>
    </w:p>
    <w:p w14:paraId="2CAE3747" w14:textId="77777777" w:rsidR="00B139C3" w:rsidRDefault="00B139C3" w:rsidP="00506D53">
      <w:pPr>
        <w:spacing w:line="480" w:lineRule="auto"/>
        <w:ind w:left="720" w:hanging="720"/>
      </w:pPr>
    </w:p>
    <w:p w14:paraId="4BCA5ECE" w14:textId="77777777" w:rsidR="00E9402F" w:rsidRDefault="00E9402F" w:rsidP="00506D53">
      <w:pPr>
        <w:spacing w:line="480" w:lineRule="auto"/>
        <w:ind w:left="720" w:hanging="720"/>
      </w:pPr>
    </w:p>
    <w:p w14:paraId="0611FCF3" w14:textId="3A03E742" w:rsidR="00E9402F" w:rsidRDefault="00E9402F" w:rsidP="00506D53">
      <w:pPr>
        <w:spacing w:line="480" w:lineRule="auto"/>
        <w:ind w:left="720" w:hanging="720"/>
      </w:pPr>
    </w:p>
    <w:p w14:paraId="42CB9FF9" w14:textId="77777777" w:rsidR="003A382F" w:rsidRDefault="003A382F" w:rsidP="00506D53">
      <w:pPr>
        <w:spacing w:line="480" w:lineRule="auto"/>
        <w:ind w:left="720" w:hanging="720"/>
      </w:pPr>
    </w:p>
    <w:p w14:paraId="56269B06" w14:textId="77777777" w:rsidR="00E9402F" w:rsidRDefault="00E9402F" w:rsidP="00506D53">
      <w:pPr>
        <w:spacing w:line="480" w:lineRule="auto"/>
        <w:ind w:left="720" w:hanging="720"/>
      </w:pPr>
    </w:p>
    <w:p w14:paraId="25813ABE" w14:textId="77777777" w:rsidR="007B6FC6" w:rsidRDefault="007B6FC6" w:rsidP="00E30935">
      <w:pPr>
        <w:spacing w:line="480" w:lineRule="auto"/>
        <w:jc w:val="center"/>
        <w:rPr>
          <w:b/>
          <w:bCs/>
        </w:rPr>
      </w:pPr>
    </w:p>
    <w:p w14:paraId="490EB683" w14:textId="6033278D" w:rsidR="00E9402F" w:rsidRDefault="00E9402F" w:rsidP="00E30935">
      <w:pPr>
        <w:spacing w:line="480" w:lineRule="auto"/>
        <w:jc w:val="center"/>
        <w:rPr>
          <w:b/>
          <w:bCs/>
        </w:rPr>
      </w:pPr>
      <w:r>
        <w:rPr>
          <w:b/>
          <w:bCs/>
        </w:rPr>
        <w:lastRenderedPageBreak/>
        <w:t>Appendix</w:t>
      </w:r>
    </w:p>
    <w:p w14:paraId="54539357" w14:textId="71729E94" w:rsidR="00E9402F" w:rsidRPr="00B031CE" w:rsidRDefault="004D5FAA" w:rsidP="00B031CE">
      <w:pPr>
        <w:pStyle w:val="ListParagraph"/>
        <w:numPr>
          <w:ilvl w:val="0"/>
          <w:numId w:val="4"/>
        </w:numPr>
        <w:rPr>
          <w:rFonts w:ascii="Times New Roman" w:hAnsi="Times New Roman" w:cs="Times New Roman"/>
          <w:b/>
          <w:bCs/>
        </w:rPr>
      </w:pPr>
      <w:r w:rsidRPr="00B031CE">
        <w:rPr>
          <w:rFonts w:ascii="Times New Roman" w:hAnsi="Times New Roman" w:cs="Times New Roman"/>
          <w:b/>
          <w:bCs/>
        </w:rPr>
        <w:t>Correlation between low-income and minority</w:t>
      </w:r>
      <w:r w:rsidR="00EA0534">
        <w:rPr>
          <w:rFonts w:ascii="Times New Roman" w:hAnsi="Times New Roman" w:cs="Times New Roman"/>
          <w:b/>
          <w:bCs/>
        </w:rPr>
        <w:t xml:space="preserve"> (VULEOPCT)</w:t>
      </w:r>
      <w:r w:rsidRPr="00B031CE">
        <w:rPr>
          <w:rFonts w:ascii="Times New Roman" w:hAnsi="Times New Roman" w:cs="Times New Roman"/>
          <w:b/>
          <w:bCs/>
        </w:rPr>
        <w:t xml:space="preserve"> areas with pollution levels</w:t>
      </w:r>
    </w:p>
    <w:p w14:paraId="736D9681" w14:textId="77777777" w:rsidR="00B031CE" w:rsidRPr="00B031CE" w:rsidRDefault="00B031CE" w:rsidP="00B031CE">
      <w:pPr>
        <w:ind w:left="360"/>
        <w:rPr>
          <w:b/>
          <w:bCs/>
        </w:rPr>
      </w:pPr>
    </w:p>
    <w:tbl>
      <w:tblPr>
        <w:tblW w:w="4392" w:type="dxa"/>
        <w:tblInd w:w="-5" w:type="dxa"/>
        <w:tblLook w:val="04A0" w:firstRow="1" w:lastRow="0" w:firstColumn="1" w:lastColumn="0" w:noHBand="0" w:noVBand="1"/>
      </w:tblPr>
      <w:tblGrid>
        <w:gridCol w:w="1692"/>
        <w:gridCol w:w="1276"/>
        <w:gridCol w:w="1424"/>
      </w:tblGrid>
      <w:tr w:rsidR="005D1484" w14:paraId="1C00038A" w14:textId="77777777" w:rsidTr="00106E00">
        <w:trPr>
          <w:trHeight w:val="300"/>
        </w:trPr>
        <w:tc>
          <w:tcPr>
            <w:tcW w:w="1692" w:type="dxa"/>
            <w:tcBorders>
              <w:top w:val="single" w:sz="4" w:space="0" w:color="70AD47"/>
              <w:left w:val="single" w:sz="4" w:space="0" w:color="70AD47"/>
              <w:bottom w:val="nil"/>
              <w:right w:val="nil"/>
            </w:tcBorders>
            <w:shd w:val="clear" w:color="70AD47" w:fill="70AD47"/>
            <w:noWrap/>
            <w:vAlign w:val="bottom"/>
            <w:hideMark/>
          </w:tcPr>
          <w:p w14:paraId="2F54172E" w14:textId="77777777" w:rsidR="005D1484" w:rsidRDefault="005D1484" w:rsidP="00B031CE">
            <w:pPr>
              <w:rPr>
                <w:rFonts w:ascii="Calibri" w:hAnsi="Calibri" w:cs="Calibri"/>
                <w:b/>
                <w:bCs/>
                <w:color w:val="FFFFFF"/>
                <w:sz w:val="22"/>
                <w:szCs w:val="22"/>
              </w:rPr>
            </w:pPr>
            <w:r>
              <w:rPr>
                <w:rFonts w:ascii="Calibri" w:hAnsi="Calibri" w:cs="Calibri"/>
                <w:b/>
                <w:bCs/>
                <w:color w:val="FFFFFF"/>
                <w:sz w:val="22"/>
                <w:szCs w:val="22"/>
              </w:rPr>
              <w:t>Metric</w:t>
            </w:r>
          </w:p>
        </w:tc>
        <w:tc>
          <w:tcPr>
            <w:tcW w:w="1276" w:type="dxa"/>
            <w:tcBorders>
              <w:top w:val="single" w:sz="4" w:space="0" w:color="70AD47"/>
              <w:left w:val="nil"/>
              <w:bottom w:val="nil"/>
              <w:right w:val="nil"/>
            </w:tcBorders>
            <w:shd w:val="clear" w:color="70AD47" w:fill="70AD47"/>
            <w:noWrap/>
            <w:vAlign w:val="bottom"/>
            <w:hideMark/>
          </w:tcPr>
          <w:p w14:paraId="480A1C52" w14:textId="77777777" w:rsidR="005D1484" w:rsidRDefault="005D1484" w:rsidP="00B031CE">
            <w:pPr>
              <w:rPr>
                <w:rFonts w:ascii="Calibri" w:hAnsi="Calibri" w:cs="Calibri"/>
                <w:b/>
                <w:bCs/>
                <w:color w:val="FFFFFF"/>
                <w:sz w:val="22"/>
                <w:szCs w:val="22"/>
              </w:rPr>
            </w:pPr>
            <w:r>
              <w:rPr>
                <w:rFonts w:ascii="Calibri" w:hAnsi="Calibri" w:cs="Calibri"/>
                <w:b/>
                <w:bCs/>
                <w:color w:val="FFFFFF"/>
                <w:sz w:val="22"/>
                <w:szCs w:val="22"/>
              </w:rPr>
              <w:t>R</w:t>
            </w:r>
          </w:p>
        </w:tc>
        <w:tc>
          <w:tcPr>
            <w:tcW w:w="1424" w:type="dxa"/>
            <w:tcBorders>
              <w:top w:val="single" w:sz="4" w:space="0" w:color="70AD47"/>
              <w:left w:val="nil"/>
              <w:bottom w:val="nil"/>
              <w:right w:val="single" w:sz="4" w:space="0" w:color="70AD47"/>
            </w:tcBorders>
            <w:shd w:val="clear" w:color="70AD47" w:fill="70AD47"/>
            <w:noWrap/>
            <w:vAlign w:val="bottom"/>
            <w:hideMark/>
          </w:tcPr>
          <w:p w14:paraId="46ED631C" w14:textId="77777777" w:rsidR="005D1484" w:rsidRDefault="005D1484" w:rsidP="00B031CE">
            <w:pPr>
              <w:rPr>
                <w:rFonts w:ascii="Calibri" w:hAnsi="Calibri" w:cs="Calibri"/>
                <w:b/>
                <w:bCs/>
                <w:color w:val="FFFFFF"/>
                <w:sz w:val="22"/>
                <w:szCs w:val="22"/>
              </w:rPr>
            </w:pPr>
            <w:r>
              <w:rPr>
                <w:rFonts w:ascii="Calibri" w:hAnsi="Calibri" w:cs="Calibri"/>
                <w:b/>
                <w:bCs/>
                <w:color w:val="FFFFFF"/>
                <w:sz w:val="22"/>
                <w:szCs w:val="22"/>
              </w:rPr>
              <w:t>R-squared</w:t>
            </w:r>
          </w:p>
        </w:tc>
      </w:tr>
      <w:tr w:rsidR="005D1484" w14:paraId="55D2DCBB" w14:textId="77777777" w:rsidTr="00106E00">
        <w:trPr>
          <w:trHeight w:val="300"/>
        </w:trPr>
        <w:tc>
          <w:tcPr>
            <w:tcW w:w="1692" w:type="dxa"/>
            <w:tcBorders>
              <w:top w:val="single" w:sz="4" w:space="0" w:color="70AD47"/>
              <w:left w:val="single" w:sz="4" w:space="0" w:color="70AD47"/>
              <w:bottom w:val="nil"/>
              <w:right w:val="nil"/>
            </w:tcBorders>
            <w:shd w:val="clear" w:color="auto" w:fill="auto"/>
            <w:noWrap/>
            <w:vAlign w:val="bottom"/>
            <w:hideMark/>
          </w:tcPr>
          <w:p w14:paraId="47947ADB" w14:textId="6E652C94" w:rsidR="005D1484" w:rsidRDefault="004C5F1A" w:rsidP="00B031CE">
            <w:pPr>
              <w:rPr>
                <w:rFonts w:ascii="Calibri" w:hAnsi="Calibri" w:cs="Calibri"/>
                <w:color w:val="000000"/>
                <w:sz w:val="22"/>
                <w:szCs w:val="22"/>
              </w:rPr>
            </w:pPr>
            <w:r>
              <w:rPr>
                <w:rFonts w:ascii="Calibri" w:hAnsi="Calibri" w:cs="Calibri"/>
                <w:color w:val="000000"/>
                <w:sz w:val="22"/>
                <w:szCs w:val="22"/>
              </w:rPr>
              <w:t>Diesel PM</w:t>
            </w:r>
          </w:p>
        </w:tc>
        <w:tc>
          <w:tcPr>
            <w:tcW w:w="1276" w:type="dxa"/>
            <w:tcBorders>
              <w:top w:val="single" w:sz="4" w:space="0" w:color="70AD47"/>
              <w:left w:val="nil"/>
              <w:bottom w:val="nil"/>
              <w:right w:val="nil"/>
            </w:tcBorders>
            <w:shd w:val="clear" w:color="auto" w:fill="auto"/>
            <w:noWrap/>
            <w:vAlign w:val="bottom"/>
            <w:hideMark/>
          </w:tcPr>
          <w:p w14:paraId="263A0677"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0.25132381</w:t>
            </w:r>
          </w:p>
        </w:tc>
        <w:tc>
          <w:tcPr>
            <w:tcW w:w="1424" w:type="dxa"/>
            <w:tcBorders>
              <w:top w:val="single" w:sz="4" w:space="0" w:color="70AD47"/>
              <w:left w:val="nil"/>
              <w:bottom w:val="nil"/>
              <w:right w:val="single" w:sz="4" w:space="0" w:color="70AD47"/>
            </w:tcBorders>
            <w:shd w:val="clear" w:color="auto" w:fill="auto"/>
            <w:noWrap/>
            <w:vAlign w:val="bottom"/>
            <w:hideMark/>
          </w:tcPr>
          <w:p w14:paraId="1B16D415"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0.063163660</w:t>
            </w:r>
          </w:p>
        </w:tc>
      </w:tr>
      <w:tr w:rsidR="005D1484" w14:paraId="202C79E6" w14:textId="77777777" w:rsidTr="00106E00">
        <w:trPr>
          <w:trHeight w:val="300"/>
        </w:trPr>
        <w:tc>
          <w:tcPr>
            <w:tcW w:w="1692" w:type="dxa"/>
            <w:tcBorders>
              <w:top w:val="single" w:sz="4" w:space="0" w:color="70AD47"/>
              <w:left w:val="single" w:sz="4" w:space="0" w:color="70AD47"/>
              <w:bottom w:val="nil"/>
              <w:right w:val="nil"/>
            </w:tcBorders>
            <w:shd w:val="clear" w:color="auto" w:fill="auto"/>
            <w:noWrap/>
            <w:vAlign w:val="bottom"/>
            <w:hideMark/>
          </w:tcPr>
          <w:p w14:paraId="156AC721" w14:textId="77777777" w:rsidR="005D1484" w:rsidRDefault="005D1484" w:rsidP="00B031CE">
            <w:pPr>
              <w:rPr>
                <w:rFonts w:ascii="Calibri" w:hAnsi="Calibri" w:cs="Calibri"/>
                <w:color w:val="000000"/>
                <w:sz w:val="22"/>
                <w:szCs w:val="22"/>
              </w:rPr>
            </w:pPr>
            <w:r>
              <w:rPr>
                <w:rFonts w:ascii="Calibri" w:hAnsi="Calibri" w:cs="Calibri"/>
                <w:color w:val="000000"/>
                <w:sz w:val="22"/>
                <w:szCs w:val="22"/>
              </w:rPr>
              <w:t>OZONE</w:t>
            </w:r>
          </w:p>
        </w:tc>
        <w:tc>
          <w:tcPr>
            <w:tcW w:w="1276" w:type="dxa"/>
            <w:tcBorders>
              <w:top w:val="single" w:sz="4" w:space="0" w:color="70AD47"/>
              <w:left w:val="nil"/>
              <w:bottom w:val="nil"/>
              <w:right w:val="nil"/>
            </w:tcBorders>
            <w:shd w:val="clear" w:color="auto" w:fill="auto"/>
            <w:noWrap/>
            <w:vAlign w:val="bottom"/>
            <w:hideMark/>
          </w:tcPr>
          <w:p w14:paraId="3C66049F"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-0.197416</w:t>
            </w:r>
          </w:p>
        </w:tc>
        <w:tc>
          <w:tcPr>
            <w:tcW w:w="1424" w:type="dxa"/>
            <w:tcBorders>
              <w:top w:val="single" w:sz="4" w:space="0" w:color="70AD47"/>
              <w:left w:val="nil"/>
              <w:bottom w:val="nil"/>
              <w:right w:val="single" w:sz="4" w:space="0" w:color="70AD47"/>
            </w:tcBorders>
            <w:shd w:val="clear" w:color="auto" w:fill="auto"/>
            <w:noWrap/>
            <w:vAlign w:val="bottom"/>
            <w:hideMark/>
          </w:tcPr>
          <w:p w14:paraId="30CC141D"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0.038973069</w:t>
            </w:r>
          </w:p>
        </w:tc>
      </w:tr>
      <w:tr w:rsidR="005D1484" w14:paraId="7BC91D6A" w14:textId="77777777" w:rsidTr="00106E00">
        <w:trPr>
          <w:trHeight w:val="300"/>
        </w:trPr>
        <w:tc>
          <w:tcPr>
            <w:tcW w:w="1692" w:type="dxa"/>
            <w:tcBorders>
              <w:top w:val="single" w:sz="4" w:space="0" w:color="70AD47"/>
              <w:left w:val="single" w:sz="4" w:space="0" w:color="70AD47"/>
              <w:bottom w:val="nil"/>
              <w:right w:val="nil"/>
            </w:tcBorders>
            <w:shd w:val="clear" w:color="auto" w:fill="auto"/>
            <w:noWrap/>
            <w:vAlign w:val="bottom"/>
            <w:hideMark/>
          </w:tcPr>
          <w:p w14:paraId="654D2C77" w14:textId="77777777" w:rsidR="005D1484" w:rsidRDefault="005D1484" w:rsidP="00B031CE">
            <w:pPr>
              <w:rPr>
                <w:rFonts w:ascii="Calibri" w:hAnsi="Calibri" w:cs="Calibri"/>
                <w:color w:val="000000"/>
                <w:sz w:val="22"/>
                <w:szCs w:val="22"/>
              </w:rPr>
            </w:pPr>
            <w:r>
              <w:rPr>
                <w:rFonts w:ascii="Calibri" w:hAnsi="Calibri" w:cs="Calibri"/>
                <w:color w:val="000000"/>
                <w:sz w:val="22"/>
                <w:szCs w:val="22"/>
              </w:rPr>
              <w:t>PM25</w:t>
            </w:r>
          </w:p>
        </w:tc>
        <w:tc>
          <w:tcPr>
            <w:tcW w:w="1276" w:type="dxa"/>
            <w:tcBorders>
              <w:top w:val="single" w:sz="4" w:space="0" w:color="70AD47"/>
              <w:left w:val="nil"/>
              <w:bottom w:val="nil"/>
              <w:right w:val="nil"/>
            </w:tcBorders>
            <w:shd w:val="clear" w:color="auto" w:fill="auto"/>
            <w:noWrap/>
            <w:vAlign w:val="bottom"/>
            <w:hideMark/>
          </w:tcPr>
          <w:p w14:paraId="5CAFCF1C"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0.14417288</w:t>
            </w:r>
          </w:p>
        </w:tc>
        <w:tc>
          <w:tcPr>
            <w:tcW w:w="1424" w:type="dxa"/>
            <w:tcBorders>
              <w:top w:val="single" w:sz="4" w:space="0" w:color="70AD47"/>
              <w:left w:val="nil"/>
              <w:bottom w:val="nil"/>
              <w:right w:val="single" w:sz="4" w:space="0" w:color="70AD47"/>
            </w:tcBorders>
            <w:shd w:val="clear" w:color="auto" w:fill="auto"/>
            <w:noWrap/>
            <w:vAlign w:val="bottom"/>
            <w:hideMark/>
          </w:tcPr>
          <w:p w14:paraId="5FA94501"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0.020785819</w:t>
            </w:r>
          </w:p>
        </w:tc>
      </w:tr>
      <w:tr w:rsidR="005D1484" w14:paraId="5C99B10F" w14:textId="77777777" w:rsidTr="00106E00">
        <w:trPr>
          <w:trHeight w:val="300"/>
        </w:trPr>
        <w:tc>
          <w:tcPr>
            <w:tcW w:w="1692" w:type="dxa"/>
            <w:tcBorders>
              <w:top w:val="single" w:sz="4" w:space="0" w:color="70AD47"/>
              <w:left w:val="single" w:sz="4" w:space="0" w:color="70AD47"/>
              <w:bottom w:val="nil"/>
              <w:right w:val="nil"/>
            </w:tcBorders>
            <w:shd w:val="clear" w:color="auto" w:fill="auto"/>
            <w:noWrap/>
            <w:vAlign w:val="bottom"/>
            <w:hideMark/>
          </w:tcPr>
          <w:p w14:paraId="6D7A547B" w14:textId="587881EF" w:rsidR="005D1484" w:rsidRDefault="004C5F1A" w:rsidP="00B031CE">
            <w:pPr>
              <w:rPr>
                <w:rFonts w:ascii="Calibri" w:hAnsi="Calibri" w:cs="Calibri"/>
                <w:color w:val="000000"/>
                <w:sz w:val="22"/>
                <w:szCs w:val="22"/>
              </w:rPr>
            </w:pPr>
            <w:r>
              <w:rPr>
                <w:rFonts w:ascii="Calibri" w:hAnsi="Calibri" w:cs="Calibri"/>
                <w:color w:val="000000"/>
                <w:sz w:val="22"/>
                <w:szCs w:val="22"/>
              </w:rPr>
              <w:t>Water discharge</w:t>
            </w:r>
          </w:p>
        </w:tc>
        <w:tc>
          <w:tcPr>
            <w:tcW w:w="1276" w:type="dxa"/>
            <w:tcBorders>
              <w:top w:val="single" w:sz="4" w:space="0" w:color="70AD47"/>
              <w:left w:val="nil"/>
              <w:bottom w:val="nil"/>
              <w:right w:val="nil"/>
            </w:tcBorders>
            <w:shd w:val="clear" w:color="auto" w:fill="auto"/>
            <w:noWrap/>
            <w:vAlign w:val="bottom"/>
            <w:hideMark/>
          </w:tcPr>
          <w:p w14:paraId="0907DEF5"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0.00882052</w:t>
            </w:r>
          </w:p>
        </w:tc>
        <w:tc>
          <w:tcPr>
            <w:tcW w:w="1424" w:type="dxa"/>
            <w:tcBorders>
              <w:top w:val="single" w:sz="4" w:space="0" w:color="70AD47"/>
              <w:left w:val="nil"/>
              <w:bottom w:val="nil"/>
              <w:right w:val="single" w:sz="4" w:space="0" w:color="70AD47"/>
            </w:tcBorders>
            <w:shd w:val="clear" w:color="auto" w:fill="auto"/>
            <w:noWrap/>
            <w:vAlign w:val="bottom"/>
            <w:hideMark/>
          </w:tcPr>
          <w:p w14:paraId="0E01229E"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0.000077801</w:t>
            </w:r>
          </w:p>
        </w:tc>
      </w:tr>
      <w:tr w:rsidR="005D1484" w14:paraId="7BB7CA3B" w14:textId="77777777" w:rsidTr="00106E00">
        <w:trPr>
          <w:trHeight w:val="300"/>
        </w:trPr>
        <w:tc>
          <w:tcPr>
            <w:tcW w:w="1692" w:type="dxa"/>
            <w:tcBorders>
              <w:top w:val="single" w:sz="4" w:space="0" w:color="70AD47"/>
              <w:left w:val="single" w:sz="4" w:space="0" w:color="70AD47"/>
              <w:bottom w:val="single" w:sz="4" w:space="0" w:color="70AD47"/>
              <w:right w:val="nil"/>
            </w:tcBorders>
            <w:shd w:val="clear" w:color="auto" w:fill="auto"/>
            <w:noWrap/>
            <w:vAlign w:val="bottom"/>
            <w:hideMark/>
          </w:tcPr>
          <w:p w14:paraId="0F2A65FE" w14:textId="417E07B5" w:rsidR="005D1484" w:rsidRDefault="004C5F1A" w:rsidP="00B031CE">
            <w:pPr>
              <w:rPr>
                <w:rFonts w:ascii="Calibri" w:hAnsi="Calibri" w:cs="Calibri"/>
                <w:color w:val="000000"/>
                <w:sz w:val="22"/>
                <w:szCs w:val="22"/>
              </w:rPr>
            </w:pPr>
            <w:r>
              <w:rPr>
                <w:rFonts w:ascii="Calibri" w:hAnsi="Calibri" w:cs="Calibri"/>
                <w:color w:val="000000"/>
                <w:sz w:val="22"/>
                <w:szCs w:val="22"/>
              </w:rPr>
              <w:t>Traffic</w:t>
            </w:r>
          </w:p>
        </w:tc>
        <w:tc>
          <w:tcPr>
            <w:tcW w:w="1276" w:type="dxa"/>
            <w:tcBorders>
              <w:top w:val="single" w:sz="4" w:space="0" w:color="70AD47"/>
              <w:left w:val="nil"/>
              <w:bottom w:val="single" w:sz="4" w:space="0" w:color="70AD47"/>
              <w:right w:val="nil"/>
            </w:tcBorders>
            <w:shd w:val="clear" w:color="auto" w:fill="auto"/>
            <w:noWrap/>
            <w:vAlign w:val="bottom"/>
            <w:hideMark/>
          </w:tcPr>
          <w:p w14:paraId="68977712"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0.18371157</w:t>
            </w:r>
          </w:p>
        </w:tc>
        <w:tc>
          <w:tcPr>
            <w:tcW w:w="1424" w:type="dxa"/>
            <w:tcBorders>
              <w:top w:val="single" w:sz="4" w:space="0" w:color="70AD47"/>
              <w:left w:val="nil"/>
              <w:bottom w:val="single" w:sz="4" w:space="0" w:color="70AD47"/>
              <w:right w:val="single" w:sz="4" w:space="0" w:color="70AD47"/>
            </w:tcBorders>
            <w:shd w:val="clear" w:color="auto" w:fill="auto"/>
            <w:noWrap/>
            <w:vAlign w:val="bottom"/>
            <w:hideMark/>
          </w:tcPr>
          <w:p w14:paraId="15BFD76A" w14:textId="77777777" w:rsidR="005D1484" w:rsidRDefault="005D1484" w:rsidP="00B031CE">
            <w:pPr>
              <w:jc w:val="right"/>
              <w:rPr>
                <w:rFonts w:ascii="Calibri" w:hAnsi="Calibri" w:cs="Calibri"/>
                <w:color w:val="000000"/>
                <w:sz w:val="22"/>
                <w:szCs w:val="22"/>
              </w:rPr>
            </w:pPr>
            <w:r>
              <w:rPr>
                <w:rFonts w:ascii="Calibri" w:hAnsi="Calibri" w:cs="Calibri"/>
                <w:color w:val="000000"/>
                <w:sz w:val="22"/>
                <w:szCs w:val="22"/>
              </w:rPr>
              <w:t>0.033749942</w:t>
            </w:r>
          </w:p>
        </w:tc>
      </w:tr>
    </w:tbl>
    <w:p w14:paraId="009321E0" w14:textId="2AA140EE" w:rsidR="005D1484" w:rsidRDefault="005D1484" w:rsidP="00B031CE">
      <w:pPr>
        <w:rPr>
          <w:b/>
          <w:bCs/>
        </w:rPr>
      </w:pPr>
    </w:p>
    <w:p w14:paraId="0744AC67" w14:textId="438F827E" w:rsidR="00B031CE" w:rsidRDefault="00B031CE" w:rsidP="00B031CE">
      <w:pPr>
        <w:pStyle w:val="ListParagraph"/>
        <w:numPr>
          <w:ilvl w:val="0"/>
          <w:numId w:val="4"/>
        </w:numPr>
        <w:rPr>
          <w:rFonts w:ascii="Times New Roman" w:hAnsi="Times New Roman" w:cs="Times New Roman"/>
          <w:b/>
          <w:bCs/>
        </w:rPr>
      </w:pPr>
      <w:r w:rsidRPr="00B031CE">
        <w:rPr>
          <w:rFonts w:ascii="Times New Roman" w:hAnsi="Times New Roman" w:cs="Times New Roman"/>
          <w:b/>
          <w:bCs/>
        </w:rPr>
        <w:t xml:space="preserve"> </w:t>
      </w:r>
      <w:r w:rsidR="00EA0534">
        <w:rPr>
          <w:rFonts w:ascii="Times New Roman" w:hAnsi="Times New Roman" w:cs="Times New Roman"/>
          <w:b/>
          <w:bCs/>
        </w:rPr>
        <w:t>VULEOPCT q</w:t>
      </w:r>
      <w:r w:rsidRPr="00B031CE">
        <w:rPr>
          <w:rFonts w:ascii="Times New Roman" w:hAnsi="Times New Roman" w:cs="Times New Roman"/>
          <w:b/>
          <w:bCs/>
        </w:rPr>
        <w:t xml:space="preserve">uartile averages for air, </w:t>
      </w:r>
      <w:proofErr w:type="gramStart"/>
      <w:r w:rsidRPr="00B031CE">
        <w:rPr>
          <w:rFonts w:ascii="Times New Roman" w:hAnsi="Times New Roman" w:cs="Times New Roman"/>
          <w:b/>
          <w:bCs/>
        </w:rPr>
        <w:t>water</w:t>
      </w:r>
      <w:proofErr w:type="gramEnd"/>
      <w:r w:rsidRPr="00B031CE">
        <w:rPr>
          <w:rFonts w:ascii="Times New Roman" w:hAnsi="Times New Roman" w:cs="Times New Roman"/>
          <w:b/>
          <w:bCs/>
        </w:rPr>
        <w:t xml:space="preserve"> and traffic pollution</w:t>
      </w:r>
    </w:p>
    <w:p w14:paraId="2A3F98C4" w14:textId="77777777" w:rsidR="00B031CE" w:rsidRPr="00B031CE" w:rsidRDefault="00B031CE" w:rsidP="00B031CE">
      <w:pPr>
        <w:pStyle w:val="ListParagraph"/>
        <w:rPr>
          <w:rFonts w:ascii="Times New Roman" w:hAnsi="Times New Roman" w:cs="Times New Roman"/>
          <w:b/>
          <w:bCs/>
        </w:rPr>
      </w:pPr>
    </w:p>
    <w:tbl>
      <w:tblPr>
        <w:tblW w:w="8034" w:type="dxa"/>
        <w:tblInd w:w="-5" w:type="dxa"/>
        <w:tblLook w:val="04A0" w:firstRow="1" w:lastRow="0" w:firstColumn="1" w:lastColumn="0" w:noHBand="0" w:noVBand="1"/>
      </w:tblPr>
      <w:tblGrid>
        <w:gridCol w:w="980"/>
        <w:gridCol w:w="1300"/>
        <w:gridCol w:w="1400"/>
        <w:gridCol w:w="1300"/>
        <w:gridCol w:w="1778"/>
        <w:gridCol w:w="1276"/>
      </w:tblGrid>
      <w:tr w:rsidR="00B031CE" w:rsidRPr="00B031CE" w14:paraId="78E66123" w14:textId="77777777" w:rsidTr="00106E00">
        <w:trPr>
          <w:trHeight w:val="300"/>
        </w:trPr>
        <w:tc>
          <w:tcPr>
            <w:tcW w:w="980" w:type="dxa"/>
            <w:tcBorders>
              <w:top w:val="single" w:sz="4" w:space="0" w:color="70AD47"/>
              <w:left w:val="single" w:sz="4" w:space="0" w:color="70AD47"/>
              <w:bottom w:val="nil"/>
              <w:right w:val="nil"/>
            </w:tcBorders>
            <w:shd w:val="clear" w:color="70AD47" w:fill="70AD47"/>
            <w:noWrap/>
            <w:vAlign w:val="bottom"/>
            <w:hideMark/>
          </w:tcPr>
          <w:p w14:paraId="6B24FAAF" w14:textId="77777777" w:rsidR="00B031CE" w:rsidRPr="00B031CE" w:rsidRDefault="00B031CE" w:rsidP="00B031CE">
            <w:pPr>
              <w:rPr>
                <w:rFonts w:ascii="Calibri" w:hAnsi="Calibri" w:cs="Calibri"/>
                <w:b/>
                <w:bCs/>
                <w:color w:val="FFFFFF"/>
                <w:sz w:val="22"/>
                <w:szCs w:val="22"/>
              </w:rPr>
            </w:pPr>
            <w:r w:rsidRPr="00B031CE">
              <w:rPr>
                <w:rFonts w:ascii="Calibri" w:hAnsi="Calibri" w:cs="Calibri"/>
                <w:b/>
                <w:bCs/>
                <w:color w:val="FFFFFF"/>
                <w:sz w:val="22"/>
                <w:szCs w:val="22"/>
              </w:rPr>
              <w:t>quartile</w:t>
            </w:r>
          </w:p>
        </w:tc>
        <w:tc>
          <w:tcPr>
            <w:tcW w:w="1300" w:type="dxa"/>
            <w:tcBorders>
              <w:top w:val="single" w:sz="4" w:space="0" w:color="70AD47"/>
              <w:left w:val="nil"/>
              <w:bottom w:val="nil"/>
              <w:right w:val="nil"/>
            </w:tcBorders>
            <w:shd w:val="clear" w:color="70AD47" w:fill="70AD47"/>
            <w:noWrap/>
            <w:vAlign w:val="bottom"/>
            <w:hideMark/>
          </w:tcPr>
          <w:p w14:paraId="04B1F7A0" w14:textId="4CFB69E5" w:rsidR="00B031CE" w:rsidRPr="00B031CE" w:rsidRDefault="004C5F1A" w:rsidP="00B031CE">
            <w:pPr>
              <w:rPr>
                <w:rFonts w:ascii="Calibri" w:hAnsi="Calibri" w:cs="Calibri"/>
                <w:b/>
                <w:bCs/>
                <w:color w:val="FFFFFF"/>
                <w:sz w:val="22"/>
                <w:szCs w:val="22"/>
              </w:rPr>
            </w:pPr>
            <w:r>
              <w:rPr>
                <w:rFonts w:ascii="Calibri" w:hAnsi="Calibri" w:cs="Calibri"/>
                <w:b/>
                <w:bCs/>
                <w:color w:val="FFFFFF"/>
                <w:sz w:val="22"/>
                <w:szCs w:val="22"/>
              </w:rPr>
              <w:t>Diesel PM</w:t>
            </w:r>
          </w:p>
        </w:tc>
        <w:tc>
          <w:tcPr>
            <w:tcW w:w="1400" w:type="dxa"/>
            <w:tcBorders>
              <w:top w:val="single" w:sz="4" w:space="0" w:color="70AD47"/>
              <w:left w:val="nil"/>
              <w:bottom w:val="nil"/>
              <w:right w:val="single" w:sz="4" w:space="0" w:color="70AD47"/>
            </w:tcBorders>
            <w:shd w:val="clear" w:color="70AD47" w:fill="70AD47"/>
            <w:noWrap/>
            <w:vAlign w:val="bottom"/>
            <w:hideMark/>
          </w:tcPr>
          <w:p w14:paraId="3A7565E7" w14:textId="77777777" w:rsidR="00B031CE" w:rsidRPr="00B031CE" w:rsidRDefault="00B031CE" w:rsidP="00B031CE">
            <w:pPr>
              <w:rPr>
                <w:rFonts w:ascii="Calibri" w:hAnsi="Calibri" w:cs="Calibri"/>
                <w:b/>
                <w:bCs/>
                <w:color w:val="FFFFFF"/>
                <w:sz w:val="22"/>
                <w:szCs w:val="22"/>
              </w:rPr>
            </w:pPr>
            <w:r w:rsidRPr="00B031CE">
              <w:rPr>
                <w:rFonts w:ascii="Calibri" w:hAnsi="Calibri" w:cs="Calibri"/>
                <w:b/>
                <w:bCs/>
                <w:color w:val="FFFFFF"/>
                <w:sz w:val="22"/>
                <w:szCs w:val="22"/>
              </w:rPr>
              <w:t>OZONE</w:t>
            </w:r>
          </w:p>
        </w:tc>
        <w:tc>
          <w:tcPr>
            <w:tcW w:w="1300" w:type="dxa"/>
            <w:tcBorders>
              <w:top w:val="single" w:sz="4" w:space="0" w:color="70AD47"/>
              <w:left w:val="single" w:sz="4" w:space="0" w:color="70AD47"/>
              <w:bottom w:val="nil"/>
              <w:right w:val="nil"/>
            </w:tcBorders>
            <w:shd w:val="clear" w:color="70AD47" w:fill="70AD47"/>
            <w:noWrap/>
            <w:vAlign w:val="bottom"/>
            <w:hideMark/>
          </w:tcPr>
          <w:p w14:paraId="44D33246" w14:textId="77777777" w:rsidR="00B031CE" w:rsidRPr="00B031CE" w:rsidRDefault="00B031CE" w:rsidP="00B031CE">
            <w:pPr>
              <w:rPr>
                <w:rFonts w:ascii="Calibri" w:hAnsi="Calibri" w:cs="Calibri"/>
                <w:b/>
                <w:bCs/>
                <w:color w:val="FFFFFF"/>
                <w:sz w:val="22"/>
                <w:szCs w:val="22"/>
              </w:rPr>
            </w:pPr>
            <w:r w:rsidRPr="00B031CE">
              <w:rPr>
                <w:rFonts w:ascii="Calibri" w:hAnsi="Calibri" w:cs="Calibri"/>
                <w:b/>
                <w:bCs/>
                <w:color w:val="FFFFFF"/>
                <w:sz w:val="22"/>
                <w:szCs w:val="22"/>
              </w:rPr>
              <w:t>PM25</w:t>
            </w:r>
          </w:p>
        </w:tc>
        <w:tc>
          <w:tcPr>
            <w:tcW w:w="1778" w:type="dxa"/>
            <w:tcBorders>
              <w:top w:val="single" w:sz="4" w:space="0" w:color="70AD47"/>
              <w:left w:val="nil"/>
              <w:bottom w:val="nil"/>
              <w:right w:val="nil"/>
            </w:tcBorders>
            <w:shd w:val="clear" w:color="70AD47" w:fill="70AD47"/>
            <w:noWrap/>
            <w:vAlign w:val="bottom"/>
            <w:hideMark/>
          </w:tcPr>
          <w:p w14:paraId="753C7BB9" w14:textId="3E459EA6" w:rsidR="00B031CE" w:rsidRPr="00B031CE" w:rsidRDefault="004C5F1A" w:rsidP="00B031CE">
            <w:pPr>
              <w:rPr>
                <w:rFonts w:ascii="Calibri" w:hAnsi="Calibri" w:cs="Calibri"/>
                <w:b/>
                <w:bCs/>
                <w:color w:val="FFFFFF"/>
                <w:sz w:val="22"/>
                <w:szCs w:val="22"/>
              </w:rPr>
            </w:pPr>
            <w:r>
              <w:rPr>
                <w:rFonts w:ascii="Calibri" w:hAnsi="Calibri" w:cs="Calibri"/>
                <w:b/>
                <w:bCs/>
                <w:color w:val="FFFFFF"/>
                <w:sz w:val="22"/>
                <w:szCs w:val="22"/>
              </w:rPr>
              <w:t>Water Discharge</w:t>
            </w:r>
          </w:p>
        </w:tc>
        <w:tc>
          <w:tcPr>
            <w:tcW w:w="1276" w:type="dxa"/>
            <w:tcBorders>
              <w:top w:val="single" w:sz="4" w:space="0" w:color="70AD47"/>
              <w:left w:val="nil"/>
              <w:bottom w:val="nil"/>
              <w:right w:val="single" w:sz="4" w:space="0" w:color="70AD47"/>
            </w:tcBorders>
            <w:shd w:val="clear" w:color="70AD47" w:fill="70AD47"/>
            <w:noWrap/>
            <w:vAlign w:val="bottom"/>
            <w:hideMark/>
          </w:tcPr>
          <w:p w14:paraId="2C634F4F" w14:textId="028D81EB" w:rsidR="00B031CE" w:rsidRPr="00B031CE" w:rsidRDefault="004C5F1A" w:rsidP="00B031CE">
            <w:pPr>
              <w:rPr>
                <w:rFonts w:ascii="Calibri" w:hAnsi="Calibri" w:cs="Calibri"/>
                <w:b/>
                <w:bCs/>
                <w:color w:val="FFFFFF"/>
                <w:sz w:val="22"/>
                <w:szCs w:val="22"/>
              </w:rPr>
            </w:pPr>
            <w:r>
              <w:rPr>
                <w:rFonts w:ascii="Calibri" w:hAnsi="Calibri" w:cs="Calibri"/>
                <w:b/>
                <w:bCs/>
                <w:color w:val="FFFFFF"/>
                <w:sz w:val="22"/>
                <w:szCs w:val="22"/>
              </w:rPr>
              <w:t>Traffic</w:t>
            </w:r>
          </w:p>
        </w:tc>
      </w:tr>
      <w:tr w:rsidR="00B031CE" w:rsidRPr="00B031CE" w14:paraId="6B64D5FF" w14:textId="77777777" w:rsidTr="00106E00">
        <w:trPr>
          <w:trHeight w:val="300"/>
        </w:trPr>
        <w:tc>
          <w:tcPr>
            <w:tcW w:w="980" w:type="dxa"/>
            <w:tcBorders>
              <w:top w:val="single" w:sz="4" w:space="0" w:color="70AD47"/>
              <w:left w:val="single" w:sz="4" w:space="0" w:color="70AD47"/>
              <w:bottom w:val="nil"/>
              <w:right w:val="nil"/>
            </w:tcBorders>
            <w:shd w:val="clear" w:color="auto" w:fill="auto"/>
            <w:noWrap/>
            <w:vAlign w:val="bottom"/>
            <w:hideMark/>
          </w:tcPr>
          <w:p w14:paraId="39297AF2"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1</w:t>
            </w:r>
          </w:p>
        </w:tc>
        <w:tc>
          <w:tcPr>
            <w:tcW w:w="1300" w:type="dxa"/>
            <w:tcBorders>
              <w:top w:val="single" w:sz="4" w:space="0" w:color="70AD47"/>
              <w:left w:val="nil"/>
              <w:bottom w:val="nil"/>
              <w:right w:val="nil"/>
            </w:tcBorders>
            <w:shd w:val="clear" w:color="auto" w:fill="auto"/>
            <w:noWrap/>
            <w:vAlign w:val="bottom"/>
            <w:hideMark/>
          </w:tcPr>
          <w:p w14:paraId="075E59E1"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0.40442066</w:t>
            </w:r>
          </w:p>
        </w:tc>
        <w:tc>
          <w:tcPr>
            <w:tcW w:w="1400" w:type="dxa"/>
            <w:tcBorders>
              <w:top w:val="single" w:sz="4" w:space="0" w:color="70AD47"/>
              <w:left w:val="nil"/>
              <w:bottom w:val="nil"/>
              <w:right w:val="nil"/>
            </w:tcBorders>
            <w:shd w:val="clear" w:color="auto" w:fill="auto"/>
            <w:noWrap/>
            <w:vAlign w:val="bottom"/>
            <w:hideMark/>
          </w:tcPr>
          <w:p w14:paraId="49AAB68C"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54.0447865</w:t>
            </w:r>
          </w:p>
        </w:tc>
        <w:tc>
          <w:tcPr>
            <w:tcW w:w="1300" w:type="dxa"/>
            <w:tcBorders>
              <w:top w:val="single" w:sz="4" w:space="0" w:color="70AD47"/>
              <w:left w:val="nil"/>
              <w:bottom w:val="nil"/>
              <w:right w:val="nil"/>
            </w:tcBorders>
            <w:shd w:val="clear" w:color="auto" w:fill="auto"/>
            <w:noWrap/>
            <w:vAlign w:val="bottom"/>
            <w:hideMark/>
          </w:tcPr>
          <w:p w14:paraId="352A0056"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6.85962718</w:t>
            </w:r>
          </w:p>
        </w:tc>
        <w:tc>
          <w:tcPr>
            <w:tcW w:w="1778" w:type="dxa"/>
            <w:tcBorders>
              <w:top w:val="single" w:sz="4" w:space="0" w:color="70AD47"/>
              <w:left w:val="nil"/>
              <w:bottom w:val="nil"/>
              <w:right w:val="nil"/>
            </w:tcBorders>
            <w:shd w:val="clear" w:color="auto" w:fill="auto"/>
            <w:noWrap/>
            <w:vAlign w:val="bottom"/>
            <w:hideMark/>
          </w:tcPr>
          <w:p w14:paraId="275BB72A"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0.64919424</w:t>
            </w:r>
          </w:p>
        </w:tc>
        <w:tc>
          <w:tcPr>
            <w:tcW w:w="1276" w:type="dxa"/>
            <w:tcBorders>
              <w:top w:val="single" w:sz="4" w:space="0" w:color="70AD47"/>
              <w:left w:val="nil"/>
              <w:bottom w:val="nil"/>
              <w:right w:val="single" w:sz="4" w:space="0" w:color="70AD47"/>
            </w:tcBorders>
            <w:shd w:val="clear" w:color="auto" w:fill="auto"/>
            <w:noWrap/>
            <w:vAlign w:val="bottom"/>
            <w:hideMark/>
          </w:tcPr>
          <w:p w14:paraId="048E8A85"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397.737035</w:t>
            </w:r>
          </w:p>
        </w:tc>
      </w:tr>
      <w:tr w:rsidR="00B031CE" w:rsidRPr="00B031CE" w14:paraId="326D0905" w14:textId="77777777" w:rsidTr="00106E00">
        <w:trPr>
          <w:trHeight w:val="300"/>
        </w:trPr>
        <w:tc>
          <w:tcPr>
            <w:tcW w:w="980" w:type="dxa"/>
            <w:tcBorders>
              <w:top w:val="single" w:sz="4" w:space="0" w:color="70AD47"/>
              <w:left w:val="single" w:sz="4" w:space="0" w:color="70AD47"/>
              <w:bottom w:val="nil"/>
              <w:right w:val="nil"/>
            </w:tcBorders>
            <w:shd w:val="clear" w:color="auto" w:fill="auto"/>
            <w:noWrap/>
            <w:vAlign w:val="bottom"/>
            <w:hideMark/>
          </w:tcPr>
          <w:p w14:paraId="167294FF"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2</w:t>
            </w:r>
          </w:p>
        </w:tc>
        <w:tc>
          <w:tcPr>
            <w:tcW w:w="1300" w:type="dxa"/>
            <w:tcBorders>
              <w:top w:val="single" w:sz="4" w:space="0" w:color="70AD47"/>
              <w:left w:val="nil"/>
              <w:bottom w:val="nil"/>
              <w:right w:val="nil"/>
            </w:tcBorders>
            <w:shd w:val="clear" w:color="auto" w:fill="auto"/>
            <w:noWrap/>
            <w:vAlign w:val="bottom"/>
            <w:hideMark/>
          </w:tcPr>
          <w:p w14:paraId="44CAA9C4"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0.41670812</w:t>
            </w:r>
          </w:p>
        </w:tc>
        <w:tc>
          <w:tcPr>
            <w:tcW w:w="1400" w:type="dxa"/>
            <w:tcBorders>
              <w:top w:val="single" w:sz="4" w:space="0" w:color="70AD47"/>
              <w:left w:val="nil"/>
              <w:bottom w:val="nil"/>
              <w:right w:val="nil"/>
            </w:tcBorders>
            <w:shd w:val="clear" w:color="auto" w:fill="auto"/>
            <w:noWrap/>
            <w:vAlign w:val="bottom"/>
            <w:hideMark/>
          </w:tcPr>
          <w:p w14:paraId="2DDFA7B6"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53.0061296</w:t>
            </w:r>
          </w:p>
        </w:tc>
        <w:tc>
          <w:tcPr>
            <w:tcW w:w="1300" w:type="dxa"/>
            <w:tcBorders>
              <w:top w:val="single" w:sz="4" w:space="0" w:color="70AD47"/>
              <w:left w:val="nil"/>
              <w:bottom w:val="nil"/>
              <w:right w:val="nil"/>
            </w:tcBorders>
            <w:shd w:val="clear" w:color="auto" w:fill="auto"/>
            <w:noWrap/>
            <w:vAlign w:val="bottom"/>
            <w:hideMark/>
          </w:tcPr>
          <w:p w14:paraId="7831ACFB"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6.79151487</w:t>
            </w:r>
          </w:p>
        </w:tc>
        <w:tc>
          <w:tcPr>
            <w:tcW w:w="1778" w:type="dxa"/>
            <w:tcBorders>
              <w:top w:val="single" w:sz="4" w:space="0" w:color="70AD47"/>
              <w:left w:val="nil"/>
              <w:bottom w:val="nil"/>
              <w:right w:val="nil"/>
            </w:tcBorders>
            <w:shd w:val="clear" w:color="auto" w:fill="auto"/>
            <w:noWrap/>
            <w:vAlign w:val="bottom"/>
            <w:hideMark/>
          </w:tcPr>
          <w:p w14:paraId="24C61E68"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0.78471275</w:t>
            </w:r>
          </w:p>
        </w:tc>
        <w:tc>
          <w:tcPr>
            <w:tcW w:w="1276" w:type="dxa"/>
            <w:tcBorders>
              <w:top w:val="single" w:sz="4" w:space="0" w:color="70AD47"/>
              <w:left w:val="nil"/>
              <w:bottom w:val="nil"/>
              <w:right w:val="single" w:sz="4" w:space="0" w:color="70AD47"/>
            </w:tcBorders>
            <w:shd w:val="clear" w:color="auto" w:fill="auto"/>
            <w:noWrap/>
            <w:vAlign w:val="bottom"/>
            <w:hideMark/>
          </w:tcPr>
          <w:p w14:paraId="5F89541F"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532.947822</w:t>
            </w:r>
          </w:p>
        </w:tc>
      </w:tr>
      <w:tr w:rsidR="00B031CE" w:rsidRPr="00B031CE" w14:paraId="01ACD178" w14:textId="77777777" w:rsidTr="00106E00">
        <w:trPr>
          <w:trHeight w:val="300"/>
        </w:trPr>
        <w:tc>
          <w:tcPr>
            <w:tcW w:w="980" w:type="dxa"/>
            <w:tcBorders>
              <w:top w:val="single" w:sz="4" w:space="0" w:color="70AD47"/>
              <w:left w:val="single" w:sz="4" w:space="0" w:color="70AD47"/>
              <w:bottom w:val="nil"/>
              <w:right w:val="nil"/>
            </w:tcBorders>
            <w:shd w:val="clear" w:color="auto" w:fill="auto"/>
            <w:noWrap/>
            <w:vAlign w:val="bottom"/>
            <w:hideMark/>
          </w:tcPr>
          <w:p w14:paraId="1BFFE3E7"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3</w:t>
            </w:r>
          </w:p>
        </w:tc>
        <w:tc>
          <w:tcPr>
            <w:tcW w:w="1300" w:type="dxa"/>
            <w:tcBorders>
              <w:top w:val="single" w:sz="4" w:space="0" w:color="70AD47"/>
              <w:left w:val="nil"/>
              <w:bottom w:val="nil"/>
              <w:right w:val="nil"/>
            </w:tcBorders>
            <w:shd w:val="clear" w:color="auto" w:fill="auto"/>
            <w:noWrap/>
            <w:vAlign w:val="bottom"/>
            <w:hideMark/>
          </w:tcPr>
          <w:p w14:paraId="42D6DBA7"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0.45012378</w:t>
            </w:r>
          </w:p>
        </w:tc>
        <w:tc>
          <w:tcPr>
            <w:tcW w:w="1400" w:type="dxa"/>
            <w:tcBorders>
              <w:top w:val="single" w:sz="4" w:space="0" w:color="70AD47"/>
              <w:left w:val="nil"/>
              <w:bottom w:val="nil"/>
              <w:right w:val="nil"/>
            </w:tcBorders>
            <w:shd w:val="clear" w:color="auto" w:fill="auto"/>
            <w:noWrap/>
            <w:vAlign w:val="bottom"/>
            <w:hideMark/>
          </w:tcPr>
          <w:p w14:paraId="47B55B20"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52.5520966</w:t>
            </w:r>
          </w:p>
        </w:tc>
        <w:tc>
          <w:tcPr>
            <w:tcW w:w="1300" w:type="dxa"/>
            <w:tcBorders>
              <w:top w:val="single" w:sz="4" w:space="0" w:color="70AD47"/>
              <w:left w:val="nil"/>
              <w:bottom w:val="nil"/>
              <w:right w:val="nil"/>
            </w:tcBorders>
            <w:shd w:val="clear" w:color="auto" w:fill="auto"/>
            <w:noWrap/>
            <w:vAlign w:val="bottom"/>
            <w:hideMark/>
          </w:tcPr>
          <w:p w14:paraId="1375C314"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6.82113928</w:t>
            </w:r>
          </w:p>
        </w:tc>
        <w:tc>
          <w:tcPr>
            <w:tcW w:w="1778" w:type="dxa"/>
            <w:tcBorders>
              <w:top w:val="single" w:sz="4" w:space="0" w:color="70AD47"/>
              <w:left w:val="nil"/>
              <w:bottom w:val="nil"/>
              <w:right w:val="nil"/>
            </w:tcBorders>
            <w:shd w:val="clear" w:color="auto" w:fill="auto"/>
            <w:noWrap/>
            <w:vAlign w:val="bottom"/>
            <w:hideMark/>
          </w:tcPr>
          <w:p w14:paraId="27C991B0"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0.42466444</w:t>
            </w:r>
          </w:p>
        </w:tc>
        <w:tc>
          <w:tcPr>
            <w:tcW w:w="1276" w:type="dxa"/>
            <w:tcBorders>
              <w:top w:val="single" w:sz="4" w:space="0" w:color="70AD47"/>
              <w:left w:val="nil"/>
              <w:bottom w:val="nil"/>
              <w:right w:val="single" w:sz="4" w:space="0" w:color="70AD47"/>
            </w:tcBorders>
            <w:shd w:val="clear" w:color="auto" w:fill="auto"/>
            <w:noWrap/>
            <w:vAlign w:val="bottom"/>
            <w:hideMark/>
          </w:tcPr>
          <w:p w14:paraId="7AE6C1FC"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651.941351</w:t>
            </w:r>
          </w:p>
        </w:tc>
      </w:tr>
      <w:tr w:rsidR="00B031CE" w:rsidRPr="00B031CE" w14:paraId="02398153" w14:textId="77777777" w:rsidTr="00106E00">
        <w:trPr>
          <w:trHeight w:val="300"/>
        </w:trPr>
        <w:tc>
          <w:tcPr>
            <w:tcW w:w="980" w:type="dxa"/>
            <w:tcBorders>
              <w:top w:val="single" w:sz="4" w:space="0" w:color="70AD47"/>
              <w:left w:val="single" w:sz="4" w:space="0" w:color="70AD47"/>
              <w:bottom w:val="single" w:sz="4" w:space="0" w:color="70AD47"/>
              <w:right w:val="nil"/>
            </w:tcBorders>
            <w:shd w:val="clear" w:color="auto" w:fill="auto"/>
            <w:noWrap/>
            <w:vAlign w:val="bottom"/>
            <w:hideMark/>
          </w:tcPr>
          <w:p w14:paraId="5DEC91E1"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4</w:t>
            </w:r>
          </w:p>
        </w:tc>
        <w:tc>
          <w:tcPr>
            <w:tcW w:w="1300" w:type="dxa"/>
            <w:tcBorders>
              <w:top w:val="single" w:sz="4" w:space="0" w:color="70AD47"/>
              <w:left w:val="nil"/>
              <w:bottom w:val="single" w:sz="4" w:space="0" w:color="70AD47"/>
              <w:right w:val="nil"/>
            </w:tcBorders>
            <w:shd w:val="clear" w:color="auto" w:fill="auto"/>
            <w:noWrap/>
            <w:vAlign w:val="bottom"/>
            <w:hideMark/>
          </w:tcPr>
          <w:p w14:paraId="57A541CD"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0.61801664</w:t>
            </w:r>
          </w:p>
        </w:tc>
        <w:tc>
          <w:tcPr>
            <w:tcW w:w="1400" w:type="dxa"/>
            <w:tcBorders>
              <w:top w:val="single" w:sz="4" w:space="0" w:color="70AD47"/>
              <w:left w:val="nil"/>
              <w:bottom w:val="single" w:sz="4" w:space="0" w:color="70AD47"/>
              <w:right w:val="nil"/>
            </w:tcBorders>
            <w:shd w:val="clear" w:color="auto" w:fill="auto"/>
            <w:noWrap/>
            <w:vAlign w:val="bottom"/>
            <w:hideMark/>
          </w:tcPr>
          <w:p w14:paraId="79DA36E0"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52.5149404</w:t>
            </w:r>
          </w:p>
        </w:tc>
        <w:tc>
          <w:tcPr>
            <w:tcW w:w="1300" w:type="dxa"/>
            <w:tcBorders>
              <w:top w:val="single" w:sz="4" w:space="0" w:color="70AD47"/>
              <w:left w:val="nil"/>
              <w:bottom w:val="single" w:sz="4" w:space="0" w:color="70AD47"/>
              <w:right w:val="nil"/>
            </w:tcBorders>
            <w:shd w:val="clear" w:color="auto" w:fill="auto"/>
            <w:noWrap/>
            <w:vAlign w:val="bottom"/>
            <w:hideMark/>
          </w:tcPr>
          <w:p w14:paraId="437834AC"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7.26606722</w:t>
            </w:r>
          </w:p>
        </w:tc>
        <w:tc>
          <w:tcPr>
            <w:tcW w:w="1778" w:type="dxa"/>
            <w:tcBorders>
              <w:top w:val="single" w:sz="4" w:space="0" w:color="70AD47"/>
              <w:left w:val="nil"/>
              <w:bottom w:val="single" w:sz="4" w:space="0" w:color="70AD47"/>
              <w:right w:val="nil"/>
            </w:tcBorders>
            <w:shd w:val="clear" w:color="auto" w:fill="auto"/>
            <w:noWrap/>
            <w:vAlign w:val="bottom"/>
            <w:hideMark/>
          </w:tcPr>
          <w:p w14:paraId="758989B7"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0.96632146</w:t>
            </w:r>
          </w:p>
        </w:tc>
        <w:tc>
          <w:tcPr>
            <w:tcW w:w="1276" w:type="dxa"/>
            <w:tcBorders>
              <w:top w:val="single" w:sz="4" w:space="0" w:color="70AD47"/>
              <w:left w:val="nil"/>
              <w:bottom w:val="single" w:sz="4" w:space="0" w:color="70AD47"/>
              <w:right w:val="single" w:sz="4" w:space="0" w:color="70AD47"/>
            </w:tcBorders>
            <w:shd w:val="clear" w:color="auto" w:fill="auto"/>
            <w:noWrap/>
            <w:vAlign w:val="bottom"/>
            <w:hideMark/>
          </w:tcPr>
          <w:p w14:paraId="38752C83" w14:textId="77777777" w:rsidR="00B031CE" w:rsidRPr="00B031CE" w:rsidRDefault="00B031CE" w:rsidP="00B031CE">
            <w:pPr>
              <w:jc w:val="right"/>
              <w:rPr>
                <w:rFonts w:ascii="Calibri" w:hAnsi="Calibri" w:cs="Calibri"/>
                <w:color w:val="000000"/>
                <w:sz w:val="22"/>
                <w:szCs w:val="22"/>
              </w:rPr>
            </w:pPr>
            <w:r w:rsidRPr="00B031CE">
              <w:rPr>
                <w:rFonts w:ascii="Calibri" w:hAnsi="Calibri" w:cs="Calibri"/>
                <w:color w:val="000000"/>
                <w:sz w:val="22"/>
                <w:szCs w:val="22"/>
              </w:rPr>
              <w:t>847.997237</w:t>
            </w:r>
          </w:p>
        </w:tc>
      </w:tr>
    </w:tbl>
    <w:p w14:paraId="095AF0CF" w14:textId="2DB1AB45" w:rsidR="00B031CE" w:rsidRDefault="00B031CE" w:rsidP="00B031CE">
      <w:pPr>
        <w:rPr>
          <w:b/>
          <w:bCs/>
        </w:rPr>
      </w:pPr>
    </w:p>
    <w:p w14:paraId="14043250" w14:textId="71EE44E3" w:rsidR="00B031CE" w:rsidRDefault="00EA0534" w:rsidP="00106E00">
      <w:pPr>
        <w:pStyle w:val="ListParagraph"/>
        <w:numPr>
          <w:ilvl w:val="0"/>
          <w:numId w:val="4"/>
        </w:numPr>
        <w:rPr>
          <w:rFonts w:ascii="Times New Roman" w:hAnsi="Times New Roman" w:cs="Times New Roman"/>
          <w:b/>
          <w:bCs/>
        </w:rPr>
      </w:pPr>
      <w:r>
        <w:rPr>
          <w:rFonts w:ascii="Times New Roman" w:hAnsi="Times New Roman" w:cs="Times New Roman"/>
          <w:b/>
          <w:bCs/>
        </w:rPr>
        <w:t>P</w:t>
      </w:r>
      <w:r w:rsidR="00106E00" w:rsidRPr="00106E00">
        <w:rPr>
          <w:rFonts w:ascii="Times New Roman" w:hAnsi="Times New Roman" w:cs="Times New Roman"/>
          <w:b/>
          <w:bCs/>
        </w:rPr>
        <w:t>ollution proximity correlated to low-income and minority areas</w:t>
      </w:r>
    </w:p>
    <w:p w14:paraId="084A665C" w14:textId="36FB9E00" w:rsidR="00106E00" w:rsidRDefault="00106E00" w:rsidP="00106E00">
      <w:pPr>
        <w:rPr>
          <w:b/>
          <w:bCs/>
        </w:rPr>
      </w:pPr>
    </w:p>
    <w:tbl>
      <w:tblPr>
        <w:tblW w:w="8150" w:type="dxa"/>
        <w:tblLook w:val="04A0" w:firstRow="1" w:lastRow="0" w:firstColumn="1" w:lastColumn="0" w:noHBand="0" w:noVBand="1"/>
      </w:tblPr>
      <w:tblGrid>
        <w:gridCol w:w="5450"/>
        <w:gridCol w:w="1300"/>
        <w:gridCol w:w="1400"/>
      </w:tblGrid>
      <w:tr w:rsidR="00106E00" w14:paraId="1DD5CCA7" w14:textId="77777777" w:rsidTr="00106E00">
        <w:trPr>
          <w:trHeight w:val="300"/>
        </w:trPr>
        <w:tc>
          <w:tcPr>
            <w:tcW w:w="5450" w:type="dxa"/>
            <w:tcBorders>
              <w:top w:val="single" w:sz="4" w:space="0" w:color="70AD47"/>
              <w:left w:val="single" w:sz="4" w:space="0" w:color="70AD47"/>
              <w:bottom w:val="nil"/>
              <w:right w:val="nil"/>
            </w:tcBorders>
            <w:shd w:val="clear" w:color="70AD47" w:fill="70AD47"/>
            <w:noWrap/>
            <w:vAlign w:val="bottom"/>
            <w:hideMark/>
          </w:tcPr>
          <w:p w14:paraId="6FF32EA9"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Metric</w:t>
            </w:r>
          </w:p>
        </w:tc>
        <w:tc>
          <w:tcPr>
            <w:tcW w:w="1300" w:type="dxa"/>
            <w:tcBorders>
              <w:top w:val="single" w:sz="4" w:space="0" w:color="70AD47"/>
              <w:left w:val="nil"/>
              <w:bottom w:val="nil"/>
              <w:right w:val="nil"/>
            </w:tcBorders>
            <w:shd w:val="clear" w:color="70AD47" w:fill="70AD47"/>
            <w:noWrap/>
            <w:vAlign w:val="bottom"/>
            <w:hideMark/>
          </w:tcPr>
          <w:p w14:paraId="5F520027"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R</w:t>
            </w:r>
          </w:p>
        </w:tc>
        <w:tc>
          <w:tcPr>
            <w:tcW w:w="1400" w:type="dxa"/>
            <w:tcBorders>
              <w:top w:val="single" w:sz="4" w:space="0" w:color="70AD47"/>
              <w:left w:val="nil"/>
              <w:bottom w:val="nil"/>
              <w:right w:val="single" w:sz="4" w:space="0" w:color="70AD47"/>
            </w:tcBorders>
            <w:shd w:val="clear" w:color="70AD47" w:fill="70AD47"/>
            <w:noWrap/>
            <w:vAlign w:val="bottom"/>
            <w:hideMark/>
          </w:tcPr>
          <w:p w14:paraId="67DCD49F"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R-squared</w:t>
            </w:r>
          </w:p>
        </w:tc>
      </w:tr>
      <w:tr w:rsidR="00106E00" w14:paraId="3F4EF7A2" w14:textId="77777777" w:rsidTr="00106E00">
        <w:trPr>
          <w:trHeight w:val="300"/>
        </w:trPr>
        <w:tc>
          <w:tcPr>
            <w:tcW w:w="5450" w:type="dxa"/>
            <w:tcBorders>
              <w:top w:val="single" w:sz="4" w:space="0" w:color="70AD47"/>
              <w:left w:val="single" w:sz="4" w:space="0" w:color="70AD47"/>
              <w:bottom w:val="nil"/>
              <w:right w:val="nil"/>
            </w:tcBorders>
            <w:shd w:val="clear" w:color="auto" w:fill="auto"/>
            <w:noWrap/>
            <w:vAlign w:val="bottom"/>
            <w:hideMark/>
          </w:tcPr>
          <w:p w14:paraId="2E18E3EF" w14:textId="77777777" w:rsidR="00106E00" w:rsidRDefault="00106E00">
            <w:pPr>
              <w:rPr>
                <w:rFonts w:ascii="Calibri" w:hAnsi="Calibri" w:cs="Calibri"/>
                <w:color w:val="000000"/>
                <w:sz w:val="22"/>
                <w:szCs w:val="22"/>
              </w:rPr>
            </w:pPr>
            <w:r>
              <w:rPr>
                <w:rFonts w:ascii="Calibri" w:hAnsi="Calibri" w:cs="Calibri"/>
                <w:color w:val="000000"/>
                <w:sz w:val="22"/>
                <w:szCs w:val="22"/>
              </w:rPr>
              <w:t>Proximity to National Priorities List (NPL) sites</w:t>
            </w:r>
          </w:p>
        </w:tc>
        <w:tc>
          <w:tcPr>
            <w:tcW w:w="1300" w:type="dxa"/>
            <w:tcBorders>
              <w:top w:val="single" w:sz="4" w:space="0" w:color="70AD47"/>
              <w:left w:val="nil"/>
              <w:bottom w:val="nil"/>
              <w:right w:val="nil"/>
            </w:tcBorders>
            <w:shd w:val="clear" w:color="auto" w:fill="auto"/>
            <w:noWrap/>
            <w:vAlign w:val="bottom"/>
            <w:hideMark/>
          </w:tcPr>
          <w:p w14:paraId="0BED0352"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0.2744749</w:t>
            </w:r>
          </w:p>
        </w:tc>
        <w:tc>
          <w:tcPr>
            <w:tcW w:w="1400" w:type="dxa"/>
            <w:tcBorders>
              <w:top w:val="single" w:sz="4" w:space="0" w:color="70AD47"/>
              <w:left w:val="nil"/>
              <w:bottom w:val="nil"/>
              <w:right w:val="nil"/>
            </w:tcBorders>
            <w:shd w:val="clear" w:color="auto" w:fill="auto"/>
            <w:noWrap/>
            <w:vAlign w:val="bottom"/>
            <w:hideMark/>
          </w:tcPr>
          <w:p w14:paraId="1EA51CCF"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0.07533647</w:t>
            </w:r>
          </w:p>
        </w:tc>
      </w:tr>
      <w:tr w:rsidR="00106E00" w14:paraId="3ED3734B" w14:textId="77777777" w:rsidTr="00106E00">
        <w:trPr>
          <w:trHeight w:val="300"/>
        </w:trPr>
        <w:tc>
          <w:tcPr>
            <w:tcW w:w="5450" w:type="dxa"/>
            <w:tcBorders>
              <w:top w:val="single" w:sz="4" w:space="0" w:color="70AD47"/>
              <w:left w:val="single" w:sz="4" w:space="0" w:color="70AD47"/>
              <w:bottom w:val="nil"/>
              <w:right w:val="nil"/>
            </w:tcBorders>
            <w:shd w:val="clear" w:color="auto" w:fill="auto"/>
            <w:noWrap/>
            <w:vAlign w:val="bottom"/>
            <w:hideMark/>
          </w:tcPr>
          <w:p w14:paraId="537ED1CD" w14:textId="77777777" w:rsidR="00106E00" w:rsidRDefault="00106E00">
            <w:pPr>
              <w:rPr>
                <w:rFonts w:ascii="Calibri" w:hAnsi="Calibri" w:cs="Calibri"/>
                <w:color w:val="000000"/>
                <w:sz w:val="22"/>
                <w:szCs w:val="22"/>
              </w:rPr>
            </w:pPr>
            <w:r>
              <w:rPr>
                <w:rFonts w:ascii="Calibri" w:hAnsi="Calibri" w:cs="Calibri"/>
                <w:color w:val="000000"/>
                <w:sz w:val="22"/>
                <w:szCs w:val="22"/>
              </w:rPr>
              <w:t>Proximity to Risk Management Plan (RMP) facilities</w:t>
            </w:r>
          </w:p>
        </w:tc>
        <w:tc>
          <w:tcPr>
            <w:tcW w:w="1300" w:type="dxa"/>
            <w:tcBorders>
              <w:top w:val="single" w:sz="4" w:space="0" w:color="70AD47"/>
              <w:left w:val="nil"/>
              <w:bottom w:val="nil"/>
              <w:right w:val="nil"/>
            </w:tcBorders>
            <w:shd w:val="clear" w:color="auto" w:fill="auto"/>
            <w:noWrap/>
            <w:vAlign w:val="bottom"/>
            <w:hideMark/>
          </w:tcPr>
          <w:p w14:paraId="4343780B"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0.36447774</w:t>
            </w:r>
          </w:p>
        </w:tc>
        <w:tc>
          <w:tcPr>
            <w:tcW w:w="1400" w:type="dxa"/>
            <w:tcBorders>
              <w:top w:val="single" w:sz="4" w:space="0" w:color="70AD47"/>
              <w:left w:val="nil"/>
              <w:bottom w:val="nil"/>
              <w:right w:val="nil"/>
            </w:tcBorders>
            <w:shd w:val="clear" w:color="auto" w:fill="auto"/>
            <w:noWrap/>
            <w:vAlign w:val="bottom"/>
            <w:hideMark/>
          </w:tcPr>
          <w:p w14:paraId="0E611E48"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0.13284402</w:t>
            </w:r>
          </w:p>
        </w:tc>
      </w:tr>
      <w:tr w:rsidR="00106E00" w14:paraId="568EA813" w14:textId="77777777" w:rsidTr="00106E00">
        <w:trPr>
          <w:trHeight w:val="300"/>
        </w:trPr>
        <w:tc>
          <w:tcPr>
            <w:tcW w:w="5450" w:type="dxa"/>
            <w:tcBorders>
              <w:top w:val="single" w:sz="4" w:space="0" w:color="70AD47"/>
              <w:left w:val="single" w:sz="4" w:space="0" w:color="70AD47"/>
              <w:bottom w:val="single" w:sz="4" w:space="0" w:color="70AD47"/>
              <w:right w:val="nil"/>
            </w:tcBorders>
            <w:shd w:val="clear" w:color="auto" w:fill="auto"/>
            <w:noWrap/>
            <w:vAlign w:val="bottom"/>
            <w:hideMark/>
          </w:tcPr>
          <w:p w14:paraId="50FAD47E" w14:textId="77777777" w:rsidR="00106E00" w:rsidRDefault="00106E00">
            <w:pPr>
              <w:rPr>
                <w:rFonts w:ascii="Calibri" w:hAnsi="Calibri" w:cs="Calibri"/>
                <w:color w:val="000000"/>
                <w:sz w:val="22"/>
                <w:szCs w:val="22"/>
              </w:rPr>
            </w:pPr>
            <w:r>
              <w:rPr>
                <w:rFonts w:ascii="Calibri" w:hAnsi="Calibri" w:cs="Calibri"/>
                <w:color w:val="000000"/>
                <w:sz w:val="22"/>
                <w:szCs w:val="22"/>
              </w:rPr>
              <w:t>Proximity to Treatment Storage and Disposal (TSDF) facilities</w:t>
            </w:r>
          </w:p>
        </w:tc>
        <w:tc>
          <w:tcPr>
            <w:tcW w:w="1300" w:type="dxa"/>
            <w:tcBorders>
              <w:top w:val="single" w:sz="4" w:space="0" w:color="70AD47"/>
              <w:left w:val="nil"/>
              <w:bottom w:val="single" w:sz="4" w:space="0" w:color="70AD47"/>
              <w:right w:val="nil"/>
            </w:tcBorders>
            <w:shd w:val="clear" w:color="auto" w:fill="auto"/>
            <w:noWrap/>
            <w:vAlign w:val="bottom"/>
            <w:hideMark/>
          </w:tcPr>
          <w:p w14:paraId="41B6D438"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0.20771164</w:t>
            </w:r>
          </w:p>
        </w:tc>
        <w:tc>
          <w:tcPr>
            <w:tcW w:w="1400" w:type="dxa"/>
            <w:tcBorders>
              <w:top w:val="single" w:sz="4" w:space="0" w:color="70AD47"/>
              <w:left w:val="nil"/>
              <w:bottom w:val="single" w:sz="4" w:space="0" w:color="70AD47"/>
              <w:right w:val="nil"/>
            </w:tcBorders>
            <w:shd w:val="clear" w:color="auto" w:fill="auto"/>
            <w:noWrap/>
            <w:vAlign w:val="bottom"/>
            <w:hideMark/>
          </w:tcPr>
          <w:p w14:paraId="1DF83825"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0.04314412</w:t>
            </w:r>
          </w:p>
        </w:tc>
      </w:tr>
    </w:tbl>
    <w:p w14:paraId="6DE93ECA" w14:textId="77777777" w:rsidR="00106E00" w:rsidRPr="00106E00" w:rsidRDefault="00106E00" w:rsidP="00106E00">
      <w:pPr>
        <w:rPr>
          <w:b/>
          <w:bCs/>
        </w:rPr>
      </w:pPr>
    </w:p>
    <w:p w14:paraId="06A08387" w14:textId="68684D97" w:rsidR="00B031CE" w:rsidRDefault="00EA0534" w:rsidP="00106E00">
      <w:pPr>
        <w:pStyle w:val="ListParagraph"/>
        <w:numPr>
          <w:ilvl w:val="0"/>
          <w:numId w:val="4"/>
        </w:numPr>
        <w:rPr>
          <w:rFonts w:ascii="Times New Roman" w:hAnsi="Times New Roman" w:cs="Times New Roman"/>
          <w:b/>
          <w:bCs/>
        </w:rPr>
      </w:pPr>
      <w:r>
        <w:rPr>
          <w:rFonts w:ascii="Times New Roman" w:hAnsi="Times New Roman" w:cs="Times New Roman"/>
          <w:b/>
          <w:bCs/>
        </w:rPr>
        <w:t xml:space="preserve">VULEOPCT </w:t>
      </w:r>
      <w:r>
        <w:rPr>
          <w:rFonts w:ascii="Times New Roman" w:hAnsi="Times New Roman" w:cs="Times New Roman"/>
          <w:b/>
          <w:bCs/>
        </w:rPr>
        <w:t>q</w:t>
      </w:r>
      <w:r w:rsidR="00106E00" w:rsidRPr="00106E00">
        <w:rPr>
          <w:rFonts w:ascii="Times New Roman" w:hAnsi="Times New Roman" w:cs="Times New Roman"/>
          <w:b/>
          <w:bCs/>
        </w:rPr>
        <w:t xml:space="preserve">uartile </w:t>
      </w:r>
      <w:r>
        <w:rPr>
          <w:rFonts w:ascii="Times New Roman" w:hAnsi="Times New Roman" w:cs="Times New Roman"/>
          <w:b/>
          <w:bCs/>
        </w:rPr>
        <w:t>a</w:t>
      </w:r>
      <w:r w:rsidR="00106E00" w:rsidRPr="00106E00">
        <w:rPr>
          <w:rFonts w:ascii="Times New Roman" w:hAnsi="Times New Roman" w:cs="Times New Roman"/>
          <w:b/>
          <w:bCs/>
        </w:rPr>
        <w:t xml:space="preserve">verages for </w:t>
      </w:r>
      <w:r>
        <w:rPr>
          <w:rFonts w:ascii="Times New Roman" w:hAnsi="Times New Roman" w:cs="Times New Roman"/>
          <w:b/>
          <w:bCs/>
        </w:rPr>
        <w:t>p</w:t>
      </w:r>
      <w:r w:rsidR="00106E00" w:rsidRPr="00106E00">
        <w:rPr>
          <w:rFonts w:ascii="Times New Roman" w:hAnsi="Times New Roman" w:cs="Times New Roman"/>
          <w:b/>
          <w:bCs/>
        </w:rPr>
        <w:t xml:space="preserve">ollution proximity </w:t>
      </w:r>
    </w:p>
    <w:p w14:paraId="5E8994E3" w14:textId="6317E918" w:rsidR="00106E00" w:rsidRDefault="00106E00" w:rsidP="00106E00">
      <w:pPr>
        <w:rPr>
          <w:b/>
          <w:bCs/>
        </w:rPr>
      </w:pPr>
    </w:p>
    <w:tbl>
      <w:tblPr>
        <w:tblW w:w="4980" w:type="dxa"/>
        <w:tblLook w:val="04A0" w:firstRow="1" w:lastRow="0" w:firstColumn="1" w:lastColumn="0" w:noHBand="0" w:noVBand="1"/>
      </w:tblPr>
      <w:tblGrid>
        <w:gridCol w:w="980"/>
        <w:gridCol w:w="1300"/>
        <w:gridCol w:w="1400"/>
        <w:gridCol w:w="1300"/>
      </w:tblGrid>
      <w:tr w:rsidR="00106E00" w14:paraId="706350C9" w14:textId="77777777" w:rsidTr="00106E00">
        <w:trPr>
          <w:trHeight w:val="300"/>
        </w:trPr>
        <w:tc>
          <w:tcPr>
            <w:tcW w:w="980" w:type="dxa"/>
            <w:tcBorders>
              <w:top w:val="single" w:sz="4" w:space="0" w:color="70AD47"/>
              <w:left w:val="single" w:sz="4" w:space="0" w:color="70AD47"/>
              <w:bottom w:val="nil"/>
              <w:right w:val="nil"/>
            </w:tcBorders>
            <w:shd w:val="clear" w:color="70AD47" w:fill="70AD47"/>
            <w:noWrap/>
            <w:vAlign w:val="bottom"/>
            <w:hideMark/>
          </w:tcPr>
          <w:p w14:paraId="44EB0D99"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quartile</w:t>
            </w:r>
          </w:p>
        </w:tc>
        <w:tc>
          <w:tcPr>
            <w:tcW w:w="1300" w:type="dxa"/>
            <w:tcBorders>
              <w:top w:val="single" w:sz="4" w:space="0" w:color="70AD47"/>
              <w:left w:val="nil"/>
              <w:bottom w:val="nil"/>
              <w:right w:val="nil"/>
            </w:tcBorders>
            <w:shd w:val="clear" w:color="70AD47" w:fill="70AD47"/>
            <w:noWrap/>
            <w:vAlign w:val="bottom"/>
            <w:hideMark/>
          </w:tcPr>
          <w:p w14:paraId="08758D63"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PNPL</w:t>
            </w:r>
          </w:p>
        </w:tc>
        <w:tc>
          <w:tcPr>
            <w:tcW w:w="1400" w:type="dxa"/>
            <w:tcBorders>
              <w:top w:val="single" w:sz="4" w:space="0" w:color="70AD47"/>
              <w:left w:val="nil"/>
              <w:bottom w:val="nil"/>
              <w:right w:val="nil"/>
            </w:tcBorders>
            <w:shd w:val="clear" w:color="70AD47" w:fill="70AD47"/>
            <w:noWrap/>
            <w:vAlign w:val="bottom"/>
            <w:hideMark/>
          </w:tcPr>
          <w:p w14:paraId="20BDCA89"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PRMP</w:t>
            </w:r>
          </w:p>
        </w:tc>
        <w:tc>
          <w:tcPr>
            <w:tcW w:w="1300" w:type="dxa"/>
            <w:tcBorders>
              <w:top w:val="single" w:sz="4" w:space="0" w:color="70AD47"/>
              <w:left w:val="nil"/>
              <w:bottom w:val="nil"/>
              <w:right w:val="single" w:sz="4" w:space="0" w:color="70AD47"/>
            </w:tcBorders>
            <w:shd w:val="clear" w:color="70AD47" w:fill="70AD47"/>
            <w:noWrap/>
            <w:vAlign w:val="bottom"/>
            <w:hideMark/>
          </w:tcPr>
          <w:p w14:paraId="2C0FACC2" w14:textId="77777777" w:rsidR="00106E00" w:rsidRDefault="00106E00">
            <w:pPr>
              <w:rPr>
                <w:rFonts w:ascii="Calibri" w:hAnsi="Calibri" w:cs="Calibri"/>
                <w:b/>
                <w:bCs/>
                <w:color w:val="FFFFFF"/>
                <w:sz w:val="22"/>
                <w:szCs w:val="22"/>
              </w:rPr>
            </w:pPr>
            <w:r>
              <w:rPr>
                <w:rFonts w:ascii="Calibri" w:hAnsi="Calibri" w:cs="Calibri"/>
                <w:b/>
                <w:bCs/>
                <w:color w:val="FFFFFF"/>
                <w:sz w:val="22"/>
                <w:szCs w:val="22"/>
              </w:rPr>
              <w:t>PTSDF</w:t>
            </w:r>
          </w:p>
        </w:tc>
      </w:tr>
      <w:tr w:rsidR="00106E00" w14:paraId="149EF373" w14:textId="77777777" w:rsidTr="00106E00">
        <w:trPr>
          <w:trHeight w:val="300"/>
        </w:trPr>
        <w:tc>
          <w:tcPr>
            <w:tcW w:w="980" w:type="dxa"/>
            <w:tcBorders>
              <w:top w:val="single" w:sz="4" w:space="0" w:color="70AD47"/>
              <w:left w:val="single" w:sz="4" w:space="0" w:color="70AD47"/>
              <w:bottom w:val="nil"/>
              <w:right w:val="nil"/>
            </w:tcBorders>
            <w:shd w:val="clear" w:color="auto" w:fill="auto"/>
            <w:noWrap/>
            <w:vAlign w:val="bottom"/>
            <w:hideMark/>
          </w:tcPr>
          <w:p w14:paraId="2D1F25B5"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1</w:t>
            </w:r>
          </w:p>
        </w:tc>
        <w:tc>
          <w:tcPr>
            <w:tcW w:w="1300" w:type="dxa"/>
            <w:tcBorders>
              <w:top w:val="single" w:sz="4" w:space="0" w:color="70AD47"/>
              <w:left w:val="nil"/>
              <w:bottom w:val="nil"/>
              <w:right w:val="nil"/>
            </w:tcBorders>
            <w:shd w:val="clear" w:color="auto" w:fill="auto"/>
            <w:noWrap/>
            <w:vAlign w:val="bottom"/>
            <w:hideMark/>
          </w:tcPr>
          <w:p w14:paraId="1EF65FCE"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0.08040713</w:t>
            </w:r>
          </w:p>
        </w:tc>
        <w:tc>
          <w:tcPr>
            <w:tcW w:w="1400" w:type="dxa"/>
            <w:tcBorders>
              <w:top w:val="single" w:sz="4" w:space="0" w:color="70AD47"/>
              <w:left w:val="nil"/>
              <w:bottom w:val="nil"/>
              <w:right w:val="nil"/>
            </w:tcBorders>
            <w:shd w:val="clear" w:color="auto" w:fill="auto"/>
            <w:noWrap/>
            <w:vAlign w:val="bottom"/>
            <w:hideMark/>
          </w:tcPr>
          <w:p w14:paraId="6CC62D83"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0.4069577</w:t>
            </w:r>
          </w:p>
        </w:tc>
        <w:tc>
          <w:tcPr>
            <w:tcW w:w="1300" w:type="dxa"/>
            <w:tcBorders>
              <w:top w:val="single" w:sz="4" w:space="0" w:color="70AD47"/>
              <w:left w:val="nil"/>
              <w:bottom w:val="nil"/>
              <w:right w:val="single" w:sz="4" w:space="0" w:color="70AD47"/>
            </w:tcBorders>
            <w:shd w:val="clear" w:color="auto" w:fill="auto"/>
            <w:noWrap/>
            <w:vAlign w:val="bottom"/>
            <w:hideMark/>
          </w:tcPr>
          <w:p w14:paraId="09CCE5F7"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0.84222469</w:t>
            </w:r>
          </w:p>
        </w:tc>
      </w:tr>
      <w:tr w:rsidR="00106E00" w14:paraId="5BF10E09" w14:textId="77777777" w:rsidTr="00106E00">
        <w:trPr>
          <w:trHeight w:val="300"/>
        </w:trPr>
        <w:tc>
          <w:tcPr>
            <w:tcW w:w="980" w:type="dxa"/>
            <w:tcBorders>
              <w:top w:val="single" w:sz="4" w:space="0" w:color="70AD47"/>
              <w:left w:val="single" w:sz="4" w:space="0" w:color="70AD47"/>
              <w:bottom w:val="nil"/>
              <w:right w:val="nil"/>
            </w:tcBorders>
            <w:shd w:val="clear" w:color="auto" w:fill="auto"/>
            <w:noWrap/>
            <w:vAlign w:val="bottom"/>
            <w:hideMark/>
          </w:tcPr>
          <w:p w14:paraId="30EE3787"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2</w:t>
            </w:r>
          </w:p>
        </w:tc>
        <w:tc>
          <w:tcPr>
            <w:tcW w:w="1300" w:type="dxa"/>
            <w:tcBorders>
              <w:top w:val="single" w:sz="4" w:space="0" w:color="70AD47"/>
              <w:left w:val="nil"/>
              <w:bottom w:val="nil"/>
              <w:right w:val="nil"/>
            </w:tcBorders>
            <w:shd w:val="clear" w:color="auto" w:fill="auto"/>
            <w:noWrap/>
            <w:vAlign w:val="bottom"/>
            <w:hideMark/>
          </w:tcPr>
          <w:p w14:paraId="3DD50B16"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0.0884956</w:t>
            </w:r>
          </w:p>
        </w:tc>
        <w:tc>
          <w:tcPr>
            <w:tcW w:w="1400" w:type="dxa"/>
            <w:tcBorders>
              <w:top w:val="single" w:sz="4" w:space="0" w:color="70AD47"/>
              <w:left w:val="nil"/>
              <w:bottom w:val="nil"/>
              <w:right w:val="nil"/>
            </w:tcBorders>
            <w:shd w:val="clear" w:color="auto" w:fill="auto"/>
            <w:noWrap/>
            <w:vAlign w:val="bottom"/>
            <w:hideMark/>
          </w:tcPr>
          <w:p w14:paraId="31172B0D"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0.48853899</w:t>
            </w:r>
          </w:p>
        </w:tc>
        <w:tc>
          <w:tcPr>
            <w:tcW w:w="1300" w:type="dxa"/>
            <w:tcBorders>
              <w:top w:val="single" w:sz="4" w:space="0" w:color="70AD47"/>
              <w:left w:val="nil"/>
              <w:bottom w:val="nil"/>
              <w:right w:val="single" w:sz="4" w:space="0" w:color="70AD47"/>
            </w:tcBorders>
            <w:shd w:val="clear" w:color="auto" w:fill="auto"/>
            <w:noWrap/>
            <w:vAlign w:val="bottom"/>
            <w:hideMark/>
          </w:tcPr>
          <w:p w14:paraId="60DB6651"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0.99547832</w:t>
            </w:r>
          </w:p>
        </w:tc>
      </w:tr>
      <w:tr w:rsidR="00106E00" w14:paraId="62C8FE7F" w14:textId="77777777" w:rsidTr="00106E00">
        <w:trPr>
          <w:trHeight w:val="300"/>
        </w:trPr>
        <w:tc>
          <w:tcPr>
            <w:tcW w:w="980" w:type="dxa"/>
            <w:tcBorders>
              <w:top w:val="single" w:sz="4" w:space="0" w:color="70AD47"/>
              <w:left w:val="single" w:sz="4" w:space="0" w:color="70AD47"/>
              <w:bottom w:val="nil"/>
              <w:right w:val="nil"/>
            </w:tcBorders>
            <w:shd w:val="clear" w:color="auto" w:fill="auto"/>
            <w:noWrap/>
            <w:vAlign w:val="bottom"/>
            <w:hideMark/>
          </w:tcPr>
          <w:p w14:paraId="49B45C97"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3</w:t>
            </w:r>
          </w:p>
        </w:tc>
        <w:tc>
          <w:tcPr>
            <w:tcW w:w="1300" w:type="dxa"/>
            <w:tcBorders>
              <w:top w:val="single" w:sz="4" w:space="0" w:color="70AD47"/>
              <w:left w:val="nil"/>
              <w:bottom w:val="nil"/>
              <w:right w:val="nil"/>
            </w:tcBorders>
            <w:shd w:val="clear" w:color="auto" w:fill="auto"/>
            <w:noWrap/>
            <w:vAlign w:val="bottom"/>
            <w:hideMark/>
          </w:tcPr>
          <w:p w14:paraId="2750E739"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0.09500036</w:t>
            </w:r>
          </w:p>
        </w:tc>
        <w:tc>
          <w:tcPr>
            <w:tcW w:w="1400" w:type="dxa"/>
            <w:tcBorders>
              <w:top w:val="single" w:sz="4" w:space="0" w:color="70AD47"/>
              <w:left w:val="nil"/>
              <w:bottom w:val="nil"/>
              <w:right w:val="nil"/>
            </w:tcBorders>
            <w:shd w:val="clear" w:color="auto" w:fill="auto"/>
            <w:noWrap/>
            <w:vAlign w:val="bottom"/>
            <w:hideMark/>
          </w:tcPr>
          <w:p w14:paraId="65C32B6E"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0.62391493</w:t>
            </w:r>
          </w:p>
        </w:tc>
        <w:tc>
          <w:tcPr>
            <w:tcW w:w="1300" w:type="dxa"/>
            <w:tcBorders>
              <w:top w:val="single" w:sz="4" w:space="0" w:color="70AD47"/>
              <w:left w:val="nil"/>
              <w:bottom w:val="nil"/>
              <w:right w:val="single" w:sz="4" w:space="0" w:color="70AD47"/>
            </w:tcBorders>
            <w:shd w:val="clear" w:color="auto" w:fill="auto"/>
            <w:noWrap/>
            <w:vAlign w:val="bottom"/>
            <w:hideMark/>
          </w:tcPr>
          <w:p w14:paraId="0B65FDDF"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1.08255638</w:t>
            </w:r>
          </w:p>
        </w:tc>
      </w:tr>
      <w:tr w:rsidR="00106E00" w14:paraId="56FE52F4" w14:textId="77777777" w:rsidTr="00106E00">
        <w:trPr>
          <w:trHeight w:val="300"/>
        </w:trPr>
        <w:tc>
          <w:tcPr>
            <w:tcW w:w="980" w:type="dxa"/>
            <w:tcBorders>
              <w:top w:val="single" w:sz="4" w:space="0" w:color="70AD47"/>
              <w:left w:val="single" w:sz="4" w:space="0" w:color="70AD47"/>
              <w:bottom w:val="single" w:sz="4" w:space="0" w:color="70AD47"/>
              <w:right w:val="nil"/>
            </w:tcBorders>
            <w:shd w:val="clear" w:color="auto" w:fill="auto"/>
            <w:noWrap/>
            <w:vAlign w:val="bottom"/>
            <w:hideMark/>
          </w:tcPr>
          <w:p w14:paraId="53D8279A"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4</w:t>
            </w:r>
          </w:p>
        </w:tc>
        <w:tc>
          <w:tcPr>
            <w:tcW w:w="1300" w:type="dxa"/>
            <w:tcBorders>
              <w:top w:val="single" w:sz="4" w:space="0" w:color="70AD47"/>
              <w:left w:val="nil"/>
              <w:bottom w:val="single" w:sz="4" w:space="0" w:color="70AD47"/>
              <w:right w:val="nil"/>
            </w:tcBorders>
            <w:shd w:val="clear" w:color="auto" w:fill="auto"/>
            <w:noWrap/>
            <w:vAlign w:val="bottom"/>
            <w:hideMark/>
          </w:tcPr>
          <w:p w14:paraId="26741424"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0.18118938</w:t>
            </w:r>
          </w:p>
        </w:tc>
        <w:tc>
          <w:tcPr>
            <w:tcW w:w="1400" w:type="dxa"/>
            <w:tcBorders>
              <w:top w:val="single" w:sz="4" w:space="0" w:color="70AD47"/>
              <w:left w:val="nil"/>
              <w:bottom w:val="single" w:sz="4" w:space="0" w:color="70AD47"/>
              <w:right w:val="nil"/>
            </w:tcBorders>
            <w:shd w:val="clear" w:color="auto" w:fill="auto"/>
            <w:noWrap/>
            <w:vAlign w:val="bottom"/>
            <w:hideMark/>
          </w:tcPr>
          <w:p w14:paraId="4E3570B6"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1.16753326</w:t>
            </w:r>
          </w:p>
        </w:tc>
        <w:tc>
          <w:tcPr>
            <w:tcW w:w="1300" w:type="dxa"/>
            <w:tcBorders>
              <w:top w:val="single" w:sz="4" w:space="0" w:color="70AD47"/>
              <w:left w:val="nil"/>
              <w:bottom w:val="single" w:sz="4" w:space="0" w:color="70AD47"/>
              <w:right w:val="single" w:sz="4" w:space="0" w:color="70AD47"/>
            </w:tcBorders>
            <w:shd w:val="clear" w:color="auto" w:fill="auto"/>
            <w:noWrap/>
            <w:vAlign w:val="bottom"/>
            <w:hideMark/>
          </w:tcPr>
          <w:p w14:paraId="7331C277" w14:textId="77777777" w:rsidR="00106E00" w:rsidRDefault="00106E00">
            <w:pPr>
              <w:jc w:val="right"/>
              <w:rPr>
                <w:rFonts w:ascii="Calibri" w:hAnsi="Calibri" w:cs="Calibri"/>
                <w:color w:val="000000"/>
                <w:sz w:val="22"/>
                <w:szCs w:val="22"/>
              </w:rPr>
            </w:pPr>
            <w:r>
              <w:rPr>
                <w:rFonts w:ascii="Calibri" w:hAnsi="Calibri" w:cs="Calibri"/>
                <w:color w:val="000000"/>
                <w:sz w:val="22"/>
                <w:szCs w:val="22"/>
              </w:rPr>
              <w:t>1.46341074</w:t>
            </w:r>
          </w:p>
        </w:tc>
      </w:tr>
    </w:tbl>
    <w:p w14:paraId="27562246" w14:textId="0E898E2D" w:rsidR="00106E00" w:rsidRDefault="00106E00" w:rsidP="00106E00">
      <w:pPr>
        <w:rPr>
          <w:b/>
          <w:bCs/>
        </w:rPr>
      </w:pPr>
    </w:p>
    <w:p w14:paraId="5B872191" w14:textId="36EB81EE" w:rsidR="00EA0534" w:rsidRDefault="00EA0534" w:rsidP="00EA0534">
      <w:pPr>
        <w:pStyle w:val="ListParagraph"/>
        <w:numPr>
          <w:ilvl w:val="0"/>
          <w:numId w:val="4"/>
        </w:numPr>
        <w:rPr>
          <w:rFonts w:ascii="Times New Roman" w:hAnsi="Times New Roman" w:cs="Times New Roman"/>
          <w:b/>
          <w:bCs/>
        </w:rPr>
      </w:pPr>
      <w:r w:rsidRPr="00EA0534">
        <w:rPr>
          <w:rFonts w:ascii="Times New Roman" w:hAnsi="Times New Roman" w:cs="Times New Roman"/>
          <w:b/>
          <w:bCs/>
        </w:rPr>
        <w:t>Health Risk Correlation by VULEOPCT quartile</w:t>
      </w:r>
    </w:p>
    <w:p w14:paraId="03E456F7" w14:textId="2C008374" w:rsidR="00EA0534" w:rsidRDefault="00EA0534" w:rsidP="00EA0534">
      <w:pPr>
        <w:rPr>
          <w:b/>
          <w:bCs/>
        </w:rPr>
      </w:pPr>
    </w:p>
    <w:tbl>
      <w:tblPr>
        <w:tblW w:w="4260" w:type="dxa"/>
        <w:tblLook w:val="04A0" w:firstRow="1" w:lastRow="0" w:firstColumn="1" w:lastColumn="0" w:noHBand="0" w:noVBand="1"/>
      </w:tblPr>
      <w:tblGrid>
        <w:gridCol w:w="1560"/>
        <w:gridCol w:w="1300"/>
        <w:gridCol w:w="1400"/>
      </w:tblGrid>
      <w:tr w:rsidR="00EA0534" w14:paraId="0E44E261" w14:textId="77777777" w:rsidTr="00EA0534">
        <w:trPr>
          <w:trHeight w:val="300"/>
        </w:trPr>
        <w:tc>
          <w:tcPr>
            <w:tcW w:w="1560" w:type="dxa"/>
            <w:tcBorders>
              <w:top w:val="single" w:sz="4" w:space="0" w:color="70AD47"/>
              <w:left w:val="single" w:sz="4" w:space="0" w:color="70AD47"/>
              <w:bottom w:val="nil"/>
              <w:right w:val="nil"/>
            </w:tcBorders>
            <w:shd w:val="clear" w:color="70AD47" w:fill="70AD47"/>
            <w:noWrap/>
            <w:vAlign w:val="bottom"/>
            <w:hideMark/>
          </w:tcPr>
          <w:p w14:paraId="3712F6E6" w14:textId="77777777" w:rsidR="00EA0534" w:rsidRDefault="00EA0534">
            <w:pPr>
              <w:rPr>
                <w:rFonts w:ascii="Calibri" w:hAnsi="Calibri" w:cs="Calibri"/>
                <w:b/>
                <w:bCs/>
                <w:color w:val="FFFFFF"/>
                <w:sz w:val="22"/>
                <w:szCs w:val="22"/>
              </w:rPr>
            </w:pPr>
            <w:r>
              <w:rPr>
                <w:rFonts w:ascii="Calibri" w:hAnsi="Calibri" w:cs="Calibri"/>
                <w:b/>
                <w:bCs/>
                <w:color w:val="FFFFFF"/>
                <w:sz w:val="22"/>
                <w:szCs w:val="22"/>
              </w:rPr>
              <w:t>quartile</w:t>
            </w:r>
          </w:p>
        </w:tc>
        <w:tc>
          <w:tcPr>
            <w:tcW w:w="1300" w:type="dxa"/>
            <w:tcBorders>
              <w:top w:val="single" w:sz="4" w:space="0" w:color="70AD47"/>
              <w:left w:val="nil"/>
              <w:bottom w:val="nil"/>
              <w:right w:val="nil"/>
            </w:tcBorders>
            <w:shd w:val="clear" w:color="70AD47" w:fill="70AD47"/>
            <w:noWrap/>
            <w:vAlign w:val="bottom"/>
            <w:hideMark/>
          </w:tcPr>
          <w:p w14:paraId="6D969551" w14:textId="77777777" w:rsidR="00EA0534" w:rsidRDefault="00EA0534">
            <w:pPr>
              <w:rPr>
                <w:rFonts w:ascii="Calibri" w:hAnsi="Calibri" w:cs="Calibri"/>
                <w:b/>
                <w:bCs/>
                <w:color w:val="FFFFFF"/>
                <w:sz w:val="22"/>
                <w:szCs w:val="22"/>
              </w:rPr>
            </w:pPr>
            <w:r>
              <w:rPr>
                <w:rFonts w:ascii="Calibri" w:hAnsi="Calibri" w:cs="Calibri"/>
                <w:b/>
                <w:bCs/>
                <w:color w:val="FFFFFF"/>
                <w:sz w:val="22"/>
                <w:szCs w:val="22"/>
              </w:rPr>
              <w:t>CANCER</w:t>
            </w:r>
          </w:p>
        </w:tc>
        <w:tc>
          <w:tcPr>
            <w:tcW w:w="1400" w:type="dxa"/>
            <w:tcBorders>
              <w:top w:val="single" w:sz="4" w:space="0" w:color="70AD47"/>
              <w:left w:val="nil"/>
              <w:bottom w:val="nil"/>
              <w:right w:val="single" w:sz="4" w:space="0" w:color="70AD47"/>
            </w:tcBorders>
            <w:shd w:val="clear" w:color="70AD47" w:fill="70AD47"/>
            <w:noWrap/>
            <w:vAlign w:val="bottom"/>
            <w:hideMark/>
          </w:tcPr>
          <w:p w14:paraId="44EB345E" w14:textId="77777777" w:rsidR="00EA0534" w:rsidRDefault="00EA0534">
            <w:pPr>
              <w:rPr>
                <w:rFonts w:ascii="Calibri" w:hAnsi="Calibri" w:cs="Calibri"/>
                <w:b/>
                <w:bCs/>
                <w:color w:val="FFFFFF"/>
                <w:sz w:val="22"/>
                <w:szCs w:val="22"/>
              </w:rPr>
            </w:pPr>
            <w:r>
              <w:rPr>
                <w:rFonts w:ascii="Calibri" w:hAnsi="Calibri" w:cs="Calibri"/>
                <w:b/>
                <w:bCs/>
                <w:color w:val="FFFFFF"/>
                <w:sz w:val="22"/>
                <w:szCs w:val="22"/>
              </w:rPr>
              <w:t>RESP</w:t>
            </w:r>
          </w:p>
        </w:tc>
      </w:tr>
      <w:tr w:rsidR="00EA0534" w14:paraId="2691B219" w14:textId="77777777" w:rsidTr="00EA0534">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03AD49C1"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1</w:t>
            </w:r>
          </w:p>
        </w:tc>
        <w:tc>
          <w:tcPr>
            <w:tcW w:w="1300" w:type="dxa"/>
            <w:tcBorders>
              <w:top w:val="single" w:sz="4" w:space="0" w:color="70AD47"/>
              <w:left w:val="nil"/>
              <w:bottom w:val="nil"/>
              <w:right w:val="nil"/>
            </w:tcBorders>
            <w:shd w:val="clear" w:color="auto" w:fill="auto"/>
            <w:noWrap/>
            <w:vAlign w:val="bottom"/>
            <w:hideMark/>
          </w:tcPr>
          <w:p w14:paraId="29F33287"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0.03974623</w:t>
            </w:r>
          </w:p>
        </w:tc>
        <w:tc>
          <w:tcPr>
            <w:tcW w:w="1400" w:type="dxa"/>
            <w:tcBorders>
              <w:top w:val="single" w:sz="4" w:space="0" w:color="70AD47"/>
              <w:left w:val="nil"/>
              <w:bottom w:val="nil"/>
              <w:right w:val="single" w:sz="4" w:space="0" w:color="70AD47"/>
            </w:tcBorders>
            <w:shd w:val="clear" w:color="auto" w:fill="auto"/>
            <w:noWrap/>
            <w:vAlign w:val="bottom"/>
            <w:hideMark/>
          </w:tcPr>
          <w:p w14:paraId="71E62E78"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0.05886157</w:t>
            </w:r>
          </w:p>
        </w:tc>
      </w:tr>
      <w:tr w:rsidR="00EA0534" w14:paraId="191F37ED" w14:textId="77777777" w:rsidTr="00EA0534">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3E6A3057"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2</w:t>
            </w:r>
          </w:p>
        </w:tc>
        <w:tc>
          <w:tcPr>
            <w:tcW w:w="1300" w:type="dxa"/>
            <w:tcBorders>
              <w:top w:val="single" w:sz="4" w:space="0" w:color="70AD47"/>
              <w:left w:val="nil"/>
              <w:bottom w:val="nil"/>
              <w:right w:val="nil"/>
            </w:tcBorders>
            <w:shd w:val="clear" w:color="auto" w:fill="auto"/>
            <w:noWrap/>
            <w:vAlign w:val="bottom"/>
            <w:hideMark/>
          </w:tcPr>
          <w:p w14:paraId="0ACD497C"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0.00491518</w:t>
            </w:r>
          </w:p>
        </w:tc>
        <w:tc>
          <w:tcPr>
            <w:tcW w:w="1400" w:type="dxa"/>
            <w:tcBorders>
              <w:top w:val="single" w:sz="4" w:space="0" w:color="70AD47"/>
              <w:left w:val="nil"/>
              <w:bottom w:val="nil"/>
              <w:right w:val="single" w:sz="4" w:space="0" w:color="70AD47"/>
            </w:tcBorders>
            <w:shd w:val="clear" w:color="auto" w:fill="auto"/>
            <w:noWrap/>
            <w:vAlign w:val="bottom"/>
            <w:hideMark/>
          </w:tcPr>
          <w:p w14:paraId="0088BF4A"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-0.01685054</w:t>
            </w:r>
          </w:p>
        </w:tc>
      </w:tr>
      <w:tr w:rsidR="00EA0534" w14:paraId="6D56081D" w14:textId="77777777" w:rsidTr="00EA0534">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5DB141DC"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3</w:t>
            </w:r>
          </w:p>
        </w:tc>
        <w:tc>
          <w:tcPr>
            <w:tcW w:w="1300" w:type="dxa"/>
            <w:tcBorders>
              <w:top w:val="single" w:sz="4" w:space="0" w:color="70AD47"/>
              <w:left w:val="nil"/>
              <w:bottom w:val="nil"/>
              <w:right w:val="nil"/>
            </w:tcBorders>
            <w:shd w:val="clear" w:color="auto" w:fill="auto"/>
            <w:noWrap/>
            <w:vAlign w:val="bottom"/>
            <w:hideMark/>
          </w:tcPr>
          <w:p w14:paraId="74387431"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0.02647671</w:t>
            </w:r>
          </w:p>
        </w:tc>
        <w:tc>
          <w:tcPr>
            <w:tcW w:w="1400" w:type="dxa"/>
            <w:tcBorders>
              <w:top w:val="single" w:sz="4" w:space="0" w:color="70AD47"/>
              <w:left w:val="nil"/>
              <w:bottom w:val="nil"/>
              <w:right w:val="single" w:sz="4" w:space="0" w:color="70AD47"/>
            </w:tcBorders>
            <w:shd w:val="clear" w:color="auto" w:fill="auto"/>
            <w:noWrap/>
            <w:vAlign w:val="bottom"/>
            <w:hideMark/>
          </w:tcPr>
          <w:p w14:paraId="34CE6719"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0.08755742</w:t>
            </w:r>
          </w:p>
        </w:tc>
      </w:tr>
      <w:tr w:rsidR="00EA0534" w14:paraId="625D66D0" w14:textId="77777777" w:rsidTr="00EA0534">
        <w:trPr>
          <w:trHeight w:val="300"/>
        </w:trPr>
        <w:tc>
          <w:tcPr>
            <w:tcW w:w="1560" w:type="dxa"/>
            <w:tcBorders>
              <w:top w:val="single" w:sz="4" w:space="0" w:color="70AD47"/>
              <w:left w:val="single" w:sz="4" w:space="0" w:color="70AD47"/>
              <w:bottom w:val="single" w:sz="4" w:space="0" w:color="70AD47"/>
              <w:right w:val="nil"/>
            </w:tcBorders>
            <w:shd w:val="clear" w:color="auto" w:fill="auto"/>
            <w:noWrap/>
            <w:vAlign w:val="bottom"/>
            <w:hideMark/>
          </w:tcPr>
          <w:p w14:paraId="18823F2B"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4</w:t>
            </w:r>
          </w:p>
        </w:tc>
        <w:tc>
          <w:tcPr>
            <w:tcW w:w="1300" w:type="dxa"/>
            <w:tcBorders>
              <w:top w:val="single" w:sz="4" w:space="0" w:color="70AD47"/>
              <w:left w:val="nil"/>
              <w:bottom w:val="single" w:sz="4" w:space="0" w:color="70AD47"/>
              <w:right w:val="nil"/>
            </w:tcBorders>
            <w:shd w:val="clear" w:color="auto" w:fill="auto"/>
            <w:noWrap/>
            <w:vAlign w:val="bottom"/>
            <w:hideMark/>
          </w:tcPr>
          <w:p w14:paraId="57BE0732"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0.04764076</w:t>
            </w:r>
          </w:p>
        </w:tc>
        <w:tc>
          <w:tcPr>
            <w:tcW w:w="1400" w:type="dxa"/>
            <w:tcBorders>
              <w:top w:val="single" w:sz="4" w:space="0" w:color="70AD47"/>
              <w:left w:val="nil"/>
              <w:bottom w:val="single" w:sz="4" w:space="0" w:color="70AD47"/>
              <w:right w:val="single" w:sz="4" w:space="0" w:color="70AD47"/>
            </w:tcBorders>
            <w:shd w:val="clear" w:color="auto" w:fill="auto"/>
            <w:noWrap/>
            <w:vAlign w:val="bottom"/>
            <w:hideMark/>
          </w:tcPr>
          <w:p w14:paraId="3026FA4F"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0.19779522</w:t>
            </w:r>
          </w:p>
        </w:tc>
      </w:tr>
    </w:tbl>
    <w:p w14:paraId="2ABFB456" w14:textId="1B6EAD46" w:rsidR="00EA0534" w:rsidRDefault="00EA0534" w:rsidP="00EA0534">
      <w:pPr>
        <w:rPr>
          <w:b/>
          <w:bCs/>
        </w:rPr>
      </w:pPr>
    </w:p>
    <w:p w14:paraId="26B92E93" w14:textId="3E29C28F" w:rsidR="00EA0534" w:rsidRDefault="00EA0534" w:rsidP="00EA0534">
      <w:pPr>
        <w:pStyle w:val="ListParagraph"/>
        <w:numPr>
          <w:ilvl w:val="0"/>
          <w:numId w:val="4"/>
        </w:numPr>
        <w:rPr>
          <w:rFonts w:ascii="Times New Roman" w:hAnsi="Times New Roman" w:cs="Times New Roman"/>
          <w:b/>
          <w:bCs/>
        </w:rPr>
      </w:pPr>
      <w:r w:rsidRPr="00EA0534">
        <w:rPr>
          <w:rFonts w:ascii="Times New Roman" w:hAnsi="Times New Roman" w:cs="Times New Roman"/>
          <w:b/>
          <w:bCs/>
        </w:rPr>
        <w:t xml:space="preserve">Health </w:t>
      </w:r>
      <w:r w:rsidR="00491D96">
        <w:rPr>
          <w:rFonts w:ascii="Times New Roman" w:hAnsi="Times New Roman" w:cs="Times New Roman"/>
          <w:b/>
          <w:bCs/>
        </w:rPr>
        <w:t>r</w:t>
      </w:r>
      <w:r w:rsidRPr="00EA0534">
        <w:rPr>
          <w:rFonts w:ascii="Times New Roman" w:hAnsi="Times New Roman" w:cs="Times New Roman"/>
          <w:b/>
          <w:bCs/>
        </w:rPr>
        <w:t xml:space="preserve">isk </w:t>
      </w:r>
      <w:r w:rsidR="00491D96">
        <w:rPr>
          <w:rFonts w:ascii="Times New Roman" w:hAnsi="Times New Roman" w:cs="Times New Roman"/>
          <w:b/>
          <w:bCs/>
        </w:rPr>
        <w:t>average</w:t>
      </w:r>
      <w:r w:rsidRPr="00EA0534">
        <w:rPr>
          <w:rFonts w:ascii="Times New Roman" w:hAnsi="Times New Roman" w:cs="Times New Roman"/>
          <w:b/>
          <w:bCs/>
        </w:rPr>
        <w:t xml:space="preserve"> by VULEOPCT quartile</w:t>
      </w:r>
    </w:p>
    <w:p w14:paraId="64D2EB4E" w14:textId="799E2FE0" w:rsidR="00EA0534" w:rsidRDefault="00EA0534" w:rsidP="00EA0534">
      <w:pPr>
        <w:rPr>
          <w:b/>
          <w:bCs/>
        </w:rPr>
      </w:pPr>
    </w:p>
    <w:tbl>
      <w:tblPr>
        <w:tblW w:w="4260" w:type="dxa"/>
        <w:tblLook w:val="04A0" w:firstRow="1" w:lastRow="0" w:firstColumn="1" w:lastColumn="0" w:noHBand="0" w:noVBand="1"/>
      </w:tblPr>
      <w:tblGrid>
        <w:gridCol w:w="1560"/>
        <w:gridCol w:w="1300"/>
        <w:gridCol w:w="1400"/>
      </w:tblGrid>
      <w:tr w:rsidR="00EA0534" w14:paraId="0390B0BA" w14:textId="77777777" w:rsidTr="00EA0534">
        <w:trPr>
          <w:trHeight w:val="300"/>
        </w:trPr>
        <w:tc>
          <w:tcPr>
            <w:tcW w:w="1560" w:type="dxa"/>
            <w:tcBorders>
              <w:top w:val="single" w:sz="4" w:space="0" w:color="70AD47"/>
              <w:left w:val="single" w:sz="4" w:space="0" w:color="70AD47"/>
              <w:bottom w:val="nil"/>
              <w:right w:val="nil"/>
            </w:tcBorders>
            <w:shd w:val="clear" w:color="70AD47" w:fill="70AD47"/>
            <w:noWrap/>
            <w:vAlign w:val="bottom"/>
            <w:hideMark/>
          </w:tcPr>
          <w:p w14:paraId="7AB6CA78" w14:textId="77777777" w:rsidR="00EA0534" w:rsidRDefault="00EA0534">
            <w:pPr>
              <w:rPr>
                <w:rFonts w:ascii="Calibri" w:hAnsi="Calibri" w:cs="Calibri"/>
                <w:b/>
                <w:bCs/>
                <w:color w:val="FFFFFF"/>
                <w:sz w:val="22"/>
                <w:szCs w:val="22"/>
              </w:rPr>
            </w:pPr>
            <w:r>
              <w:rPr>
                <w:rFonts w:ascii="Calibri" w:hAnsi="Calibri" w:cs="Calibri"/>
                <w:b/>
                <w:bCs/>
                <w:color w:val="FFFFFF"/>
                <w:sz w:val="22"/>
                <w:szCs w:val="22"/>
              </w:rPr>
              <w:t>quartile</w:t>
            </w:r>
          </w:p>
        </w:tc>
        <w:tc>
          <w:tcPr>
            <w:tcW w:w="1300" w:type="dxa"/>
            <w:tcBorders>
              <w:top w:val="single" w:sz="4" w:space="0" w:color="70AD47"/>
              <w:left w:val="nil"/>
              <w:bottom w:val="nil"/>
              <w:right w:val="nil"/>
            </w:tcBorders>
            <w:shd w:val="clear" w:color="70AD47" w:fill="70AD47"/>
            <w:noWrap/>
            <w:vAlign w:val="bottom"/>
            <w:hideMark/>
          </w:tcPr>
          <w:p w14:paraId="5182527C" w14:textId="77777777" w:rsidR="00EA0534" w:rsidRDefault="00EA0534">
            <w:pPr>
              <w:rPr>
                <w:rFonts w:ascii="Calibri" w:hAnsi="Calibri" w:cs="Calibri"/>
                <w:b/>
                <w:bCs/>
                <w:color w:val="FFFFFF"/>
                <w:sz w:val="22"/>
                <w:szCs w:val="22"/>
              </w:rPr>
            </w:pPr>
            <w:r>
              <w:rPr>
                <w:rFonts w:ascii="Calibri" w:hAnsi="Calibri" w:cs="Calibri"/>
                <w:b/>
                <w:bCs/>
                <w:color w:val="FFFFFF"/>
                <w:sz w:val="22"/>
                <w:szCs w:val="22"/>
              </w:rPr>
              <w:t>CANCER</w:t>
            </w:r>
          </w:p>
        </w:tc>
        <w:tc>
          <w:tcPr>
            <w:tcW w:w="1400" w:type="dxa"/>
            <w:tcBorders>
              <w:top w:val="single" w:sz="4" w:space="0" w:color="70AD47"/>
              <w:left w:val="nil"/>
              <w:bottom w:val="nil"/>
              <w:right w:val="single" w:sz="4" w:space="0" w:color="70AD47"/>
            </w:tcBorders>
            <w:shd w:val="clear" w:color="70AD47" w:fill="70AD47"/>
            <w:noWrap/>
            <w:vAlign w:val="bottom"/>
            <w:hideMark/>
          </w:tcPr>
          <w:p w14:paraId="0FA33764" w14:textId="77777777" w:rsidR="00EA0534" w:rsidRDefault="00EA0534">
            <w:pPr>
              <w:rPr>
                <w:rFonts w:ascii="Calibri" w:hAnsi="Calibri" w:cs="Calibri"/>
                <w:b/>
                <w:bCs/>
                <w:color w:val="FFFFFF"/>
                <w:sz w:val="22"/>
                <w:szCs w:val="22"/>
              </w:rPr>
            </w:pPr>
            <w:r>
              <w:rPr>
                <w:rFonts w:ascii="Calibri" w:hAnsi="Calibri" w:cs="Calibri"/>
                <w:b/>
                <w:bCs/>
                <w:color w:val="FFFFFF"/>
                <w:sz w:val="22"/>
                <w:szCs w:val="22"/>
              </w:rPr>
              <w:t>RESP</w:t>
            </w:r>
          </w:p>
        </w:tc>
      </w:tr>
      <w:tr w:rsidR="00EA0534" w14:paraId="5A8B191A" w14:textId="77777777" w:rsidTr="00EA0534">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60D8884A"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1</w:t>
            </w:r>
          </w:p>
        </w:tc>
        <w:tc>
          <w:tcPr>
            <w:tcW w:w="1300" w:type="dxa"/>
            <w:tcBorders>
              <w:top w:val="single" w:sz="4" w:space="0" w:color="70AD47"/>
              <w:left w:val="nil"/>
              <w:bottom w:val="nil"/>
              <w:right w:val="nil"/>
            </w:tcBorders>
            <w:shd w:val="clear" w:color="auto" w:fill="auto"/>
            <w:noWrap/>
            <w:vAlign w:val="bottom"/>
            <w:hideMark/>
          </w:tcPr>
          <w:p w14:paraId="6DF16BFA"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24.6731916</w:t>
            </w:r>
          </w:p>
        </w:tc>
        <w:tc>
          <w:tcPr>
            <w:tcW w:w="1400" w:type="dxa"/>
            <w:tcBorders>
              <w:top w:val="single" w:sz="4" w:space="0" w:color="70AD47"/>
              <w:left w:val="nil"/>
              <w:bottom w:val="nil"/>
              <w:right w:val="single" w:sz="4" w:space="0" w:color="70AD47"/>
            </w:tcBorders>
            <w:shd w:val="clear" w:color="auto" w:fill="auto"/>
            <w:noWrap/>
            <w:vAlign w:val="bottom"/>
            <w:hideMark/>
          </w:tcPr>
          <w:p w14:paraId="61C841A4"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0.31071314</w:t>
            </w:r>
          </w:p>
        </w:tc>
      </w:tr>
      <w:tr w:rsidR="00EA0534" w14:paraId="1B0DC161" w14:textId="77777777" w:rsidTr="00EA0534">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254EE332"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2</w:t>
            </w:r>
          </w:p>
        </w:tc>
        <w:tc>
          <w:tcPr>
            <w:tcW w:w="1300" w:type="dxa"/>
            <w:tcBorders>
              <w:top w:val="single" w:sz="4" w:space="0" w:color="70AD47"/>
              <w:left w:val="nil"/>
              <w:bottom w:val="nil"/>
              <w:right w:val="nil"/>
            </w:tcBorders>
            <w:shd w:val="clear" w:color="auto" w:fill="auto"/>
            <w:noWrap/>
            <w:vAlign w:val="bottom"/>
            <w:hideMark/>
          </w:tcPr>
          <w:p w14:paraId="5E6ECC74"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25.4697833</w:t>
            </w:r>
          </w:p>
        </w:tc>
        <w:tc>
          <w:tcPr>
            <w:tcW w:w="1400" w:type="dxa"/>
            <w:tcBorders>
              <w:top w:val="single" w:sz="4" w:space="0" w:color="70AD47"/>
              <w:left w:val="nil"/>
              <w:bottom w:val="nil"/>
              <w:right w:val="single" w:sz="4" w:space="0" w:color="70AD47"/>
            </w:tcBorders>
            <w:shd w:val="clear" w:color="auto" w:fill="auto"/>
            <w:noWrap/>
            <w:vAlign w:val="bottom"/>
            <w:hideMark/>
          </w:tcPr>
          <w:p w14:paraId="5BA66F6E"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0.31421568</w:t>
            </w:r>
          </w:p>
        </w:tc>
      </w:tr>
      <w:tr w:rsidR="00EA0534" w14:paraId="6B9C69F6" w14:textId="77777777" w:rsidTr="00EA0534">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79C067B9"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3</w:t>
            </w:r>
          </w:p>
        </w:tc>
        <w:tc>
          <w:tcPr>
            <w:tcW w:w="1300" w:type="dxa"/>
            <w:tcBorders>
              <w:top w:val="single" w:sz="4" w:space="0" w:color="70AD47"/>
              <w:left w:val="nil"/>
              <w:bottom w:val="nil"/>
              <w:right w:val="nil"/>
            </w:tcBorders>
            <w:shd w:val="clear" w:color="auto" w:fill="auto"/>
            <w:noWrap/>
            <w:vAlign w:val="bottom"/>
            <w:hideMark/>
          </w:tcPr>
          <w:p w14:paraId="65581AF7"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27.2449976</w:t>
            </w:r>
          </w:p>
        </w:tc>
        <w:tc>
          <w:tcPr>
            <w:tcW w:w="1400" w:type="dxa"/>
            <w:tcBorders>
              <w:top w:val="single" w:sz="4" w:space="0" w:color="70AD47"/>
              <w:left w:val="nil"/>
              <w:bottom w:val="nil"/>
              <w:right w:val="single" w:sz="4" w:space="0" w:color="70AD47"/>
            </w:tcBorders>
            <w:shd w:val="clear" w:color="auto" w:fill="auto"/>
            <w:noWrap/>
            <w:vAlign w:val="bottom"/>
            <w:hideMark/>
          </w:tcPr>
          <w:p w14:paraId="000F7231"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0.33105717</w:t>
            </w:r>
          </w:p>
        </w:tc>
      </w:tr>
      <w:tr w:rsidR="00EA0534" w14:paraId="4E1647EF" w14:textId="77777777" w:rsidTr="00EA0534">
        <w:trPr>
          <w:trHeight w:val="300"/>
        </w:trPr>
        <w:tc>
          <w:tcPr>
            <w:tcW w:w="1560" w:type="dxa"/>
            <w:tcBorders>
              <w:top w:val="single" w:sz="4" w:space="0" w:color="70AD47"/>
              <w:left w:val="single" w:sz="4" w:space="0" w:color="70AD47"/>
              <w:bottom w:val="single" w:sz="4" w:space="0" w:color="70AD47"/>
              <w:right w:val="nil"/>
            </w:tcBorders>
            <w:shd w:val="clear" w:color="auto" w:fill="auto"/>
            <w:noWrap/>
            <w:vAlign w:val="bottom"/>
            <w:hideMark/>
          </w:tcPr>
          <w:p w14:paraId="6A99E9FE"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4</w:t>
            </w:r>
          </w:p>
        </w:tc>
        <w:tc>
          <w:tcPr>
            <w:tcW w:w="1300" w:type="dxa"/>
            <w:tcBorders>
              <w:top w:val="single" w:sz="4" w:space="0" w:color="70AD47"/>
              <w:left w:val="nil"/>
              <w:bottom w:val="single" w:sz="4" w:space="0" w:color="70AD47"/>
              <w:right w:val="nil"/>
            </w:tcBorders>
            <w:shd w:val="clear" w:color="auto" w:fill="auto"/>
            <w:noWrap/>
            <w:vAlign w:val="bottom"/>
            <w:hideMark/>
          </w:tcPr>
          <w:p w14:paraId="2DB2A4D8"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30.3423626</w:t>
            </w:r>
          </w:p>
        </w:tc>
        <w:tc>
          <w:tcPr>
            <w:tcW w:w="1400" w:type="dxa"/>
            <w:tcBorders>
              <w:top w:val="single" w:sz="4" w:space="0" w:color="70AD47"/>
              <w:left w:val="nil"/>
              <w:bottom w:val="single" w:sz="4" w:space="0" w:color="70AD47"/>
              <w:right w:val="single" w:sz="4" w:space="0" w:color="70AD47"/>
            </w:tcBorders>
            <w:shd w:val="clear" w:color="auto" w:fill="auto"/>
            <w:noWrap/>
            <w:vAlign w:val="bottom"/>
            <w:hideMark/>
          </w:tcPr>
          <w:p w14:paraId="396AB7B4" w14:textId="77777777" w:rsidR="00EA0534" w:rsidRDefault="00EA0534">
            <w:pPr>
              <w:jc w:val="right"/>
              <w:rPr>
                <w:rFonts w:ascii="Calibri" w:hAnsi="Calibri" w:cs="Calibri"/>
                <w:color w:val="000000"/>
                <w:sz w:val="22"/>
                <w:szCs w:val="22"/>
              </w:rPr>
            </w:pPr>
            <w:r>
              <w:rPr>
                <w:rFonts w:ascii="Calibri" w:hAnsi="Calibri" w:cs="Calibri"/>
                <w:color w:val="000000"/>
                <w:sz w:val="22"/>
                <w:szCs w:val="22"/>
              </w:rPr>
              <w:t>0.38428279</w:t>
            </w:r>
          </w:p>
        </w:tc>
      </w:tr>
    </w:tbl>
    <w:p w14:paraId="449FA5ED" w14:textId="47D289F8" w:rsidR="00EA0534" w:rsidRDefault="00EA0534" w:rsidP="00EA0534">
      <w:pPr>
        <w:rPr>
          <w:b/>
          <w:bCs/>
        </w:rPr>
      </w:pPr>
    </w:p>
    <w:p w14:paraId="7303C961" w14:textId="0F65C534" w:rsidR="00EA0534" w:rsidRPr="00491D96" w:rsidRDefault="00491D96" w:rsidP="00491D96">
      <w:pPr>
        <w:pStyle w:val="ListParagraph"/>
        <w:numPr>
          <w:ilvl w:val="0"/>
          <w:numId w:val="4"/>
        </w:numPr>
        <w:rPr>
          <w:rFonts w:ascii="Times New Roman" w:hAnsi="Times New Roman" w:cs="Times New Roman"/>
          <w:b/>
          <w:bCs/>
        </w:rPr>
      </w:pPr>
      <w:r w:rsidRPr="00491D96">
        <w:rPr>
          <w:rFonts w:ascii="Times New Roman" w:hAnsi="Times New Roman" w:cs="Times New Roman"/>
          <w:b/>
          <w:bCs/>
        </w:rPr>
        <w:t>Mean number of wells per block group by VULEOPCT quartile</w:t>
      </w:r>
    </w:p>
    <w:p w14:paraId="4E4B08C6" w14:textId="625ABAB4" w:rsidR="00491D96" w:rsidRDefault="00491D96" w:rsidP="00491D96">
      <w:pPr>
        <w:rPr>
          <w:b/>
          <w:bCs/>
        </w:rPr>
      </w:pPr>
    </w:p>
    <w:tbl>
      <w:tblPr>
        <w:tblW w:w="2960" w:type="dxa"/>
        <w:tblLook w:val="04A0" w:firstRow="1" w:lastRow="0" w:firstColumn="1" w:lastColumn="0" w:noHBand="0" w:noVBand="1"/>
      </w:tblPr>
      <w:tblGrid>
        <w:gridCol w:w="1560"/>
        <w:gridCol w:w="1400"/>
      </w:tblGrid>
      <w:tr w:rsidR="00491D96" w14:paraId="41027F3E" w14:textId="77777777" w:rsidTr="00491D96">
        <w:trPr>
          <w:trHeight w:val="300"/>
        </w:trPr>
        <w:tc>
          <w:tcPr>
            <w:tcW w:w="1560" w:type="dxa"/>
            <w:tcBorders>
              <w:top w:val="single" w:sz="4" w:space="0" w:color="70AD47"/>
              <w:left w:val="single" w:sz="4" w:space="0" w:color="70AD47"/>
              <w:bottom w:val="nil"/>
              <w:right w:val="nil"/>
            </w:tcBorders>
            <w:shd w:val="clear" w:color="70AD47" w:fill="70AD47"/>
            <w:noWrap/>
            <w:vAlign w:val="bottom"/>
            <w:hideMark/>
          </w:tcPr>
          <w:p w14:paraId="043FF11A" w14:textId="77777777" w:rsidR="00491D96" w:rsidRDefault="00491D96">
            <w:pPr>
              <w:rPr>
                <w:rFonts w:ascii="Calibri" w:hAnsi="Calibri" w:cs="Calibri"/>
                <w:b/>
                <w:bCs/>
                <w:color w:val="FFFFFF"/>
                <w:sz w:val="22"/>
                <w:szCs w:val="22"/>
              </w:rPr>
            </w:pPr>
            <w:proofErr w:type="spellStart"/>
            <w:r>
              <w:rPr>
                <w:rFonts w:ascii="Calibri" w:hAnsi="Calibri" w:cs="Calibri"/>
                <w:b/>
                <w:bCs/>
                <w:color w:val="FFFFFF"/>
                <w:sz w:val="22"/>
                <w:szCs w:val="22"/>
              </w:rPr>
              <w:t>quartile_label</w:t>
            </w:r>
            <w:proofErr w:type="spellEnd"/>
          </w:p>
        </w:tc>
        <w:tc>
          <w:tcPr>
            <w:tcW w:w="1400" w:type="dxa"/>
            <w:tcBorders>
              <w:top w:val="single" w:sz="4" w:space="0" w:color="70AD47"/>
              <w:left w:val="nil"/>
              <w:bottom w:val="nil"/>
              <w:right w:val="single" w:sz="4" w:space="0" w:color="70AD47"/>
            </w:tcBorders>
            <w:shd w:val="clear" w:color="70AD47" w:fill="70AD47"/>
            <w:noWrap/>
            <w:vAlign w:val="bottom"/>
            <w:hideMark/>
          </w:tcPr>
          <w:p w14:paraId="24112699" w14:textId="77777777" w:rsidR="00491D96" w:rsidRDefault="00491D96">
            <w:pPr>
              <w:rPr>
                <w:rFonts w:ascii="Calibri" w:hAnsi="Calibri" w:cs="Calibri"/>
                <w:b/>
                <w:bCs/>
                <w:color w:val="FFFFFF"/>
                <w:sz w:val="22"/>
                <w:szCs w:val="22"/>
              </w:rPr>
            </w:pPr>
            <w:r>
              <w:rPr>
                <w:rFonts w:ascii="Calibri" w:hAnsi="Calibri" w:cs="Calibri"/>
                <w:b/>
                <w:bCs/>
                <w:color w:val="FFFFFF"/>
                <w:sz w:val="22"/>
                <w:szCs w:val="22"/>
              </w:rPr>
              <w:t>NUMPOINTS</w:t>
            </w:r>
          </w:p>
        </w:tc>
      </w:tr>
      <w:tr w:rsidR="00491D96" w14:paraId="07BDCAB2" w14:textId="77777777" w:rsidTr="00491D96">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17D84830"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single" w:sz="4" w:space="0" w:color="70AD47"/>
              <w:left w:val="nil"/>
              <w:bottom w:val="nil"/>
              <w:right w:val="single" w:sz="4" w:space="0" w:color="70AD47"/>
            </w:tcBorders>
            <w:shd w:val="clear" w:color="auto" w:fill="auto"/>
            <w:noWrap/>
            <w:vAlign w:val="bottom"/>
            <w:hideMark/>
          </w:tcPr>
          <w:p w14:paraId="5F562B08"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4.17727273</w:t>
            </w:r>
          </w:p>
        </w:tc>
      </w:tr>
      <w:tr w:rsidR="00491D96" w14:paraId="7F993212" w14:textId="77777777" w:rsidTr="00491D96">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1715BAA6"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2</w:t>
            </w:r>
          </w:p>
        </w:tc>
        <w:tc>
          <w:tcPr>
            <w:tcW w:w="1400" w:type="dxa"/>
            <w:tcBorders>
              <w:top w:val="single" w:sz="4" w:space="0" w:color="70AD47"/>
              <w:left w:val="nil"/>
              <w:bottom w:val="nil"/>
              <w:right w:val="single" w:sz="4" w:space="0" w:color="70AD47"/>
            </w:tcBorders>
            <w:shd w:val="clear" w:color="auto" w:fill="auto"/>
            <w:noWrap/>
            <w:vAlign w:val="bottom"/>
            <w:hideMark/>
          </w:tcPr>
          <w:p w14:paraId="37A63DAF"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15.4391354</w:t>
            </w:r>
          </w:p>
        </w:tc>
      </w:tr>
      <w:tr w:rsidR="00491D96" w14:paraId="0798FDB1" w14:textId="77777777" w:rsidTr="00491D96">
        <w:trPr>
          <w:trHeight w:val="300"/>
        </w:trPr>
        <w:tc>
          <w:tcPr>
            <w:tcW w:w="1560" w:type="dxa"/>
            <w:tcBorders>
              <w:top w:val="single" w:sz="4" w:space="0" w:color="70AD47"/>
              <w:left w:val="single" w:sz="4" w:space="0" w:color="70AD47"/>
              <w:bottom w:val="nil"/>
              <w:right w:val="nil"/>
            </w:tcBorders>
            <w:shd w:val="clear" w:color="auto" w:fill="auto"/>
            <w:noWrap/>
            <w:vAlign w:val="bottom"/>
            <w:hideMark/>
          </w:tcPr>
          <w:p w14:paraId="3322D207"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single" w:sz="4" w:space="0" w:color="70AD47"/>
              <w:left w:val="nil"/>
              <w:bottom w:val="nil"/>
              <w:right w:val="single" w:sz="4" w:space="0" w:color="70AD47"/>
            </w:tcBorders>
            <w:shd w:val="clear" w:color="auto" w:fill="auto"/>
            <w:noWrap/>
            <w:vAlign w:val="bottom"/>
            <w:hideMark/>
          </w:tcPr>
          <w:p w14:paraId="59E02930"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15.0659841</w:t>
            </w:r>
          </w:p>
        </w:tc>
      </w:tr>
      <w:tr w:rsidR="00491D96" w14:paraId="24C27949" w14:textId="77777777" w:rsidTr="00491D96">
        <w:trPr>
          <w:trHeight w:val="300"/>
        </w:trPr>
        <w:tc>
          <w:tcPr>
            <w:tcW w:w="1560" w:type="dxa"/>
            <w:tcBorders>
              <w:top w:val="single" w:sz="4" w:space="0" w:color="70AD47"/>
              <w:left w:val="single" w:sz="4" w:space="0" w:color="70AD47"/>
              <w:bottom w:val="single" w:sz="4" w:space="0" w:color="70AD47"/>
              <w:right w:val="nil"/>
            </w:tcBorders>
            <w:shd w:val="clear" w:color="auto" w:fill="auto"/>
            <w:noWrap/>
            <w:vAlign w:val="bottom"/>
            <w:hideMark/>
          </w:tcPr>
          <w:p w14:paraId="13492E52"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4</w:t>
            </w:r>
          </w:p>
        </w:tc>
        <w:tc>
          <w:tcPr>
            <w:tcW w:w="1400" w:type="dxa"/>
            <w:tcBorders>
              <w:top w:val="single" w:sz="4" w:space="0" w:color="70AD47"/>
              <w:left w:val="nil"/>
              <w:bottom w:val="single" w:sz="4" w:space="0" w:color="70AD47"/>
              <w:right w:val="single" w:sz="4" w:space="0" w:color="70AD47"/>
            </w:tcBorders>
            <w:shd w:val="clear" w:color="auto" w:fill="auto"/>
            <w:noWrap/>
            <w:vAlign w:val="bottom"/>
            <w:hideMark/>
          </w:tcPr>
          <w:p w14:paraId="7982AA0C" w14:textId="77777777" w:rsidR="00491D96" w:rsidRDefault="00491D96">
            <w:pPr>
              <w:jc w:val="right"/>
              <w:rPr>
                <w:rFonts w:ascii="Calibri" w:hAnsi="Calibri" w:cs="Calibri"/>
                <w:color w:val="000000"/>
                <w:sz w:val="22"/>
                <w:szCs w:val="22"/>
              </w:rPr>
            </w:pPr>
            <w:r>
              <w:rPr>
                <w:rFonts w:ascii="Calibri" w:hAnsi="Calibri" w:cs="Calibri"/>
                <w:color w:val="000000"/>
                <w:sz w:val="22"/>
                <w:szCs w:val="22"/>
              </w:rPr>
              <w:t>7.51422071</w:t>
            </w:r>
          </w:p>
        </w:tc>
      </w:tr>
    </w:tbl>
    <w:p w14:paraId="4DB96AC6" w14:textId="77777777" w:rsidR="00491D96" w:rsidRPr="00491D96" w:rsidRDefault="00491D96" w:rsidP="00491D96">
      <w:pPr>
        <w:rPr>
          <w:b/>
          <w:bCs/>
        </w:rPr>
      </w:pPr>
    </w:p>
    <w:p w14:paraId="06F5884C" w14:textId="2C0E5459" w:rsidR="005A6AB1" w:rsidRDefault="007049B6" w:rsidP="005A6AB1">
      <w:pPr>
        <w:pStyle w:val="ListParagraph"/>
        <w:numPr>
          <w:ilvl w:val="0"/>
          <w:numId w:val="4"/>
        </w:numPr>
        <w:rPr>
          <w:rFonts w:ascii="Times New Roman" w:hAnsi="Times New Roman" w:cs="Times New Roman"/>
          <w:b/>
          <w:bCs/>
        </w:rPr>
      </w:pPr>
      <w:r w:rsidRPr="005A6AB1">
        <w:rPr>
          <w:rFonts w:ascii="Times New Roman" w:hAnsi="Times New Roman" w:cs="Times New Roman"/>
          <w:b/>
          <w:bCs/>
        </w:rPr>
        <w:t>Non-DIC average health risks</w:t>
      </w:r>
      <w:r w:rsidR="005A6AB1" w:rsidRPr="005A6AB1">
        <w:rPr>
          <w:rFonts w:ascii="Times New Roman" w:hAnsi="Times New Roman" w:cs="Times New Roman"/>
          <w:b/>
          <w:bCs/>
        </w:rPr>
        <w:t xml:space="preserve">, </w:t>
      </w:r>
      <w:r w:rsidRPr="005A6AB1">
        <w:rPr>
          <w:rFonts w:ascii="Times New Roman" w:hAnsi="Times New Roman" w:cs="Times New Roman"/>
          <w:b/>
          <w:bCs/>
        </w:rPr>
        <w:t>proximity to pollution</w:t>
      </w:r>
      <w:r w:rsidR="005A6AB1" w:rsidRPr="005A6AB1">
        <w:rPr>
          <w:rFonts w:ascii="Times New Roman" w:hAnsi="Times New Roman" w:cs="Times New Roman"/>
          <w:b/>
          <w:bCs/>
        </w:rPr>
        <w:t>,</w:t>
      </w:r>
      <w:r w:rsidRPr="005A6AB1">
        <w:rPr>
          <w:rFonts w:ascii="Times New Roman" w:hAnsi="Times New Roman" w:cs="Times New Roman"/>
          <w:b/>
          <w:bCs/>
        </w:rPr>
        <w:t xml:space="preserve"> and n</w:t>
      </w:r>
      <w:r w:rsidR="005A6AB1" w:rsidRPr="005A6AB1">
        <w:rPr>
          <w:rFonts w:ascii="Times New Roman" w:hAnsi="Times New Roman" w:cs="Times New Roman"/>
          <w:b/>
          <w:bCs/>
        </w:rPr>
        <w:t>umber of fracking wells</w:t>
      </w:r>
    </w:p>
    <w:p w14:paraId="3CC6A14A" w14:textId="148623E9" w:rsidR="005A6AB1" w:rsidRDefault="005A6AB1" w:rsidP="005A6AB1">
      <w:pPr>
        <w:rPr>
          <w:b/>
          <w:bCs/>
        </w:rPr>
      </w:pPr>
    </w:p>
    <w:tbl>
      <w:tblPr>
        <w:tblW w:w="9640" w:type="dxa"/>
        <w:tblLook w:val="04A0" w:firstRow="1" w:lastRow="0" w:firstColumn="1" w:lastColumn="0" w:noHBand="0" w:noVBand="1"/>
      </w:tblPr>
      <w:tblGrid>
        <w:gridCol w:w="1040"/>
        <w:gridCol w:w="1400"/>
        <w:gridCol w:w="1420"/>
        <w:gridCol w:w="959"/>
        <w:gridCol w:w="669"/>
        <w:gridCol w:w="840"/>
        <w:gridCol w:w="1000"/>
        <w:gridCol w:w="1000"/>
        <w:gridCol w:w="1440"/>
      </w:tblGrid>
      <w:tr w:rsidR="005A6AB1" w14:paraId="55F2CF95" w14:textId="77777777" w:rsidTr="005A6AB1">
        <w:trPr>
          <w:trHeight w:val="300"/>
        </w:trPr>
        <w:tc>
          <w:tcPr>
            <w:tcW w:w="1040" w:type="dxa"/>
            <w:tcBorders>
              <w:top w:val="single" w:sz="4" w:space="0" w:color="70AD47"/>
              <w:left w:val="single" w:sz="4" w:space="0" w:color="70AD47"/>
              <w:bottom w:val="nil"/>
              <w:right w:val="nil"/>
            </w:tcBorders>
            <w:shd w:val="clear" w:color="70AD47" w:fill="70AD47"/>
            <w:noWrap/>
            <w:vAlign w:val="bottom"/>
            <w:hideMark/>
          </w:tcPr>
          <w:p w14:paraId="26710F8E"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quartile</w:t>
            </w:r>
          </w:p>
        </w:tc>
        <w:tc>
          <w:tcPr>
            <w:tcW w:w="1400" w:type="dxa"/>
            <w:tcBorders>
              <w:top w:val="single" w:sz="4" w:space="0" w:color="70AD47"/>
              <w:left w:val="nil"/>
              <w:bottom w:val="nil"/>
              <w:right w:val="nil"/>
            </w:tcBorders>
            <w:shd w:val="clear" w:color="70AD47" w:fill="70AD47"/>
            <w:noWrap/>
            <w:vAlign w:val="bottom"/>
            <w:hideMark/>
          </w:tcPr>
          <w:p w14:paraId="5A6E9459"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MINORPCT</w:t>
            </w:r>
          </w:p>
        </w:tc>
        <w:tc>
          <w:tcPr>
            <w:tcW w:w="1420" w:type="dxa"/>
            <w:tcBorders>
              <w:top w:val="single" w:sz="4" w:space="0" w:color="70AD47"/>
              <w:left w:val="nil"/>
              <w:bottom w:val="nil"/>
              <w:right w:val="nil"/>
            </w:tcBorders>
            <w:shd w:val="clear" w:color="70AD47" w:fill="70AD47"/>
            <w:noWrap/>
            <w:vAlign w:val="bottom"/>
            <w:hideMark/>
          </w:tcPr>
          <w:p w14:paraId="5F3E0B66"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LOWINCPCT</w:t>
            </w:r>
          </w:p>
        </w:tc>
        <w:tc>
          <w:tcPr>
            <w:tcW w:w="880" w:type="dxa"/>
            <w:tcBorders>
              <w:top w:val="single" w:sz="4" w:space="0" w:color="70AD47"/>
              <w:left w:val="nil"/>
              <w:bottom w:val="nil"/>
              <w:right w:val="nil"/>
            </w:tcBorders>
            <w:shd w:val="clear" w:color="70AD47" w:fill="70AD47"/>
            <w:noWrap/>
            <w:vAlign w:val="bottom"/>
            <w:hideMark/>
          </w:tcPr>
          <w:p w14:paraId="6A482590"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CANCER</w:t>
            </w:r>
          </w:p>
        </w:tc>
        <w:tc>
          <w:tcPr>
            <w:tcW w:w="620" w:type="dxa"/>
            <w:tcBorders>
              <w:top w:val="single" w:sz="4" w:space="0" w:color="70AD47"/>
              <w:left w:val="nil"/>
              <w:bottom w:val="nil"/>
              <w:right w:val="nil"/>
            </w:tcBorders>
            <w:shd w:val="clear" w:color="70AD47" w:fill="70AD47"/>
            <w:noWrap/>
            <w:vAlign w:val="bottom"/>
            <w:hideMark/>
          </w:tcPr>
          <w:p w14:paraId="6CD5F986"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RESP</w:t>
            </w:r>
          </w:p>
        </w:tc>
        <w:tc>
          <w:tcPr>
            <w:tcW w:w="840" w:type="dxa"/>
            <w:tcBorders>
              <w:top w:val="single" w:sz="4" w:space="0" w:color="70AD47"/>
              <w:left w:val="nil"/>
              <w:bottom w:val="nil"/>
              <w:right w:val="nil"/>
            </w:tcBorders>
            <w:shd w:val="clear" w:color="70AD47" w:fill="70AD47"/>
            <w:noWrap/>
            <w:vAlign w:val="bottom"/>
            <w:hideMark/>
          </w:tcPr>
          <w:p w14:paraId="67D27F51"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PNPL</w:t>
            </w:r>
          </w:p>
        </w:tc>
        <w:tc>
          <w:tcPr>
            <w:tcW w:w="1000" w:type="dxa"/>
            <w:tcBorders>
              <w:top w:val="single" w:sz="4" w:space="0" w:color="70AD47"/>
              <w:left w:val="nil"/>
              <w:bottom w:val="nil"/>
              <w:right w:val="nil"/>
            </w:tcBorders>
            <w:shd w:val="clear" w:color="70AD47" w:fill="70AD47"/>
            <w:noWrap/>
            <w:vAlign w:val="bottom"/>
            <w:hideMark/>
          </w:tcPr>
          <w:p w14:paraId="116B2729"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PRMP</w:t>
            </w:r>
          </w:p>
        </w:tc>
        <w:tc>
          <w:tcPr>
            <w:tcW w:w="1000" w:type="dxa"/>
            <w:tcBorders>
              <w:top w:val="single" w:sz="4" w:space="0" w:color="70AD47"/>
              <w:left w:val="nil"/>
              <w:bottom w:val="nil"/>
              <w:right w:val="nil"/>
            </w:tcBorders>
            <w:shd w:val="clear" w:color="70AD47" w:fill="70AD47"/>
            <w:noWrap/>
            <w:vAlign w:val="bottom"/>
            <w:hideMark/>
          </w:tcPr>
          <w:p w14:paraId="56CA167A" w14:textId="77777777" w:rsidR="005A6AB1" w:rsidRDefault="005A6AB1">
            <w:pPr>
              <w:rPr>
                <w:rFonts w:ascii="Calibri" w:hAnsi="Calibri" w:cs="Calibri"/>
                <w:b/>
                <w:bCs/>
                <w:color w:val="FFFFFF"/>
                <w:sz w:val="22"/>
                <w:szCs w:val="22"/>
              </w:rPr>
            </w:pPr>
            <w:r>
              <w:rPr>
                <w:rFonts w:ascii="Calibri" w:hAnsi="Calibri" w:cs="Calibri"/>
                <w:b/>
                <w:bCs/>
                <w:color w:val="FFFFFF"/>
                <w:sz w:val="22"/>
                <w:szCs w:val="22"/>
              </w:rPr>
              <w:t>PTSDF</w:t>
            </w:r>
          </w:p>
        </w:tc>
        <w:tc>
          <w:tcPr>
            <w:tcW w:w="1440" w:type="dxa"/>
            <w:tcBorders>
              <w:top w:val="single" w:sz="4" w:space="0" w:color="70AD47"/>
              <w:left w:val="nil"/>
              <w:bottom w:val="nil"/>
              <w:right w:val="single" w:sz="4" w:space="0" w:color="70AD47"/>
            </w:tcBorders>
            <w:shd w:val="clear" w:color="70AD47" w:fill="70AD47"/>
            <w:noWrap/>
            <w:vAlign w:val="bottom"/>
            <w:hideMark/>
          </w:tcPr>
          <w:p w14:paraId="21CD2435" w14:textId="77777777" w:rsidR="005A6AB1" w:rsidRDefault="005A6AB1">
            <w:pPr>
              <w:rPr>
                <w:rFonts w:ascii="Calibri" w:hAnsi="Calibri" w:cs="Calibri"/>
                <w:b/>
                <w:bCs/>
                <w:color w:val="FFFFFF"/>
                <w:sz w:val="22"/>
                <w:szCs w:val="22"/>
              </w:rPr>
            </w:pPr>
            <w:proofErr w:type="spellStart"/>
            <w:r>
              <w:rPr>
                <w:rFonts w:ascii="Calibri" w:hAnsi="Calibri" w:cs="Calibri"/>
                <w:b/>
                <w:bCs/>
                <w:color w:val="FFFFFF"/>
                <w:sz w:val="22"/>
                <w:szCs w:val="22"/>
              </w:rPr>
              <w:t>numpoints</w:t>
            </w:r>
            <w:proofErr w:type="spellEnd"/>
          </w:p>
        </w:tc>
      </w:tr>
      <w:tr w:rsidR="005A6AB1" w14:paraId="19583BD1" w14:textId="77777777" w:rsidTr="005A6AB1">
        <w:trPr>
          <w:trHeight w:val="300"/>
        </w:trPr>
        <w:tc>
          <w:tcPr>
            <w:tcW w:w="1040" w:type="dxa"/>
            <w:tcBorders>
              <w:top w:val="single" w:sz="4" w:space="0" w:color="70AD47"/>
              <w:left w:val="single" w:sz="4" w:space="0" w:color="70AD47"/>
              <w:bottom w:val="nil"/>
              <w:right w:val="nil"/>
            </w:tcBorders>
            <w:shd w:val="clear" w:color="auto" w:fill="auto"/>
            <w:noWrap/>
            <w:vAlign w:val="bottom"/>
            <w:hideMark/>
          </w:tcPr>
          <w:p w14:paraId="5F126829"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1</w:t>
            </w:r>
          </w:p>
        </w:tc>
        <w:tc>
          <w:tcPr>
            <w:tcW w:w="1400" w:type="dxa"/>
            <w:tcBorders>
              <w:top w:val="single" w:sz="4" w:space="0" w:color="70AD47"/>
              <w:left w:val="nil"/>
              <w:bottom w:val="nil"/>
              <w:right w:val="nil"/>
            </w:tcBorders>
            <w:shd w:val="clear" w:color="auto" w:fill="auto"/>
            <w:noWrap/>
            <w:vAlign w:val="bottom"/>
            <w:hideMark/>
          </w:tcPr>
          <w:p w14:paraId="6032CF59"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0.12</w:t>
            </w:r>
          </w:p>
        </w:tc>
        <w:tc>
          <w:tcPr>
            <w:tcW w:w="1420" w:type="dxa"/>
            <w:tcBorders>
              <w:top w:val="single" w:sz="4" w:space="0" w:color="70AD47"/>
              <w:left w:val="nil"/>
              <w:bottom w:val="nil"/>
              <w:right w:val="nil"/>
            </w:tcBorders>
            <w:shd w:val="clear" w:color="auto" w:fill="auto"/>
            <w:noWrap/>
            <w:vAlign w:val="bottom"/>
            <w:hideMark/>
          </w:tcPr>
          <w:p w14:paraId="18497D19"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0.10</w:t>
            </w:r>
          </w:p>
        </w:tc>
        <w:tc>
          <w:tcPr>
            <w:tcW w:w="880" w:type="dxa"/>
            <w:tcBorders>
              <w:top w:val="single" w:sz="4" w:space="0" w:color="70AD47"/>
              <w:left w:val="nil"/>
              <w:bottom w:val="nil"/>
              <w:right w:val="nil"/>
            </w:tcBorders>
            <w:shd w:val="clear" w:color="auto" w:fill="auto"/>
            <w:noWrap/>
            <w:vAlign w:val="bottom"/>
            <w:hideMark/>
          </w:tcPr>
          <w:p w14:paraId="5650F3E9"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25.84</w:t>
            </w:r>
          </w:p>
        </w:tc>
        <w:tc>
          <w:tcPr>
            <w:tcW w:w="620" w:type="dxa"/>
            <w:tcBorders>
              <w:top w:val="single" w:sz="4" w:space="0" w:color="70AD47"/>
              <w:left w:val="nil"/>
              <w:bottom w:val="nil"/>
              <w:right w:val="nil"/>
            </w:tcBorders>
            <w:shd w:val="clear" w:color="auto" w:fill="auto"/>
            <w:noWrap/>
            <w:vAlign w:val="bottom"/>
            <w:hideMark/>
          </w:tcPr>
          <w:p w14:paraId="7AAA0496"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0.39</w:t>
            </w:r>
          </w:p>
        </w:tc>
        <w:tc>
          <w:tcPr>
            <w:tcW w:w="840" w:type="dxa"/>
            <w:tcBorders>
              <w:top w:val="single" w:sz="4" w:space="0" w:color="70AD47"/>
              <w:left w:val="nil"/>
              <w:bottom w:val="nil"/>
              <w:right w:val="nil"/>
            </w:tcBorders>
            <w:shd w:val="clear" w:color="auto" w:fill="auto"/>
            <w:noWrap/>
            <w:vAlign w:val="bottom"/>
            <w:hideMark/>
          </w:tcPr>
          <w:p w14:paraId="677EF19D"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0.03</w:t>
            </w:r>
          </w:p>
        </w:tc>
        <w:tc>
          <w:tcPr>
            <w:tcW w:w="1000" w:type="dxa"/>
            <w:tcBorders>
              <w:top w:val="single" w:sz="4" w:space="0" w:color="70AD47"/>
              <w:left w:val="nil"/>
              <w:bottom w:val="nil"/>
              <w:right w:val="nil"/>
            </w:tcBorders>
            <w:shd w:val="clear" w:color="auto" w:fill="auto"/>
            <w:noWrap/>
            <w:vAlign w:val="bottom"/>
            <w:hideMark/>
          </w:tcPr>
          <w:p w14:paraId="0C080F72"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0.29</w:t>
            </w:r>
          </w:p>
        </w:tc>
        <w:tc>
          <w:tcPr>
            <w:tcW w:w="1000" w:type="dxa"/>
            <w:tcBorders>
              <w:top w:val="single" w:sz="4" w:space="0" w:color="70AD47"/>
              <w:left w:val="nil"/>
              <w:bottom w:val="nil"/>
              <w:right w:val="nil"/>
            </w:tcBorders>
            <w:shd w:val="clear" w:color="auto" w:fill="auto"/>
            <w:noWrap/>
            <w:vAlign w:val="bottom"/>
            <w:hideMark/>
          </w:tcPr>
          <w:p w14:paraId="2C45421C"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0.30</w:t>
            </w:r>
          </w:p>
        </w:tc>
        <w:tc>
          <w:tcPr>
            <w:tcW w:w="1440" w:type="dxa"/>
            <w:tcBorders>
              <w:top w:val="single" w:sz="4" w:space="0" w:color="70AD47"/>
              <w:left w:val="nil"/>
              <w:bottom w:val="nil"/>
              <w:right w:val="single" w:sz="4" w:space="0" w:color="70AD47"/>
            </w:tcBorders>
            <w:shd w:val="clear" w:color="auto" w:fill="auto"/>
            <w:noWrap/>
            <w:vAlign w:val="bottom"/>
            <w:hideMark/>
          </w:tcPr>
          <w:p w14:paraId="780600C3"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56.25</w:t>
            </w:r>
          </w:p>
        </w:tc>
      </w:tr>
      <w:tr w:rsidR="005A6AB1" w14:paraId="6C8CD5F1" w14:textId="77777777" w:rsidTr="005A6AB1">
        <w:trPr>
          <w:trHeight w:val="300"/>
        </w:trPr>
        <w:tc>
          <w:tcPr>
            <w:tcW w:w="1040" w:type="dxa"/>
            <w:tcBorders>
              <w:top w:val="single" w:sz="4" w:space="0" w:color="70AD47"/>
              <w:left w:val="single" w:sz="4" w:space="0" w:color="70AD47"/>
              <w:bottom w:val="nil"/>
              <w:right w:val="nil"/>
            </w:tcBorders>
            <w:shd w:val="clear" w:color="auto" w:fill="auto"/>
            <w:noWrap/>
            <w:vAlign w:val="bottom"/>
            <w:hideMark/>
          </w:tcPr>
          <w:p w14:paraId="68FB87E1"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2</w:t>
            </w:r>
          </w:p>
        </w:tc>
        <w:tc>
          <w:tcPr>
            <w:tcW w:w="1400" w:type="dxa"/>
            <w:tcBorders>
              <w:top w:val="single" w:sz="4" w:space="0" w:color="70AD47"/>
              <w:left w:val="nil"/>
              <w:bottom w:val="nil"/>
              <w:right w:val="nil"/>
            </w:tcBorders>
            <w:shd w:val="clear" w:color="auto" w:fill="auto"/>
            <w:noWrap/>
            <w:vAlign w:val="bottom"/>
            <w:hideMark/>
          </w:tcPr>
          <w:p w14:paraId="1498C378"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0.15</w:t>
            </w:r>
          </w:p>
        </w:tc>
        <w:tc>
          <w:tcPr>
            <w:tcW w:w="1420" w:type="dxa"/>
            <w:tcBorders>
              <w:top w:val="single" w:sz="4" w:space="0" w:color="70AD47"/>
              <w:left w:val="nil"/>
              <w:bottom w:val="nil"/>
              <w:right w:val="nil"/>
            </w:tcBorders>
            <w:shd w:val="clear" w:color="auto" w:fill="auto"/>
            <w:noWrap/>
            <w:vAlign w:val="bottom"/>
            <w:hideMark/>
          </w:tcPr>
          <w:p w14:paraId="438F8851"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0.24</w:t>
            </w:r>
          </w:p>
        </w:tc>
        <w:tc>
          <w:tcPr>
            <w:tcW w:w="880" w:type="dxa"/>
            <w:tcBorders>
              <w:top w:val="single" w:sz="4" w:space="0" w:color="70AD47"/>
              <w:left w:val="nil"/>
              <w:bottom w:val="nil"/>
              <w:right w:val="nil"/>
            </w:tcBorders>
            <w:shd w:val="clear" w:color="auto" w:fill="auto"/>
            <w:noWrap/>
            <w:vAlign w:val="bottom"/>
            <w:hideMark/>
          </w:tcPr>
          <w:p w14:paraId="746D6E54"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20.52</w:t>
            </w:r>
          </w:p>
        </w:tc>
        <w:tc>
          <w:tcPr>
            <w:tcW w:w="620" w:type="dxa"/>
            <w:tcBorders>
              <w:top w:val="single" w:sz="4" w:space="0" w:color="70AD47"/>
              <w:left w:val="nil"/>
              <w:bottom w:val="nil"/>
              <w:right w:val="nil"/>
            </w:tcBorders>
            <w:shd w:val="clear" w:color="auto" w:fill="auto"/>
            <w:noWrap/>
            <w:vAlign w:val="bottom"/>
            <w:hideMark/>
          </w:tcPr>
          <w:p w14:paraId="252E83BA"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0.29</w:t>
            </w:r>
          </w:p>
        </w:tc>
        <w:tc>
          <w:tcPr>
            <w:tcW w:w="840" w:type="dxa"/>
            <w:tcBorders>
              <w:top w:val="single" w:sz="4" w:space="0" w:color="70AD47"/>
              <w:left w:val="nil"/>
              <w:bottom w:val="nil"/>
              <w:right w:val="nil"/>
            </w:tcBorders>
            <w:shd w:val="clear" w:color="auto" w:fill="auto"/>
            <w:noWrap/>
            <w:vAlign w:val="bottom"/>
            <w:hideMark/>
          </w:tcPr>
          <w:p w14:paraId="0480501D"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0.04</w:t>
            </w:r>
          </w:p>
        </w:tc>
        <w:tc>
          <w:tcPr>
            <w:tcW w:w="1000" w:type="dxa"/>
            <w:tcBorders>
              <w:top w:val="single" w:sz="4" w:space="0" w:color="70AD47"/>
              <w:left w:val="nil"/>
              <w:bottom w:val="nil"/>
              <w:right w:val="nil"/>
            </w:tcBorders>
            <w:shd w:val="clear" w:color="auto" w:fill="auto"/>
            <w:noWrap/>
            <w:vAlign w:val="bottom"/>
            <w:hideMark/>
          </w:tcPr>
          <w:p w14:paraId="498E1E55"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0.35</w:t>
            </w:r>
          </w:p>
        </w:tc>
        <w:tc>
          <w:tcPr>
            <w:tcW w:w="1000" w:type="dxa"/>
            <w:tcBorders>
              <w:top w:val="single" w:sz="4" w:space="0" w:color="70AD47"/>
              <w:left w:val="nil"/>
              <w:bottom w:val="nil"/>
              <w:right w:val="nil"/>
            </w:tcBorders>
            <w:shd w:val="clear" w:color="auto" w:fill="auto"/>
            <w:noWrap/>
            <w:vAlign w:val="bottom"/>
            <w:hideMark/>
          </w:tcPr>
          <w:p w14:paraId="6C2E8CC0"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0.17</w:t>
            </w:r>
          </w:p>
        </w:tc>
        <w:tc>
          <w:tcPr>
            <w:tcW w:w="1440" w:type="dxa"/>
            <w:tcBorders>
              <w:top w:val="single" w:sz="4" w:space="0" w:color="70AD47"/>
              <w:left w:val="nil"/>
              <w:bottom w:val="nil"/>
              <w:right w:val="single" w:sz="4" w:space="0" w:color="70AD47"/>
            </w:tcBorders>
            <w:shd w:val="clear" w:color="auto" w:fill="auto"/>
            <w:noWrap/>
            <w:vAlign w:val="bottom"/>
            <w:hideMark/>
          </w:tcPr>
          <w:p w14:paraId="50DA94D7"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156.36</w:t>
            </w:r>
          </w:p>
        </w:tc>
      </w:tr>
      <w:tr w:rsidR="005A6AB1" w14:paraId="12F539B1" w14:textId="77777777" w:rsidTr="005A6AB1">
        <w:trPr>
          <w:trHeight w:val="300"/>
        </w:trPr>
        <w:tc>
          <w:tcPr>
            <w:tcW w:w="1040" w:type="dxa"/>
            <w:tcBorders>
              <w:top w:val="single" w:sz="4" w:space="0" w:color="70AD47"/>
              <w:left w:val="single" w:sz="4" w:space="0" w:color="70AD47"/>
              <w:bottom w:val="nil"/>
              <w:right w:val="nil"/>
            </w:tcBorders>
            <w:shd w:val="clear" w:color="auto" w:fill="auto"/>
            <w:noWrap/>
            <w:vAlign w:val="bottom"/>
            <w:hideMark/>
          </w:tcPr>
          <w:p w14:paraId="71F87695"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3</w:t>
            </w:r>
          </w:p>
        </w:tc>
        <w:tc>
          <w:tcPr>
            <w:tcW w:w="1400" w:type="dxa"/>
            <w:tcBorders>
              <w:top w:val="single" w:sz="4" w:space="0" w:color="70AD47"/>
              <w:left w:val="nil"/>
              <w:bottom w:val="nil"/>
              <w:right w:val="nil"/>
            </w:tcBorders>
            <w:shd w:val="clear" w:color="auto" w:fill="auto"/>
            <w:noWrap/>
            <w:vAlign w:val="bottom"/>
            <w:hideMark/>
          </w:tcPr>
          <w:p w14:paraId="63EA3208"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0.29</w:t>
            </w:r>
          </w:p>
        </w:tc>
        <w:tc>
          <w:tcPr>
            <w:tcW w:w="1420" w:type="dxa"/>
            <w:tcBorders>
              <w:top w:val="single" w:sz="4" w:space="0" w:color="70AD47"/>
              <w:left w:val="nil"/>
              <w:bottom w:val="nil"/>
              <w:right w:val="nil"/>
            </w:tcBorders>
            <w:shd w:val="clear" w:color="auto" w:fill="auto"/>
            <w:noWrap/>
            <w:vAlign w:val="bottom"/>
            <w:hideMark/>
          </w:tcPr>
          <w:p w14:paraId="2A8E3925"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0.29</w:t>
            </w:r>
          </w:p>
        </w:tc>
        <w:tc>
          <w:tcPr>
            <w:tcW w:w="880" w:type="dxa"/>
            <w:tcBorders>
              <w:top w:val="single" w:sz="4" w:space="0" w:color="70AD47"/>
              <w:left w:val="nil"/>
              <w:bottom w:val="nil"/>
              <w:right w:val="nil"/>
            </w:tcBorders>
            <w:shd w:val="clear" w:color="auto" w:fill="auto"/>
            <w:noWrap/>
            <w:vAlign w:val="bottom"/>
            <w:hideMark/>
          </w:tcPr>
          <w:p w14:paraId="2D330AEC"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22.44</w:t>
            </w:r>
          </w:p>
        </w:tc>
        <w:tc>
          <w:tcPr>
            <w:tcW w:w="620" w:type="dxa"/>
            <w:tcBorders>
              <w:top w:val="single" w:sz="4" w:space="0" w:color="70AD47"/>
              <w:left w:val="nil"/>
              <w:bottom w:val="nil"/>
              <w:right w:val="nil"/>
            </w:tcBorders>
            <w:shd w:val="clear" w:color="auto" w:fill="auto"/>
            <w:noWrap/>
            <w:vAlign w:val="bottom"/>
            <w:hideMark/>
          </w:tcPr>
          <w:p w14:paraId="1A36C858"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0.34</w:t>
            </w:r>
          </w:p>
        </w:tc>
        <w:tc>
          <w:tcPr>
            <w:tcW w:w="840" w:type="dxa"/>
            <w:tcBorders>
              <w:top w:val="single" w:sz="4" w:space="0" w:color="70AD47"/>
              <w:left w:val="nil"/>
              <w:bottom w:val="nil"/>
              <w:right w:val="nil"/>
            </w:tcBorders>
            <w:shd w:val="clear" w:color="auto" w:fill="auto"/>
            <w:noWrap/>
            <w:vAlign w:val="bottom"/>
            <w:hideMark/>
          </w:tcPr>
          <w:p w14:paraId="42B08BD2"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0.02</w:t>
            </w:r>
          </w:p>
        </w:tc>
        <w:tc>
          <w:tcPr>
            <w:tcW w:w="1000" w:type="dxa"/>
            <w:tcBorders>
              <w:top w:val="single" w:sz="4" w:space="0" w:color="70AD47"/>
              <w:left w:val="nil"/>
              <w:bottom w:val="nil"/>
              <w:right w:val="nil"/>
            </w:tcBorders>
            <w:shd w:val="clear" w:color="auto" w:fill="auto"/>
            <w:noWrap/>
            <w:vAlign w:val="bottom"/>
            <w:hideMark/>
          </w:tcPr>
          <w:p w14:paraId="09F0C571"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0.59</w:t>
            </w:r>
          </w:p>
        </w:tc>
        <w:tc>
          <w:tcPr>
            <w:tcW w:w="1000" w:type="dxa"/>
            <w:tcBorders>
              <w:top w:val="single" w:sz="4" w:space="0" w:color="70AD47"/>
              <w:left w:val="nil"/>
              <w:bottom w:val="nil"/>
              <w:right w:val="nil"/>
            </w:tcBorders>
            <w:shd w:val="clear" w:color="auto" w:fill="auto"/>
            <w:noWrap/>
            <w:vAlign w:val="bottom"/>
            <w:hideMark/>
          </w:tcPr>
          <w:p w14:paraId="74D344D5"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0.19</w:t>
            </w:r>
          </w:p>
        </w:tc>
        <w:tc>
          <w:tcPr>
            <w:tcW w:w="1440" w:type="dxa"/>
            <w:tcBorders>
              <w:top w:val="single" w:sz="4" w:space="0" w:color="70AD47"/>
              <w:left w:val="nil"/>
              <w:bottom w:val="nil"/>
              <w:right w:val="single" w:sz="4" w:space="0" w:color="70AD47"/>
            </w:tcBorders>
            <w:shd w:val="clear" w:color="auto" w:fill="auto"/>
            <w:noWrap/>
            <w:vAlign w:val="bottom"/>
            <w:hideMark/>
          </w:tcPr>
          <w:p w14:paraId="680495D7"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258.58</w:t>
            </w:r>
          </w:p>
        </w:tc>
      </w:tr>
      <w:tr w:rsidR="005A6AB1" w14:paraId="26BF2D15" w14:textId="77777777" w:rsidTr="005A6AB1">
        <w:trPr>
          <w:trHeight w:val="300"/>
        </w:trPr>
        <w:tc>
          <w:tcPr>
            <w:tcW w:w="1040" w:type="dxa"/>
            <w:tcBorders>
              <w:top w:val="single" w:sz="4" w:space="0" w:color="70AD47"/>
              <w:left w:val="single" w:sz="4" w:space="0" w:color="70AD47"/>
              <w:bottom w:val="single" w:sz="4" w:space="0" w:color="70AD47"/>
              <w:right w:val="nil"/>
            </w:tcBorders>
            <w:shd w:val="clear" w:color="auto" w:fill="auto"/>
            <w:noWrap/>
            <w:vAlign w:val="bottom"/>
            <w:hideMark/>
          </w:tcPr>
          <w:p w14:paraId="64B2F3F2" w14:textId="77777777" w:rsidR="005A6AB1" w:rsidRDefault="005A6AB1">
            <w:pPr>
              <w:jc w:val="right"/>
              <w:rPr>
                <w:rFonts w:ascii="Calibri" w:hAnsi="Calibri" w:cs="Calibri"/>
                <w:color w:val="000000"/>
                <w:sz w:val="22"/>
                <w:szCs w:val="22"/>
              </w:rPr>
            </w:pPr>
            <w:r>
              <w:rPr>
                <w:rFonts w:ascii="Calibri" w:hAnsi="Calibri" w:cs="Calibri"/>
                <w:color w:val="000000"/>
                <w:sz w:val="22"/>
                <w:szCs w:val="22"/>
              </w:rPr>
              <w:t>4</w:t>
            </w:r>
          </w:p>
        </w:tc>
        <w:tc>
          <w:tcPr>
            <w:tcW w:w="1400" w:type="dxa"/>
            <w:tcBorders>
              <w:top w:val="single" w:sz="4" w:space="0" w:color="70AD47"/>
              <w:left w:val="nil"/>
              <w:bottom w:val="single" w:sz="4" w:space="0" w:color="70AD47"/>
              <w:right w:val="nil"/>
            </w:tcBorders>
            <w:shd w:val="clear" w:color="auto" w:fill="auto"/>
            <w:noWrap/>
            <w:vAlign w:val="bottom"/>
            <w:hideMark/>
          </w:tcPr>
          <w:p w14:paraId="4045710B"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1420" w:type="dxa"/>
            <w:tcBorders>
              <w:top w:val="single" w:sz="4" w:space="0" w:color="70AD47"/>
              <w:left w:val="nil"/>
              <w:bottom w:val="single" w:sz="4" w:space="0" w:color="70AD47"/>
              <w:right w:val="nil"/>
            </w:tcBorders>
            <w:shd w:val="clear" w:color="auto" w:fill="auto"/>
            <w:noWrap/>
            <w:vAlign w:val="bottom"/>
            <w:hideMark/>
          </w:tcPr>
          <w:p w14:paraId="430E7C93"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880" w:type="dxa"/>
            <w:tcBorders>
              <w:top w:val="single" w:sz="4" w:space="0" w:color="70AD47"/>
              <w:left w:val="nil"/>
              <w:bottom w:val="single" w:sz="4" w:space="0" w:color="70AD47"/>
              <w:right w:val="nil"/>
            </w:tcBorders>
            <w:shd w:val="clear" w:color="auto" w:fill="auto"/>
            <w:noWrap/>
            <w:vAlign w:val="bottom"/>
            <w:hideMark/>
          </w:tcPr>
          <w:p w14:paraId="1DCDFB7B"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620" w:type="dxa"/>
            <w:tcBorders>
              <w:top w:val="single" w:sz="4" w:space="0" w:color="70AD47"/>
              <w:left w:val="nil"/>
              <w:bottom w:val="single" w:sz="4" w:space="0" w:color="70AD47"/>
              <w:right w:val="nil"/>
            </w:tcBorders>
            <w:shd w:val="clear" w:color="auto" w:fill="auto"/>
            <w:noWrap/>
            <w:vAlign w:val="bottom"/>
            <w:hideMark/>
          </w:tcPr>
          <w:p w14:paraId="02355CA1"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840" w:type="dxa"/>
            <w:tcBorders>
              <w:top w:val="single" w:sz="4" w:space="0" w:color="70AD47"/>
              <w:left w:val="nil"/>
              <w:bottom w:val="single" w:sz="4" w:space="0" w:color="70AD47"/>
              <w:right w:val="nil"/>
            </w:tcBorders>
            <w:shd w:val="clear" w:color="auto" w:fill="auto"/>
            <w:noWrap/>
            <w:vAlign w:val="bottom"/>
            <w:hideMark/>
          </w:tcPr>
          <w:p w14:paraId="542F2FC7"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1000" w:type="dxa"/>
            <w:tcBorders>
              <w:top w:val="single" w:sz="4" w:space="0" w:color="70AD47"/>
              <w:left w:val="nil"/>
              <w:bottom w:val="single" w:sz="4" w:space="0" w:color="70AD47"/>
              <w:right w:val="nil"/>
            </w:tcBorders>
            <w:shd w:val="clear" w:color="auto" w:fill="auto"/>
            <w:noWrap/>
            <w:vAlign w:val="bottom"/>
            <w:hideMark/>
          </w:tcPr>
          <w:p w14:paraId="3148D457"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1000" w:type="dxa"/>
            <w:tcBorders>
              <w:top w:val="single" w:sz="4" w:space="0" w:color="70AD47"/>
              <w:left w:val="nil"/>
              <w:bottom w:val="single" w:sz="4" w:space="0" w:color="70AD47"/>
              <w:right w:val="nil"/>
            </w:tcBorders>
            <w:shd w:val="clear" w:color="auto" w:fill="auto"/>
            <w:noWrap/>
            <w:vAlign w:val="bottom"/>
            <w:hideMark/>
          </w:tcPr>
          <w:p w14:paraId="5206DF6D"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c>
          <w:tcPr>
            <w:tcW w:w="1440" w:type="dxa"/>
            <w:tcBorders>
              <w:top w:val="single" w:sz="4" w:space="0" w:color="70AD47"/>
              <w:left w:val="nil"/>
              <w:bottom w:val="single" w:sz="4" w:space="0" w:color="70AD47"/>
              <w:right w:val="single" w:sz="4" w:space="0" w:color="70AD47"/>
            </w:tcBorders>
            <w:shd w:val="clear" w:color="auto" w:fill="auto"/>
            <w:noWrap/>
            <w:vAlign w:val="bottom"/>
            <w:hideMark/>
          </w:tcPr>
          <w:p w14:paraId="6CB63FEC" w14:textId="77777777" w:rsidR="005A6AB1" w:rsidRDefault="005A6AB1">
            <w:pPr>
              <w:rPr>
                <w:rFonts w:ascii="Calibri" w:hAnsi="Calibri" w:cs="Calibri"/>
                <w:color w:val="000000"/>
                <w:sz w:val="22"/>
                <w:szCs w:val="22"/>
              </w:rPr>
            </w:pPr>
            <w:r>
              <w:rPr>
                <w:rFonts w:ascii="Calibri" w:hAnsi="Calibri" w:cs="Calibri"/>
                <w:color w:val="000000"/>
                <w:sz w:val="22"/>
                <w:szCs w:val="22"/>
              </w:rPr>
              <w:t>NA</w:t>
            </w:r>
          </w:p>
        </w:tc>
      </w:tr>
    </w:tbl>
    <w:p w14:paraId="791C52A6" w14:textId="4220E09C" w:rsidR="005A6AB1" w:rsidRDefault="005A6AB1" w:rsidP="005A6AB1">
      <w:pPr>
        <w:rPr>
          <w:b/>
          <w:bCs/>
        </w:rPr>
      </w:pPr>
    </w:p>
    <w:p w14:paraId="025598AE" w14:textId="77777777" w:rsidR="005A6AB1" w:rsidRPr="005A6AB1" w:rsidRDefault="005A6AB1" w:rsidP="005A6AB1">
      <w:pPr>
        <w:rPr>
          <w:b/>
          <w:bCs/>
        </w:rPr>
      </w:pPr>
    </w:p>
    <w:sectPr w:rsidR="005A6AB1" w:rsidRPr="005A6AB1">
      <w:headerReference w:type="even" r:id="rId20"/>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21276" w14:textId="77777777" w:rsidR="009E138B" w:rsidRDefault="009E138B" w:rsidP="004C23DA">
      <w:r>
        <w:separator/>
      </w:r>
    </w:p>
  </w:endnote>
  <w:endnote w:type="continuationSeparator" w:id="0">
    <w:p w14:paraId="2A5E31DB" w14:textId="77777777" w:rsidR="009E138B" w:rsidRDefault="009E138B" w:rsidP="004C2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D73C" w14:textId="77777777" w:rsidR="009E138B" w:rsidRDefault="009E138B" w:rsidP="004C23DA">
      <w:r>
        <w:separator/>
      </w:r>
    </w:p>
  </w:footnote>
  <w:footnote w:type="continuationSeparator" w:id="0">
    <w:p w14:paraId="28C06934" w14:textId="77777777" w:rsidR="009E138B" w:rsidRDefault="009E138B" w:rsidP="004C2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4839132"/>
      <w:docPartObj>
        <w:docPartGallery w:val="Page Numbers (Top of Page)"/>
        <w:docPartUnique/>
      </w:docPartObj>
    </w:sdtPr>
    <w:sdtContent>
      <w:p w14:paraId="76E5D6BC" w14:textId="4843EB5B" w:rsidR="00E85C7C" w:rsidRDefault="00E85C7C" w:rsidP="005B1C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5C5997" w14:textId="77777777" w:rsidR="00E85C7C" w:rsidRDefault="00E85C7C" w:rsidP="00E85C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180414"/>
      <w:docPartObj>
        <w:docPartGallery w:val="Page Numbers (Top of Page)"/>
        <w:docPartUnique/>
      </w:docPartObj>
    </w:sdtPr>
    <w:sdtContent>
      <w:p w14:paraId="5EEA0DAB" w14:textId="0B7078AC" w:rsidR="00E85C7C" w:rsidRDefault="00E85C7C" w:rsidP="005B1C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05F04" w14:textId="77777777" w:rsidR="00E85C7C" w:rsidRDefault="00E85C7C" w:rsidP="00E85C7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12B4"/>
    <w:multiLevelType w:val="hybridMultilevel"/>
    <w:tmpl w:val="3642C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5F49D4"/>
    <w:multiLevelType w:val="hybridMultilevel"/>
    <w:tmpl w:val="3642C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53273F1"/>
    <w:multiLevelType w:val="hybridMultilevel"/>
    <w:tmpl w:val="7F96FDB0"/>
    <w:lvl w:ilvl="0" w:tplc="4058F1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5506D"/>
    <w:multiLevelType w:val="hybridMultilevel"/>
    <w:tmpl w:val="3642C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40145"/>
    <w:multiLevelType w:val="hybridMultilevel"/>
    <w:tmpl w:val="89CA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AD0E19"/>
    <w:multiLevelType w:val="hybridMultilevel"/>
    <w:tmpl w:val="53042814"/>
    <w:lvl w:ilvl="0" w:tplc="33BC11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DA"/>
    <w:rsid w:val="00034798"/>
    <w:rsid w:val="00036991"/>
    <w:rsid w:val="0003755E"/>
    <w:rsid w:val="00043D34"/>
    <w:rsid w:val="000511A6"/>
    <w:rsid w:val="00054C94"/>
    <w:rsid w:val="0005599F"/>
    <w:rsid w:val="00062AEA"/>
    <w:rsid w:val="00066238"/>
    <w:rsid w:val="00072462"/>
    <w:rsid w:val="0008087B"/>
    <w:rsid w:val="000A20D7"/>
    <w:rsid w:val="000C41A6"/>
    <w:rsid w:val="000C491B"/>
    <w:rsid w:val="000C7C17"/>
    <w:rsid w:val="000D174F"/>
    <w:rsid w:val="000D654E"/>
    <w:rsid w:val="000E3F7C"/>
    <w:rsid w:val="000E4AB7"/>
    <w:rsid w:val="000F0899"/>
    <w:rsid w:val="000F2E72"/>
    <w:rsid w:val="00103375"/>
    <w:rsid w:val="00105259"/>
    <w:rsid w:val="00106E00"/>
    <w:rsid w:val="0011609E"/>
    <w:rsid w:val="00123382"/>
    <w:rsid w:val="001276A7"/>
    <w:rsid w:val="00132FF2"/>
    <w:rsid w:val="001334D5"/>
    <w:rsid w:val="00145A80"/>
    <w:rsid w:val="00173568"/>
    <w:rsid w:val="00174CF4"/>
    <w:rsid w:val="001830C6"/>
    <w:rsid w:val="00184671"/>
    <w:rsid w:val="00186711"/>
    <w:rsid w:val="001B5F04"/>
    <w:rsid w:val="001C5DD5"/>
    <w:rsid w:val="001C6A00"/>
    <w:rsid w:val="001D1DBF"/>
    <w:rsid w:val="001D4A04"/>
    <w:rsid w:val="001E0A7A"/>
    <w:rsid w:val="001F4725"/>
    <w:rsid w:val="00214FC6"/>
    <w:rsid w:val="00215DC7"/>
    <w:rsid w:val="002175AE"/>
    <w:rsid w:val="00230CC6"/>
    <w:rsid w:val="00234043"/>
    <w:rsid w:val="00240A91"/>
    <w:rsid w:val="0024419C"/>
    <w:rsid w:val="002448B7"/>
    <w:rsid w:val="00257CBB"/>
    <w:rsid w:val="002626C3"/>
    <w:rsid w:val="00272FA5"/>
    <w:rsid w:val="00292E4B"/>
    <w:rsid w:val="002A1DA0"/>
    <w:rsid w:val="002A2272"/>
    <w:rsid w:val="002A6AED"/>
    <w:rsid w:val="002B4BD0"/>
    <w:rsid w:val="002D1B4A"/>
    <w:rsid w:val="002E12E1"/>
    <w:rsid w:val="002E69BD"/>
    <w:rsid w:val="002F5AE5"/>
    <w:rsid w:val="00303FFB"/>
    <w:rsid w:val="00306681"/>
    <w:rsid w:val="003109AE"/>
    <w:rsid w:val="003134CD"/>
    <w:rsid w:val="00322973"/>
    <w:rsid w:val="00325D2D"/>
    <w:rsid w:val="00331731"/>
    <w:rsid w:val="003329E5"/>
    <w:rsid w:val="0033409B"/>
    <w:rsid w:val="00335103"/>
    <w:rsid w:val="003355C1"/>
    <w:rsid w:val="00340E74"/>
    <w:rsid w:val="00340F82"/>
    <w:rsid w:val="00342F37"/>
    <w:rsid w:val="0035146D"/>
    <w:rsid w:val="00357620"/>
    <w:rsid w:val="00360A5F"/>
    <w:rsid w:val="00360F32"/>
    <w:rsid w:val="00362B99"/>
    <w:rsid w:val="00373182"/>
    <w:rsid w:val="0038079B"/>
    <w:rsid w:val="003917B8"/>
    <w:rsid w:val="00391B99"/>
    <w:rsid w:val="003A382F"/>
    <w:rsid w:val="003A45B3"/>
    <w:rsid w:val="003A6E6D"/>
    <w:rsid w:val="003B5387"/>
    <w:rsid w:val="003B5388"/>
    <w:rsid w:val="003C1E35"/>
    <w:rsid w:val="003F083D"/>
    <w:rsid w:val="003F178F"/>
    <w:rsid w:val="00402ED5"/>
    <w:rsid w:val="0041595C"/>
    <w:rsid w:val="004163EA"/>
    <w:rsid w:val="00426FF6"/>
    <w:rsid w:val="0044295F"/>
    <w:rsid w:val="004555D9"/>
    <w:rsid w:val="00464E13"/>
    <w:rsid w:val="004724C4"/>
    <w:rsid w:val="00481001"/>
    <w:rsid w:val="0049099F"/>
    <w:rsid w:val="00491D96"/>
    <w:rsid w:val="004A3128"/>
    <w:rsid w:val="004A5BD6"/>
    <w:rsid w:val="004B5D4A"/>
    <w:rsid w:val="004C23DA"/>
    <w:rsid w:val="004C26C6"/>
    <w:rsid w:val="004C4511"/>
    <w:rsid w:val="004C5F1A"/>
    <w:rsid w:val="004C6CB5"/>
    <w:rsid w:val="004D3916"/>
    <w:rsid w:val="004D5FAA"/>
    <w:rsid w:val="004E1349"/>
    <w:rsid w:val="004E4469"/>
    <w:rsid w:val="00500167"/>
    <w:rsid w:val="0050230B"/>
    <w:rsid w:val="00506D53"/>
    <w:rsid w:val="00510C62"/>
    <w:rsid w:val="00515769"/>
    <w:rsid w:val="00522A07"/>
    <w:rsid w:val="0053175D"/>
    <w:rsid w:val="00532202"/>
    <w:rsid w:val="00540A46"/>
    <w:rsid w:val="00546FE8"/>
    <w:rsid w:val="00550AD6"/>
    <w:rsid w:val="00552B24"/>
    <w:rsid w:val="005656DD"/>
    <w:rsid w:val="0057227C"/>
    <w:rsid w:val="00585112"/>
    <w:rsid w:val="00587C12"/>
    <w:rsid w:val="005915F3"/>
    <w:rsid w:val="00596689"/>
    <w:rsid w:val="005A1913"/>
    <w:rsid w:val="005A1C7B"/>
    <w:rsid w:val="005A6AB1"/>
    <w:rsid w:val="005D1484"/>
    <w:rsid w:val="005E1B39"/>
    <w:rsid w:val="005E73D3"/>
    <w:rsid w:val="005F0473"/>
    <w:rsid w:val="005F191A"/>
    <w:rsid w:val="005F7722"/>
    <w:rsid w:val="00600E7B"/>
    <w:rsid w:val="00606440"/>
    <w:rsid w:val="00607755"/>
    <w:rsid w:val="00616723"/>
    <w:rsid w:val="00620C5A"/>
    <w:rsid w:val="00623581"/>
    <w:rsid w:val="00632E1A"/>
    <w:rsid w:val="006553BE"/>
    <w:rsid w:val="006571EC"/>
    <w:rsid w:val="00666F09"/>
    <w:rsid w:val="00670F99"/>
    <w:rsid w:val="006759EE"/>
    <w:rsid w:val="00675E1E"/>
    <w:rsid w:val="00683764"/>
    <w:rsid w:val="006A03AE"/>
    <w:rsid w:val="006A0530"/>
    <w:rsid w:val="006A1210"/>
    <w:rsid w:val="006A4D0B"/>
    <w:rsid w:val="006A6151"/>
    <w:rsid w:val="006A72B0"/>
    <w:rsid w:val="006B2D74"/>
    <w:rsid w:val="006C5D82"/>
    <w:rsid w:val="007049B6"/>
    <w:rsid w:val="007219E4"/>
    <w:rsid w:val="0074187B"/>
    <w:rsid w:val="00744394"/>
    <w:rsid w:val="007466E3"/>
    <w:rsid w:val="00751805"/>
    <w:rsid w:val="00756185"/>
    <w:rsid w:val="0075723B"/>
    <w:rsid w:val="00770DEF"/>
    <w:rsid w:val="00771DD7"/>
    <w:rsid w:val="00774FB5"/>
    <w:rsid w:val="00775A2F"/>
    <w:rsid w:val="00775B71"/>
    <w:rsid w:val="00780E1D"/>
    <w:rsid w:val="007B4F12"/>
    <w:rsid w:val="007B6FC6"/>
    <w:rsid w:val="007D2883"/>
    <w:rsid w:val="007D6713"/>
    <w:rsid w:val="007F76B3"/>
    <w:rsid w:val="008077ED"/>
    <w:rsid w:val="00817651"/>
    <w:rsid w:val="0082206D"/>
    <w:rsid w:val="00824F48"/>
    <w:rsid w:val="008304F4"/>
    <w:rsid w:val="0083420E"/>
    <w:rsid w:val="00835042"/>
    <w:rsid w:val="00837FAF"/>
    <w:rsid w:val="00861BBA"/>
    <w:rsid w:val="00862E96"/>
    <w:rsid w:val="00866BDA"/>
    <w:rsid w:val="00877433"/>
    <w:rsid w:val="0088421A"/>
    <w:rsid w:val="00886B23"/>
    <w:rsid w:val="0088766E"/>
    <w:rsid w:val="0089321A"/>
    <w:rsid w:val="008A0E6D"/>
    <w:rsid w:val="008A259E"/>
    <w:rsid w:val="008A4DBA"/>
    <w:rsid w:val="008B7E8F"/>
    <w:rsid w:val="008D5BFC"/>
    <w:rsid w:val="008D62C9"/>
    <w:rsid w:val="00907B4F"/>
    <w:rsid w:val="00913DEE"/>
    <w:rsid w:val="00915664"/>
    <w:rsid w:val="00924DFE"/>
    <w:rsid w:val="0092754C"/>
    <w:rsid w:val="009369E6"/>
    <w:rsid w:val="00950427"/>
    <w:rsid w:val="009505DD"/>
    <w:rsid w:val="0095490E"/>
    <w:rsid w:val="0095652A"/>
    <w:rsid w:val="00973AB2"/>
    <w:rsid w:val="009741A3"/>
    <w:rsid w:val="00974C7D"/>
    <w:rsid w:val="009766F3"/>
    <w:rsid w:val="00977B53"/>
    <w:rsid w:val="00981B0A"/>
    <w:rsid w:val="009A07CE"/>
    <w:rsid w:val="009A5F1B"/>
    <w:rsid w:val="009B30D0"/>
    <w:rsid w:val="009B68F6"/>
    <w:rsid w:val="009C1D8F"/>
    <w:rsid w:val="009E138B"/>
    <w:rsid w:val="009E3D12"/>
    <w:rsid w:val="009E78BA"/>
    <w:rsid w:val="009F0A7B"/>
    <w:rsid w:val="009F70AE"/>
    <w:rsid w:val="00A010B7"/>
    <w:rsid w:val="00A214F9"/>
    <w:rsid w:val="00A23773"/>
    <w:rsid w:val="00A27227"/>
    <w:rsid w:val="00A309E1"/>
    <w:rsid w:val="00A32645"/>
    <w:rsid w:val="00A3270E"/>
    <w:rsid w:val="00A33076"/>
    <w:rsid w:val="00A34EBE"/>
    <w:rsid w:val="00A51541"/>
    <w:rsid w:val="00A52E33"/>
    <w:rsid w:val="00A617D0"/>
    <w:rsid w:val="00A754BF"/>
    <w:rsid w:val="00A77F64"/>
    <w:rsid w:val="00AA256F"/>
    <w:rsid w:val="00AB128B"/>
    <w:rsid w:val="00AC52B6"/>
    <w:rsid w:val="00AC77A8"/>
    <w:rsid w:val="00AD1BD1"/>
    <w:rsid w:val="00AD1FAE"/>
    <w:rsid w:val="00AD2911"/>
    <w:rsid w:val="00AF3A85"/>
    <w:rsid w:val="00AF4527"/>
    <w:rsid w:val="00B031CE"/>
    <w:rsid w:val="00B03C01"/>
    <w:rsid w:val="00B139C3"/>
    <w:rsid w:val="00B24D22"/>
    <w:rsid w:val="00B32CB0"/>
    <w:rsid w:val="00B36D51"/>
    <w:rsid w:val="00B47366"/>
    <w:rsid w:val="00B47BBC"/>
    <w:rsid w:val="00B52B06"/>
    <w:rsid w:val="00B5489D"/>
    <w:rsid w:val="00B561AF"/>
    <w:rsid w:val="00B7277E"/>
    <w:rsid w:val="00B8310A"/>
    <w:rsid w:val="00B852EE"/>
    <w:rsid w:val="00B86920"/>
    <w:rsid w:val="00B90CDB"/>
    <w:rsid w:val="00B97CD4"/>
    <w:rsid w:val="00BA71D7"/>
    <w:rsid w:val="00BA7EE5"/>
    <w:rsid w:val="00BB1077"/>
    <w:rsid w:val="00BB1934"/>
    <w:rsid w:val="00BB4665"/>
    <w:rsid w:val="00BB6C71"/>
    <w:rsid w:val="00C028B5"/>
    <w:rsid w:val="00C064D9"/>
    <w:rsid w:val="00C1379B"/>
    <w:rsid w:val="00C20BCA"/>
    <w:rsid w:val="00C23965"/>
    <w:rsid w:val="00C42335"/>
    <w:rsid w:val="00C4682F"/>
    <w:rsid w:val="00C63F8D"/>
    <w:rsid w:val="00C6538F"/>
    <w:rsid w:val="00C71545"/>
    <w:rsid w:val="00C73D45"/>
    <w:rsid w:val="00C97284"/>
    <w:rsid w:val="00CA2FC0"/>
    <w:rsid w:val="00CB2C2E"/>
    <w:rsid w:val="00CB2FE4"/>
    <w:rsid w:val="00CC37F3"/>
    <w:rsid w:val="00CC7F39"/>
    <w:rsid w:val="00CD005E"/>
    <w:rsid w:val="00CD2E50"/>
    <w:rsid w:val="00CD45E0"/>
    <w:rsid w:val="00CE0499"/>
    <w:rsid w:val="00CE4F98"/>
    <w:rsid w:val="00CF4EDC"/>
    <w:rsid w:val="00CF6B11"/>
    <w:rsid w:val="00D00C17"/>
    <w:rsid w:val="00D01251"/>
    <w:rsid w:val="00D12DDC"/>
    <w:rsid w:val="00D25E65"/>
    <w:rsid w:val="00D50E83"/>
    <w:rsid w:val="00D572D8"/>
    <w:rsid w:val="00D604AA"/>
    <w:rsid w:val="00D67EE7"/>
    <w:rsid w:val="00D82F42"/>
    <w:rsid w:val="00DA3D28"/>
    <w:rsid w:val="00DA4318"/>
    <w:rsid w:val="00DB2687"/>
    <w:rsid w:val="00DC16AA"/>
    <w:rsid w:val="00DD56C8"/>
    <w:rsid w:val="00DE4CF9"/>
    <w:rsid w:val="00DE5322"/>
    <w:rsid w:val="00DF001F"/>
    <w:rsid w:val="00E047AA"/>
    <w:rsid w:val="00E142C2"/>
    <w:rsid w:val="00E2115E"/>
    <w:rsid w:val="00E24FA2"/>
    <w:rsid w:val="00E30935"/>
    <w:rsid w:val="00E40EA1"/>
    <w:rsid w:val="00E45830"/>
    <w:rsid w:val="00E57A12"/>
    <w:rsid w:val="00E60D13"/>
    <w:rsid w:val="00E65BB2"/>
    <w:rsid w:val="00E66CA0"/>
    <w:rsid w:val="00E7018C"/>
    <w:rsid w:val="00E70200"/>
    <w:rsid w:val="00E824F5"/>
    <w:rsid w:val="00E8580D"/>
    <w:rsid w:val="00E85C7C"/>
    <w:rsid w:val="00E91581"/>
    <w:rsid w:val="00E9402F"/>
    <w:rsid w:val="00E952D0"/>
    <w:rsid w:val="00EA0534"/>
    <w:rsid w:val="00EB6227"/>
    <w:rsid w:val="00EC4BA5"/>
    <w:rsid w:val="00ED2947"/>
    <w:rsid w:val="00F00679"/>
    <w:rsid w:val="00F165A7"/>
    <w:rsid w:val="00F20FF5"/>
    <w:rsid w:val="00F22B5C"/>
    <w:rsid w:val="00F42FE2"/>
    <w:rsid w:val="00F531B7"/>
    <w:rsid w:val="00F572C4"/>
    <w:rsid w:val="00F72954"/>
    <w:rsid w:val="00F74A8D"/>
    <w:rsid w:val="00F83516"/>
    <w:rsid w:val="00FE3306"/>
    <w:rsid w:val="00FF29FA"/>
    <w:rsid w:val="00FF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BAFC3"/>
  <w15:chartTrackingRefBased/>
  <w15:docId w15:val="{74E06A57-A48A-5E4C-801F-543D10A8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3D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C23DA"/>
  </w:style>
  <w:style w:type="character" w:styleId="PageNumber">
    <w:name w:val="page number"/>
    <w:basedOn w:val="DefaultParagraphFont"/>
    <w:uiPriority w:val="99"/>
    <w:semiHidden/>
    <w:unhideWhenUsed/>
    <w:rsid w:val="004C23DA"/>
  </w:style>
  <w:style w:type="character" w:styleId="Hyperlink">
    <w:name w:val="Hyperlink"/>
    <w:basedOn w:val="DefaultParagraphFont"/>
    <w:uiPriority w:val="99"/>
    <w:unhideWhenUsed/>
    <w:rsid w:val="004E1349"/>
    <w:rPr>
      <w:color w:val="0000FF"/>
      <w:u w:val="single"/>
    </w:rPr>
  </w:style>
  <w:style w:type="paragraph" w:styleId="ListParagraph">
    <w:name w:val="List Paragraph"/>
    <w:basedOn w:val="Normal"/>
    <w:uiPriority w:val="34"/>
    <w:qFormat/>
    <w:rsid w:val="001D1DBF"/>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C06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7536">
      <w:bodyDiv w:val="1"/>
      <w:marLeft w:val="0"/>
      <w:marRight w:val="0"/>
      <w:marTop w:val="0"/>
      <w:marBottom w:val="0"/>
      <w:divBdr>
        <w:top w:val="none" w:sz="0" w:space="0" w:color="auto"/>
        <w:left w:val="none" w:sz="0" w:space="0" w:color="auto"/>
        <w:bottom w:val="none" w:sz="0" w:space="0" w:color="auto"/>
        <w:right w:val="none" w:sz="0" w:space="0" w:color="auto"/>
      </w:divBdr>
    </w:div>
    <w:div w:id="168451889">
      <w:bodyDiv w:val="1"/>
      <w:marLeft w:val="0"/>
      <w:marRight w:val="0"/>
      <w:marTop w:val="0"/>
      <w:marBottom w:val="0"/>
      <w:divBdr>
        <w:top w:val="none" w:sz="0" w:space="0" w:color="auto"/>
        <w:left w:val="none" w:sz="0" w:space="0" w:color="auto"/>
        <w:bottom w:val="none" w:sz="0" w:space="0" w:color="auto"/>
        <w:right w:val="none" w:sz="0" w:space="0" w:color="auto"/>
      </w:divBdr>
    </w:div>
    <w:div w:id="204954182">
      <w:bodyDiv w:val="1"/>
      <w:marLeft w:val="0"/>
      <w:marRight w:val="0"/>
      <w:marTop w:val="0"/>
      <w:marBottom w:val="0"/>
      <w:divBdr>
        <w:top w:val="none" w:sz="0" w:space="0" w:color="auto"/>
        <w:left w:val="none" w:sz="0" w:space="0" w:color="auto"/>
        <w:bottom w:val="none" w:sz="0" w:space="0" w:color="auto"/>
        <w:right w:val="none" w:sz="0" w:space="0" w:color="auto"/>
      </w:divBdr>
    </w:div>
    <w:div w:id="407044459">
      <w:bodyDiv w:val="1"/>
      <w:marLeft w:val="0"/>
      <w:marRight w:val="0"/>
      <w:marTop w:val="0"/>
      <w:marBottom w:val="0"/>
      <w:divBdr>
        <w:top w:val="none" w:sz="0" w:space="0" w:color="auto"/>
        <w:left w:val="none" w:sz="0" w:space="0" w:color="auto"/>
        <w:bottom w:val="none" w:sz="0" w:space="0" w:color="auto"/>
        <w:right w:val="none" w:sz="0" w:space="0" w:color="auto"/>
      </w:divBdr>
    </w:div>
    <w:div w:id="409616711">
      <w:bodyDiv w:val="1"/>
      <w:marLeft w:val="0"/>
      <w:marRight w:val="0"/>
      <w:marTop w:val="0"/>
      <w:marBottom w:val="0"/>
      <w:divBdr>
        <w:top w:val="none" w:sz="0" w:space="0" w:color="auto"/>
        <w:left w:val="none" w:sz="0" w:space="0" w:color="auto"/>
        <w:bottom w:val="none" w:sz="0" w:space="0" w:color="auto"/>
        <w:right w:val="none" w:sz="0" w:space="0" w:color="auto"/>
      </w:divBdr>
    </w:div>
    <w:div w:id="410782120">
      <w:bodyDiv w:val="1"/>
      <w:marLeft w:val="0"/>
      <w:marRight w:val="0"/>
      <w:marTop w:val="0"/>
      <w:marBottom w:val="0"/>
      <w:divBdr>
        <w:top w:val="none" w:sz="0" w:space="0" w:color="auto"/>
        <w:left w:val="none" w:sz="0" w:space="0" w:color="auto"/>
        <w:bottom w:val="none" w:sz="0" w:space="0" w:color="auto"/>
        <w:right w:val="none" w:sz="0" w:space="0" w:color="auto"/>
      </w:divBdr>
    </w:div>
    <w:div w:id="510295057">
      <w:bodyDiv w:val="1"/>
      <w:marLeft w:val="0"/>
      <w:marRight w:val="0"/>
      <w:marTop w:val="0"/>
      <w:marBottom w:val="0"/>
      <w:divBdr>
        <w:top w:val="none" w:sz="0" w:space="0" w:color="auto"/>
        <w:left w:val="none" w:sz="0" w:space="0" w:color="auto"/>
        <w:bottom w:val="none" w:sz="0" w:space="0" w:color="auto"/>
        <w:right w:val="none" w:sz="0" w:space="0" w:color="auto"/>
      </w:divBdr>
    </w:div>
    <w:div w:id="610599230">
      <w:bodyDiv w:val="1"/>
      <w:marLeft w:val="0"/>
      <w:marRight w:val="0"/>
      <w:marTop w:val="0"/>
      <w:marBottom w:val="0"/>
      <w:divBdr>
        <w:top w:val="none" w:sz="0" w:space="0" w:color="auto"/>
        <w:left w:val="none" w:sz="0" w:space="0" w:color="auto"/>
        <w:bottom w:val="none" w:sz="0" w:space="0" w:color="auto"/>
        <w:right w:val="none" w:sz="0" w:space="0" w:color="auto"/>
      </w:divBdr>
    </w:div>
    <w:div w:id="689915382">
      <w:bodyDiv w:val="1"/>
      <w:marLeft w:val="0"/>
      <w:marRight w:val="0"/>
      <w:marTop w:val="0"/>
      <w:marBottom w:val="0"/>
      <w:divBdr>
        <w:top w:val="none" w:sz="0" w:space="0" w:color="auto"/>
        <w:left w:val="none" w:sz="0" w:space="0" w:color="auto"/>
        <w:bottom w:val="none" w:sz="0" w:space="0" w:color="auto"/>
        <w:right w:val="none" w:sz="0" w:space="0" w:color="auto"/>
      </w:divBdr>
      <w:divsChild>
        <w:div w:id="342587301">
          <w:marLeft w:val="0"/>
          <w:marRight w:val="0"/>
          <w:marTop w:val="0"/>
          <w:marBottom w:val="0"/>
          <w:divBdr>
            <w:top w:val="none" w:sz="0" w:space="0" w:color="auto"/>
            <w:left w:val="none" w:sz="0" w:space="0" w:color="auto"/>
            <w:bottom w:val="none" w:sz="0" w:space="0" w:color="auto"/>
            <w:right w:val="none" w:sz="0" w:space="0" w:color="auto"/>
          </w:divBdr>
          <w:divsChild>
            <w:div w:id="12399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7337">
      <w:bodyDiv w:val="1"/>
      <w:marLeft w:val="0"/>
      <w:marRight w:val="0"/>
      <w:marTop w:val="0"/>
      <w:marBottom w:val="0"/>
      <w:divBdr>
        <w:top w:val="none" w:sz="0" w:space="0" w:color="auto"/>
        <w:left w:val="none" w:sz="0" w:space="0" w:color="auto"/>
        <w:bottom w:val="none" w:sz="0" w:space="0" w:color="auto"/>
        <w:right w:val="none" w:sz="0" w:space="0" w:color="auto"/>
      </w:divBdr>
      <w:divsChild>
        <w:div w:id="1287545674">
          <w:marLeft w:val="480"/>
          <w:marRight w:val="0"/>
          <w:marTop w:val="0"/>
          <w:marBottom w:val="0"/>
          <w:divBdr>
            <w:top w:val="none" w:sz="0" w:space="0" w:color="auto"/>
            <w:left w:val="none" w:sz="0" w:space="0" w:color="auto"/>
            <w:bottom w:val="none" w:sz="0" w:space="0" w:color="auto"/>
            <w:right w:val="none" w:sz="0" w:space="0" w:color="auto"/>
          </w:divBdr>
          <w:divsChild>
            <w:div w:id="20028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020">
      <w:bodyDiv w:val="1"/>
      <w:marLeft w:val="0"/>
      <w:marRight w:val="0"/>
      <w:marTop w:val="0"/>
      <w:marBottom w:val="0"/>
      <w:divBdr>
        <w:top w:val="none" w:sz="0" w:space="0" w:color="auto"/>
        <w:left w:val="none" w:sz="0" w:space="0" w:color="auto"/>
        <w:bottom w:val="none" w:sz="0" w:space="0" w:color="auto"/>
        <w:right w:val="none" w:sz="0" w:space="0" w:color="auto"/>
      </w:divBdr>
      <w:divsChild>
        <w:div w:id="387874062">
          <w:marLeft w:val="480"/>
          <w:marRight w:val="0"/>
          <w:marTop w:val="0"/>
          <w:marBottom w:val="0"/>
          <w:divBdr>
            <w:top w:val="none" w:sz="0" w:space="0" w:color="auto"/>
            <w:left w:val="none" w:sz="0" w:space="0" w:color="auto"/>
            <w:bottom w:val="none" w:sz="0" w:space="0" w:color="auto"/>
            <w:right w:val="none" w:sz="0" w:space="0" w:color="auto"/>
          </w:divBdr>
          <w:divsChild>
            <w:div w:id="686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0422">
      <w:bodyDiv w:val="1"/>
      <w:marLeft w:val="0"/>
      <w:marRight w:val="0"/>
      <w:marTop w:val="0"/>
      <w:marBottom w:val="0"/>
      <w:divBdr>
        <w:top w:val="none" w:sz="0" w:space="0" w:color="auto"/>
        <w:left w:val="none" w:sz="0" w:space="0" w:color="auto"/>
        <w:bottom w:val="none" w:sz="0" w:space="0" w:color="auto"/>
        <w:right w:val="none" w:sz="0" w:space="0" w:color="auto"/>
      </w:divBdr>
      <w:divsChild>
        <w:div w:id="1686443721">
          <w:marLeft w:val="480"/>
          <w:marRight w:val="0"/>
          <w:marTop w:val="0"/>
          <w:marBottom w:val="0"/>
          <w:divBdr>
            <w:top w:val="none" w:sz="0" w:space="0" w:color="auto"/>
            <w:left w:val="none" w:sz="0" w:space="0" w:color="auto"/>
            <w:bottom w:val="none" w:sz="0" w:space="0" w:color="auto"/>
            <w:right w:val="none" w:sz="0" w:space="0" w:color="auto"/>
          </w:divBdr>
          <w:divsChild>
            <w:div w:id="16785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217">
      <w:bodyDiv w:val="1"/>
      <w:marLeft w:val="0"/>
      <w:marRight w:val="0"/>
      <w:marTop w:val="0"/>
      <w:marBottom w:val="0"/>
      <w:divBdr>
        <w:top w:val="none" w:sz="0" w:space="0" w:color="auto"/>
        <w:left w:val="none" w:sz="0" w:space="0" w:color="auto"/>
        <w:bottom w:val="none" w:sz="0" w:space="0" w:color="auto"/>
        <w:right w:val="none" w:sz="0" w:space="0" w:color="auto"/>
      </w:divBdr>
    </w:div>
    <w:div w:id="960963110">
      <w:bodyDiv w:val="1"/>
      <w:marLeft w:val="0"/>
      <w:marRight w:val="0"/>
      <w:marTop w:val="0"/>
      <w:marBottom w:val="0"/>
      <w:divBdr>
        <w:top w:val="none" w:sz="0" w:space="0" w:color="auto"/>
        <w:left w:val="none" w:sz="0" w:space="0" w:color="auto"/>
        <w:bottom w:val="none" w:sz="0" w:space="0" w:color="auto"/>
        <w:right w:val="none" w:sz="0" w:space="0" w:color="auto"/>
      </w:divBdr>
    </w:div>
    <w:div w:id="1029529554">
      <w:bodyDiv w:val="1"/>
      <w:marLeft w:val="0"/>
      <w:marRight w:val="0"/>
      <w:marTop w:val="0"/>
      <w:marBottom w:val="0"/>
      <w:divBdr>
        <w:top w:val="none" w:sz="0" w:space="0" w:color="auto"/>
        <w:left w:val="none" w:sz="0" w:space="0" w:color="auto"/>
        <w:bottom w:val="none" w:sz="0" w:space="0" w:color="auto"/>
        <w:right w:val="none" w:sz="0" w:space="0" w:color="auto"/>
      </w:divBdr>
    </w:div>
    <w:div w:id="1047487345">
      <w:bodyDiv w:val="1"/>
      <w:marLeft w:val="0"/>
      <w:marRight w:val="0"/>
      <w:marTop w:val="0"/>
      <w:marBottom w:val="0"/>
      <w:divBdr>
        <w:top w:val="none" w:sz="0" w:space="0" w:color="auto"/>
        <w:left w:val="none" w:sz="0" w:space="0" w:color="auto"/>
        <w:bottom w:val="none" w:sz="0" w:space="0" w:color="auto"/>
        <w:right w:val="none" w:sz="0" w:space="0" w:color="auto"/>
      </w:divBdr>
      <w:divsChild>
        <w:div w:id="1116632584">
          <w:marLeft w:val="0"/>
          <w:marRight w:val="0"/>
          <w:marTop w:val="0"/>
          <w:marBottom w:val="0"/>
          <w:divBdr>
            <w:top w:val="none" w:sz="0" w:space="0" w:color="auto"/>
            <w:left w:val="none" w:sz="0" w:space="0" w:color="auto"/>
            <w:bottom w:val="none" w:sz="0" w:space="0" w:color="auto"/>
            <w:right w:val="none" w:sz="0" w:space="0" w:color="auto"/>
          </w:divBdr>
          <w:divsChild>
            <w:div w:id="23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308">
      <w:bodyDiv w:val="1"/>
      <w:marLeft w:val="0"/>
      <w:marRight w:val="0"/>
      <w:marTop w:val="0"/>
      <w:marBottom w:val="0"/>
      <w:divBdr>
        <w:top w:val="none" w:sz="0" w:space="0" w:color="auto"/>
        <w:left w:val="none" w:sz="0" w:space="0" w:color="auto"/>
        <w:bottom w:val="none" w:sz="0" w:space="0" w:color="auto"/>
        <w:right w:val="none" w:sz="0" w:space="0" w:color="auto"/>
      </w:divBdr>
    </w:div>
    <w:div w:id="1088043471">
      <w:bodyDiv w:val="1"/>
      <w:marLeft w:val="0"/>
      <w:marRight w:val="0"/>
      <w:marTop w:val="0"/>
      <w:marBottom w:val="0"/>
      <w:divBdr>
        <w:top w:val="none" w:sz="0" w:space="0" w:color="auto"/>
        <w:left w:val="none" w:sz="0" w:space="0" w:color="auto"/>
        <w:bottom w:val="none" w:sz="0" w:space="0" w:color="auto"/>
        <w:right w:val="none" w:sz="0" w:space="0" w:color="auto"/>
      </w:divBdr>
    </w:div>
    <w:div w:id="1163014054">
      <w:bodyDiv w:val="1"/>
      <w:marLeft w:val="0"/>
      <w:marRight w:val="0"/>
      <w:marTop w:val="0"/>
      <w:marBottom w:val="0"/>
      <w:divBdr>
        <w:top w:val="none" w:sz="0" w:space="0" w:color="auto"/>
        <w:left w:val="none" w:sz="0" w:space="0" w:color="auto"/>
        <w:bottom w:val="none" w:sz="0" w:space="0" w:color="auto"/>
        <w:right w:val="none" w:sz="0" w:space="0" w:color="auto"/>
      </w:divBdr>
    </w:div>
    <w:div w:id="1165516299">
      <w:bodyDiv w:val="1"/>
      <w:marLeft w:val="0"/>
      <w:marRight w:val="0"/>
      <w:marTop w:val="0"/>
      <w:marBottom w:val="0"/>
      <w:divBdr>
        <w:top w:val="none" w:sz="0" w:space="0" w:color="auto"/>
        <w:left w:val="none" w:sz="0" w:space="0" w:color="auto"/>
        <w:bottom w:val="none" w:sz="0" w:space="0" w:color="auto"/>
        <w:right w:val="none" w:sz="0" w:space="0" w:color="auto"/>
      </w:divBdr>
    </w:div>
    <w:div w:id="1588615049">
      <w:bodyDiv w:val="1"/>
      <w:marLeft w:val="0"/>
      <w:marRight w:val="0"/>
      <w:marTop w:val="0"/>
      <w:marBottom w:val="0"/>
      <w:divBdr>
        <w:top w:val="none" w:sz="0" w:space="0" w:color="auto"/>
        <w:left w:val="none" w:sz="0" w:space="0" w:color="auto"/>
        <w:bottom w:val="none" w:sz="0" w:space="0" w:color="auto"/>
        <w:right w:val="none" w:sz="0" w:space="0" w:color="auto"/>
      </w:divBdr>
    </w:div>
    <w:div w:id="1636061974">
      <w:bodyDiv w:val="1"/>
      <w:marLeft w:val="0"/>
      <w:marRight w:val="0"/>
      <w:marTop w:val="0"/>
      <w:marBottom w:val="0"/>
      <w:divBdr>
        <w:top w:val="none" w:sz="0" w:space="0" w:color="auto"/>
        <w:left w:val="none" w:sz="0" w:space="0" w:color="auto"/>
        <w:bottom w:val="none" w:sz="0" w:space="0" w:color="auto"/>
        <w:right w:val="none" w:sz="0" w:space="0" w:color="auto"/>
      </w:divBdr>
      <w:divsChild>
        <w:div w:id="1766227866">
          <w:marLeft w:val="0"/>
          <w:marRight w:val="0"/>
          <w:marTop w:val="0"/>
          <w:marBottom w:val="0"/>
          <w:divBdr>
            <w:top w:val="none" w:sz="0" w:space="0" w:color="auto"/>
            <w:left w:val="none" w:sz="0" w:space="0" w:color="auto"/>
            <w:bottom w:val="none" w:sz="0" w:space="0" w:color="auto"/>
            <w:right w:val="none" w:sz="0" w:space="0" w:color="auto"/>
          </w:divBdr>
          <w:divsChild>
            <w:div w:id="13428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3358">
      <w:bodyDiv w:val="1"/>
      <w:marLeft w:val="0"/>
      <w:marRight w:val="0"/>
      <w:marTop w:val="0"/>
      <w:marBottom w:val="0"/>
      <w:divBdr>
        <w:top w:val="none" w:sz="0" w:space="0" w:color="auto"/>
        <w:left w:val="none" w:sz="0" w:space="0" w:color="auto"/>
        <w:bottom w:val="none" w:sz="0" w:space="0" w:color="auto"/>
        <w:right w:val="none" w:sz="0" w:space="0" w:color="auto"/>
      </w:divBdr>
    </w:div>
    <w:div w:id="1766226077">
      <w:bodyDiv w:val="1"/>
      <w:marLeft w:val="0"/>
      <w:marRight w:val="0"/>
      <w:marTop w:val="0"/>
      <w:marBottom w:val="0"/>
      <w:divBdr>
        <w:top w:val="none" w:sz="0" w:space="0" w:color="auto"/>
        <w:left w:val="none" w:sz="0" w:space="0" w:color="auto"/>
        <w:bottom w:val="none" w:sz="0" w:space="0" w:color="auto"/>
        <w:right w:val="none" w:sz="0" w:space="0" w:color="auto"/>
      </w:divBdr>
      <w:divsChild>
        <w:div w:id="94447775">
          <w:marLeft w:val="480"/>
          <w:marRight w:val="0"/>
          <w:marTop w:val="0"/>
          <w:marBottom w:val="0"/>
          <w:divBdr>
            <w:top w:val="none" w:sz="0" w:space="0" w:color="auto"/>
            <w:left w:val="none" w:sz="0" w:space="0" w:color="auto"/>
            <w:bottom w:val="none" w:sz="0" w:space="0" w:color="auto"/>
            <w:right w:val="none" w:sz="0" w:space="0" w:color="auto"/>
          </w:divBdr>
          <w:divsChild>
            <w:div w:id="6112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307">
      <w:bodyDiv w:val="1"/>
      <w:marLeft w:val="0"/>
      <w:marRight w:val="0"/>
      <w:marTop w:val="0"/>
      <w:marBottom w:val="0"/>
      <w:divBdr>
        <w:top w:val="none" w:sz="0" w:space="0" w:color="auto"/>
        <w:left w:val="none" w:sz="0" w:space="0" w:color="auto"/>
        <w:bottom w:val="none" w:sz="0" w:space="0" w:color="auto"/>
        <w:right w:val="none" w:sz="0" w:space="0" w:color="auto"/>
      </w:divBdr>
    </w:div>
    <w:div w:id="1823084113">
      <w:bodyDiv w:val="1"/>
      <w:marLeft w:val="0"/>
      <w:marRight w:val="0"/>
      <w:marTop w:val="0"/>
      <w:marBottom w:val="0"/>
      <w:divBdr>
        <w:top w:val="none" w:sz="0" w:space="0" w:color="auto"/>
        <w:left w:val="none" w:sz="0" w:space="0" w:color="auto"/>
        <w:bottom w:val="none" w:sz="0" w:space="0" w:color="auto"/>
        <w:right w:val="none" w:sz="0" w:space="0" w:color="auto"/>
      </w:divBdr>
    </w:div>
    <w:div w:id="1846095161">
      <w:bodyDiv w:val="1"/>
      <w:marLeft w:val="0"/>
      <w:marRight w:val="0"/>
      <w:marTop w:val="0"/>
      <w:marBottom w:val="0"/>
      <w:divBdr>
        <w:top w:val="none" w:sz="0" w:space="0" w:color="auto"/>
        <w:left w:val="none" w:sz="0" w:space="0" w:color="auto"/>
        <w:bottom w:val="none" w:sz="0" w:space="0" w:color="auto"/>
        <w:right w:val="none" w:sz="0" w:space="0" w:color="auto"/>
      </w:divBdr>
      <w:divsChild>
        <w:div w:id="1147817862">
          <w:marLeft w:val="480"/>
          <w:marRight w:val="0"/>
          <w:marTop w:val="0"/>
          <w:marBottom w:val="0"/>
          <w:divBdr>
            <w:top w:val="none" w:sz="0" w:space="0" w:color="auto"/>
            <w:left w:val="none" w:sz="0" w:space="0" w:color="auto"/>
            <w:bottom w:val="none" w:sz="0" w:space="0" w:color="auto"/>
            <w:right w:val="none" w:sz="0" w:space="0" w:color="auto"/>
          </w:divBdr>
          <w:divsChild>
            <w:div w:id="13137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269">
      <w:bodyDiv w:val="1"/>
      <w:marLeft w:val="0"/>
      <w:marRight w:val="0"/>
      <w:marTop w:val="0"/>
      <w:marBottom w:val="0"/>
      <w:divBdr>
        <w:top w:val="none" w:sz="0" w:space="0" w:color="auto"/>
        <w:left w:val="none" w:sz="0" w:space="0" w:color="auto"/>
        <w:bottom w:val="none" w:sz="0" w:space="0" w:color="auto"/>
        <w:right w:val="none" w:sz="0" w:space="0" w:color="auto"/>
      </w:divBdr>
    </w:div>
    <w:div w:id="2027823675">
      <w:bodyDiv w:val="1"/>
      <w:marLeft w:val="0"/>
      <w:marRight w:val="0"/>
      <w:marTop w:val="0"/>
      <w:marBottom w:val="0"/>
      <w:divBdr>
        <w:top w:val="none" w:sz="0" w:space="0" w:color="auto"/>
        <w:left w:val="none" w:sz="0" w:space="0" w:color="auto"/>
        <w:bottom w:val="none" w:sz="0" w:space="0" w:color="auto"/>
        <w:right w:val="none" w:sz="0" w:space="0" w:color="auto"/>
      </w:divBdr>
      <w:divsChild>
        <w:div w:id="1156872097">
          <w:marLeft w:val="480"/>
          <w:marRight w:val="0"/>
          <w:marTop w:val="0"/>
          <w:marBottom w:val="0"/>
          <w:divBdr>
            <w:top w:val="none" w:sz="0" w:space="0" w:color="auto"/>
            <w:left w:val="none" w:sz="0" w:space="0" w:color="auto"/>
            <w:bottom w:val="none" w:sz="0" w:space="0" w:color="auto"/>
            <w:right w:val="none" w:sz="0" w:space="0" w:color="auto"/>
          </w:divBdr>
          <w:divsChild>
            <w:div w:id="14715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5226">
      <w:bodyDiv w:val="1"/>
      <w:marLeft w:val="0"/>
      <w:marRight w:val="0"/>
      <w:marTop w:val="0"/>
      <w:marBottom w:val="0"/>
      <w:divBdr>
        <w:top w:val="none" w:sz="0" w:space="0" w:color="auto"/>
        <w:left w:val="none" w:sz="0" w:space="0" w:color="auto"/>
        <w:bottom w:val="none" w:sz="0" w:space="0" w:color="auto"/>
        <w:right w:val="none" w:sz="0" w:space="0" w:color="auto"/>
      </w:divBdr>
      <w:divsChild>
        <w:div w:id="181212602">
          <w:marLeft w:val="0"/>
          <w:marRight w:val="0"/>
          <w:marTop w:val="0"/>
          <w:marBottom w:val="0"/>
          <w:divBdr>
            <w:top w:val="none" w:sz="0" w:space="0" w:color="auto"/>
            <w:left w:val="none" w:sz="0" w:space="0" w:color="auto"/>
            <w:bottom w:val="none" w:sz="0" w:space="0" w:color="auto"/>
            <w:right w:val="none" w:sz="0" w:space="0" w:color="auto"/>
          </w:divBdr>
          <w:divsChild>
            <w:div w:id="13009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8823">
      <w:bodyDiv w:val="1"/>
      <w:marLeft w:val="0"/>
      <w:marRight w:val="0"/>
      <w:marTop w:val="0"/>
      <w:marBottom w:val="0"/>
      <w:divBdr>
        <w:top w:val="none" w:sz="0" w:space="0" w:color="auto"/>
        <w:left w:val="none" w:sz="0" w:space="0" w:color="auto"/>
        <w:bottom w:val="none" w:sz="0" w:space="0" w:color="auto"/>
        <w:right w:val="none" w:sz="0" w:space="0" w:color="auto"/>
      </w:divBdr>
      <w:divsChild>
        <w:div w:id="101807602">
          <w:marLeft w:val="480"/>
          <w:marRight w:val="0"/>
          <w:marTop w:val="0"/>
          <w:marBottom w:val="0"/>
          <w:divBdr>
            <w:top w:val="none" w:sz="0" w:space="0" w:color="auto"/>
            <w:left w:val="none" w:sz="0" w:space="0" w:color="auto"/>
            <w:bottom w:val="none" w:sz="0" w:space="0" w:color="auto"/>
            <w:right w:val="none" w:sz="0" w:space="0" w:color="auto"/>
          </w:divBdr>
          <w:divsChild>
            <w:div w:id="18650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jep.33.1.185" TargetMode="External"/><Relationship Id="rId13" Type="http://schemas.openxmlformats.org/officeDocument/2006/relationships/hyperlink" Target="https://leg.colorado.gov/bills/hb21-1266" TargetMode="External"/><Relationship Id="rId18" Type="http://schemas.openxmlformats.org/officeDocument/2006/relationships/hyperlink" Target="https://www.bls.gov/cew/downloadable-data-files.ht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hyperlink" Target="https://www.sqlalchemy.org/" TargetMode="External"/><Relationship Id="rId17" Type="http://schemas.openxmlformats.org/officeDocument/2006/relationships/hyperlink" Target="https://www.nytimes.com/2020/09/30/climate/city-parks.html" TargetMode="Externa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r.org/2021/03/10/distrustful-of-suncor-and-government-a-commerce-city-nonprofit-wants-to-monitor-the-air-itself/" TargetMode="External"/><Relationship Id="rId5" Type="http://schemas.openxmlformats.org/officeDocument/2006/relationships/footnotes" Target="footnotes.xml"/><Relationship Id="rId15" Type="http://schemas.openxmlformats.org/officeDocument/2006/relationships/hyperlink" Target="https://www.fractracker.org/data/" TargetMode="External"/><Relationship Id="rId23" Type="http://schemas.openxmlformats.org/officeDocument/2006/relationships/theme" Target="theme/theme1.xml"/><Relationship Id="rId10" Type="http://schemas.openxmlformats.org/officeDocument/2006/relationships/hyperlink" Target="https://denverite.com/2018/12/10/vasquez-i-70-superfund-ou1-to-close-but-residents-fear-soil-pollution/" TargetMode="External"/><Relationship Id="rId19" Type="http://schemas.openxmlformats.org/officeDocument/2006/relationships/hyperlink" Target="https://www.cpr.org/2020/07/30/safety-fears-hang-in-the-air-after-a-benzene-spike-at-a-greeley-school-with-a-neighboring-oil-and-gas-well/" TargetMode="External"/><Relationship Id="rId4" Type="http://schemas.openxmlformats.org/officeDocument/2006/relationships/webSettings" Target="webSettings.xml"/><Relationship Id="rId9" Type="http://schemas.openxmlformats.org/officeDocument/2006/relationships/hyperlink" Target="https://doi.org/10.1146/annurev-resource-100518-094131" TargetMode="External"/><Relationship Id="rId14" Type="http://schemas.openxmlformats.org/officeDocument/2006/relationships/hyperlink" Target="https://ejscreen.epa.gov/mapp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Peterson</dc:creator>
  <cp:keywords/>
  <dc:description/>
  <cp:lastModifiedBy>Richard Peterson</cp:lastModifiedBy>
  <cp:revision>318</cp:revision>
  <cp:lastPrinted>2022-03-12T17:50:00Z</cp:lastPrinted>
  <dcterms:created xsi:type="dcterms:W3CDTF">2022-03-12T17:33:00Z</dcterms:created>
  <dcterms:modified xsi:type="dcterms:W3CDTF">2022-03-13T22:48:00Z</dcterms:modified>
</cp:coreProperties>
</file>