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895350" cx="2771775"/>
            <wp:effectExtent t="0" b="0" r="0" l="0"/>
            <wp:docPr id="1" name="image02.jpg" descr="http://www.upc.edu.pe/images/0/logo_upc.jpg"/>
            <a:graphic>
              <a:graphicData uri="http://schemas.openxmlformats.org/drawingml/2006/picture">
                <pic:pic>
                  <pic:nvPicPr>
                    <pic:cNvPr id="0" name="image02.jpg" descr="http://www.upc.edu.pe/images/0/logo_upc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95350" cx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80" w:before="280"/>
        <w:contextualSpacing w:val="0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80" w:before="0"/>
        <w:contextualSpacing w:val="0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80" w:before="0"/>
        <w:contextualSpacing w:val="0"/>
      </w:pP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80" w:before="0"/>
        <w:contextualSpacing w:val="0"/>
      </w:pPr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b w:val="1"/>
          <w:sz w:val="52"/>
          <w:vertAlign w:val="baseline"/>
          <w:rtl w:val="0"/>
        </w:rPr>
        <w:t xml:space="preserve">TRABAJO FINAL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b w:val="1"/>
          <w:sz w:val="52"/>
          <w:vertAlign w:val="baseline"/>
          <w:rtl w:val="0"/>
        </w:rPr>
        <w:t xml:space="preserve">DISEÑO DE BASE DE DATOS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b w:val="1"/>
          <w:sz w:val="72"/>
          <w:vertAlign w:val="baseline"/>
          <w:rtl w:val="0"/>
        </w:rPr>
        <w:t xml:space="preserve">ANTECEDENTES POLICIALES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2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  <w:jc w:val="right"/>
      </w:pPr>
      <w:r w:rsidRPr="00000000" w:rsidR="00000000" w:rsidDel="00000000">
        <w:drawing>
          <wp:inline distR="114300" distT="0" distB="0" distL="114300">
            <wp:extent cy="762000" cx="600075"/>
            <wp:effectExtent t="0" b="0" r="0" l="0"/>
            <wp:docPr id="2" name="image03.png" descr="http://www.upc.edu.pe/RepositorioAPS/0/2/ZOP/TESTIMONIOS/logoEPE.gif"/>
            <a:graphic>
              <a:graphicData uri="http://schemas.openxmlformats.org/drawingml/2006/picture">
                <pic:pic>
                  <pic:nvPicPr>
                    <pic:cNvPr id="0" name="image03.png" descr="http://www.upc.edu.pe/RepositorioAPS/0/2/ZOP/TESTIMONIOS/logoEPE.gif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2000" cx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2933700</wp:posOffset>
            </wp:positionH>
            <wp:positionV relativeFrom="paragraph">
              <wp:posOffset>292100</wp:posOffset>
            </wp:positionV>
            <wp:extent cy="469900" cx="2133600"/>
            <wp:effectExtent t="0" b="0" r="0" l="0"/>
            <wp:wrapNone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469900" cx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48"/>
          <w:vertAlign w:val="baseline"/>
          <w:rtl w:val="0"/>
        </w:rPr>
        <w:t xml:space="preserve">Índice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360" w:hanging="359"/>
        <w:contextualSpacing w:val="1"/>
        <w:rPr>
          <w:rFonts w:cs="Calibri" w:hAnsi="Calibri" w:eastAsia="Calibri" w:ascii="Calibri"/>
          <w:b w:val="0"/>
          <w:i w:val="1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i w:val="1"/>
          <w:sz w:val="22"/>
          <w:vertAlign w:val="baseline"/>
          <w:rtl w:val="0"/>
        </w:rPr>
        <w:t xml:space="preserve">Integrantes del Grupo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360" w:hanging="359"/>
        <w:contextualSpacing w:val="1"/>
        <w:rPr>
          <w:rFonts w:cs="Calibri" w:hAnsi="Calibri" w:eastAsia="Calibri" w:ascii="Calibri"/>
          <w:b w:val="0"/>
          <w:i w:val="1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i w:val="1"/>
          <w:sz w:val="22"/>
          <w:vertAlign w:val="baseline"/>
          <w:rtl w:val="0"/>
        </w:rPr>
        <w:t xml:space="preserve">Presentación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360" w:hanging="359"/>
        <w:contextualSpacing w:val="1"/>
        <w:rPr>
          <w:rFonts w:cs="Calibri" w:hAnsi="Calibri" w:eastAsia="Calibri" w:ascii="Calibri"/>
          <w:b w:val="0"/>
          <w:i w:val="1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i w:val="1"/>
          <w:sz w:val="22"/>
          <w:vertAlign w:val="baseline"/>
          <w:rtl w:val="0"/>
        </w:rPr>
        <w:t xml:space="preserve">Objetivos del Trabajo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360" w:hanging="359"/>
        <w:contextualSpacing w:val="1"/>
        <w:rPr>
          <w:rFonts w:cs="Calibri" w:hAnsi="Calibri" w:eastAsia="Calibri" w:ascii="Calibri"/>
          <w:b w:val="0"/>
          <w:i w:val="1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i w:val="1"/>
          <w:sz w:val="22"/>
          <w:vertAlign w:val="baseline"/>
          <w:rtl w:val="0"/>
        </w:rPr>
        <w:t xml:space="preserve">Descripción del Caso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360" w:hanging="359"/>
        <w:contextualSpacing w:val="1"/>
        <w:rPr>
          <w:rFonts w:cs="Calibri" w:hAnsi="Calibri" w:eastAsia="Calibri" w:ascii="Calibri"/>
          <w:b w:val="0"/>
          <w:i w:val="1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i w:val="1"/>
          <w:sz w:val="22"/>
          <w:vertAlign w:val="baseline"/>
          <w:rtl w:val="0"/>
        </w:rPr>
        <w:t xml:space="preserve">Reglas de Negocio</w:t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900" w:hanging="89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INTEGRANTES DEL GRUPO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Los integrantes del grupo son los siguientes:</w:t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5238.0" w:type="dxa"/>
        <w:jc w:val="left"/>
        <w:tblInd w:w="990.0" w:type="dxa"/>
        <w:tblBorders>
          <w:top w:color="404040" w:space="0" w:val="single" w:sz="8"/>
          <w:left w:color="404040" w:space="0" w:val="single" w:sz="8"/>
          <w:bottom w:color="404040" w:space="0" w:val="single" w:sz="8"/>
          <w:right w:color="404040" w:space="0" w:val="single" w:sz="8"/>
          <w:insideH w:color="404040" w:space="0" w:val="single" w:sz="8"/>
          <w:insideV w:color="000000" w:space="0" w:val="nil" w:sz="0"/>
        </w:tblBorders>
        <w:tblLayout w:type="fixed"/>
        <w:tblLook w:val="0000"/>
      </w:tblPr>
      <w:tblGrid>
        <w:gridCol w:w="3258"/>
        <w:gridCol w:w="1980"/>
        <w:tblGridChange w:id="0">
          <w:tblGrid>
            <w:gridCol w:w="3258"/>
            <w:gridCol w:w="1980"/>
          </w:tblGrid>
        </w:tblGridChange>
      </w:tblGrid>
      <w:tr>
        <w:tc>
          <w:tcPr>
            <w:tcBorders>
              <w:top w:color="404040" w:space="0" w:val="single" w:sz="8"/>
              <w:left w:color="404040" w:space="0" w:val="single" w:sz="8"/>
              <w:bottom w:color="404040" w:space="0" w:val="single" w:sz="8"/>
              <w:right w:color="000000" w:space="0" w:val="nil" w:sz="0"/>
            </w:tcBorders>
            <w:shd w:fill="000000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color w:val="ffffff"/>
                <w:sz w:val="22"/>
                <w:vertAlign w:val="baseline"/>
                <w:rtl w:val="0"/>
              </w:rPr>
              <w:t xml:space="preserve">Nombres</w:t>
            </w:r>
          </w:p>
        </w:tc>
        <w:tc>
          <w:tcPr>
            <w:tcBorders>
              <w:top w:color="404040" w:space="0" w:val="single" w:sz="8"/>
              <w:left w:color="000000" w:space="0" w:val="nil" w:sz="0"/>
              <w:bottom w:color="404040" w:space="0" w:val="single" w:sz="8"/>
              <w:right w:color="404040" w:space="0" w:val="single" w:sz="8"/>
            </w:tcBorders>
            <w:shd w:fill="000000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color w:val="ffffff"/>
                <w:sz w:val="22"/>
                <w:vertAlign w:val="baseline"/>
                <w:rtl w:val="0"/>
              </w:rPr>
              <w:t xml:space="preserve">Código</w:t>
            </w:r>
          </w:p>
        </w:tc>
      </w:tr>
      <w:tr>
        <w:tc>
          <w:tcPr>
            <w:tcBorders>
              <w:right w:color="000000" w:space="0" w:val="nil" w:sz="0"/>
            </w:tcBorders>
            <w:shd w:fill="c0c0c0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FERNANDO CUESTA BARRETO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</w:tcBorders>
            <w:shd w:fill="c0c0c0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vertAlign w:val="baseline"/>
                <w:rtl w:val="0"/>
              </w:rPr>
              <w:t xml:space="preserve">U201403580</w:t>
            </w:r>
          </w:p>
        </w:tc>
      </w:tr>
      <w:tr>
        <w:tc>
          <w:tcPr>
            <w:tcBorders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RICHARD CHECNES QUISPE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vertAlign w:val="baseline"/>
                <w:rtl w:val="0"/>
              </w:rPr>
              <w:t xml:space="preserve">U201424788</w:t>
            </w:r>
          </w:p>
        </w:tc>
      </w:tr>
      <w:tr>
        <w:tc>
          <w:tcPr>
            <w:tcBorders>
              <w:right w:color="000000" w:space="0" w:val="nil" w:sz="0"/>
            </w:tcBorders>
            <w:shd w:fill="c0c0c0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ALEXANDER ESPINOZA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</w:tcBorders>
            <w:shd w:fill="c0c0c0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vertAlign w:val="baseline"/>
                <w:rtl w:val="0"/>
              </w:rPr>
              <w:t xml:space="preserve">U201216855</w:t>
            </w:r>
          </w:p>
        </w:tc>
      </w:tr>
      <w:tr>
        <w:tc>
          <w:tcPr>
            <w:tcBorders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900" w:hanging="89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PRESENTACIÓN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El presente trabajo se centra en el estudio del procedimiento de normalización de datos que se debe aplicar para obtener el mejor diseño a implementar en una futura base de datos; cumpliendo con todas las reglas del negocio que sea preciso implementar, tomadas implícita y explícitamente en base a la información ofrecida.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900" w:hanging="89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OBJETIVOS DEL TRABAJO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El objetivo del presente trabajo es presentar una lista de atributos que nacen de las reglas de negocio presentadas en el caso planteado </w:t>
      </w: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Antecedentes Policiales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, con el fin de implementar un diagrama funcional de la misma, así como sus relaciones cumpliendo con todas las normas teóricas de forma normal aplicadas en clase.</w:t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900" w:hanging="89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DESCRIPCION DEL CASO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ANTECEDENTES POLICIALES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90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La policita nacional del Perú (PNP) ante ola delincuencial que asota al país, está realizando una modificación total en su organización, funcionamiento y estructura.</w:t>
      </w:r>
    </w:p>
    <w:p w:rsidP="00000000" w:rsidRPr="00000000" w:rsidR="00000000" w:rsidDel="00000000" w:rsidRDefault="00000000">
      <w:pPr>
        <w:spacing w:lineRule="auto" w:after="120" w:line="240" w:before="0"/>
        <w:ind w:left="90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Por esa razón desea desarrollar un sistema de información con la finalidad de brindar el apoyo tecnológico a todas las Unidades Policiales a nivel nacional contribuyendo al éxito a las operaciones policiales en la lucha contra la criminalidad. Incorpora una fuente de información confidencial para la toma de decisiones antes durante y después de las operaciones policiales que servirán de apoyo a las Unidades Operativas y Especializadas de la Policía Nacional del Perú, a fin de eliminar y/o minimizar el accionar delincuencial en sus diferentes modalidades y asegurar la tranquilidad ciudadana</w:t>
      </w:r>
    </w:p>
    <w:p w:rsidP="00000000" w:rsidRPr="00000000" w:rsidR="00000000" w:rsidDel="00000000" w:rsidRDefault="00000000">
      <w:pPr>
        <w:ind w:left="90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Los delitos por las cuales una persona podría tener antecedentes policiales según la </w:t>
      </w:r>
      <w:r w:rsidRPr="00000000" w:rsidR="00000000" w:rsidDel="00000000">
        <w:rPr>
          <w:color w:val="2b3334"/>
          <w:vertAlign w:val="baseline"/>
          <w:rtl w:val="0"/>
        </w:rPr>
        <w:t xml:space="preserve">ley del código penal integral en el capítulo primero son los siguientes: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0" w:line="276" w:before="0"/>
        <w:ind w:left="1620" w:hanging="719"/>
        <w:contextualSpacing w:val="1"/>
        <w:rPr>
          <w:rFonts w:cs="Arial" w:hAnsi="Arial" w:eastAsia="Arial" w:ascii="Arial"/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LA VIDA, EL CUERPO Y LA SALUD.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Homicidio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Homicidio simple;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Parricidio;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Asesinato;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Homicidio por emoción violenta;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Infanticidio;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Homicidio culposo;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Homicidio piadoso;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Instigación o ayuda al suicidio.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Aborto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Autoaborto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Aborto consentido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Aborto no consentido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Aborto agravado por la cualificación del sujeto activo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Aborto preterintencional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Aborto terapéutico impune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Aborto sentimental y eugenésico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Lesiones: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Lesiones graves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Lesiones graves a menores de edad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Lesiones leves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Lesiones leves a menores de edad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Lesiones con resultado fortuito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Lesiones culposas</w:t>
      </w:r>
    </w:p>
    <w:p w:rsidP="00000000" w:rsidRPr="00000000" w:rsidR="00000000" w:rsidDel="00000000" w:rsidRDefault="00000000">
      <w:pPr>
        <w:ind w:left="90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Exposición a peligro o abandono de personas en peligro</w:t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Exposición o abandono a personas incapaces</w:t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Omisión de socorro y exposición al peligro</w:t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Omisión de auxilio a persona en peligro o aviso a la autoridad</w:t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Exposición a peligro de persona dependiente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Genocidio</w:t>
      </w:r>
    </w:p>
    <w:p w:rsidP="00000000" w:rsidRPr="00000000" w:rsidR="00000000" w:rsidDel="00000000" w:rsidRDefault="00000000">
      <w:pPr>
        <w:ind w:left="90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II.-  DELITOS CONTRA EL HONOR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Injuria, Calumnia y Difamación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III.- DELITOS CONTRA LA FAMILIA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Matrimonios ilegales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el Estado Civil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Atentados contra la patria potestad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Omisión de Asistencia familiar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IV.- DELITOS CONTRA LA LIBERTAD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Violación de la libertad personal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Violación de la intimidad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Violación de domicilio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Violación del Secreto de las comunicaciones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Violación del secreto profesional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Violación de la libertad de reunión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Violación de la libertad de trabajo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Violación de la libertad de expresión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Violación de la libertad sexual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Proxenetismo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Ofensas al pudor público.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V.- DELITOS CONTRA EL PATRIMONIO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Hurto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Robo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Abigeato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Apropiación ilícita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Receptación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Estafa y otras defraudaciones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Fraude en la administración de personas jurídicas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Extorsión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Usurpación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Daños</w:t>
      </w:r>
    </w:p>
    <w:p w:rsidP="00000000" w:rsidRPr="00000000" w:rsidR="00000000" w:rsidDel="00000000" w:rsidRDefault="00000000">
      <w:pPr>
        <w:numPr>
          <w:ilvl w:val="0"/>
          <w:numId w:val="2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informáticos</w:t>
      </w:r>
    </w:p>
    <w:p w:rsidP="00000000" w:rsidRPr="00000000" w:rsidR="00000000" w:rsidDel="00000000" w:rsidRDefault="00000000">
      <w:pPr>
        <w:ind w:left="90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LA CONFIANZA Y LA BUENA FE EN LOS NEGOCIOS: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9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Atentados contra el sistema crediticio</w:t>
      </w:r>
    </w:p>
    <w:p w:rsidP="00000000" w:rsidRPr="00000000" w:rsidR="00000000" w:rsidDel="00000000" w:rsidRDefault="00000000">
      <w:pPr>
        <w:numPr>
          <w:ilvl w:val="0"/>
          <w:numId w:val="29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Usura</w:t>
      </w:r>
    </w:p>
    <w:p w:rsidP="00000000" w:rsidRPr="00000000" w:rsidR="00000000" w:rsidDel="00000000" w:rsidRDefault="00000000">
      <w:pPr>
        <w:numPr>
          <w:ilvl w:val="0"/>
          <w:numId w:val="29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Libramientos indebidos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VII.-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LOS DERECHOS INTELECTUALES: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7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los derechos de autor y conexos</w:t>
      </w:r>
    </w:p>
    <w:p w:rsidP="00000000" w:rsidRPr="00000000" w:rsidR="00000000" w:rsidDel="00000000" w:rsidRDefault="00000000">
      <w:pPr>
        <w:numPr>
          <w:ilvl w:val="0"/>
          <w:numId w:val="27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la propiedad industrial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VIII.-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EL PATRIMONIO CULTURAL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los bienes culturales.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IX.-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EL ORDEN ECONOMICO: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Abuso del poder económico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Acaparamiento, especulación, adulteración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Venta ilícita de mercaderías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Otros delitos económicos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Ejercicio ilegal de actividades de los agentes de intermediación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EL ORDEN FINANCIERO Y MONETARIO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financieros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monetarios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XI.-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TRIBUTARIOS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Contrabando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Defraudación Fiscal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Defraudación de rentas de aduanas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Defraudación tributaria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Elaboración y comercio clandestino de productos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XII.-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LA SEGURIDAD PÚBLICA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de peligro común</w:t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los medios de transporte, comunicación y otros servicios públicos</w:t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la salud pública</w:t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Contaminación y propagación</w:t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Tráfico Ilícito de drogas</w:t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el orden migratorio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XIII.-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AMBIENTALES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de contaminación</w:t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recursos naturales</w:t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Responsabilidad Funcional e Informacion Falsa</w:t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Medidad cautelares y Exclusion o Reduccion de penas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XIV.-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LA TRANQUILIDAD PÚBLICA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7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la paz pública</w:t>
      </w:r>
    </w:p>
    <w:p w:rsidP="00000000" w:rsidRPr="00000000" w:rsidR="00000000" w:rsidDel="00000000" w:rsidRDefault="00000000">
      <w:pPr>
        <w:numPr>
          <w:ilvl w:val="0"/>
          <w:numId w:val="37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Terrorismo 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XIV-A.-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LA HUMANIDAD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Genocidio</w:t>
      </w:r>
    </w:p>
    <w:p w:rsidP="00000000" w:rsidRPr="00000000" w:rsidR="00000000" w:rsidDel="00000000" w:rsidRDefault="00000000">
      <w:pPr>
        <w:numPr>
          <w:ilvl w:val="0"/>
          <w:numId w:val="3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Desaparición forzada</w:t>
      </w:r>
    </w:p>
    <w:p w:rsidP="00000000" w:rsidRPr="00000000" w:rsidR="00000000" w:rsidDel="00000000" w:rsidRDefault="00000000">
      <w:pPr>
        <w:numPr>
          <w:ilvl w:val="0"/>
          <w:numId w:val="3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Tortura</w:t>
      </w:r>
    </w:p>
    <w:p w:rsidP="00000000" w:rsidRPr="00000000" w:rsidR="00000000" w:rsidDel="00000000" w:rsidRDefault="00000000">
      <w:pPr>
        <w:numPr>
          <w:ilvl w:val="0"/>
          <w:numId w:val="3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Discriminación</w:t>
      </w:r>
    </w:p>
    <w:p w:rsidP="00000000" w:rsidRPr="00000000" w:rsidR="00000000" w:rsidDel="00000000" w:rsidRDefault="00000000">
      <w:pPr>
        <w:numPr>
          <w:ilvl w:val="0"/>
          <w:numId w:val="3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Manipulación genética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XV.-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EL ESTADO Y LA DEFENSA NACIONAL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9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Atentados contra la seguridad nacional y traición a la patria</w:t>
      </w:r>
    </w:p>
    <w:p w:rsidP="00000000" w:rsidRPr="00000000" w:rsidR="00000000" w:rsidDel="00000000" w:rsidRDefault="00000000">
      <w:pPr>
        <w:numPr>
          <w:ilvl w:val="0"/>
          <w:numId w:val="39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que comprometen las relaciones exteriores del Estado</w:t>
      </w:r>
    </w:p>
    <w:p w:rsidP="00000000" w:rsidRPr="00000000" w:rsidR="00000000" w:rsidDel="00000000" w:rsidRDefault="00000000">
      <w:pPr>
        <w:numPr>
          <w:ilvl w:val="0"/>
          <w:numId w:val="39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los símbolos y valores de la patria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XVI.-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LOS PODERES DEL ESTADO Y EL ORDEN CONSTITUCIONAL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Rebelión, sedición y motín.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XVII.-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LA VOLUNTAD POPULAR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el derecho de sufragio.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XVIII.-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LA ADMINISTRACIÓN PÚBLICA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cometidos por particulares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Usurpación de autoridad, títulos y honores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Violencia y resistencia a la autoridad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Desacato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cometidos por funcionarios públicos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  Abuso de autoridad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Concusión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Peculado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Corrupción de funcionarios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la administración de justicia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Delitos contra la función jurisdiccional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Prevaricato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Denegación y retardo de justicia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ABUSO DE AUTORIDAD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Abuso de autoridad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Abuso de autoridad por Omisión, Rehusamiento y Retardo de función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Omisión injustificada de auxilio policial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Oposición a órdenes generales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Abandono de cargo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Nombramiento ilegal</w:t>
      </w:r>
    </w:p>
    <w:p w:rsidP="00000000" w:rsidRPr="00000000" w:rsidR="00000000" w:rsidDel="00000000" w:rsidRDefault="00000000">
      <w:pPr>
        <w:ind w:left="90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CONCUSIÓN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Concusión explícita agravada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Concusión explícita e implícita atenuada;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Colusión; d) Patrocinio Ilegal.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PECULADO</w:t>
      </w:r>
    </w:p>
    <w:p w:rsidP="00000000" w:rsidRPr="00000000" w:rsidR="00000000" w:rsidDel="00000000" w:rsidRDefault="00000000">
      <w:pPr>
        <w:numPr>
          <w:ilvl w:val="0"/>
          <w:numId w:val="3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Peculado</w:t>
      </w:r>
    </w:p>
    <w:p w:rsidP="00000000" w:rsidRPr="00000000" w:rsidR="00000000" w:rsidDel="00000000" w:rsidRDefault="00000000">
      <w:pPr>
        <w:numPr>
          <w:ilvl w:val="0"/>
          <w:numId w:val="3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Peculado de uso</w:t>
      </w:r>
    </w:p>
    <w:p w:rsidP="00000000" w:rsidRPr="00000000" w:rsidR="00000000" w:rsidDel="00000000" w:rsidRDefault="00000000">
      <w:pPr>
        <w:numPr>
          <w:ilvl w:val="0"/>
          <w:numId w:val="3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Peculado por Malversación</w:t>
      </w:r>
    </w:p>
    <w:p w:rsidP="00000000" w:rsidRPr="00000000" w:rsidR="00000000" w:rsidDel="00000000" w:rsidRDefault="00000000">
      <w:pPr>
        <w:numPr>
          <w:ilvl w:val="0"/>
          <w:numId w:val="3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Peculado por demora injustificada</w:t>
      </w:r>
    </w:p>
    <w:p w:rsidP="00000000" w:rsidRPr="00000000" w:rsidR="00000000" w:rsidDel="00000000" w:rsidRDefault="00000000">
      <w:pPr>
        <w:numPr>
          <w:ilvl w:val="0"/>
          <w:numId w:val="3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Peculado por Retención de bienes</w:t>
      </w:r>
    </w:p>
    <w:p w:rsidP="00000000" w:rsidRPr="00000000" w:rsidR="00000000" w:rsidDel="00000000" w:rsidRDefault="00000000">
      <w:pPr>
        <w:numPr>
          <w:ilvl w:val="0"/>
          <w:numId w:val="35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Peculado por extensión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after="0" w:line="276" w:before="0"/>
        <w:ind w:left="196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CORRUPCIÓN DE FUNCIONARIOS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Cohecho por acción u omisión en violación de obligaciones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Cohecho de acción debida por precio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Cohecho de funcionarios especiales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Cohecho de secretarios o auxiliares de justicia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Negociación incompatible con el cargo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Cohecho activo del particular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Cohecho activo agravado del particular especial – Abogado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h) De las penas accesorias para el abogado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Cohecho activo del particular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j) Tráfico de Influencias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76" w:before="0"/>
        <w:ind w:left="2328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k) Enriquecimiento Ilícito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XIX.-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DELITOS CONTRA LA FE PÚBLICA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Falsificación de documentos en general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Falsificación de sellos, timbres y marcas oficiales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FALTAS: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Faltas contra la persona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Faltas contra el patrimonio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Faltas contra las buenas costumbres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Faltas contra la seguridad pública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1980" w:hanging="359"/>
        <w:contextualSpacing w:val="1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vertAlign w:val="baseline"/>
          <w:rtl w:val="0"/>
        </w:rPr>
        <w:t xml:space="preserve">Faltas contra la tranquilidad pública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900" w:hanging="89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REGLAS DE NEGOCIO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 La PNP, cuenta personal de servicio las 24 horas del día, los 365 días del año, destacados por todo el territorio nacional.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9"/>
        </w:numPr>
        <w:spacing w:lineRule="auto" w:after="120" w:line="240" w:before="0"/>
        <w:ind w:left="1620" w:right="0" w:hanging="359"/>
        <w:jc w:val="both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El </w:t>
      </w:r>
      <w:r w:rsidRPr="00000000" w:rsidR="00000000" w:rsidDel="00000000">
        <w:rPr>
          <w:rFonts w:cs="Calibri" w:hAnsi="Calibri" w:eastAsia="Calibri" w:ascii="Calibri"/>
          <w:b w:val="0"/>
          <w:color w:val="ff0000"/>
          <w:sz w:val="22"/>
          <w:vertAlign w:val="baseline"/>
          <w:rtl w:val="0"/>
        </w:rPr>
        <w:t xml:space="preserve">sistema solo esta permitido a los </w:t>
      </w:r>
      <w:r w:rsidRPr="00000000" w:rsidR="00000000" w:rsidDel="00000000">
        <w:rPr>
          <w:color w:val="ff0000"/>
          <w:rtl w:val="0"/>
        </w:rPr>
        <w:t xml:space="preserve">policías </w:t>
      </w:r>
      <w:r w:rsidRPr="00000000" w:rsidR="00000000" w:rsidDel="00000000">
        <w:rPr>
          <w:rFonts w:cs="Calibri" w:hAnsi="Calibri" w:eastAsia="Calibri" w:ascii="Calibri"/>
          <w:b w:val="0"/>
          <w:color w:val="ff0000"/>
          <w:sz w:val="22"/>
          <w:vertAlign w:val="baseline"/>
          <w:rtl w:val="0"/>
        </w:rPr>
        <w:t xml:space="preserve">que se encuentren registrados con una</w:t>
      </w:r>
      <w:r w:rsidRPr="00000000" w:rsidR="00000000" w:rsidDel="00000000">
        <w:rPr>
          <w:color w:val="ff0000"/>
          <w:rtl w:val="0"/>
        </w:rPr>
        <w:t xml:space="preserve">.</w:t>
      </w:r>
      <w:r w:rsidRPr="00000000" w:rsidR="00000000" w:rsidDel="00000000">
        <w:rPr>
          <w:rFonts w:cs="Calibri" w:hAnsi="Calibri" w:eastAsia="Calibri" w:ascii="Calibri"/>
          <w:b w:val="0"/>
          <w:color w:val="ff0000"/>
          <w:sz w:val="22"/>
          <w:vertAlign w:val="baseline"/>
          <w:rtl w:val="0"/>
        </w:rPr>
        <w:t xml:space="preserve"> Su código de usuario será su número de CIP. Su usuario tendrá </w:t>
      </w:r>
      <w:r w:rsidRPr="00000000" w:rsidR="00000000" w:rsidDel="00000000">
        <w:rPr>
          <w:color w:val="ff0000"/>
          <w:rtl w:val="0"/>
        </w:rPr>
        <w:t xml:space="preserve">2 estados: Activo e Inactivo.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trike w:val="0"/>
          <w:color w:val="ff000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trike w:val="1"/>
          <w:color w:val="ff0000"/>
          <w:sz w:val="22"/>
          <w:vertAlign w:val="baseline"/>
          <w:rtl w:val="0"/>
        </w:rPr>
        <w:t xml:space="preserve">La entrega de credenciales será autorizada por los Jefes de Unidad (Comisarios), quienes deberán solicitar formalmente las credenciales respectivas.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trike w:val="0"/>
          <w:color w:val="ff000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trike w:val="1"/>
          <w:color w:val="ff0000"/>
          <w:sz w:val="22"/>
          <w:vertAlign w:val="baseline"/>
          <w:rtl w:val="0"/>
        </w:rPr>
        <w:t xml:space="preserve">Todo ingreso al sistema será auditado y se permitirá  ver la trazabilidad de las operaciones realizadas.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color w:val="ff000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color w:val="ff0000"/>
          <w:sz w:val="22"/>
          <w:vertAlign w:val="baseline"/>
          <w:rtl w:val="0"/>
        </w:rPr>
        <w:t xml:space="preserve">El mantenimiento de la información está centralizada y lo realiza LA DIVISION DE MANTENIMIENTO Y DESARROLLO DE SISTEMAS INFORMATICOS DE LA DIMASIS-DIRETIC – PNP. 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Los policías cuentan un código de identificación (CIP), nombre completo, código de rango, nombre de rango, etc y desempeñan distintos cargos.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/>
        <w:ind w:left="16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Cada requisitoriado es identificado por un código y se guarda su nombre y un conjunto de información adicional. El código es único en todo el territorio de peru, pues lleva implícita la especie y subespecie así como la identificación del propio animal. El nombre del animal puede repetirse de una especie a otra, aunque no dentro de la misma especie/subespecie.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z w:val="22"/>
        </w:rPr>
      </w:pPr>
      <w:r w:rsidRPr="00000000" w:rsidR="00000000" w:rsidDel="00000000">
        <w:rPr>
          <w:rtl w:val="0"/>
        </w:rPr>
        <w:t xml:space="preserve">las personas que registren antecendentes policiales la información a mostrar deberá ser las siguientes: documento de identidad,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apellidos</w:t>
      </w:r>
      <w:r w:rsidRPr="00000000" w:rsidR="00000000" w:rsidDel="00000000">
        <w:rPr>
          <w:rtl w:val="0"/>
        </w:rPr>
        <w:t xml:space="preserve"> y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nombres, edad, naciona</w:t>
      </w:r>
      <w:r w:rsidRPr="00000000" w:rsidR="00000000" w:rsidDel="00000000">
        <w:rPr>
          <w:rtl w:val="0"/>
        </w:rPr>
        <w:t xml:space="preserve">lidad,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alias</w:t>
      </w:r>
      <w:r w:rsidRPr="00000000" w:rsidR="00000000" w:rsidDel="00000000">
        <w:rPr>
          <w:rtl w:val="0"/>
        </w:rPr>
        <w:t xml:space="preserve">, etc.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Para las personas con antecedentes policiales, el Sistema deberá brindar detalles  del caso involucrado como.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Fecha de la cactura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Número de policías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Lugar del operativo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Nombre del operativo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Jusgado que ordenó la captura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Fiscal que intervino en el caso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Código de solicitud de captura, etc.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Para las personas requisitoriadas el Sistema deberá brindar detalles  del caso involucrado como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Nombre y Apellidos de Persona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Tipo Documento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Fecha Nacimiento Persona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Lugar Nacimiento Persona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Alias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Talla de Persona,etc</w:t>
      </w:r>
    </w:p>
    <w:p w:rsidP="00000000" w:rsidRPr="00000000" w:rsidR="00000000" w:rsidDel="00000000" w:rsidRDefault="00000000">
      <w:pPr>
        <w:spacing w:lineRule="auto" w:after="120" w:line="240" w:before="0"/>
        <w:ind w:left="283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Se desea conocer el caso, la ciudad, delito imputado, jusgado, si fue condenado, si </w:t>
      </w:r>
      <w:r w:rsidRPr="00000000" w:rsidR="00000000" w:rsidDel="00000000">
        <w:rPr>
          <w:rtl w:val="0"/>
        </w:rPr>
        <w:t xml:space="preserve">cumplió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condena, cuanto tiempo fue recluido, el penal en donde cumplio condena. </w:t>
      </w: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Todo ello si la persona registra antecedentes policiales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Si el interesado o investigado no presenta antecedentes policiales. El Sistema deberá informar “No presenta antecendentes policiales”.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120" w:line="240" w:before="0"/>
        <w:ind w:left="162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Si el interesado o investigado se encuentra en libertad y presenta requisitoria. El Siste deberá informar lo siguiente: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El jusgado que ordena la detención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Delito imputado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Lugar en donde se cometió el delito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Tipo de delito</w:t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120" w:line="240" w:before="0"/>
        <w:ind w:left="234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El sistema debe mostrar mensaje de alerta según la gravedad del delito.</w:t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900" w:hanging="89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Tabla de Atributos y Descripción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316.0" w:type="dxa"/>
        <w:jc w:val="left"/>
        <w:tblInd w:w="-706.0" w:type="dxa"/>
        <w:tblLayout w:type="fixed"/>
        <w:tblLook w:val="0000"/>
      </w:tblPr>
      <w:tblGrid>
        <w:gridCol w:w="364"/>
        <w:gridCol w:w="2872"/>
        <w:gridCol w:w="4960"/>
        <w:gridCol w:w="2120"/>
        <w:tblGridChange w:id="0">
          <w:tblGrid>
            <w:gridCol w:w="364"/>
            <w:gridCol w:w="2872"/>
            <w:gridCol w:w="4960"/>
            <w:gridCol w:w="21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nil" w:sz="0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000000"/>
                <w:sz w:val="24"/>
                <w:vertAlign w:val="baseline"/>
                <w:rtl w:val="0"/>
              </w:rPr>
              <w:t xml:space="preserve">ATRIBUTO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000000"/>
                <w:vertAlign w:val="baseline"/>
                <w:rtl w:val="0"/>
              </w:rPr>
              <w:t xml:space="preserve">DESCRIPCION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000000"/>
                <w:vertAlign w:val="baseline"/>
                <w:rtl w:val="0"/>
              </w:rPr>
              <w:t xml:space="preserve">TIPO DE DATO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Codigo de la 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Nombre de la 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Co_RangoPolicia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Codigo rango 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No_RangoPolicia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Nombre  rango 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FL_Usuario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Estado de usuario, si esta activo o desactivo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Co_JefePolicia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Codio de jefe de la 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No_JefePolicia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Nombre jefe de la Policia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Co_Comisaria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Codigo de la Unidad Policial al que pertenece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No_Comisaria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Nombre de la Unidad Policial al que pertenece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Tx_DirecComisaria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Dirreccion de la unidad policial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Situacion_Persona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Estado de la persona :Persona/RQ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Codigo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Nombre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Ape_Persona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Apellido de 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Co_TipoDocumento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Tipo de cocumento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No_TipoDocumento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Nombre del Tipo de Documento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Dir_Persona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Direccion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VARCHAR(120)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Pro_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Provincia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Dep_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Departamento donde se cometio el delito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Fech_NacimientoPersona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Fecha de nacimiento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Fech_Fallecimiento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Fecha de fallecimiento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Lug_NacimientoPersona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Lugar de nacimiento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VARCHAR(120)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Alias_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Sobrenombre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VARCHAR(30)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Talla_Persona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Estatura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DECIMAL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Fl_HomonimiaPersona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Si presenta homonimia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Qt_Homonimia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Cantidad de personas con homonimia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Huella_digital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Vinculo de la huella digital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VARCHAR(60)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Sexo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Sexo masculino o femenino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VARCHAR(1)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EstadoCivil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Estado civil de la persona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VARCHAR(120)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AnoRequisitoria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El año de la requisitoria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Oficio_Requisitoriado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Numero de docunento que indica la requisitoria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Co_TipoDelito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Tipo de delito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No_TipoDelito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Nombre del tipo de delito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VARCHAR(120)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Fe_RegistroRequisitoria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fecha de registro de requisitoria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Co_JusgaOrdenaDetencion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Jusgado donde se genero la orden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No_JusgadoOrdenaDetencion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Nombre donde se genero la orden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VARCHAR(120)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Co_ProvAutoridad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Codigo de la provicia donde se generdo la oden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Co_DepAtoridad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Codigo del Departamento donde se generdo la oden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39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Co_DocumentoOrdenaDetencion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Codigo Documento de la orden de detencion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No_DocumentoOrdenaDetencion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Nombre Documento de la orden de detencion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VARCHAR(120)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Qt_Requisitoria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Cantidad de requisitorias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Cod_TipoCondena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Codigo del tipo de 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FL_EstadoCondena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Estado de la 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No_TipoCondena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Tipo de 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VARCHAR(30)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Fe_Condena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Fecha que se emitio la 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Ano_Condena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Año que se emitio la 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sz w:val="20"/>
                <w:vertAlign w:val="baseline"/>
                <w:rtl w:val="0"/>
              </w:rPr>
              <w:t xml:space="preserve">Fl_CumplioCondena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Cumplimiento de la condena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vertAlign w:val="baselin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240" w:before="0"/>
        <w:ind w:left="720" w:hanging="359"/>
        <w:contextualSpacing w:val="1"/>
        <w:rPr>
          <w:rFonts w:cs="Calibri" w:hAnsi="Calibri" w:eastAsia="Calibri" w:ascii="Calibri"/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DIAGRAMA DE DEPENDENCIAS FUNCIONAL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8261350" cx="5817870"/>
            <wp:effectExtent t="0" b="0" r="0" l="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261350" cx="581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16" w:type="default"/>
      <w:footerReference r:id="rId17" w:type="default"/>
      <w:pgSz w:w="11909" w:h="16834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3"/>
      <w:bidiVisual w:val="0"/>
      <w:tblW w:w="9259.0" w:type="dxa"/>
      <w:jc w:val="left"/>
      <w:tblInd w:w="-114.0" w:type="dxa"/>
      <w:tblLayout w:type="fixed"/>
      <w:tblLook w:val="0000"/>
    </w:tblPr>
    <w:tblGrid>
      <w:gridCol w:w="926"/>
      <w:gridCol w:w="8333"/>
      <w:tblGridChange w:id="0">
        <w:tblGrid>
          <w:gridCol w:w="926"/>
          <w:gridCol w:w="8333"/>
        </w:tblGrid>
      </w:tblGridChange>
    </w:tblGrid>
    <w:tr>
      <w:tc>
        <w:tcPr>
          <w:tcBorders>
            <w:top w:color="000000" w:space="0" w:val="single" w:sz="4"/>
          </w:tcBorders>
          <w:shd w:fill="365f91"/>
        </w:tcPr>
        <w:p w:rsidP="00000000" w:rsidRPr="00000000" w:rsidR="00000000" w:rsidDel="00000000" w:rsidRDefault="00000000">
          <w:pPr>
            <w:spacing w:lineRule="auto" w:after="0" w:line="240" w:before="0"/>
            <w:contextualSpacing w:val="0"/>
            <w:jc w:val="right"/>
          </w:pPr>
          <w:fldSimple w:dirty="0" w:instr="PAGE" w:fldLock="0">
            <w:r w:rsidRPr="00000000" w:rsidR="00000000" w:rsidDel="00000000">
              <w:rPr>
                <w:rFonts w:cs="Calibri" w:hAnsi="Calibri" w:eastAsia="Calibri" w:ascii="Calibri"/>
                <w:b w:val="0"/>
                <w:sz w:val="20"/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</w:tcBorders>
        </w:tcPr>
        <w:p w:rsidP="00000000" w:rsidRPr="00000000" w:rsidR="00000000" w:rsidDel="00000000" w:rsidRDefault="00000000">
          <w:pPr>
            <w:spacing w:lineRule="auto" w:after="0" w:line="240" w:before="0"/>
            <w:contextualSpacing w:val="0"/>
          </w:pPr>
          <w:r w:rsidRPr="00000000" w:rsidR="00000000" w:rsidDel="00000000">
            <w:rPr>
              <w:rFonts w:cs="Calibri" w:hAnsi="Calibri" w:eastAsia="Calibri" w:ascii="Calibri"/>
              <w:b w:val="0"/>
              <w:sz w:val="20"/>
              <w:vertAlign w:val="baseline"/>
              <w:rtl w:val="0"/>
            </w:rPr>
            <w:t xml:space="preserve">Ingeniería de Sistemas | Curso Diseño de Base de Datos</w:t>
          </w:r>
        </w:p>
      </w:tc>
    </w:tr>
  </w:tbl>
  <w:p w:rsidP="00000000" w:rsidRPr="00000000" w:rsidR="00000000" w:rsidDel="00000000" w:rsidRDefault="00000000">
    <w:pPr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left" w:pos="2580"/>
        <w:tab w:val="left" w:pos="2985"/>
      </w:tabs>
      <w:spacing w:lineRule="auto" w:after="0" w:line="276" w:before="0"/>
      <w:contextualSpacing w:val="0"/>
    </w:pPr>
    <w:r w:rsidRPr="00000000" w:rsidR="00000000" w:rsidDel="00000000">
      <w:rPr>
        <w:rFonts w:cs="Calibri" w:hAnsi="Calibri" w:eastAsia="Calibri" w:ascii="Calibri"/>
        <w:b w:val="1"/>
        <w:color w:val="434342"/>
        <w:sz w:val="20"/>
        <w:vertAlign w:val="baseline"/>
        <w:rtl w:val="0"/>
      </w:rPr>
      <w:t xml:space="preserve">Trabajo Final Diseño de Base de Datos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left" w:pos="2580"/>
        <w:tab w:val="left" w:pos="2985"/>
      </w:tabs>
      <w:spacing w:lineRule="auto" w:after="0" w:line="276" w:before="0"/>
      <w:contextualSpacing w:val="0"/>
    </w:pPr>
    <w:r w:rsidRPr="00000000" w:rsidR="00000000" w:rsidDel="00000000">
      <w:rPr>
        <w:rFonts w:cs="Calibri" w:hAnsi="Calibri" w:eastAsia="Calibri" w:ascii="Calibri"/>
        <w:b w:val="0"/>
        <w:color w:val="797b7e"/>
        <w:sz w:val="20"/>
        <w:vertAlign w:val="baseline"/>
        <w:rtl w:val="0"/>
      </w:rPr>
      <w:t xml:space="preserve">Caso: Antecedentes Policiales</w:t>
    </w:r>
  </w:p>
  <w:p w:rsidP="00000000" w:rsidRPr="00000000" w:rsidR="00000000" w:rsidDel="00000000" w:rsidRDefault="00000000">
    <w:pPr>
      <w:tabs>
        <w:tab w:val="left" w:pos="2580"/>
        <w:tab w:val="left" w:pos="2985"/>
        <w:tab w:val="left" w:pos="6885"/>
      </w:tabs>
      <w:spacing w:lineRule="auto" w:after="0" w:line="276" w:before="0"/>
      <w:contextualSpacing w:val="0"/>
    </w:pPr>
    <w:r w:rsidRPr="00000000" w:rsidR="00000000" w:rsidDel="00000000">
      <w:rPr>
        <w:rFonts w:cs="Calibri" w:hAnsi="Calibri" w:eastAsia="Calibri" w:ascii="Calibri"/>
        <w:b w:val="0"/>
        <w:color w:val="808080"/>
        <w:sz w:val="20"/>
        <w:vertAlign w:val="baseline"/>
        <w:rtl w:val="0"/>
      </w:rPr>
      <w:t xml:space="preserve">Grupo: Fernando Cuesta, Richard Checnes, Alexander Espinoza</w:t>
    </w:r>
  </w:p>
  <w:p w:rsidP="00000000" w:rsidRPr="00000000" w:rsidR="00000000" w:rsidDel="00000000" w:rsidRDefault="00000000">
    <w:pPr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360"/>
      </w:pPr>
      <w:rPr>
        <w:rFonts w:cs="Calibri" w:hAnsi="Calibri" w:eastAsia="Calibri" w:ascii="Calibri"/>
        <w:b w:val="1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440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60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240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20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firstLine="2880"/>
      </w:pPr>
      <w:rPr>
        <w:vertAlign w:val="baseline"/>
      </w:rPr>
    </w:lvl>
  </w:abstractNum>
  <w:abstractNum w:abstractNumId="8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9">
    <w:lvl w:ilvl="0">
      <w:start w:val="1"/>
      <w:numFmt w:val="bullet"/>
      <w:lvlText w:val="❖"/>
      <w:lvlJc w:val="left"/>
      <w:pPr>
        <w:ind w:left="1620" w:firstLine="12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340" w:firstLine="19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3060" w:firstLine="27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780" w:firstLine="34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500" w:firstLine="41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220" w:firstLine="48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940" w:firstLine="55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660" w:firstLine="63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380" w:firstLine="7020"/>
      </w:pPr>
      <w:rPr>
        <w:rFonts w:cs="Arial" w:hAnsi="Arial" w:eastAsia="Arial" w:ascii="Arial"/>
        <w:vertAlign w:val="baseline"/>
      </w:rPr>
    </w:lvl>
  </w:abstractNum>
  <w:abstractNum w:abstractNumId="10">
    <w:lvl w:ilvl="0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abstractNum w:abstractNumId="11">
    <w:lvl w:ilvl="0">
      <w:start w:val="7"/>
      <w:numFmt w:val="decimal"/>
      <w:lvlText w:val="%1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13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14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15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16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17">
    <w:lvl w:ilvl="0">
      <w:start w:val="1"/>
      <w:numFmt w:val="upperRoman"/>
      <w:lvlText w:val="%1."/>
      <w:lvlJc w:val="left"/>
      <w:pPr>
        <w:ind w:left="1620" w:firstLine="9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80" w:firstLine="16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firstLine="25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firstLine="30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firstLine="37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52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9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840"/>
      </w:pPr>
      <w:rPr>
        <w:vertAlign w:val="baseline"/>
      </w:rPr>
    </w:lvl>
  </w:abstractNum>
  <w:abstractNum w:abstractNumId="18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19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20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21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22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23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24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25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26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27">
    <w:lvl w:ilvl="0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abstractNum w:abstractNumId="28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29">
    <w:lvl w:ilvl="0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abstractNum w:abstractNumId="30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31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32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33">
    <w:lvl w:ilvl="0">
      <w:start w:val="1"/>
      <w:numFmt w:val="bullet"/>
      <w:lvlText w:val="✓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34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35">
    <w:lvl w:ilvl="0">
      <w:start w:val="1"/>
      <w:numFmt w:val="bullet"/>
      <w:lvlText w:val="✓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36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37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38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abstractNum w:abstractNumId="39">
    <w:lvl w:ilvl="0">
      <w:start w:val="1"/>
      <w:numFmt w:val="bullet"/>
      <w:lvlText w:val="o"/>
      <w:lvlJc w:val="left"/>
      <w:pPr>
        <w:ind w:left="1068" w:firstLine="70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7"/><Relationship Target="header1.xml" Type="http://schemas.openxmlformats.org/officeDocument/2006/relationships/header" Id="rId16"/><Relationship Target="media/image06.jpg" Type="http://schemas.openxmlformats.org/officeDocument/2006/relationships/image" Id="rId15"/><Relationship Target="media/image07.png" Type="http://schemas.openxmlformats.org/officeDocument/2006/relationships/image" Id="rId14"/><Relationship Target="fontTable.xml" Type="http://schemas.openxmlformats.org/officeDocument/2006/relationships/fontTable" Id="rId2"/><Relationship Target="http://principal" Type="http://schemas.openxmlformats.org/officeDocument/2006/relationships/hyperlink" TargetMode="External" Id="rId12"/><Relationship Target="media/image03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principa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principal" Type="http://schemas.openxmlformats.org/officeDocument/2006/relationships/hyperlink" TargetMode="External" Id="rId11"/><Relationship Target="http://principal" Type="http://schemas.openxmlformats.org/officeDocument/2006/relationships/hyperlink" TargetMode="External" Id="rId9"/><Relationship Target="http://principal" Type="http://schemas.openxmlformats.org/officeDocument/2006/relationships/hyperlink" TargetMode="External" Id="rId6"/><Relationship Target="media/image02.jpg" Type="http://schemas.openxmlformats.org/officeDocument/2006/relationships/image" Id="rId5"/><Relationship Target="http://principal" Type="http://schemas.openxmlformats.org/officeDocument/2006/relationships/hyperlink" TargetMode="External" Id="rId8"/><Relationship Target="http://principa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Grupo_Antecedentes Policiales_Rev-V1-24012015.docx</dc:title>
</cp:coreProperties>
</file>