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Arial" w:cs="Arial" w:eastAsia="Arial" w:hAnsi="Arial"/>
          <w:color w:val="1A1A1A"/>
          <w:sz w:val="22"/>
          <w:szCs w:val="22"/>
        </w:rPr>
        <w:t xml:space="preserve"/>
      </w:r>
    </w:p>
    <w:p>
      <w:pPr>
        <w:spacing w:after="120"/>
        <w:jc w:val="center"/>
      </w:pPr>
      <w:r>
        <w:rPr>
          <w:rFonts w:ascii="Arial" w:cs="Arial" w:eastAsia="Arial" w:hAnsi="Arial"/>
          <w:b/>
          <w:bCs/>
          <w:color w:val="4F3DB5"/>
          <w:sz w:val="72"/>
          <w:szCs w:val="72"/>
        </w:rPr>
        <w:t xml:space="preserve">CUSTOMER 360</w:t>
      </w:r>
    </w:p>
    <w:p>
      <w:pPr>
        <w:spacing w:after="80"/>
        <w:jc w:val="center"/>
      </w:pPr>
      <w:r>
        <w:rPr>
          <w:rFonts w:ascii="Arial" w:cs="Arial" w:eastAsia="Arial" w:hAnsi="Arial"/>
          <w:color w:val="1F3864"/>
          <w:sz w:val="36"/>
          <w:szCs w:val="36"/>
        </w:rPr>
        <w:t xml:space="preserve">Product Requirements Document</w:t>
      </w:r>
    </w:p>
    <w:p>
      <w:pPr>
        <w:spacing w:after="600"/>
        <w:jc w:val="center"/>
      </w:pPr>
      <w:r>
        <w:rPr>
          <w:rFonts w:ascii="Arial" w:cs="Arial" w:eastAsia="Arial" w:hAnsi="Arial"/>
          <w:color w:val="5F5E5A"/>
          <w:sz w:val="24"/>
          <w:szCs w:val="24"/>
        </w:rPr>
        <w:t xml:space="preserve">SaaSLogic Utility Platform — AI-Powered Customer Intelligence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shd w:fill="EEEDFE" w:val="clear"/>
            <w:tcMar>
              <w:top w:type="dxa" w:w="100"/>
              <w:left w:type="dxa" w:w="160"/>
              <w:bottom w:type="dxa" w:w="100"/>
              <w:right w:type="dxa" w:w="120"/>
            </w:tcMar>
          </w:tcPr>
          <w:p>
            <w:r>
              <w:rPr>
                <w:rFonts w:ascii="Arial" w:cs="Arial" w:eastAsia="Arial" w:hAnsi="Arial"/>
                <w:b/>
                <w:bCs/>
                <w:color w:val="4F3DB5"/>
                <w:sz w:val="20"/>
                <w:szCs w:val="20"/>
              </w:rPr>
              <w:t xml:space="preserve">Version</w:t>
            </w:r>
          </w:p>
        </w:tc>
        <w:tc>
          <w:tcPr>
            <w:tcW w:type="dxa" w:w="340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color w:val="1A1A1A"/>
                <w:sz w:val="20"/>
                <w:szCs w:val="20"/>
              </w:rPr>
              <w:t xml:space="preserve">1.0 — Initial Release</w:t>
            </w:r>
          </w:p>
        </w:tc>
      </w:tr>
      <w:tr>
        <w:tc>
          <w:tcPr>
            <w:tcW w:type="dxa" w:w="2000"/>
            <w:tcBorders>
              <w:top w:val="none" w:color="FFFFFF" w:sz="0"/>
              <w:left w:val="none" w:color="FFFFFF" w:sz="0"/>
              <w:bottom w:val="none" w:color="FFFFFF" w:sz="0"/>
              <w:right w:val="none" w:color="FFFFFF" w:sz="0"/>
            </w:tcBorders>
            <w:shd w:fill="EEEDFE" w:val="clear"/>
            <w:tcMar>
              <w:top w:type="dxa" w:w="100"/>
              <w:left w:type="dxa" w:w="160"/>
              <w:bottom w:type="dxa" w:w="100"/>
              <w:right w:type="dxa" w:w="120"/>
            </w:tcMar>
          </w:tcPr>
          <w:p>
            <w:r>
              <w:rPr>
                <w:rFonts w:ascii="Arial" w:cs="Arial" w:eastAsia="Arial" w:hAnsi="Arial"/>
                <w:b/>
                <w:bCs/>
                <w:color w:val="4F3DB5"/>
                <w:sz w:val="20"/>
                <w:szCs w:val="20"/>
              </w:rPr>
              <w:t xml:space="preserve">Date</w:t>
            </w:r>
          </w:p>
        </w:tc>
        <w:tc>
          <w:tcPr>
            <w:tcW w:type="dxa" w:w="340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color w:val="1A1A1A"/>
                <w:sz w:val="20"/>
                <w:szCs w:val="20"/>
              </w:rPr>
              <w:t xml:space="preserve">April 2026</w:t>
            </w:r>
          </w:p>
        </w:tc>
      </w:tr>
      <w:tr>
        <w:tc>
          <w:tcPr>
            <w:tcW w:type="dxa" w:w="2000"/>
            <w:tcBorders>
              <w:top w:val="none" w:color="FFFFFF" w:sz="0"/>
              <w:left w:val="none" w:color="FFFFFF" w:sz="0"/>
              <w:bottom w:val="none" w:color="FFFFFF" w:sz="0"/>
              <w:right w:val="none" w:color="FFFFFF" w:sz="0"/>
            </w:tcBorders>
            <w:shd w:fill="EEEDFE" w:val="clear"/>
            <w:tcMar>
              <w:top w:type="dxa" w:w="100"/>
              <w:left w:type="dxa" w:w="160"/>
              <w:bottom w:type="dxa" w:w="100"/>
              <w:right w:type="dxa" w:w="120"/>
            </w:tcMar>
          </w:tcPr>
          <w:p>
            <w:r>
              <w:rPr>
                <w:rFonts w:ascii="Arial" w:cs="Arial" w:eastAsia="Arial" w:hAnsi="Arial"/>
                <w:b/>
                <w:bCs/>
                <w:color w:val="4F3DB5"/>
                <w:sz w:val="20"/>
                <w:szCs w:val="20"/>
              </w:rPr>
              <w:t xml:space="preserve">Status</w:t>
            </w:r>
          </w:p>
        </w:tc>
        <w:tc>
          <w:tcPr>
            <w:tcW w:type="dxa" w:w="340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color w:val="1A1A1A"/>
                <w:sz w:val="20"/>
                <w:szCs w:val="20"/>
              </w:rPr>
              <w:t xml:space="preserve">Draft for Review</w:t>
            </w:r>
          </w:p>
        </w:tc>
      </w:tr>
      <w:tr>
        <w:tc>
          <w:tcPr>
            <w:tcW w:type="dxa" w:w="2000"/>
            <w:tcBorders>
              <w:top w:val="none" w:color="FFFFFF" w:sz="0"/>
              <w:left w:val="none" w:color="FFFFFF" w:sz="0"/>
              <w:bottom w:val="none" w:color="FFFFFF" w:sz="0"/>
              <w:right w:val="none" w:color="FFFFFF" w:sz="0"/>
            </w:tcBorders>
            <w:shd w:fill="EEEDFE" w:val="clear"/>
            <w:tcMar>
              <w:top w:type="dxa" w:w="100"/>
              <w:left w:type="dxa" w:w="160"/>
              <w:bottom w:type="dxa" w:w="100"/>
              <w:right w:type="dxa" w:w="120"/>
            </w:tcMar>
          </w:tcPr>
          <w:p>
            <w:r>
              <w:rPr>
                <w:rFonts w:ascii="Arial" w:cs="Arial" w:eastAsia="Arial" w:hAnsi="Arial"/>
                <w:b/>
                <w:bCs/>
                <w:color w:val="4F3DB5"/>
                <w:sz w:val="20"/>
                <w:szCs w:val="20"/>
              </w:rPr>
              <w:t xml:space="preserve">Owner</w:t>
            </w:r>
          </w:p>
        </w:tc>
        <w:tc>
          <w:tcPr>
            <w:tcW w:type="dxa" w:w="340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color w:val="1A1A1A"/>
                <w:sz w:val="20"/>
                <w:szCs w:val="20"/>
              </w:rPr>
              <w:t xml:space="preserve">Product Management</w:t>
            </w:r>
          </w:p>
        </w:tc>
      </w:tr>
      <w:tr>
        <w:tc>
          <w:tcPr>
            <w:tcW w:type="dxa" w:w="2000"/>
            <w:tcBorders>
              <w:top w:val="none" w:color="FFFFFF" w:sz="0"/>
              <w:left w:val="none" w:color="FFFFFF" w:sz="0"/>
              <w:bottom w:val="none" w:color="FFFFFF" w:sz="0"/>
              <w:right w:val="none" w:color="FFFFFF" w:sz="0"/>
            </w:tcBorders>
            <w:shd w:fill="EEEDFE" w:val="clear"/>
            <w:tcMar>
              <w:top w:type="dxa" w:w="100"/>
              <w:left w:type="dxa" w:w="160"/>
              <w:bottom w:type="dxa" w:w="100"/>
              <w:right w:type="dxa" w:w="120"/>
            </w:tcMar>
          </w:tcPr>
          <w:p>
            <w:r>
              <w:rPr>
                <w:rFonts w:ascii="Arial" w:cs="Arial" w:eastAsia="Arial" w:hAnsi="Arial"/>
                <w:b/>
                <w:bCs/>
                <w:color w:val="4F3DB5"/>
                <w:sz w:val="20"/>
                <w:szCs w:val="20"/>
              </w:rPr>
              <w:t xml:space="preserve">Audience</w:t>
            </w:r>
          </w:p>
        </w:tc>
        <w:tc>
          <w:tcPr>
            <w:tcW w:type="dxa" w:w="340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color w:val="1A1A1A"/>
                <w:sz w:val="20"/>
                <w:szCs w:val="20"/>
              </w:rPr>
              <w:t xml:space="preserve">Engineering, Product, Design, Leadership</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1. Executive Summary</w:t>
      </w:r>
    </w:p>
    <w:p>
      <w:pPr>
        <w:spacing w:after="140" w:line="280"/>
      </w:pPr>
      <w:r>
        <w:rPr>
          <w:rFonts w:ascii="Arial" w:cs="Arial" w:eastAsia="Arial" w:hAnsi="Arial"/>
          <w:color w:val="1A1A1A"/>
          <w:sz w:val="22"/>
          <w:szCs w:val="22"/>
        </w:rPr>
        <w:t xml:space="preserve">This document defines the product requirements for Customer 360 — a unified, AI-powered customer intelligence platform built into the SaaSLogic Utility CIS. Customer 360 transforms the utility’s relationship with customer data from a collection of siloed records into a live, continuously updated model of every customer’s relationship with the utility, from which AI can reason, act, and advise.</w:t>
      </w:r>
    </w:p>
    <w:p>
      <w:pPr>
        <w:spacing w:after="80"/>
      </w:pPr>
      <w:r>
        <w:rPr>
          <w:rFonts w:ascii="Arial" w:cs="Arial" w:eastAsia="Arial" w:hAnsi="Arial"/>
          <w:color w:val="1A1A1A"/>
          <w:sz w:val="22"/>
          <w:szCs w:val="22"/>
        </w:rPr>
        <w:t xml:space="preserve"/>
      </w:r>
    </w:p>
    <w:p>
      <w:pPr>
        <w:spacing w:after="140" w:line="280"/>
      </w:pPr>
      <w:r>
        <w:rPr>
          <w:rFonts w:ascii="Arial" w:cs="Arial" w:eastAsia="Arial" w:hAnsi="Arial"/>
          <w:color w:val="1A1A1A"/>
          <w:sz w:val="22"/>
          <w:szCs w:val="22"/>
        </w:rPr>
        <w:t xml:space="preserve">The primary reference for what a mature Customer 360 looks like is Oracle Utilities Customer Cloud Service, which utilities most often cite as their primary justification for the platform. This document specifies the requirements for matching and exceeding Oracle’s Customer 360 capabilities, with particular emphasis on the AI-driven features that SaaSLogic’s ApptorFlow orchestration engine uniquely enables.</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4F3DB5" w:val="clear"/>
            <w:tcMar>
              <w:top w:type="dxa" w:w="100"/>
              <w:left w:type="dxa" w:w="160"/>
              <w:bottom w:type="dxa" w:w="100"/>
              <w:right w:type="dxa" w:w="120"/>
            </w:tcMar>
            <w:vAlign w:val="center"/>
          </w:tcPr>
          <w:p>
            <w:pPr>
              <w:jc w:val="center"/>
            </w:pPr>
            <w:r>
              <w:rPr>
                <w:rFonts w:ascii="Arial" w:cs="Arial" w:eastAsia="Arial" w:hAnsi="Arial"/>
                <w:b/>
                <w:bCs/>
                <w:color w:val="FFFFFF"/>
                <w:sz w:val="18"/>
                <w:szCs w:val="18"/>
              </w:rPr>
              <w:t xml:space="preserve">GOAL</w:t>
            </w:r>
          </w:p>
        </w:tc>
        <w:tc>
          <w:tcPr>
            <w:tcW w:type="dxa" w:w="8060"/>
            <w:tcBorders>
              <w:top w:val="none" w:color="FFFFFF" w:sz="0"/>
              <w:left w:val="single" w:color="4F3DB5" w:sz="5"/>
              <w:bottom w:val="none" w:color="FFFFFF" w:sz="0"/>
              <w:right w:val="none" w:color="FFFFFF" w:sz="0"/>
            </w:tcBorders>
            <w:shd w:fill="FAFAF8" w:val="clear"/>
            <w:tcMar>
              <w:top w:type="dxa" w:w="80"/>
              <w:left w:type="dxa" w:w="120"/>
              <w:bottom w:type="dxa" w:w="80"/>
              <w:right w:type="dxa" w:w="120"/>
            </w:tcMar>
          </w:tcPr>
          <w:p>
            <w:r>
              <w:rPr>
                <w:rFonts w:ascii="Arial" w:cs="Arial" w:eastAsia="Arial" w:hAnsi="Arial"/>
                <w:color w:val="1A1A1A"/>
                <w:sz w:val="20"/>
                <w:szCs w:val="20"/>
              </w:rPr>
              <w:t xml:space="preserve">A CSR should be able to answer any question a customer asks — billing, usage, field service, programs, eligibility — without leaving the customer record. A supervisor should be able to identify every at-risk account in the portfolio in real time. An AI agent should be able to recommend the right action for any customer situation, with a reasoned explanation a regulator could audit.</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1.1 Strategic Objectives</w:t>
      </w:r>
    </w:p>
    <w:p>
      <w:pPr>
        <w:pStyle w:val="ListParagraph"/>
        <w:numPr>
          <w:ilvl w:val="0"/>
          <w:numId w:val="2"/>
        </w:numPr>
        <w:spacing w:after="80"/>
      </w:pPr>
      <w:r>
        <w:rPr>
          <w:rFonts w:ascii="Arial" w:cs="Arial" w:eastAsia="Arial" w:hAnsi="Arial"/>
          <w:b w:val="false"/>
          <w:bCs w:val="false"/>
          <w:color w:val="1A1A1A"/>
          <w:sz w:val="22"/>
          <w:szCs w:val="22"/>
        </w:rPr>
        <w:t xml:space="preserve">Deliver a unified agent desktop that consolidates every customer signal into one screen, eliminating context switching for CSR staff</w:t>
      </w:r>
    </w:p>
    <w:p>
      <w:pPr>
        <w:pStyle w:val="ListParagraph"/>
        <w:numPr>
          <w:ilvl w:val="0"/>
          <w:numId w:val="2"/>
        </w:numPr>
        <w:spacing w:after="80"/>
      </w:pPr>
      <w:r>
        <w:rPr>
          <w:rFonts w:ascii="Arial" w:cs="Arial" w:eastAsia="Arial" w:hAnsi="Arial"/>
          <w:b w:val="false"/>
          <w:bCs w:val="false"/>
          <w:color w:val="1A1A1A"/>
          <w:sz w:val="22"/>
          <w:szCs w:val="22"/>
        </w:rPr>
        <w:t xml:space="preserve">Build a real-time CustomerProfile that aggregates billing, usage, service, and behavioral data, updated by event-driven refresh within minutes of any state change</w:t>
      </w:r>
    </w:p>
    <w:p>
      <w:pPr>
        <w:pStyle w:val="ListParagraph"/>
        <w:numPr>
          <w:ilvl w:val="0"/>
          <w:numId w:val="2"/>
        </w:numPr>
        <w:spacing w:after="80"/>
      </w:pPr>
      <w:r>
        <w:rPr>
          <w:rFonts w:ascii="Arial" w:cs="Arial" w:eastAsia="Arial" w:hAnsi="Arial"/>
          <w:b w:val="false"/>
          <w:bCs w:val="false"/>
          <w:color w:val="1A1A1A"/>
          <w:sz w:val="22"/>
          <w:szCs w:val="22"/>
        </w:rPr>
        <w:t xml:space="preserve">Deploy AI features that give CSRs next-best-action guidance, surface anomalies before they reach the customer, and optimize rate plan placement</w:t>
      </w:r>
    </w:p>
    <w:p>
      <w:pPr>
        <w:pStyle w:val="ListParagraph"/>
        <w:numPr>
          <w:ilvl w:val="0"/>
          <w:numId w:val="2"/>
        </w:numPr>
        <w:spacing w:after="80"/>
      </w:pPr>
      <w:r>
        <w:rPr>
          <w:rFonts w:ascii="Arial" w:cs="Arial" w:eastAsia="Arial" w:hAnsi="Arial"/>
          <w:b w:val="false"/>
          <w:bCs w:val="false"/>
          <w:color w:val="1A1A1A"/>
          <w:sz w:val="22"/>
          <w:szCs w:val="22"/>
        </w:rPr>
        <w:t xml:space="preserve">Match Oracle Utilities Customer Cloud Service’s Customer 360 feature set in core functionality, exceed it in AI orchestration and workflow intelligence via ApptorFlow</w:t>
      </w:r>
    </w:p>
    <w:p>
      <w:pPr>
        <w:pStyle w:val="ListParagraph"/>
        <w:numPr>
          <w:ilvl w:val="0"/>
          <w:numId w:val="2"/>
        </w:numPr>
        <w:spacing w:after="80"/>
      </w:pPr>
      <w:r>
        <w:rPr>
          <w:rFonts w:ascii="Arial" w:cs="Arial" w:eastAsia="Arial" w:hAnsi="Arial"/>
          <w:b w:val="false"/>
          <w:bCs w:val="false"/>
          <w:color w:val="1A1A1A"/>
          <w:sz w:val="22"/>
          <w:szCs w:val="22"/>
        </w:rPr>
        <w:t xml:space="preserve">Create a defensible competitive moat: no incumbent CIS vendor has governed AI agent orchestration embedded in their platform</w:t>
      </w:r>
    </w:p>
    <w:p>
      <w:pPr>
        <w:spacing w:after="16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1.2 Scope</w:t>
      </w:r>
    </w:p>
    <w:p>
      <w:pPr>
        <w:spacing w:after="140" w:line="280"/>
      </w:pPr>
      <w:r>
        <w:rPr>
          <w:rFonts w:ascii="Arial" w:cs="Arial" w:eastAsia="Arial" w:hAnsi="Arial"/>
          <w:color w:val="1A1A1A"/>
          <w:sz w:val="22"/>
          <w:szCs w:val="22"/>
        </w:rPr>
        <w:t xml:space="preserve">Customer 360 spans six functional areas, each with its own requirements section in this document:</w:t>
      </w:r>
    </w:p>
    <w:p>
      <w:pPr>
        <w:spacing w:after="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63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w:t>
            </w:r>
          </w:p>
        </w:tc>
        <w:tc>
          <w:tcPr>
            <w:tcW w:type="dxa" w:w="2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CustomerProfile Store</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denormalized, event-refreshed unified record that powers all 360 features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2</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 Agent Desktop</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primary UI for customer service representatives handling inbound interactions</w:t>
            </w:r>
          </w:p>
        </w:tc>
      </w:tr>
      <w:tr>
        <w:tc>
          <w:tcPr>
            <w:tcW w:type="dxa" w:w="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3</w:t>
            </w:r>
          </w:p>
        </w:tc>
        <w:tc>
          <w:tcPr>
            <w:tcW w:type="dxa" w:w="2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AI Features</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Next-best-action, delinquency scoring, anomaly detection, rate optimization, predictive field service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4</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Customer Self-Service Portal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Customer-facing portal with AI-powered insights and conversational assistant</w:t>
            </w:r>
          </w:p>
        </w:tc>
      </w:tr>
      <w:tr>
        <w:tc>
          <w:tcPr>
            <w:tcW w:type="dxa" w:w="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w:t>
            </w:r>
          </w:p>
        </w:tc>
        <w:tc>
          <w:tcPr>
            <w:tcW w:type="dxa" w:w="25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Model Gateway &amp; AI Infrastructure</w:t>
            </w:r>
          </w:p>
        </w:tc>
        <w:tc>
          <w:tcPr>
            <w:tcW w:type="dxa" w:w="6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Internal service for LLM API management, prompt versioning, caching, and audit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6</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Regulatory &amp; Compliance Intelligence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Automated compliance enforcement, audit trail generation, billing explanation</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1.3 Competitive Positioning</w:t>
      </w:r>
    </w:p>
    <w:p>
      <w:pPr>
        <w:spacing w:after="140" w:line="280"/>
      </w:pPr>
      <w:r>
        <w:rPr>
          <w:rFonts w:ascii="Arial" w:cs="Arial" w:eastAsia="Arial" w:hAnsi="Arial"/>
          <w:color w:val="1A1A1A"/>
          <w:sz w:val="22"/>
          <w:szCs w:val="22"/>
        </w:rPr>
        <w:t xml:space="preserve">The table below summarizes how Customer 360 positions against Oracle Utilities Customer Cloud Service (the market leader) across the key feature dimensions that utility buyers evaluate.</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c>
          <w:tcPr>
            <w:tcW w:type="dxa" w:w="28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Dimension</w:t>
            </w:r>
          </w:p>
        </w:tc>
        <w:tc>
          <w:tcPr>
            <w:tcW w:type="dxa" w:w="2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Oracle CCS</w:t>
            </w:r>
          </w:p>
        </w:tc>
        <w:tc>
          <w:tcPr>
            <w:tcW w:type="dxa" w:w="25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SaaSLogic Customer 360</w:t>
            </w:r>
          </w:p>
        </w:tc>
        <w:tc>
          <w:tcPr>
            <w:tcW w:type="dxa" w:w="2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Unified customer profile</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Native, batch-refreshed</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Native, event-refreshed (real-time)</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 agent desktop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Full-featured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Full-featured + ApptorFlow actions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A</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360-degree account view</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Yes + AI summary</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Next-best-action guidance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ML-based, static rules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LLM + governed ApptorFlow workflow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B</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Delinquency risk scoring</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Rules-based dunning</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ML scoring + AI-adaptive collections</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Consumption anomaly detection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Exception flags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Statistical + ML, pre-billing hold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C</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Rate optimization advisor</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Basic rate comparison</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 simulation across all eligible rates</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Customer chatbot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Available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ApptorFlow conversational agent + memory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D</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Predictive field service</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Limited</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ML-driven meter failure + leak prediction</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Audit trail generation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Manual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AI-generated narrative, instant retrieval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B</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Regulatory compliance enforcement</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Configuration-based</w:t>
            </w:r>
          </w:p>
        </w:tc>
        <w:tc>
          <w:tcPr>
            <w:tcW w:type="dxa" w:w="2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Governed ApptorFlow workflow, automatic</w:t>
            </w:r>
          </w:p>
        </w:tc>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A</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2. CustomerProfile Store</w:t>
      </w:r>
    </w:p>
    <w:p>
      <w:pPr>
        <w:spacing w:after="140" w:line="280"/>
      </w:pPr>
      <w:r>
        <w:rPr>
          <w:rFonts w:ascii="Arial" w:cs="Arial" w:eastAsia="Arial" w:hAnsi="Arial"/>
          <w:color w:val="1A1A1A"/>
          <w:sz w:val="22"/>
          <w:szCs w:val="22"/>
        </w:rPr>
        <w:t xml:space="preserve">The CustomerProfile is the foundational data structure for all Customer 360 features. It is a denormalized, read-optimized projection of every signal the CIS has about a customer, refreshed by event-driven aggregation in near real-time. It is not the system of record for any individual field — each domain entity retains that responsibility — but it is the single query target for any question about a customer.</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0F6E56" w:val="clear"/>
            <w:tcMar>
              <w:top w:type="dxa" w:w="100"/>
              <w:left w:type="dxa" w:w="160"/>
              <w:bottom w:type="dxa" w:w="100"/>
              <w:right w:type="dxa" w:w="120"/>
            </w:tcMar>
            <w:vAlign w:val="center"/>
          </w:tcPr>
          <w:p>
            <w:pPr>
              <w:jc w:val="center"/>
            </w:pPr>
            <w:r>
              <w:rPr>
                <w:rFonts w:ascii="Arial" w:cs="Arial" w:eastAsia="Arial" w:hAnsi="Arial"/>
                <w:b/>
                <w:bCs/>
                <w:color w:val="FFFFFF"/>
                <w:sz w:val="18"/>
                <w:szCs w:val="18"/>
              </w:rPr>
              <w:t xml:space="preserve">DESIGN RULE</w:t>
            </w:r>
          </w:p>
        </w:tc>
        <w:tc>
          <w:tcPr>
            <w:tcW w:type="dxa" w:w="8060"/>
            <w:tcBorders>
              <w:top w:val="none" w:color="FFFFFF" w:sz="0"/>
              <w:left w:val="single" w:color="0F6E56" w:sz="5"/>
              <w:bottom w:val="none" w:color="FFFFFF" w:sz="0"/>
              <w:right w:val="none" w:color="FFFFFF" w:sz="0"/>
            </w:tcBorders>
            <w:shd w:fill="FAFAF8" w:val="clear"/>
            <w:tcMar>
              <w:top w:type="dxa" w:w="80"/>
              <w:left w:type="dxa" w:w="120"/>
              <w:bottom w:type="dxa" w:w="80"/>
              <w:right w:type="dxa" w:w="120"/>
            </w:tcMar>
          </w:tcPr>
          <w:p>
            <w:r>
              <w:rPr>
                <w:rFonts w:ascii="Arial" w:cs="Arial" w:eastAsia="Arial" w:hAnsi="Arial"/>
                <w:color w:val="1A1A1A"/>
                <w:sz w:val="20"/>
                <w:szCs w:val="20"/>
              </w:rPr>
              <w:t xml:space="preserve">The CustomerProfile is never written to by direct API calls. It is built and updated exclusively by event-driven aggregation workers that subscribe to domain events from CIS, SaaSLogic (via webhook), and ApptorFlow. No synchronous request path should trigger a profile rebuild.</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maintain one CustomerProfile record per Customer per utility, updated within 5 minutes of any triggering domain event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SLA: p95 refresh latency &lt; 5 minutes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CustomerProfile shall aggregate identity, financial health, consumption, service history, engagement, program enrollment, and AI-computed scores into a single queryable document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fields defined in section 2.2</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 refresh shall be triggered by: payment events (SaaSLogic webhook), meter reads, billing record creation, work order completion, service agreement status changes, and account status changes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 list is exhaustive — any new event type must be evaluated for profile impact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 shall store a last_refreshed_at timestamp and expose a staleness flag if refresh has not occurred within 15 minutes of the most recent triggering event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Staleness exposed in API response, flagged in CSR desktop</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 shall support multi-account customers — a customer with 5 accounts shall have one profile with aggregate signals across all accounts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Landlord and property manager scenarios require cross-account aggregation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 API shall respond in &lt; 100ms at p99 for CSR desktop load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 is pre-computed — serving from Redis, not computed on request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 shall be versioned — each refresh creates an immutable snapshot stored for 7 years for audit purposes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Regulatory audit requirement — regulators may ask what the system knew about a customer at a specific date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CP-008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 shall expose a change_log field listing the last 20 refresh events with before/after deltas for key fields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Enables CSR to understand why a score changed without querying raw events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CP-009</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AI-computed scores (delinquency risk, churn risk, next best action) shall be stored on the profile and refreshed asynchronously by the ML scoring service on a configurable schedule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Scores are not computed synchronously on API request — always served from profile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CP-010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 shall include a plain-language AI-generated summary of the customer’s current status, updated on each refresh, suitable for display in the CSR desktop without further interpretation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E.g. "Active residential water customer since 2019. Currently $47.20 overdue. Strong payment history — first late payment in 3 years. No open work orders."</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2.2 Profile Schema</w:t>
      </w:r>
    </w:p>
    <w:p>
      <w:pPr>
        <w:spacing w:after="140" w:line="280"/>
      </w:pPr>
      <w:r>
        <w:rPr>
          <w:rFonts w:ascii="Arial" w:cs="Arial" w:eastAsia="Arial" w:hAnsi="Arial"/>
          <w:color w:val="1A1A1A"/>
          <w:sz w:val="22"/>
          <w:szCs w:val="22"/>
        </w:rPr>
        <w:t xml:space="preserve">The following defines the complete CustomerProfile schema. Fields marked [AI] are computed by the ML scoring service or Model Gateway and stored asynchronously.</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customer_id</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UUID</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FK → Customer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utility_id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UUID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Tenant scope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customer_number</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VARCHAR</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Human-readable ID, e.g. CUST-00041829</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ENUM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INDIVIDUAL | ORGANIZATION</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tenure_months</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INTEGER</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Months since first active service agreement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active_agreement_count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currently ACTIVE service agreements across all accounts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commodities_served</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ARRAY&lt;ENUM&gt;</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Distinct commodities currently on active agreements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current_balance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DECIMAL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Sum of outstanding balances across all accounts (from SaaSLogic)</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balance_status</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ENUM</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CURRENT | OVERDUE_30 | OVERDUE_60 | OVERDUE_90 | CRITICAL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payment_reliability_score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DECIMAL(3,2)</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0.0–1.0 ratio of on-time payments in last 24 months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lifetime_on_time_payments</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INTEGER</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payments received by due date, all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lifetime_late_payments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payments received after due date, all time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disconnect_history_count</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INTEGER</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delinquency disconnects, all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active_payment_plan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BOOLEAN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True if any account has an active payment arrangement</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deposit_held</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DECIMAL</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deposit held across all accounts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avg_monthly_bill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DECIMAL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Average total bill across all agreements, last 12 months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avg_monthly_consumption</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JSONB</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{commodity: avg_units} over last 12 months per commodity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consumption_trend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ENUM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INCREASING | STABLE | DECREASING (12-month linear regression)</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seasonal_profile</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JSONB</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{month_1..12: relative_index} — seasonal usage multipliers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high_usage_alerts_12m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high-usage anomaly flags in last 12 months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zero_usage_alerts_12m</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INTEGER</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zero-consumption flags in last 12 months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work_orders_12m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all work orders in last 12 months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could_not_complete_12m</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INTEGER</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 of CNC field service events in last 12 months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portal_enrolled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BOOLEAN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 has activated self-service portal account</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paperless_billing</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BOOLEAN</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Enrolled in paperless billing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preferred_channel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ENUM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EMAIL | SMS | MAIL | PHONE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last_inbound_contact</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TIMESTAMPTZ</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Last CSR interaction or portal session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low_income_program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BOOLEAN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Enrolled in low income assistance program</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medical_baseline</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BOOLEAN</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Medical baseline — disconnect prohibited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senior_discount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BOOLEAN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Senior rate discount active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budget_billing</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BOOLEAN</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 budget billing plan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delinquency_risk_score [AI]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DECIMAL(3,2)</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0.0–1.0 ML-computed probability of non-payment</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churn_risk_score [AI]</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DECIMAL(3,2)</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0.0–1.0 likelihood of service stop in next 90 days (deregulated markets)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program_eligibility [AI]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JSONB</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Programs the customer qualifies for but is not enrolled in</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next_best_action [AI]</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JSONB</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{action, reason, urgency, script} — LLM-generated recommendation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ai_summary [AI]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Plain-language 2–3 sentence customer status summary</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last_refreshed_at</w:t>
            </w:r>
          </w:p>
        </w:tc>
        <w:tc>
          <w:tcPr>
            <w:tcW w:type="dxa" w:w="1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TIMESTAMPTZ</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Timestamp of most recent profile rebuild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last_score_refresh_at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TIMESTAMPTZ</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Timestamp of most recent AI score computation</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3. CSR Agent Desktop</w:t>
      </w:r>
    </w:p>
    <w:p>
      <w:pPr>
        <w:spacing w:after="140" w:line="280"/>
      </w:pPr>
      <w:r>
        <w:rPr>
          <w:rFonts w:ascii="Arial" w:cs="Arial" w:eastAsia="Arial" w:hAnsi="Arial"/>
          <w:color w:val="1A1A1A"/>
          <w:sz w:val="22"/>
          <w:szCs w:val="22"/>
        </w:rPr>
        <w:t xml:space="preserve">The CSR Agent Desktop is the primary interface for customer service representatives handling inbound calls, emails, and escalations. It is built around the CustomerProfile and designed to give the CSR complete customer context within three seconds of pulling up an account, without navigating to any secondary screen for the most common interaction types.</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4F3DB5" w:val="clear"/>
            <w:tcMar>
              <w:top w:type="dxa" w:w="100"/>
              <w:left w:type="dxa" w:w="160"/>
              <w:bottom w:type="dxa" w:w="100"/>
              <w:right w:type="dxa" w:w="120"/>
            </w:tcMar>
            <w:vAlign w:val="center"/>
          </w:tcPr>
          <w:p>
            <w:pPr>
              <w:jc w:val="center"/>
            </w:pPr>
            <w:r>
              <w:rPr>
                <w:rFonts w:ascii="Arial" w:cs="Arial" w:eastAsia="Arial" w:hAnsi="Arial"/>
                <w:b/>
                <w:bCs/>
                <w:color w:val="FFFFFF"/>
                <w:sz w:val="18"/>
                <w:szCs w:val="18"/>
              </w:rPr>
              <w:t xml:space="preserve">DESIGN PRINCIPLE</w:t>
            </w:r>
          </w:p>
        </w:tc>
        <w:tc>
          <w:tcPr>
            <w:tcW w:type="dxa" w:w="8060"/>
            <w:tcBorders>
              <w:top w:val="none" w:color="FFFFFF" w:sz="0"/>
              <w:left w:val="single" w:color="4F3DB5" w:sz="5"/>
              <w:bottom w:val="none" w:color="FFFFFF" w:sz="0"/>
              <w:right w:val="none" w:color="FFFFFF" w:sz="0"/>
            </w:tcBorders>
            <w:shd w:fill="FAFAF8" w:val="clear"/>
            <w:tcMar>
              <w:top w:type="dxa" w:w="80"/>
              <w:left w:type="dxa" w:w="120"/>
              <w:bottom w:type="dxa" w:w="80"/>
              <w:right w:type="dxa" w:w="120"/>
            </w:tcMar>
          </w:tcPr>
          <w:p>
            <w:r>
              <w:rPr>
                <w:rFonts w:ascii="Arial" w:cs="Arial" w:eastAsia="Arial" w:hAnsi="Arial"/>
                <w:color w:val="1A1A1A"/>
                <w:sz w:val="20"/>
                <w:szCs w:val="20"/>
              </w:rPr>
              <w:t xml:space="preserve">The test for every feature on the CSR desktop is: can a CSR handle a call from an average customer without leaving this screen? If the answer is no for a common scenario, the desktop is incomplete. Reducing screen switches is the primary measure of CSR desktop quality.</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3.1 Layout and Navigation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Desktop shall load a complete customer view within 3 seconds of account lookup, including all profile sections visible without scroll for standard 1080p displays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Profile served from Redis pre-computed cache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Account lookup shall support search by: customer name, account number, phone number, email address, service address, meter number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Fuzzy matching on name and address; exact match on IDs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Desktop shall present a persistent header with: account number, customer name, current balance, balance status badge, and active service count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Header visible at all scroll positions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Desktop shall be organized into collapsible panels: Account Overview, Usage &amp; Billing, Service Agreements, Work Orders, Interaction History, AI Insights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Panel state persisted per CSR user session</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Desktop shall display the AI-generated next best action prominently in the Account Overview panel, with expand-to-detail for full reasoning</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NBA must be dismissible per interaction; dismissal logged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action buttons (schedule work order, set up payment plan, enroll in program, update contact) shall be accessible from the customer record without navigation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Actions launch ApptorFlow workflows from modal dialogs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Desktop shall display a real-time activity feed showing events as they occur during the call (payment received, work order updated, ApptorFlow workflow step completed)</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WebSocket push from event bus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CSR-008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Multi-account customers shall have a portfolio view showing all accounts in a summary table, with ability to drill into any individual account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Critical for landlord and property manager scenarios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CSR-009</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Desktop shall be fully keyboard navigable with no mouse-required interactions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Accessibility and call-center efficiency requirement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CSR-010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Desktop shall support simultaneous display of two accounts for transfer/compare scenarios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F6E56"/>
                <w:sz w:val="18"/>
                <w:szCs w:val="18"/>
              </w:rPr>
              <w:t xml:space="preserve">COULD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Nice-to-have for complex call types</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3.2 Account Overview Panel</w:t>
      </w:r>
    </w:p>
    <w:p>
      <w:pPr>
        <w:spacing w:after="140" w:line="280"/>
      </w:pPr>
      <w:r>
        <w:rPr>
          <w:rFonts w:ascii="Arial" w:cs="Arial" w:eastAsia="Arial" w:hAnsi="Arial"/>
          <w:color w:val="1A1A1A"/>
          <w:sz w:val="22"/>
          <w:szCs w:val="22"/>
        </w:rPr>
        <w:t xml:space="preserve">The Account Overview panel is the first thing a CSR sees. It must answer the three questions every utility call starts with: Who is this customer? What is their financial status? What do they need right now?</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AOV-001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Panel shall display: tenure, account type, active commodities, current balance, days overdue (if any), active payment plan indicator, and program enrollments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sourced from CustomerProfile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AOV-002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Balance status shall be displayed as a color-coded badge (green: current, yellow: 1–30 days, orange: 31–60, red: 61+, dark red: critical)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Color coding must meet WCAG 2.1 AA contrast requirements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AOV-003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Medical baseline flag shall be displayed prominently with a visual alert indicator whenever it is true, regardless of panel scroll position</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Regulatory — CSR must never initiate disconnect without seeing this flag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AOV-004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summary paragraph shall appear in the overview panel, updated on each profile refresh, in plain language suitable for non-technical CSR staff</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Max 3 sentences. CSR can expand to see full profile signals that generated it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AOV-005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Panel shall display payment reliability score as a visual indicator (star rating or progress bar) with a plain-language interpretation (e.g. "Strong payment history — 2 late payments in 5 years")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uses this to calibrate tone and latitude on payment calls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AOV-006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Panel shall show last inbound contact date, channel, and a one-line summary of that interaction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Prevents CSR from asking the customer to repeat themselves</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3.3 Usage and Billing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UB-001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Panel shall display a consumption chart showing 13 months of usage per commodity, with current month highlighted and prior year shown as reference line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 months enables year-over-year comparison for the current month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UB-002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Panel shall display the current period estimated bill based on consumption-to-date, projected to end of billing period using seasonal profile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Allows CSR to set customer expectations before bill is generated</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UB-003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Panel shall list last 12 invoices with: bill date, period, total amount, consumption, and payment status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Click-to-expand shows full charge breakdown from CIS billing record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UB-004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Charge breakdown view shall display every line item from the CIS billing record with the rate schedule version applied, in language a customer can understand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Same data that feeds customer portal bill detail view</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UB-005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Panel shall surface any anomaly flags on recent reads with explanation: "February read was 2.4x the historical average for this period. Field investigation recommended."</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Anomaly flags prevent CSR from being surprised by a dispute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UB-006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Panel shall display the rate optimization recommendation if an alternative rate would save &gt; $10/month based on the customer’s usage profile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can present the recommendation and initiate enrollment from this panel</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3.4 CSR Action Workflows</w:t>
      </w:r>
    </w:p>
    <w:p>
      <w:pPr>
        <w:spacing w:after="140" w:line="280"/>
      </w:pPr>
      <w:r>
        <w:rPr>
          <w:rFonts w:ascii="Arial" w:cs="Arial" w:eastAsia="Arial" w:hAnsi="Arial"/>
          <w:color w:val="1A1A1A"/>
          <w:sz w:val="22"/>
          <w:szCs w:val="22"/>
        </w:rPr>
        <w:t xml:space="preserve">All actions a CSR can take from the desktop launch ApptorFlow-orchestrated workflows. The CSR initiates from a modal dialog; ApptorFlow handles all downstream steps, returning status to the desktop via real-time update.</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5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ApptorFlow Workflow</w:t>
            </w:r>
          </w:p>
        </w:tc>
        <w:tc>
          <w:tcPr>
            <w:tcW w:type="dxa" w:w="3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CSR Input Required</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Start service</w:t>
            </w:r>
          </w:p>
        </w:tc>
        <w:tc>
          <w:tcPr>
            <w:tcW w:type="dxa" w:w="3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Identity verify (ApptorID) → deposit calc → rate assignment → service agreement create → connect work order</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Service address, start date, commodity selection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Stop service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Final read scheduling → final bill generation → deposit refund calc → agreement close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Stop date confirmation</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Payment plan setup</w:t>
            </w:r>
          </w:p>
        </w:tc>
        <w:tc>
          <w:tcPr>
            <w:tcW w:type="dxa" w:w="3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Balance calc → plan term options → schedule generate → SaaSLogic plan create → customer notification</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Plan duration selection, first payment date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Payment extension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Risk score check → eligibility verify → extension create in SaaSLogic → customer notification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Extension end date (system proposes based on score)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Schedule work order</w:t>
            </w:r>
          </w:p>
        </w:tc>
        <w:tc>
          <w:tcPr>
            <w:tcW w:type="dxa" w:w="3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Crew availability query → appointment window offer → WO create → customer appointment confirmation</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Work order type, preferred date/window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Program enrollment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Eligibility verify → enrollment create → rate update if applicable → confirmation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 selection from eligible list</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Waive deposit</w:t>
            </w:r>
          </w:p>
        </w:tc>
        <w:tc>
          <w:tcPr>
            <w:tcW w:type="dxa" w:w="3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Reason code capture → manager approval workflow if &gt; threshold → account update</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Waiver reason, amount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Rate plan change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Simulate new rate vs current → CSR presents savings → customer confirmation → agreement update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Rate schedule selection from eligible</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Dispute a bill</w:t>
            </w:r>
          </w:p>
        </w:tc>
        <w:tc>
          <w:tcPr>
            <w:tcW w:type="dxa" w:w="3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Anomaly flag check → estimated vs actual read compare → field verification WO if warranted → credit memo if applicable</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Period in dispute, customer’s stated concern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Log interaction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Interaction type capture → summary entry → CustomerProfile history update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Interaction type, free-text summary</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4. AI Features</w:t>
      </w:r>
    </w:p>
    <w:p>
      <w:pPr>
        <w:spacing w:after="140" w:line="280"/>
      </w:pPr>
      <w:r>
        <w:rPr>
          <w:rFonts w:ascii="Arial" w:cs="Arial" w:eastAsia="Arial" w:hAnsi="Arial"/>
          <w:color w:val="1A1A1A"/>
          <w:sz w:val="22"/>
          <w:szCs w:val="22"/>
        </w:rPr>
        <w:t xml:space="preserve">This section defines requirements for each AI-powered feature in the Customer 360 platform. All AI features are built on the CustomerProfile foundation (Section 2) and the Model Gateway infrastructure (Section 6). ApptorFlow provides the governed orchestration layer that ensures AI decisions are auditable, explainable, and subject to configurable override rules.</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93C1D" w:val="clear"/>
            <w:tcMar>
              <w:top w:type="dxa" w:w="100"/>
              <w:left w:type="dxa" w:w="160"/>
              <w:bottom w:type="dxa" w:w="100"/>
              <w:right w:type="dxa" w:w="120"/>
            </w:tcMar>
            <w:vAlign w:val="center"/>
          </w:tcPr>
          <w:p>
            <w:pPr>
              <w:jc w:val="center"/>
            </w:pPr>
            <w:r>
              <w:rPr>
                <w:rFonts w:ascii="Arial" w:cs="Arial" w:eastAsia="Arial" w:hAnsi="Arial"/>
                <w:b/>
                <w:bCs/>
                <w:color w:val="FFFFFF"/>
                <w:sz w:val="18"/>
                <w:szCs w:val="18"/>
              </w:rPr>
              <w:t xml:space="preserve">GOVERNING PRINCIPLE</w:t>
            </w:r>
          </w:p>
        </w:tc>
        <w:tc>
          <w:tcPr>
            <w:tcW w:type="dxa" w:w="8060"/>
            <w:tcBorders>
              <w:top w:val="none" w:color="FFFFFF" w:sz="0"/>
              <w:left w:val="single" w:color="993C1D" w:sz="5"/>
              <w:bottom w:val="none" w:color="FFFFFF" w:sz="0"/>
              <w:right w:val="none" w:color="FFFFFF" w:sz="0"/>
            </w:tcBorders>
            <w:shd w:fill="FAFAF8" w:val="clear"/>
            <w:tcMar>
              <w:top w:type="dxa" w:w="80"/>
              <w:left w:type="dxa" w:w="120"/>
              <w:bottom w:type="dxa" w:w="80"/>
              <w:right w:type="dxa" w:w="120"/>
            </w:tcMar>
          </w:tcPr>
          <w:p>
            <w:r>
              <w:rPr>
                <w:rFonts w:ascii="Arial" w:cs="Arial" w:eastAsia="Arial" w:hAnsi="Arial"/>
                <w:color w:val="1A1A1A"/>
                <w:sz w:val="20"/>
                <w:szCs w:val="20"/>
              </w:rPr>
              <w:t xml:space="preserve">No AI feature in a utility CIS may take a consequential action autonomously. Disconnections, financial commitments, and service changes require either CSR confirmation or explicit customer consent captured through a governed ApptorFlow workflow step. AI recommends; humans or customers decide. This is both a design principle and a regulatory expectation.</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4.1 Next Best Action (NBA)</w:t>
      </w:r>
    </w:p>
    <w:p>
      <w:pPr>
        <w:spacing w:after="140" w:line="280"/>
      </w:pPr>
      <w:r>
        <w:rPr>
          <w:rFonts w:ascii="Arial" w:cs="Arial" w:eastAsia="Arial" w:hAnsi="Arial"/>
          <w:color w:val="1A1A1A"/>
          <w:sz w:val="22"/>
          <w:szCs w:val="22"/>
        </w:rPr>
        <w:t xml:space="preserve">The Next Best Action engine surfaces a single, prioritized recommendation to the CSR whenever a customer record is opened. It reasons over the full CustomerProfile to identify the most valuable action for this specific customer at this specific moment — not a generic menu, but a contextual recommendation with a reasoned explanation.</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NBA-001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compute a Next Best Action recommendation for every customer on each profile refresh, stored on the CustomerProfile as a structured JSON object: {action_type, action_label, reason, urgency, script_suggestion, confidence}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Action must be one of a defined enumerated set — free-form actions are not acceptable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NBA-002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NBA engine shall evaluate at minimum: financial status, delinquency risk score, program eligibility gaps, consumption anomalies, rate optimization opportunity, active work order status, and time since last contact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signals sourced from CustomerProfile — no additional queries at recommendation time</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NBA-003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NBA reasoning shall use an LLM via the Model Gateway, with a versioned system prompt that incorporates utility-configurable business rules (e.g. prioritize low-income program enrollment, do not offer payment plans to accounts with &gt; 2 prior plans)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Prompt version logged on every NBA record for auditability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NBA-004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shall be able to dismiss an NBA recommendation with a reason code; dismissal shall be logged and factored into NBA model improvement cycles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Feedback loop is essential for model improvement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NBA-005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NBA shall include a script_suggestion field — suggested language the CSR can use to present the recommendation to the customer</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Reduces CSR training burden and improves consistency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NBA-006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Urgency shall be one of: IMMEDIATE (present as soon as call connects), HIGH (present within first 60 seconds), STANDARD (present if natural opportunity arises)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Urgency drives display prominence in CSR desktop</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NBA-007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track NBA acceptance rate by action type, CSR, and utility client, with a reporting dashboard for product management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KPI: NBA acceptance rate &gt; 40% within 90 days of launch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NBA-008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When a customer’s delinquency risk score is &gt; 0.7, NBA shall always be a collections-related action (payment plan offer, extension, hardship program) regardless of other signals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Regulatory sensitivity — financial distress takes priority over upsell/enrollment actions</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4.2 Delinquency Risk Scoring</w:t>
      </w:r>
    </w:p>
    <w:p>
      <w:pPr>
        <w:spacing w:after="140" w:line="280"/>
      </w:pPr>
      <w:r>
        <w:rPr>
          <w:rFonts w:ascii="Arial" w:cs="Arial" w:eastAsia="Arial" w:hAnsi="Arial"/>
          <w:color w:val="1A1A1A"/>
          <w:sz w:val="22"/>
          <w:szCs w:val="22"/>
        </w:rPr>
        <w:t xml:space="preserve">Delinquency risk scoring replaces static dunning schedules with a risk-based collections model. Each delinquent account receives a score from 0.0 to 1.0, updated at each billing event and profile refresh. The score drives the ApptorFlow collections workflow — different interventions for different risk levels, rather than treating all delinquent accounts identically.</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DRS-001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compute a delinquency risk score for every account, updated on: each billing event, each payment event, and each profile refresh cycle (minimum daily)</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Score is served from CustomerProfile — never computed synchronously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DRS-002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Score model shall incorporate at minimum: days overdue, outstanding balance relative to average bill, payment reliability score, number of prior payment plans, number of prior disconnects, consumption trend (zero usage may indicate vacancy), and active weather/hardship policy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Feature list must be reviewed with compliance team before model training</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DRS-003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Score shall be accompanied by the top 3 contributing features and their direction of influence, in plain language, stored on the CustomerProfile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and regulator must be able to understand why a score was assigned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DRS-004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ApptorFlow collections workflow shall use score thresholds (configurable per utility) to determine intervention type: &lt; 0.3 = reminder, 0.3–0.6 = proactive outreach + plan offer, 0.6–0.8 = escalate to collections CSR, &gt; 0.8 = initiate disconnect workflow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Thresholds are configurable per utility — not hardcoded</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DRS-005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Disconnect workflow initiated by high delinquency score shall perform mandatory pre-checks in sequence: medical_baseline flag check, active weather policy check, active payment plan check, recent payment check (&lt; 24 hours)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 check failing aborts the disconnect; outcome logged to audit trail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DRS-006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shall be retrained on a minimum quarterly basis using outcome data (paid vs. not paid, plan honored vs. defaulted)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versioning required — prior model retained for at least 12 months for audit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DRS-007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never automatically initiate a physical disconnect without a CSR or supervisor review step in the ApptorFlow workflow</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Automated scoring informs; humans authorize the physical action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DRS-008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Score distribution shall be monitored monthly for demographic bias; any statistically significant disparity in score distribution by zip code or language preference shall trigger a bias review before the next model release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Fair lending / utility equity requirement</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4.3 Consumption Anomaly Detection</w:t>
      </w:r>
    </w:p>
    <w:p>
      <w:pPr>
        <w:spacing w:after="140" w:line="280"/>
      </w:pPr>
      <w:r>
        <w:rPr>
          <w:rFonts w:ascii="Arial" w:cs="Arial" w:eastAsia="Arial" w:hAnsi="Arial"/>
          <w:color w:val="1A1A1A"/>
          <w:sz w:val="22"/>
          <w:szCs w:val="22"/>
        </w:rPr>
        <w:t xml:space="preserve">Anomaly detection identifies abnormal consumption patterns before the bill is generated, allowing CIS to flag reads for review, hold billing where warranted, and prompt proactive customer communication. Catching anomalies pre-billing is dramatically cheaper than resolving disputes post-billing.</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CAD-001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evaluate every meter read against the historical consumption baseline for that meter, adjusted for season and billing period length, within 60 seconds of read recording</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Triggered by meter_read.recorded event via ApptorFlow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CAD-002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Anomaly detection shall identify at minimum: high usage spike (&gt; 2.5 standard deviations above seasonal mean), zero or near-zero consumption, sustained step-change in baseline (&gt; 20% change maintained over 3+ periods), and flat consumption (identical reading for 2+ consecutive periods)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Each anomaly type has different downstream handling</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CAD-003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High-confidence anomaly (z-score &gt; 3.5) shall automatically hold the billing instruction for that service agreement pending CSR review before submission to SaaSLogic</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Billing hold must expire after 72 hours with CSR notification if not reviewed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CAD-004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Medium-confidence anomaly (z-score 2.5–3.5) shall flag the read for review in the CSR exception queue without holding billing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Exception queue is a dedicated CSR workflow, not a general alert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CAD-005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Anomaly flags shall be stored on the MeterRead record and surfaced on the CustomerProfile (high_usage_alerts_12m, zero_usage_alerts_12m)</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Enables NBA engine to factor in anomaly history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CAD-006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 water utilities, system shall detect gradual baseline increase (&gt; 15% increase sustained over 6 months) as a potential leak indicator and generate a proactive customer alert via ApptorFlow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Proactive leak detection is a differentiating feature for water utility clients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CAD-007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Anomaly detection model shall be commodity-specific — water, electric, and gas have different variance characteristics and different acceptable ranges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single z-score threshold does not apply across commodities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CAD-008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shall be able to override an anomaly flag with a reason code (customer confirmed high usage, known vacancy, meter exchange in progress), logged to audit trail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Override clears the hold and allows billing to proceed</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CAD-009</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False positive rate for HIGH_USAGE anomaly detection shall be &lt; 5% measured over rolling 90 days; if exceeded, model shall be recalibrated</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false positives destroy CSR trust in the system</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4.4 Rate Optimization Advisor</w:t>
      </w:r>
    </w:p>
    <w:p>
      <w:pPr>
        <w:spacing w:after="140" w:line="280"/>
      </w:pPr>
      <w:r>
        <w:rPr>
          <w:rFonts w:ascii="Arial" w:cs="Arial" w:eastAsia="Arial" w:hAnsi="Arial"/>
          <w:color w:val="1A1A1A"/>
          <w:sz w:val="22"/>
          <w:szCs w:val="22"/>
        </w:rPr>
        <w:t xml:space="preserve">The Rate Optimization Advisor proactively identifies customers on suboptimal rate plans and surfaces the recommendation to both the CSR (during inbound calls) and the customer (via portal insight and proactive outreach). Many state utility commissions require utilities to inform customers when a better rate applies to their usage profile — this feature satisfies that obligation systematically.</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ROA-001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simulate each customer’s last 12 months of consumption under every rate schedule they are eligible for, and calculate the estimated annual cost difference versus their current rate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Simulation uses the actual rate engine (same calculations as billing) — not an approximation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ROA-002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Optimization shall run on each profile refresh cycle and store the top 3 alternative rate recommendations on the CustomerProfile, with estimated monthly savings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Only recommendations with savings &gt; $5/month included</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ROA-003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desktop shall display the top rate recommendation in the Usage &amp; Billing panel when estimated savings &gt; $10/month</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can initiate rate change workflow directly from the recommendation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ROA-004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 portal shall display the rate recommendation as a personalized insight: "Based on your usage, you could save an estimated $184/year on the Budget Billing rate"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display threshold: savings &gt; $15/month</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ROA-005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generate proactive outbound notifications via ApptorFlow for customers with savings &gt; $200/year who have not been contacted about rate optimization in the last 12 months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Channel: preferred_channel on CustomerProfile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ROA-006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Rate simulation shall account for seasonal variation — 12 months of actual consumption is used, not average monthly consumption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Using averages produces inaccurate savings estimates for seasonal customers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ROA-007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track rate change conversion rate (recommendation shown vs. enrollment completed) by rate type and utility, with monthly reporting</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KPI: &gt; 15% conversion on proactive outreach recommendations</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4.5 Predictive Field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PFS-001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compute a meter failure risk score for each active meter based on: meter age, manufacturer, model failure rate data, usage intensity, and service environment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Score updated monthly; meters with score &gt; 0.8 queued for proactive exchange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PFS-002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Proactive meter exchange candidates shall be surfaced in the field service scheduling module as a work order recommendation, not requiring CSR initiation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Reduces costly emergency exchanges and billing disputes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PFS-003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predict could-not-complete (CNC) probability for each pending work order based on: prior CNC history at the service location, appointment time, day of week, and crew notes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CNC probability triggers auto-add of access coordination note and optional pre-call to customer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PFS-004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Water utilities: system shall flag service locations with &gt; 3 consecutive periods of gradual baseline increase for potential leak investigation work order recommendation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Different from anomaly detection — this generates a field action, not just a flag</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PFS-005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predictive field service recommendations shall be CSR or supervisor-reviewed before work orders are created</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 autonomous work order creation from predictive models</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5. Customer Self-Service Portal</w:t>
      </w:r>
    </w:p>
    <w:p>
      <w:pPr>
        <w:spacing w:after="140" w:line="280"/>
      </w:pPr>
      <w:r>
        <w:rPr>
          <w:rFonts w:ascii="Arial" w:cs="Arial" w:eastAsia="Arial" w:hAnsi="Arial"/>
          <w:color w:val="1A1A1A"/>
          <w:sz w:val="22"/>
          <w:szCs w:val="22"/>
        </w:rPr>
        <w:t xml:space="preserve">The Customer Self-Service Portal is the primary digital interface for utility customers. It exposes the CustomerProfile data in a customer-appropriate format, provides full self-service for common transactions, and hosts the conversational AI assistant. The portal is built on the same CIS and SaaSLogic APIs that power the CSR desktop.</w:t>
      </w:r>
    </w:p>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5.1 Portal Core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support authentication via: username/password, magic link email, and SSO via ApptorID</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Multi-factor authentication required for any account modification action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display: current balance, last bill summary, next bill due date, current consumption vs. prior year, and active service summary on the home screen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Home screen loads in &lt; 2 seconds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provide full bill detail view with line-item charge breakdown, consumption chart, and comparison to prior period</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Same charge breakdown data as CSR desktop view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support: one-time payment, auto-pay setup, payment plan enrollment, and payment history view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Payments executed via SaaSLogic; portal holds no payment card data (PCI scope reduction)</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support start/stop/transfer service requests, routed through ApptorFlow workflows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Identity re-verification required for start service requests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display consumption chart with 13 months of history per commodity, with option to download usage data as CSV</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download is a regulatory requirement in several states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display active work orders with status, scheduled window, and technician ETA (when dispatched)</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Real-time status via CIS work order API</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POR-008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support notification preference management: which events trigger alerts, which channels (email, SMS), and frequency preferences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Preference changes propagate to ApptorFlow communication workflows within 15 minutes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POR-009</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be fully responsive and functional on mobile devices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Mobile-first design; &gt; 60% of utility portal traffic is mobile</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POR-010</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shall support English and Spanish at minimum; additional languages configurable per utility client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Language driven by customer’s language_pref on CustomerProfile</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5.2 AI Insights Panel</w:t>
      </w:r>
    </w:p>
    <w:p>
      <w:pPr>
        <w:spacing w:after="140" w:line="280"/>
      </w:pPr>
      <w:r>
        <w:rPr>
          <w:rFonts w:ascii="Arial" w:cs="Arial" w:eastAsia="Arial" w:hAnsi="Arial"/>
          <w:color w:val="1A1A1A"/>
          <w:sz w:val="22"/>
          <w:szCs w:val="22"/>
        </w:rPr>
        <w:t xml:space="preserve">The AI Insights panel is a dedicated section of the portal home screen that surfaces personalized, data-driven insights for the customer. These are not generic tips but insights specific to this customer’s usage pattern, financial situation, and program eligibility.</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INS-001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Insights panel shall display 1–3 active insights per customer, prioritized by estimated customer value (financial savings &gt; usage transparency &gt; program eligibility)</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More than 3 insights competes for attention; fewer if none are sufficiently relevant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INS-002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Insights shall include at minimum: rate optimization recommendation (when savings &gt; $15/month), program eligibility notification (unenrolled eligible programs), high usage alert with context, and budget billing enrollment suggestion for high-variability customers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Each insight type has a configurable display threshold</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INS-003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Each insight shall include: a headline (max 12 words), a 1–2 sentence explanation, and a single call-to-action button linking to the relevant portal action</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Insights must be actionable, not just informational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INS-004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Insights shall be dismissed by the customer and shall not re-appear for the same insight within 30 days of dismissal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Dismissal logged; respects customer attention</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INS-005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Insight click-through rate shall be tracked per insight type; insights with &lt; 2% CTR after 30 days shall be reviewed for revision or removal</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KPI: aggregate insight CTR &gt; 8%</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5.3 Conversational AI Assistant</w:t>
      </w:r>
    </w:p>
    <w:p>
      <w:pPr>
        <w:spacing w:after="140" w:line="280"/>
      </w:pPr>
      <w:r>
        <w:rPr>
          <w:rFonts w:ascii="Arial" w:cs="Arial" w:eastAsia="Arial" w:hAnsi="Arial"/>
          <w:color w:val="1A1A1A"/>
          <w:sz w:val="22"/>
          <w:szCs w:val="22"/>
        </w:rPr>
        <w:t xml:space="preserve">The conversational AI assistant handles common customer inquiries through natural language interaction, reducing inbound call volume for routine questions. It is built on ApptorFlow’s conversational scoping (CUSTOMER_SESSION) with the Model Gateway providing LLM access. It escalates to a live CSR for any commitment, dispute, or complex scenario.</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BOT-001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Assistant shall handle at minimum: current balance inquiry, bill explanation ("why is my bill high?"), payment confirmation, work order status, outage inquiry, and program enrollment question</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These 6 represent &gt; 70% of routine utility call center volume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BOT-002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Assistant shall maintain full session context across a conversation turn using ApptorFlow CUSTOMER_SESSION scope — customer shall not need to repeat their account number or prior context within a session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Context maintained for 30 minutes of inactivity before session reset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BOT-003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Assistant shall escalate to live CSR for: billing disputes, service start/stop requests, payment plans &gt; $50, any mention of hardship or inability to pay, and any question the assistant cannot answer with &gt; 80% confidence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Escalation transfers full conversation history to CSR desktop</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BOT-004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Assistant shall never quote specific dollar amounts for future charges, never confirm service changes, and never make commitments about field service timing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These require system action via governed workflow, not conversational confirmation</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BOT-005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Assistant shall respond within 3 seconds for 95% of turns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Streaming response required for longer answers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BOT-006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assistant conversations shall be logged with full turn-by-turn history, retained for 2 years, and linked to the customer interaction record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Audit and quality assurance requirement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BOT-007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Containment rate (percentage of sessions resolved without live CSR escalation) shall be tracked weekly; target &gt; 55% after 90 days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KPI for assistant effectiveness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BOT-008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Assistant shall identify customer distress signals (repeated questions, mentions of inability to pay, explicit frustration) and proactively offer CSR escalation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Sentiment detection via LLM; escalation offer does not require customer to explicitly ask</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6. Model Gateway &amp; AI Infrastructure</w:t>
      </w:r>
    </w:p>
    <w:p>
      <w:pPr>
        <w:spacing w:after="140" w:line="280"/>
      </w:pPr>
      <w:r>
        <w:rPr>
          <w:rFonts w:ascii="Arial" w:cs="Arial" w:eastAsia="Arial" w:hAnsi="Arial"/>
          <w:color w:val="1A1A1A"/>
          <w:sz w:val="22"/>
          <w:szCs w:val="22"/>
        </w:rPr>
        <w:t xml:space="preserve">The Model Gateway is an internal service that mediates all interactions between CIS applications and external LLM APIs. It is not optional — direct LLM API calls from application code are explicitly prohibited. The Model Gateway provides prompt management, provider routing, caching, cost tracking, and the audit log required for regulatory defensibility.</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993C1D" w:val="clear"/>
            <w:tcMar>
              <w:top w:type="dxa" w:w="100"/>
              <w:left w:type="dxa" w:w="160"/>
              <w:bottom w:type="dxa" w:w="100"/>
              <w:right w:type="dxa" w:w="120"/>
            </w:tcMar>
            <w:vAlign w:val="center"/>
          </w:tcPr>
          <w:p>
            <w:pPr>
              <w:jc w:val="center"/>
            </w:pPr>
            <w:r>
              <w:rPr>
                <w:rFonts w:ascii="Arial" w:cs="Arial" w:eastAsia="Arial" w:hAnsi="Arial"/>
                <w:b/>
                <w:bCs/>
                <w:color w:val="FFFFFF"/>
                <w:sz w:val="18"/>
                <w:szCs w:val="18"/>
              </w:rPr>
              <w:t xml:space="preserve">MANDATORY</w:t>
            </w:r>
          </w:p>
        </w:tc>
        <w:tc>
          <w:tcPr>
            <w:tcW w:type="dxa" w:w="8060"/>
            <w:tcBorders>
              <w:top w:val="none" w:color="FFFFFF" w:sz="0"/>
              <w:left w:val="single" w:color="993C1D" w:sz="5"/>
              <w:bottom w:val="none" w:color="FFFFFF" w:sz="0"/>
              <w:right w:val="none" w:color="FFFFFF" w:sz="0"/>
            </w:tcBorders>
            <w:shd w:fill="FAFAF8" w:val="clear"/>
            <w:tcMar>
              <w:top w:type="dxa" w:w="80"/>
              <w:left w:type="dxa" w:w="120"/>
              <w:bottom w:type="dxa" w:w="80"/>
              <w:right w:type="dxa" w:w="120"/>
            </w:tcMar>
          </w:tcPr>
          <w:p>
            <w:r>
              <w:rPr>
                <w:rFonts w:ascii="Arial" w:cs="Arial" w:eastAsia="Arial" w:hAnsi="Arial"/>
                <w:color w:val="1A1A1A"/>
                <w:sz w:val="20"/>
                <w:szCs w:val="20"/>
              </w:rPr>
              <w:t xml:space="preserve">All LLM API calls in the Customer 360 platform MUST route through the Model Gateway. Direct calls to Anthropic, OpenAI, or any other LLM provider from application services are a policy violation. This is enforced through network-level egress rules in the production environment.</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6.1 Model Gateway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MG-001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Gateway shall expose a single internal API endpoint for all LLM inference requests, accepting: feature_id, prompt_version, context_payload, and optional streaming flag</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Abstraction enables provider swap without application code changes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MG-002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Gateway shall support prompt versioning — each feature’s prompt is stored with a version identifier; changing a prompt requires creating a new version, not modifying the existing one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Enables A/B testing and regression detection when prompts change</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MG-003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Gateway shall cache responses for identical (feature_id, prompt_version, context_hash) tuples with a configurable TTL per feature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Rate optimization advisor recalculates on identical profiles — caching reduces cost by estimated 40%</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MG-004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Gateway shall route to a primary and fallback LLM provider, failing over automatically within 2 seconds if the primary returns an error or exceeds timeout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Primary: Anthropic Claude. Fallback: configurable per deployment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MG-005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Every inference request and response shall be logged with: feature_id, prompt_version, context_hash, model used, latency, token count, cost estimate, and tenant (utility_id)</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Audit log retained for 7 years; indexed by customer_id for regulatory retrieval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MG-006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Gateway shall track cost per feature per utility tenant and expose a real-time cost dashboard for engineering and product management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Cost visibility is required to manage per-tenant AI cost allocation</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MG-007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Gateway shall enforce a per-tenant rate limit (configurable) to prevent runaway cost from any single utility client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Default: 1,000 requests/hour per tenant; configurable per contract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MG-008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PII scrubbing shall be applied to all context payloads before logging — customer names, addresses, and account numbers shall be tokenized in the audit log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audit log must be accessible to engineers without exposing raw PII</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6.2 ML Scoring Service</w:t>
      </w:r>
    </w:p>
    <w:p>
      <w:pPr>
        <w:spacing w:after="140" w:line="280"/>
      </w:pPr>
      <w:r>
        <w:rPr>
          <w:rFonts w:ascii="Arial" w:cs="Arial" w:eastAsia="Arial" w:hAnsi="Arial"/>
          <w:color w:val="1A1A1A"/>
          <w:sz w:val="22"/>
          <w:szCs w:val="22"/>
        </w:rPr>
        <w:t xml:space="preserve">Statistical and ML models (delinquency scoring, anomaly detection, meter failure prediction) run in a separate Python microservice, exposing a REST API. This service is independent of the Model Gateway, which handles only LLM-based inference.</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ML-001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Scoring service shall expose REST endpoints for: delinquency_score, anomaly_detection, rate_optimization, meter_failure_risk, and churn_risk</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Each endpoint accepts a structured payload and returns score + confidence + feature_importances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ML-002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models shall respond within 200ms at p99 for individual scoring requests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Batch scoring (billing cycle) uses async queue; individual scoring is synchronous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ML-003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Each model shall be versioned; version identifier stored on each score record for reproducibility</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version logged on CustomerProfile alongside each score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ML-004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Models shall be retrained on a minimum quarterly schedule; new model requires offline validation against holdout set before production deployment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Validation threshold: AUC &gt; 0.75 for classification models, MAPE &lt; 15% for consumption models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ML-005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Scoring service shall expose a /explain endpoint for each model that returns a plain-language explanation of a specific prediction, suitable for CSR and regulatory use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SHAP-based feature attribution translated to natural language</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7. Regulatory &amp; Compliance Intelligence</w:t>
      </w:r>
    </w:p>
    <w:p>
      <w:pPr>
        <w:spacing w:after="140" w:line="280"/>
      </w:pPr>
      <w:r>
        <w:rPr>
          <w:rFonts w:ascii="Arial" w:cs="Arial" w:eastAsia="Arial" w:hAnsi="Arial"/>
          <w:color w:val="1A1A1A"/>
          <w:sz w:val="22"/>
          <w:szCs w:val="22"/>
        </w:rPr>
        <w:t xml:space="preserve">Utilities operate under extensive state and federal regulatory requirements. Customer 360 must not only support compliance — it must actively enforce it through governed workflows and provide the documentation regulators require during audits. This is a competitive differentiator: no incumbent CIS vendor provides automated compliance enforcement at the workflow level.</w:t>
      </w:r>
    </w:p>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7.1 Automated Compliance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RC-001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disconnect workflows (delinquency or voluntary) shall enforce pre-disconnect checks as mandatory ApptorFlow steps that cannot be skipped by CSR override: medical_baseline check, active weather policy check, minimum notice period verification, recent payment check</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Missed check = regulatory violation. ApptorFlow enforces; system logs pass/fail for each check</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RC-002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Weather policies (cold weather rule, heat rule) shall be configurable per utility client with: temperature threshold, date range, and commodity applicability. Policy activation shall automatically suppress all delinquency disconnect work orders for affected accounts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Policy activation can be manual (CSR/admin) or automatic (via weather data feed integration)</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RC-003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enforce minimum notice period between disconnect notice generation and earliest disconnect date, configurable per state/utility</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Default: 10 business days. Must account for weekends and state-defined holidays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RC-004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Rate schedule changes shall require an effective_date in the future (minimum 30 days) before affecting billing, with an automatic customer notification workflow triggered at the time of rate schedule creation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Prevents accidental retroactive rate changes; notification is regulatory requirement in most states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RC-005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enforce that accounts with medical_baseline = true cannot be disconnected regardless of balance, delinquency score, or CSR-initiated disconnect request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Block enforced at the data layer, not just the UI layer</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7.2 Audit Trail and Bill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AT-001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generate a complete, human-readable bill explanation for any historical billing period within 30 seconds of request, covering: meter readings used, rate schedule applied, charge calculation with all tiers shown, taxes and surcharges, and any anomaly flags or overrides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Generated from immutable billing record + rate schedule version; not reconstructed from current data</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AT-002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Bill explanation shall be AI-generated narrative (Model Gateway) that translates the structured billing record into plain English, suitable for direct customer communication or regulator submission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Example output defined in Section 4 of CIS Architecture document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AT-003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disconnect and reconnect events shall generate an immutable audit record with: account ID, date/time, authorization source (ApptorFlow workflow step ID, CSR ID), compliance check outcomes, and crew work order ID</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Retained minimum 7 years; retrievable within 60 seconds by account ID and date range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AT-004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Regulators (authorized external users) shall have a read-only portal to retrieve audit records, CustomerProfile snapshots, and bill explanations for any account and date range without involving utility staff</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SHOULD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Reduces regulatory burden on utility operations staff</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AT-005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maintain an AI decision audit log: every NBA recommendation, delinquency score, anomaly flag, and rate optimization recommendation shall be retrievable with full context payload and model version used to generate it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Regulatory standard: any AI decision that influences a customer outcome must be explainable</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8. Non-Functional Requirements</w:t>
      </w:r>
    </w:p>
    <w:p>
      <w:pPr>
        <w:pStyle w:val="Heading2"/>
        <w:spacing w:after="120" w:before="300"/>
      </w:pPr>
      <w:r>
        <w:rPr>
          <w:rFonts w:ascii="Arial" w:cs="Arial" w:eastAsia="Arial" w:hAnsi="Arial"/>
          <w:b/>
          <w:bCs/>
          <w:color w:val="4F3DB5"/>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NFR-001</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desktop customer load: &lt; 3 seconds at p95</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Served from CustomerProfile Redis cache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NFR-002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CustomerProfile refresh latency: &lt; 5 minutes from triggering event at p95</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Event-driven refresh via ApptorFlow workers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NFR-003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NBA recommendation display: &lt; 500ms after profile load (already computed, served from profile)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NBA is never computed synchronously on desktop open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NFR-004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Gateway LLM inference: &lt; 3 seconds at p95 for non-streaming, &lt; 1 second to first token for streaming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Streaming required for assistant chatbot</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NFR-005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ML scoring service: &lt; 200ms at p99 for individual scores</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Batch scoring runs async; individual scoring is synchronous for profile refresh</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NFR-006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Portal home screen load: &lt; 2 seconds at p95 on 4G mobile connection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Performance budget enforced in CI/CD pipeline</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NFR-007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Billing cycle execution: complete all billing instructions for a 50,000-account utility within 4 hours of cycle start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Node.js BullMQ workers + JVM rate engine; horizontal scaling required</w:t>
            </w:r>
          </w:p>
        </w:tc>
      </w:tr>
    </w:tbl>
    <w:p>
      <w:pPr>
        <w:spacing w:after="16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8.2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NFR-008</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desktop and CIS APIs: 99.9% uptime during utility business hours (6am–8pm local time, Monday–Saturday)</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Planned maintenance windows: Sunday 2am–6am only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NFR-009</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CustomerProfile store (Redis): 99.95% read availability; stale reads acceptable within 5-minute SLA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Redis Sentinel or Cluster for HA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NFR-010</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Gateway: 99.5% availability; automatic fallback to secondary LLM provider within 2 seconds of primary failure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Gateway downtime must not cause CSR desktop unavailability — NBA gracefully degrades to rules-based fallback</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NFR-011</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Billing cycle execution: resumable from any step without data loss; any billing worker failure shall not result in duplicate billing instructions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Idempotency keys on all SaaSLogic billing instruction submissions</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NFR-012</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ApptorFlow workflows: at-least-once delivery with idempotency guards; workflow step failures shall not result in customer-visible inconsistency</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workflow steps design for re-execution safety</w:t>
            </w:r>
          </w:p>
        </w:tc>
      </w:tr>
    </w:tbl>
    <w:p>
      <w:pPr>
        <w:spacing w:after="16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8.3 Security and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000"/>
        <w:gridCol w:w="26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7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Acceptance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NFR-013</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CustomerProfile store shall encrypt all PII fields at rest using AES-256; encryption keys managed in AWS KMS or equivalent</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Encryption in transit: TLS 1.3 minimum on all internal and external API calls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NFR-014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Gateway audit log shall tokenize PII before storage; raw customer data shall never appear in LLM audit logs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Tokenization must be reversible for authorized regulatory retrieval</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NFR-015</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 portal shall require MFA for all account modification actions (payment plan setup, service start/stop, contact update)</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SMS OTP or authenticator app; email OTP as fallback</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NFR-016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All AI model training data shall be anonymized before use in training pipelines; raw customer data shall not be used in model training datasets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Anonymization review required before each model training run</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NFR-017</w:t>
            </w:r>
          </w:p>
        </w:tc>
        <w:tc>
          <w:tcPr>
            <w:tcW w:type="dxa" w:w="4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System shall support customer data export (CCPA/GDPR) within 30 days of request, including CustomerProfile, billing history, consumption history, and interaction history</w:t>
            </w:r>
          </w:p>
        </w:tc>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MUST</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Export in machine-readable JSON and human-readable PDF formats</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9. Phased Build Plan</w:t>
      </w:r>
    </w:p>
    <w:p>
      <w:pPr>
        <w:spacing w:after="140" w:line="280"/>
      </w:pPr>
      <w:r>
        <w:rPr>
          <w:rFonts w:ascii="Arial" w:cs="Arial" w:eastAsia="Arial" w:hAnsi="Arial"/>
          <w:color w:val="1A1A1A"/>
          <w:sz w:val="22"/>
          <w:szCs w:val="22"/>
        </w:rPr>
        <w:t xml:space="preserve">Customer 360 is built in five phases over an estimated 18–24 months. Each phase delivers working, demonstrable capability. No phase is a prerequisite blocker for the next except where noted.</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160"/>
        <w:gridCol w:w="2800"/>
      </w:tblGrid>
      <w:tr>
        <w:tc>
          <w:tcPr>
            <w:tcW w:type="dxa" w:w="1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41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c>
          <w:tcPr>
            <w:tcW w:type="dxa" w:w="28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Success Criteria</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A</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0–3 months</w:t>
            </w:r>
          </w:p>
        </w:tc>
        <w:tc>
          <w:tcPr>
            <w:tcW w:type="dxa" w:w="4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CustomerProfile store + event refresh pipeline. CSR Agent Desktop: account overview, usage panel, service agreement panel, work order panel, interaction history. Compliance: medical baseline enforcement, disconnect pre-checks in ApptorFlow.</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can handle 80% of call types without leaving the desktop. Profile refresh SLA met.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B</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3–6 months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Next Best Action engine (rules-based + LLM via Model Gateway). AI bill explanation (audit trail). Model Gateway v1 with audit logging. NBA acceptance rate tracking dashboard.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NBA acceptance rate &gt; 30%. Bill explanation generated &lt; 30 seconds for any historical period.</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C</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6–12 months</w:t>
            </w:r>
          </w:p>
        </w:tc>
        <w:tc>
          <w:tcPr>
            <w:tcW w:type="dxa" w:w="4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Delinquency risk scoring (ML model). Consumption anomaly detection (statistical model). ML scoring service. Score-driven ApptorFlow collections workflow replacing static dunning rules.</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Delinquency model AUC &gt; 0.75. Anomaly false positive rate &lt; 5%. Collections call volume reduced &gt; 15%.</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9–15 months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Rate optimization advisor. Customer portal AI insights panel. Conversational AI assistant (chatbot). Portal program enrollment self-service.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Rate change conversion &gt; 15%. Portal chatbot containment rate &gt; 45%. Insight CTR &gt; 8%.</w:t>
            </w:r>
          </w:p>
        </w:tc>
      </w:tr>
      <w:tr>
        <w:tc>
          <w:tcPr>
            <w:tcW w:type="dxa" w:w="1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E</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15–24 months</w:t>
            </w:r>
          </w:p>
        </w:tc>
        <w:tc>
          <w:tcPr>
            <w:tcW w:type="dxa" w:w="4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Predictive field service (meter failure, CNC prediction, leak detection). Advanced ML model refinement. Regulatory portal for authorized external users. Churn risk scoring (deregulated markets).</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Proactive meter exchange reduces emergency exchange rate &gt; 20%. Regulatory audit retrieval &lt; 60 seconds.</w:t>
            </w:r>
          </w:p>
        </w:tc>
      </w:tr>
    </w:tbl>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9.1 Phase A Prerequisites</w:t>
      </w:r>
    </w:p>
    <w:p>
      <w:pPr>
        <w:spacing w:after="140" w:line="280"/>
      </w:pPr>
      <w:r>
        <w:rPr>
          <w:rFonts w:ascii="Arial" w:cs="Arial" w:eastAsia="Arial" w:hAnsi="Arial"/>
          <w:color w:val="1A1A1A"/>
          <w:sz w:val="22"/>
          <w:szCs w:val="22"/>
        </w:rPr>
        <w:t xml:space="preserve">Phase A cannot begin until the following are in place from the CIS Architecture build:</w:t>
      </w:r>
    </w:p>
    <w:p>
      <w:pPr>
        <w:spacing w:after="80"/>
      </w:pPr>
      <w:r>
        <w:rPr>
          <w:rFonts w:ascii="Arial" w:cs="Arial" w:eastAsia="Arial" w:hAnsi="Arial"/>
          <w:color w:val="1A1A1A"/>
          <w:sz w:val="22"/>
          <w:szCs w:val="22"/>
        </w:rPr>
        <w:t xml:space="preserve"/>
      </w:r>
    </w:p>
    <w:p>
      <w:pPr>
        <w:pStyle w:val="ListParagraph"/>
        <w:numPr>
          <w:ilvl w:val="0"/>
          <w:numId w:val="2"/>
        </w:numPr>
        <w:spacing w:after="80"/>
      </w:pPr>
      <w:r>
        <w:rPr>
          <w:rFonts w:ascii="Arial" w:cs="Arial" w:eastAsia="Arial" w:hAnsi="Arial"/>
          <w:b w:val="false"/>
          <w:bCs w:val="false"/>
          <w:color w:val="1A1A1A"/>
          <w:sz w:val="22"/>
          <w:szCs w:val="22"/>
        </w:rPr>
        <w:t xml:space="preserve">Customer, CustomerAccount, ServiceLocation, Meter, Account, ServiceAgreement entities complete with CRUD APIs</w:t>
      </w:r>
    </w:p>
    <w:p>
      <w:pPr>
        <w:pStyle w:val="ListParagraph"/>
        <w:numPr>
          <w:ilvl w:val="0"/>
          <w:numId w:val="2"/>
        </w:numPr>
        <w:spacing w:after="80"/>
      </w:pPr>
      <w:r>
        <w:rPr>
          <w:rFonts w:ascii="Arial" w:cs="Arial" w:eastAsia="Arial" w:hAnsi="Arial"/>
          <w:b w:val="false"/>
          <w:bCs w:val="false"/>
          <w:color w:val="1A1A1A"/>
          <w:sz w:val="22"/>
          <w:szCs w:val="22"/>
        </w:rPr>
        <w:t xml:space="preserve">MeterRead recording and consumption calculation working</w:t>
      </w:r>
    </w:p>
    <w:p>
      <w:pPr>
        <w:pStyle w:val="ListParagraph"/>
        <w:numPr>
          <w:ilvl w:val="0"/>
          <w:numId w:val="2"/>
        </w:numPr>
        <w:spacing w:after="80"/>
      </w:pPr>
      <w:r>
        <w:rPr>
          <w:rFonts w:ascii="Arial" w:cs="Arial" w:eastAsia="Arial" w:hAnsi="Arial"/>
          <w:b w:val="false"/>
          <w:bCs w:val="false"/>
          <w:color w:val="1A1A1A"/>
          <w:sz w:val="22"/>
          <w:szCs w:val="22"/>
        </w:rPr>
        <w:t xml:space="preserve">SaaSLogic integration: billing instruction submission and payment event webhook</w:t>
      </w:r>
    </w:p>
    <w:p>
      <w:pPr>
        <w:pStyle w:val="ListParagraph"/>
        <w:numPr>
          <w:ilvl w:val="0"/>
          <w:numId w:val="2"/>
        </w:numPr>
        <w:spacing w:after="80"/>
      </w:pPr>
      <w:r>
        <w:rPr>
          <w:rFonts w:ascii="Arial" w:cs="Arial" w:eastAsia="Arial" w:hAnsi="Arial"/>
          <w:b w:val="false"/>
          <w:bCs w:val="false"/>
          <w:color w:val="1A1A1A"/>
          <w:sz w:val="22"/>
          <w:szCs w:val="22"/>
        </w:rPr>
        <w:t xml:space="preserve">ApptorFlow event bus subscription infrastructure deployed</w:t>
      </w:r>
    </w:p>
    <w:p>
      <w:pPr>
        <w:pStyle w:val="ListParagraph"/>
        <w:numPr>
          <w:ilvl w:val="0"/>
          <w:numId w:val="2"/>
        </w:numPr>
        <w:spacing w:after="80"/>
      </w:pPr>
      <w:r>
        <w:rPr>
          <w:rFonts w:ascii="Arial" w:cs="Arial" w:eastAsia="Arial" w:hAnsi="Arial"/>
          <w:b w:val="false"/>
          <w:bCs w:val="false"/>
          <w:color w:val="1A1A1A"/>
          <w:sz w:val="22"/>
          <w:szCs w:val="22"/>
        </w:rPr>
        <w:t xml:space="preserve">Redis cluster provisioned for CustomerProfile caching layer</w:t>
      </w:r>
    </w:p>
    <w:p>
      <w:pPr>
        <w:spacing w:after="200"/>
      </w:pPr>
      <w:r>
        <w:rPr>
          <w:rFonts w:ascii="Arial" w:cs="Arial" w:eastAsia="Arial" w:hAnsi="Arial"/>
          <w:color w:val="1A1A1A"/>
          <w:sz w:val="22"/>
          <w:szCs w:val="22"/>
        </w:rPr>
        <w:t xml:space="preserve"/>
      </w:r>
    </w:p>
    <w:p>
      <w:pPr>
        <w:pStyle w:val="Heading2"/>
        <w:spacing w:after="120" w:before="300"/>
      </w:pPr>
      <w:r>
        <w:rPr>
          <w:rFonts w:ascii="Arial" w:cs="Arial" w:eastAsia="Arial" w:hAnsi="Arial"/>
          <w:b/>
          <w:bCs/>
          <w:color w:val="4F3DB5"/>
          <w:sz w:val="28"/>
          <w:szCs w:val="28"/>
        </w:rPr>
        <w:t xml:space="preserve">9.2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49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CustomerProfile refresh latency exceeds 5-minute SLA under load</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HIGH</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Pre-scale ApptorFlow worker pool before billing cycle runs; implement circuit breaker on profile refresh queue; serve stale profile with staleness indicator rather than blocking CSR desktop load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LLM API cost exceeds budget under production load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HIGH</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Gateway caching for identical payloads; aggressive context trimming; monthly cost cap per tenant; NBA computed async not on-demand</w:t>
            </w:r>
          </w:p>
        </w:tc>
      </w:tr>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Delinquency model shows demographic bias in validation</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HIGH</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Bias testing required before Phase C launch; fairness constraints in model training; quarterly disparity monitoring as ongoing requirement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CSR adoption of NBA recommendations is 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MEDIUM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CSR training program; NBA dismissal reason analysis to improve relevance; adjust thresholds based on first 30 days of usage data</w:t>
            </w:r>
          </w:p>
        </w:tc>
      </w:tr>
      <w:tr>
        <w:tc>
          <w:tcPr>
            <w:tcW w:type="dxa" w:w="3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Anomaly detection false positive rate degrades CSR trust</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MEDIUM</w:t>
            </w:r>
          </w:p>
        </w:tc>
        <w:tc>
          <w:tcPr>
            <w:tcW w:type="dxa" w:w="4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Ship with conservative thresholds (z-score &gt; 3.5 for billing hold); tune down over 60 days based on override data; visible calibration dashboard for operations team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Chatbot escalation rate exceeds target (&gt; 45% of sessions)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BA7517"/>
                <w:sz w:val="18"/>
                <w:szCs w:val="18"/>
              </w:rPr>
              <w:t xml:space="preserve">MEDIUM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Expand handled intent list based on actual escalation reasons; improve context retention for multi-turn conversations; add structured quick-reply options for common intents</w:t>
            </w:r>
          </w:p>
        </w:tc>
      </w:tr>
    </w:tbl>
    <w:p>
      <w:r>
        <w:br w:type="page"/>
      </w:r>
    </w:p>
    <w:p>
      <w:pPr>
        <w:pStyle w:val="Heading1"/>
        <w:pBdr>
          <w:bottom w:val="single" w:color="4F3DB5" w:sz="8" w:space="6"/>
        </w:pBdr>
        <w:spacing w:after="160" w:before="400"/>
      </w:pPr>
      <w:r>
        <w:rPr>
          <w:rFonts w:ascii="Arial" w:cs="Arial" w:eastAsia="Arial" w:hAnsi="Arial"/>
          <w:b/>
          <w:bCs/>
          <w:color w:val="1F3864"/>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DDDDDD" w:sz="1"/>
              <w:left w:val="single" w:color="DDDDDD" w:sz="1"/>
              <w:bottom w:val="single" w:color="DDDDDD" w:sz="1"/>
              <w:right w:val="single" w:color="DDDDDD" w:sz="1"/>
            </w:tcBorders>
            <w:shd w:fill="4F3DB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ApptorFlow</w:t>
            </w:r>
          </w:p>
        </w:tc>
        <w:tc>
          <w:tcPr>
            <w:tcW w:type="dxa" w:w="6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workflow orchestration engine used throughout the SaaSLogic platform. Provides AI task nodes, actor model architecture, semantic memory, and governed workflow execution. All Customer 360 multi-step actions are orchestrated by ApptorFlow.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CustomerProfile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denormalized, event-refreshed unified customer record that aggregates signals from CIS, SaaSLogic, and field service. The primary data source for all Customer 360 features.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Delinquency Risk Score</w:t>
            </w:r>
          </w:p>
        </w:tc>
        <w:tc>
          <w:tcPr>
            <w:tcW w:type="dxa" w:w="6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 ML-computed probability (0.0–1.0) that an account will not pay its outstanding balance without intervention. Drives collections workflow branching in ApptorFlow.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Model Gateway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Internal service mediating all LLM API calls from CIS applications. Provides prompt versioning, provider routing, caching, cost tracking, PII scrubbing, and audit logging.</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Next Best Action (NBA)</w:t>
            </w:r>
          </w:p>
        </w:tc>
        <w:tc>
          <w:tcPr>
            <w:tcW w:type="dxa" w:w="6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 AI-generated, context-specific recommendation surfaced to the CSR upon opening a customer record. Identifies the single most valuable action for this customer at this moment.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Consumption Anomaly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meter reading that deviates significantly from the customer’s historical baseline for that period and season. Detected using z-score analysis; high-confidence anomalies hold billing pending CSR review.</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Rate Optimization Advisor</w:t>
            </w:r>
          </w:p>
        </w:tc>
        <w:tc>
          <w:tcPr>
            <w:tcW w:type="dxa" w:w="6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Feature that simulates a customer’s historical consumption under all eligible rate schedules and surfaces the alternative rate with the greatest estimated savings.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Containment Rate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percentage of chatbot sessions resolved without escalation to a live CSR. Target: &gt; 55% after 90 days of operation.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Compliance Pre-Check</w:t>
            </w:r>
          </w:p>
        </w:tc>
        <w:tc>
          <w:tcPr>
            <w:tcW w:type="dxa" w:w="6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mandatory ApptorFlow workflow step that evaluates regulatory conditions before a consequential action (e.g., disconnect) proceeds. Cannot be skipped by CSR override.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CNC (Could Not Complete)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field service work order outcome where the technician was unable to complete the assigned task (e.g., no access to meter). High CNC rate at a service location triggers predictive intervention.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Delinquency Risk Score</w:t>
            </w:r>
          </w:p>
        </w:tc>
        <w:tc>
          <w:tcPr>
            <w:tcW w:type="dxa" w:w="6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 ML-computed probability (0.0–1.0) that an account will not pay its outstanding balance without intervention.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Medical Baseline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regulatory flag indicating the utility commission prohibits disconnecting service to this customer regardless of delinquency status. Enforced at the data layer.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NBA Acceptance Rate</w:t>
            </w:r>
          </w:p>
        </w:tc>
        <w:tc>
          <w:tcPr>
            <w:tcW w:type="dxa" w:w="6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percentage of displayed Next Best Action recommendations where the CSR took the suggested action. Primary KPI for NBA feature quality.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Payment Reliability Score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0.0–1.0 ratio of on-time payments to total payments in the last 24 months. Inputs to NBA, delinquency scoring, and payment extension eligibility.</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Seasonal Profile</w:t>
            </w:r>
          </w:p>
        </w:tc>
        <w:tc>
          <w:tcPr>
            <w:tcW w:type="dxa" w:w="6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customer-specific monthly usage multiplier derived from 3+ years of consumption history. Used by anomaly detection and rate optimization to adjust for expected seasonal variation.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SHAP</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SHapley Additive exPlanations — the method used to attribute model predictions to individual input features, enabling plain-language explanation of AI scores.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Staleness Flag</w:t>
            </w:r>
          </w:p>
        </w:tc>
        <w:tc>
          <w:tcPr>
            <w:tcW w:type="dxa" w:w="69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 indicator on the CustomerProfile that the profile has not been refreshed within 15 minutes of the most recent triggering event. Displayed to CSR as a caution indicator.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Weather Policy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utility commission rule prohibiting disconnection of service during defined temperature thresholds (cold or heat). Configurable per utility; enforced as an ApptorFlow pre-check.</w:t>
            </w:r>
          </w:p>
        </w:tc>
      </w:tr>
    </w:tbl>
    <w:p>
      <w:pPr>
        <w:spacing w:after="200"/>
      </w:pPr>
      <w:r>
        <w:rPr>
          <w:rFonts w:ascii="Arial" w:cs="Arial" w:eastAsia="Arial" w:hAnsi="Arial"/>
          <w:color w:val="1A1A1A"/>
          <w:sz w:val="22"/>
          <w:szCs w:val="22"/>
        </w:rPr>
        <w:t xml:space="preserve"/>
      </w:r>
    </w:p>
    <w:p>
      <w:pPr>
        <w:pBdr>
          <w:top w:val="single" w:color="DDDDDD" w:sz="2" w:space="4"/>
        </w:pBdr>
        <w:spacing w:after="80" w:before="160"/>
        <w:jc w:val="center"/>
      </w:pPr>
      <w:r>
        <w:rPr>
          <w:rFonts w:ascii="Arial" w:cs="Arial" w:eastAsia="Arial" w:hAnsi="Arial"/>
          <w:color w:val="5F5E5A"/>
          <w:sz w:val="18"/>
          <w:szCs w:val="18"/>
        </w:rPr>
        <w:t xml:space="preserve">End of Document</w:t>
      </w:r>
    </w:p>
    <w:p>
      <w:pPr>
        <w:jc w:val="center"/>
      </w:pPr>
      <w:r>
        <w:rPr>
          <w:rFonts w:ascii="Arial" w:cs="Arial" w:eastAsia="Arial" w:hAnsi="Arial"/>
          <w:color w:val="5F5E5A"/>
          <w:sz w:val="16"/>
          <w:szCs w:val="16"/>
        </w:rPr>
        <w:t xml:space="preserve">SaaSLogic Utility Platform — Customer 360 PRD —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360"/>
      </w:tabs>
      <w:spacing w:before="80"/>
    </w:pPr>
    <w:r>
      <w:rPr>
        <w:rFonts w:ascii="Arial" w:cs="Arial" w:eastAsia="Arial" w:hAnsi="Arial"/>
        <w:color w:val="5F5E5A"/>
        <w:sz w:val="16"/>
        <w:szCs w:val="16"/>
      </w:rPr>
      <w:t xml:space="preserve">Confidential — Internal Use Only</w:t>
    </w:r>
    <w:r>
      <w:rPr>
        <w:rFonts w:ascii="Arial" w:cs="Arial" w:eastAsia="Arial" w:hAnsi="Arial"/>
        <w:color w:val="5F5E5A"/>
        <w:sz w:val="16"/>
        <w:szCs w:val="16"/>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3DB5" w:sz="4" w:space="4"/>
      </w:pBdr>
      <w:tabs>
        <w:tab w:val="right" w:pos="9360"/>
      </w:tabs>
      <w:spacing w:after="0"/>
    </w:pPr>
    <w:r>
      <w:rPr>
        <w:rFonts w:ascii="Arial" w:cs="Arial" w:eastAsia="Arial" w:hAnsi="Arial"/>
        <w:b/>
        <w:bCs/>
        <w:color w:val="4F3DB5"/>
        <w:sz w:val="18"/>
        <w:szCs w:val="18"/>
      </w:rPr>
      <w:t xml:space="preserve">SaaSLogic Utility Platform</w:t>
    </w:r>
    <w:r>
      <w:rPr>
        <w:rFonts w:ascii="Arial" w:cs="Arial" w:eastAsia="Arial" w:hAnsi="Arial"/>
        <w:color w:val="5F5E5A"/>
        <w:sz w:val="18"/>
        <w:szCs w:val="18"/>
      </w:rPr>
      <w:t xml:space="preserve">	Customer 360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8"/>
      <w:szCs w:val="28"/>
    </w:rPr>
  </w:style>
  <w:style w:type="paragraph" w:styleId="Heading3">
    <w:name w:val="Heading 3"/>
    <w:basedOn w:val="Normal"/>
    <w:next w:val="Normal"/>
    <w:qFormat/>
    <w:pPr>
      <w:spacing w:after="10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2026-04-09T03:11:30.494Z</dcterms:created>
  <dcterms:modified xsi:type="dcterms:W3CDTF">2026-04-09T03:11:30.496Z</dcterms:modified>
</cp:coreProperties>
</file>

<file path=docProps/custom.xml><?xml version="1.0" encoding="utf-8"?>
<Properties xmlns="http://schemas.openxmlformats.org/officeDocument/2006/custom-properties" xmlns:vt="http://schemas.openxmlformats.org/officeDocument/2006/docPropsVTypes"/>
</file>