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yewlw4zvba2" w:id="0"/>
      <w:bookmarkEnd w:id="0"/>
      <w:r w:rsidDel="00000000" w:rsidR="00000000" w:rsidRPr="00000000">
        <w:rPr>
          <w:rtl w:val="0"/>
        </w:rPr>
        <w:t xml:space="preserve">Supplementary Data</w:t>
      </w:r>
    </w:p>
    <w:p w:rsidR="00000000" w:rsidDel="00000000" w:rsidP="00000000" w:rsidRDefault="00000000" w:rsidRPr="00000000" w14:paraId="00000002">
      <w:pPr>
        <w:pStyle w:val="Heading5"/>
        <w:rPr/>
      </w:pPr>
      <w:bookmarkStart w:colFirst="0" w:colLast="0" w:name="_heading=h.3yai7dybqf9k" w:id="1"/>
      <w:bookmarkEnd w:id="1"/>
      <w:r w:rsidDel="00000000" w:rsidR="00000000" w:rsidRPr="00000000">
        <w:rPr>
          <w:rtl w:val="0"/>
        </w:rPr>
        <w:t xml:space="preserve">Supplementary Figure 1: a) for any modality-specific or multimodal clock, biological age is estimated using the features included in modalities involved in that clock in a regression problem predicting biological age, and performance is assessed via correlation coefficient of biological age vs. chronological age. b) model architecture for early fusion and late fusion clock</w:t>
      </w:r>
    </w:p>
    <w:p w:rsidR="00000000" w:rsidDel="00000000" w:rsidP="00000000" w:rsidRDefault="00000000" w:rsidRPr="00000000" w14:paraId="00000003">
      <w:pPr>
        <w:spacing w:line="240" w:lineRule="auto"/>
        <w:ind w:left="-90" w:firstLine="0"/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434343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left="-90" w:firstLine="0"/>
        <w:rPr/>
      </w:pPr>
      <w:r w:rsidDel="00000000" w:rsidR="00000000" w:rsidRPr="00000000">
        <w:rPr>
          <w:color w:val="434343"/>
          <w:sz w:val="28"/>
          <w:szCs w:val="28"/>
        </w:rPr>
        <w:drawing>
          <wp:inline distB="114300" distT="114300" distL="114300" distR="114300">
            <wp:extent cx="1428750" cy="1409700"/>
            <wp:effectExtent b="0" l="0" r="0" t="0"/>
            <wp:docPr id="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</w:t>
      </w:r>
    </w:p>
    <w:p w:rsidR="00000000" w:rsidDel="00000000" w:rsidP="00000000" w:rsidRDefault="00000000" w:rsidRPr="00000000" w14:paraId="00000007">
      <w:pPr>
        <w:spacing w:line="240" w:lineRule="auto"/>
        <w:ind w:left="-90" w:firstLine="0"/>
        <w:rPr>
          <w:b w:val="1"/>
          <w:bCs w:val="1"/>
          <w:color w:val="434343"/>
          <w:sz w:val="28"/>
          <w:szCs w:val="28"/>
        </w:rPr>
      </w:pPr>
      <w:r w:rsidDel="00000000" w:rsidR="00000000" w:rsidRPr="00000000">
        <w:rPr>
          <w:b w:val="1"/>
          <w:bCs w:val="1"/>
          <w:color w:val="434343"/>
          <w:sz w:val="28"/>
          <w:szCs w:val="28"/>
        </w:rPr>
        <w:drawing>
          <wp:inline distB="114300" distT="114300" distL="114300" distR="114300">
            <wp:extent cx="6457950" cy="3759200"/>
            <wp:effectExtent b="0" l="0" r="0" t="0"/>
            <wp:docPr id="2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12800" l="0" r="0" t="4101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left="-90" w:firstLine="0"/>
        <w:rPr>
          <w:b w:val="1"/>
          <w:bCs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left="-90" w:firstLine="0"/>
        <w:rPr>
          <w:b w:val="1"/>
          <w:bCs w:val="1"/>
          <w:color w:val="434343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5"/>
        <w:rPr/>
      </w:pPr>
      <w:bookmarkStart w:colFirst="0" w:colLast="0" w:name="_heading=h.cadh4n5p0fb" w:id="2"/>
      <w:bookmarkEnd w:id="2"/>
      <w:r w:rsidDel="00000000" w:rsidR="00000000" w:rsidRPr="00000000">
        <w:rPr>
          <w:rtl w:val="0"/>
        </w:rPr>
        <w:t xml:space="preserve">Supplementary Figure 2: </w:t>
      </w: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relationship between feature sparsity and performance. </w:t>
      </w: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relationship between clock training dataset size and performance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157913" cy="4096193"/>
            <wp:effectExtent b="0" l="0" r="0" t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7913" cy="40961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06662" cy="3929063"/>
            <wp:effectExtent b="0" l="0" r="0" t="0"/>
            <wp:docPr id="2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6662" cy="3929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5"/>
        <w:widowControl w:val="0"/>
        <w:spacing w:line="240" w:lineRule="auto"/>
        <w:rPr>
          <w:b w:val="1"/>
          <w:bCs w:val="1"/>
        </w:rPr>
      </w:pPr>
      <w:bookmarkStart w:colFirst="0" w:colLast="0" w:name="_heading=h.5vk39gyqsa03" w:id="3"/>
      <w:bookmarkEnd w:id="3"/>
      <w:r w:rsidDel="00000000" w:rsidR="00000000" w:rsidRPr="00000000">
        <w:rPr>
          <w:color w:val="666666"/>
          <w:rtl w:val="0"/>
        </w:rPr>
        <w:t xml:space="preserve">Supplementary Figure 3: additive performance of biological age acceleration in disease prediction compared to using sex and chronological age alone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6381750" cy="5486400"/>
            <wp:effectExtent b="0" l="0" r="0" t="0"/>
            <wp:docPr id="2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color w:val="66666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5"/>
        <w:widowControl w:val="0"/>
        <w:spacing w:line="240" w:lineRule="auto"/>
        <w:rPr/>
      </w:pPr>
      <w:bookmarkStart w:colFirst="0" w:colLast="0" w:name="_heading=h.p9oscoyu53bo" w:id="4"/>
      <w:bookmarkEnd w:id="4"/>
      <w:sdt>
        <w:sdtPr>
          <w:id w:val="1819837193"/>
          <w:tag w:val="goog_rdk_0"/>
        </w:sdtPr>
        <w:sdtContent>
          <w:commentRangeStart w:id="0"/>
        </w:sdtContent>
      </w:sdt>
      <w:r w:rsidDel="00000000" w:rsidR="00000000" w:rsidRPr="00000000">
        <w:rPr>
          <w:color w:val="666666"/>
          <w:rtl w:val="0"/>
        </w:rPr>
        <w:t xml:space="preserve">Supplementary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color w:val="666666"/>
          <w:rtl w:val="0"/>
        </w:rPr>
        <w:t xml:space="preserve"> Figure 4: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a)</w:t>
      </w:r>
      <w:r w:rsidDel="00000000" w:rsidR="00000000" w:rsidRPr="00000000">
        <w:rPr>
          <w:i w:val="1"/>
          <w:iCs w:val="1"/>
          <w:rtl w:val="0"/>
        </w:rPr>
        <w:t xml:space="preserve"> disease associations for each clock, as well as baselines PhenoAge and Tian et al. biological age.  yellow bolded box = best clock for performance increase in prediction of incident disease. Confidence intervals for AUC scores from bootstraps are reported in the supplementary table 6;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b) </w:t>
      </w:r>
      <w:r w:rsidDel="00000000" w:rsidR="00000000" w:rsidRPr="00000000">
        <w:rPr>
          <w:rtl w:val="0"/>
        </w:rPr>
        <w:t xml:space="preserve">correlation of each clock against others, based on strength of mortality associations across comorbidities.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4a)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5080000"/>
            <wp:effectExtent b="0" l="0" r="0" t="0"/>
            <wp:docPr id="2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4b)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6267450" cy="5588000"/>
            <wp:effectExtent b="0" l="0" r="0" t="0"/>
            <wp:docPr id="2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558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left="-90" w:firstLine="0"/>
        <w:rPr>
          <w:b w:val="1"/>
          <w:bCs w:val="1"/>
          <w:color w:val="434343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5"/>
        <w:spacing w:line="240" w:lineRule="auto"/>
        <w:ind w:left="-90" w:firstLine="0"/>
        <w:rPr/>
      </w:pPr>
      <w:bookmarkStart w:colFirst="0" w:colLast="0" w:name="_heading=h.i1gtpz64la63" w:id="5"/>
      <w:bookmarkEnd w:id="5"/>
      <w:r w:rsidDel="00000000" w:rsidR="00000000" w:rsidRPr="00000000">
        <w:rPr>
          <w:b w:val="1"/>
          <w:bCs w:val="1"/>
          <w:rtl w:val="0"/>
        </w:rPr>
        <w:t xml:space="preserve">Supplementary Figure 5: a) </w:t>
      </w:r>
      <w:r w:rsidDel="00000000" w:rsidR="00000000" w:rsidRPr="00000000">
        <w:rPr>
          <w:rtl w:val="0"/>
        </w:rPr>
        <w:t xml:space="preserve">Pearson correlation relationships between modality-specific and multimodal clocks (DNN) in NHANES data; </w:t>
      </w: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mortality associations in NHANES data</w:t>
      </w:r>
    </w:p>
    <w:p w:rsidR="00000000" w:rsidDel="00000000" w:rsidP="00000000" w:rsidRDefault="00000000" w:rsidRPr="00000000" w14:paraId="0000001B">
      <w:pPr>
        <w:pStyle w:val="Heading5"/>
        <w:spacing w:line="240" w:lineRule="auto"/>
        <w:ind w:left="-90" w:firstLine="0"/>
        <w:rPr/>
      </w:pPr>
      <w:bookmarkStart w:colFirst="0" w:colLast="0" w:name="_heading=h.il8i4wkwb38e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-90" w:firstLine="0"/>
        <w:rPr/>
      </w:pPr>
      <w:r w:rsidDel="00000000" w:rsidR="00000000" w:rsidRPr="00000000">
        <w:rPr>
          <w:rtl w:val="0"/>
        </w:rPr>
        <w:t xml:space="preserve">5a)</w:t>
      </w:r>
    </w:p>
    <w:p w:rsidR="00000000" w:rsidDel="00000000" w:rsidP="00000000" w:rsidRDefault="00000000" w:rsidRPr="00000000" w14:paraId="0000001D">
      <w:pPr>
        <w:spacing w:line="240" w:lineRule="auto"/>
        <w:ind w:left="-90" w:firstLine="0"/>
        <w:rPr/>
      </w:pPr>
      <w:r w:rsidDel="00000000" w:rsidR="00000000" w:rsidRPr="00000000">
        <w:rPr/>
        <w:drawing>
          <wp:inline distB="114300" distT="114300" distL="114300" distR="114300">
            <wp:extent cx="3751430" cy="3059485"/>
            <wp:effectExtent b="0" l="0" r="0" t="0"/>
            <wp:docPr id="3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1430" cy="3059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5b)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546600" cy="3701200"/>
            <wp:effectExtent b="0" l="0" r="0" t="0"/>
            <wp:docPr id="2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370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5"/>
        <w:spacing w:line="240" w:lineRule="auto"/>
        <w:ind w:left="-90" w:firstLine="0"/>
        <w:rPr/>
      </w:pPr>
      <w:bookmarkStart w:colFirst="0" w:colLast="0" w:name="_heading=h.o97v444caa9w" w:id="7"/>
      <w:bookmarkEnd w:id="7"/>
      <w:r w:rsidDel="00000000" w:rsidR="00000000" w:rsidRPr="00000000">
        <w:rPr>
          <w:b w:val="1"/>
          <w:bCs w:val="1"/>
          <w:rtl w:val="0"/>
        </w:rPr>
        <w:t xml:space="preserve">Supplementary Figure 6: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a)</w:t>
      </w:r>
      <w:r w:rsidDel="00000000" w:rsidR="00000000" w:rsidRPr="00000000">
        <w:rPr>
          <w:i w:val="1"/>
          <w:iCs w:val="1"/>
          <w:rtl w:val="0"/>
        </w:rPr>
        <w:t xml:space="preserve"> blood chemistry-based biological age using the FusionAge-DNN-CHEM-BLOOD clock;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(b)</w:t>
      </w:r>
      <w:r w:rsidDel="00000000" w:rsidR="00000000" w:rsidRPr="00000000">
        <w:rPr>
          <w:i w:val="1"/>
          <w:iCs w:val="1"/>
          <w:rtl w:val="0"/>
        </w:rPr>
        <w:t xml:space="preserve"> proteomics-based biological age using the FusionAge-DNN-PROTEOMICS clock;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9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</w:t>
      </w:r>
    </w:p>
    <w:p w:rsidR="00000000" w:rsidDel="00000000" w:rsidP="00000000" w:rsidRDefault="00000000" w:rsidRPr="00000000" w14:paraId="00000023">
      <w:pPr>
        <w:ind w:left="-9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981450" cy="2827590"/>
            <wp:effectExtent b="0" l="0" r="0" t="0"/>
            <wp:docPr id="3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27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9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</w:t>
      </w:r>
    </w:p>
    <w:p w:rsidR="00000000" w:rsidDel="00000000" w:rsidP="00000000" w:rsidRDefault="00000000" w:rsidRPr="00000000" w14:paraId="00000025">
      <w:pPr>
        <w:ind w:left="-9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95351" cy="2626108"/>
            <wp:effectExtent b="0" l="0" r="0" t="0"/>
            <wp:docPr id="3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351" cy="2626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9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left="-90" w:firstLine="0"/>
        <w:rPr>
          <w:b w:val="1"/>
          <w:bCs w:val="1"/>
          <w:color w:val="434343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left="-90" w:firstLine="0"/>
        <w:rPr>
          <w:b w:val="1"/>
          <w:bCs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5"/>
        <w:rPr>
          <w:sz w:val="22"/>
          <w:szCs w:val="22"/>
        </w:rPr>
      </w:pPr>
      <w:bookmarkStart w:colFirst="0" w:colLast="0" w:name="_heading=h.2bhhzyq04t2n" w:id="8"/>
      <w:bookmarkEnd w:id="8"/>
      <w:r w:rsidDel="00000000" w:rsidR="00000000" w:rsidRPr="00000000">
        <w:rPr>
          <w:rtl w:val="0"/>
        </w:rPr>
        <w:t xml:space="preserve">Supplementary Figure 7: </w:t>
      </w:r>
      <w:r w:rsidDel="00000000" w:rsidR="00000000" w:rsidRPr="00000000">
        <w:rPr>
          <w:sz w:val="22"/>
          <w:szCs w:val="22"/>
          <w:rtl w:val="0"/>
        </w:rPr>
        <w:t xml:space="preserve">distributions of biological age acceleration Z scores for</w:t>
      </w:r>
      <w:r w:rsidDel="00000000" w:rsidR="00000000" w:rsidRPr="00000000">
        <w:rPr>
          <w:rtl w:val="0"/>
        </w:rPr>
        <w:t xml:space="preserve"> FusionAge-derived aging clocks, in the UK Biobank cohort</w:t>
      </w:r>
      <w:r w:rsidDel="00000000" w:rsidR="00000000" w:rsidRPr="00000000">
        <w:rPr>
          <w:sz w:val="22"/>
          <w:szCs w:val="22"/>
          <w:rtl w:val="0"/>
        </w:rPr>
        <w:t xml:space="preserve">; </w:t>
      </w:r>
      <w:r w:rsidDel="00000000" w:rsidR="00000000" w:rsidRPr="00000000">
        <w:rPr>
          <w:rtl w:val="0"/>
        </w:rPr>
        <w:t xml:space="preserve">data cohorts used for </w:t>
      </w:r>
      <w:r w:rsidDel="00000000" w:rsidR="00000000" w:rsidRPr="00000000">
        <w:rPr>
          <w:sz w:val="22"/>
          <w:szCs w:val="22"/>
          <w:rtl w:val="0"/>
        </w:rPr>
        <w:t xml:space="preserve">select clocks do not have individuals with that disease and those individuals are not plotted</w:t>
      </w:r>
    </w:p>
    <w:p w:rsidR="00000000" w:rsidDel="00000000" w:rsidP="00000000" w:rsidRDefault="00000000" w:rsidRPr="00000000" w14:paraId="0000002B">
      <w:pPr>
        <w:pStyle w:val="Heading4"/>
        <w:ind w:left="0" w:firstLine="0"/>
        <w:rPr/>
      </w:pPr>
      <w:bookmarkStart w:colFirst="0" w:colLast="0" w:name="_heading=h.o5omrkan6u0l" w:id="9"/>
      <w:bookmarkEnd w:id="9"/>
      <w:r w:rsidDel="00000000" w:rsidR="00000000" w:rsidRPr="00000000">
        <w:rPr/>
        <w:drawing>
          <wp:inline distB="114300" distT="114300" distL="114300" distR="114300">
            <wp:extent cx="6858000" cy="5143500"/>
            <wp:effectExtent b="0" l="0" r="0" t="0"/>
            <wp:docPr id="3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5"/>
        <w:rPr/>
      </w:pPr>
      <w:bookmarkStart w:colFirst="0" w:colLast="0" w:name="_heading=h.yya65imh6hlp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5"/>
        <w:rPr/>
      </w:pPr>
      <w:bookmarkStart w:colFirst="0" w:colLast="0" w:name="_heading=h.wisqt4u9cy08" w:id="11"/>
      <w:bookmarkEnd w:id="11"/>
      <w:r w:rsidDel="00000000" w:rsidR="00000000" w:rsidRPr="00000000">
        <w:rPr/>
        <w:drawing>
          <wp:inline distB="114300" distT="114300" distL="114300" distR="114300">
            <wp:extent cx="6858000" cy="5143500"/>
            <wp:effectExtent b="0" l="0" r="0" t="0"/>
            <wp:docPr id="3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858000" cy="5118100"/>
            <wp:effectExtent b="0" l="0" r="0" t="0"/>
            <wp:docPr id="3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858000" cy="5143500"/>
            <wp:effectExtent b="0" l="0" r="0" t="0"/>
            <wp:docPr id="3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858000" cy="5143500"/>
            <wp:effectExtent b="0" l="0" r="0" t="0"/>
            <wp:docPr id="3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858000" cy="6172200"/>
            <wp:effectExtent b="0" l="0" r="0" t="0"/>
            <wp:docPr id="3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5"/>
        <w:rPr/>
      </w:pPr>
      <w:bookmarkStart w:colFirst="0" w:colLast="0" w:name="_heading=h.uuts0j6gip16" w:id="12"/>
      <w:bookmarkEnd w:id="12"/>
      <w:r w:rsidDel="00000000" w:rsidR="00000000" w:rsidRPr="00000000">
        <w:rPr>
          <w:rtl w:val="0"/>
        </w:rPr>
        <w:t xml:space="preserve">Supplementary Figure 8: distributions of biological age acceleration Z scores for FusionAge-derived aging clocks, in the NHANES cohort; select clocks do not have individuals with that disease and those individuals are not plotted</w:t>
      </w:r>
    </w:p>
    <w:p w:rsidR="00000000" w:rsidDel="00000000" w:rsidP="00000000" w:rsidRDefault="00000000" w:rsidRPr="00000000" w14:paraId="00000033">
      <w:pPr>
        <w:pStyle w:val="Heading5"/>
        <w:rPr/>
      </w:pPr>
      <w:bookmarkStart w:colFirst="0" w:colLast="0" w:name="_heading=h.g950mbj2bhbq" w:id="13"/>
      <w:bookmarkEnd w:id="13"/>
      <w:r w:rsidDel="00000000" w:rsidR="00000000" w:rsidRPr="00000000">
        <w:rPr/>
        <w:drawing>
          <wp:inline distB="114300" distT="114300" distL="114300" distR="114300">
            <wp:extent cx="6858000" cy="5499100"/>
            <wp:effectExtent b="0" l="0" r="0" t="0"/>
            <wp:docPr id="4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9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5"/>
        <w:rPr/>
      </w:pPr>
      <w:bookmarkStart w:colFirst="0" w:colLast="0" w:name="_heading=h.cc1ueixdzua4" w:id="14"/>
      <w:bookmarkEnd w:id="14"/>
      <w:r w:rsidDel="00000000" w:rsidR="00000000" w:rsidRPr="00000000">
        <w:rPr>
          <w:rtl w:val="0"/>
        </w:rPr>
        <w:t xml:space="preserve">Supplementary Figure 9: proportion of aggregate contribution to biological age, using the top 10 ranked features by individual contribution.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64000"/>
            <wp:effectExtent b="0" l="0" r="0" t="0"/>
            <wp:docPr id="4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5"/>
        <w:rPr/>
      </w:pPr>
      <w:bookmarkStart w:colFirst="0" w:colLast="0" w:name="_heading=h.mwsz802hzvw1" w:id="15"/>
      <w:bookmarkEnd w:id="15"/>
      <w:r w:rsidDel="00000000" w:rsidR="00000000" w:rsidRPr="00000000">
        <w:rPr>
          <w:rtl w:val="0"/>
        </w:rPr>
        <w:t xml:space="preserve">Supplementary Figure 10: residual plots of each clock trained on UK Biobank, multimodal clocks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6542589" cy="6170025"/>
            <wp:effectExtent b="0" l="0" r="0" t="0"/>
            <wp:docPr id="4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2589" cy="617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5"/>
        <w:rPr/>
      </w:pPr>
      <w:bookmarkStart w:colFirst="0" w:colLast="0" w:name="_heading=h.322hv7dj5f99" w:id="16"/>
      <w:bookmarkEnd w:id="16"/>
      <w:r w:rsidDel="00000000" w:rsidR="00000000" w:rsidRPr="00000000">
        <w:rPr>
          <w:rtl w:val="0"/>
        </w:rPr>
        <w:t xml:space="preserve">Supplementary Figure 11: residual plots of each clock trained on UK Biobank, modality-specific clocks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843588" cy="8848028"/>
            <wp:effectExtent b="0" l="0" r="0" t="0"/>
            <wp:docPr id="3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3588" cy="8848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widowControl w:val="0"/>
        <w:spacing w:line="276" w:lineRule="auto"/>
        <w:ind w:left="-90" w:firstLine="0"/>
        <w:rPr/>
      </w:pPr>
      <w:bookmarkStart w:colFirst="0" w:colLast="0" w:name="_heading=h.ss3e1b29mcjv" w:id="17"/>
      <w:bookmarkEnd w:id="17"/>
      <w:r w:rsidDel="00000000" w:rsidR="00000000" w:rsidRPr="00000000">
        <w:rPr>
          <w:rtl w:val="0"/>
        </w:rPr>
        <w:t xml:space="preserve">Supplementary Tables - Descriptions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76" w:lineRule="auto"/>
        <w:ind w:left="-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76" w:lineRule="auto"/>
        <w:ind w:left="-90" w:firstLine="0"/>
        <w:rPr/>
      </w:pPr>
      <w:r w:rsidDel="00000000" w:rsidR="00000000" w:rsidRPr="00000000">
        <w:rPr>
          <w:rtl w:val="0"/>
        </w:rPr>
        <w:t xml:space="preserve">Supplementary table 1 (list of modalities and example features for each), 2 (description of feature construction methods used, across each modality)</w:t>
      </w:r>
    </w:p>
    <w:p w:rsidR="00000000" w:rsidDel="00000000" w:rsidP="00000000" w:rsidRDefault="00000000" w:rsidRPr="00000000" w14:paraId="0000003F">
      <w:pPr>
        <w:widowControl w:val="0"/>
        <w:spacing w:line="276" w:lineRule="auto"/>
        <w:ind w:left="-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76" w:lineRule="auto"/>
        <w:ind w:left="-90" w:firstLine="0"/>
        <w:rPr/>
      </w:pPr>
      <w:r w:rsidDel="00000000" w:rsidR="00000000" w:rsidRPr="00000000">
        <w:rPr>
          <w:rtl w:val="0"/>
        </w:rPr>
        <w:t xml:space="preserve">Supplementary table 3 (baseline tables for each modality-specific clock (one row per feature, one column per statistic)</w:t>
      </w:r>
    </w:p>
    <w:p w:rsidR="00000000" w:rsidDel="00000000" w:rsidP="00000000" w:rsidRDefault="00000000" w:rsidRPr="00000000" w14:paraId="00000041">
      <w:pPr>
        <w:widowControl w:val="0"/>
        <w:spacing w:line="276" w:lineRule="auto"/>
        <w:ind w:left="-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76" w:lineRule="auto"/>
        <w:ind w:left="-90" w:firstLine="0"/>
        <w:rPr/>
      </w:pPr>
      <w:r w:rsidDel="00000000" w:rsidR="00000000" w:rsidRPr="00000000">
        <w:rPr>
          <w:rtl w:val="0"/>
        </w:rPr>
        <w:t xml:space="preserve">Supplementary table 4 (baseline tables for each multimodal clock (one row per feature, one column per statistic)</w:t>
      </w:r>
    </w:p>
    <w:p w:rsidR="00000000" w:rsidDel="00000000" w:rsidP="00000000" w:rsidRDefault="00000000" w:rsidRPr="00000000" w14:paraId="00000043">
      <w:pPr>
        <w:widowControl w:val="0"/>
        <w:spacing w:line="276" w:lineRule="auto"/>
        <w:ind w:left="-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76" w:lineRule="auto"/>
        <w:ind w:left="-90" w:firstLine="0"/>
        <w:rPr/>
      </w:pPr>
      <w:r w:rsidDel="00000000" w:rsidR="00000000" w:rsidRPr="00000000">
        <w:rPr>
          <w:rtl w:val="0"/>
        </w:rPr>
        <w:t xml:space="preserve">Supplementary table 5 (performance metrics for all clocks trained on UK Biobank data)</w:t>
      </w:r>
    </w:p>
    <w:p w:rsidR="00000000" w:rsidDel="00000000" w:rsidP="00000000" w:rsidRDefault="00000000" w:rsidRPr="00000000" w14:paraId="00000045">
      <w:pPr>
        <w:widowControl w:val="0"/>
        <w:spacing w:line="276" w:lineRule="auto"/>
        <w:ind w:left="-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276" w:lineRule="auto"/>
        <w:ind w:left="-90" w:firstLine="0"/>
        <w:rPr/>
      </w:pPr>
      <w:r w:rsidDel="00000000" w:rsidR="00000000" w:rsidRPr="00000000">
        <w:rPr>
          <w:rtl w:val="0"/>
        </w:rPr>
        <w:t xml:space="preserve">Supplementary table 6 (incident disease associations (AUC in classification) for all clocks trained on UK Biobank data)</w:t>
      </w:r>
    </w:p>
    <w:p w:rsidR="00000000" w:rsidDel="00000000" w:rsidP="00000000" w:rsidRDefault="00000000" w:rsidRPr="00000000" w14:paraId="00000047">
      <w:pPr>
        <w:widowControl w:val="0"/>
        <w:spacing w:line="276" w:lineRule="auto"/>
        <w:ind w:left="-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76" w:lineRule="auto"/>
        <w:ind w:left="-90" w:firstLine="0"/>
        <w:rPr/>
      </w:pPr>
      <w:r w:rsidDel="00000000" w:rsidR="00000000" w:rsidRPr="00000000">
        <w:rPr>
          <w:rtl w:val="0"/>
        </w:rPr>
        <w:t xml:space="preserve">Supplementary table 7 (mortality associations (hazard ratio in cox proportional hazard) for all clocks trained on UK Biobank data)</w:t>
      </w:r>
    </w:p>
    <w:p w:rsidR="00000000" w:rsidDel="00000000" w:rsidP="00000000" w:rsidRDefault="00000000" w:rsidRPr="00000000" w14:paraId="00000049">
      <w:pPr>
        <w:widowControl w:val="0"/>
        <w:spacing w:line="276" w:lineRule="auto"/>
        <w:ind w:left="-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276" w:lineRule="auto"/>
        <w:ind w:left="-90" w:firstLine="0"/>
        <w:rPr/>
      </w:pPr>
      <w:r w:rsidDel="00000000" w:rsidR="00000000" w:rsidRPr="00000000">
        <w:rPr>
          <w:rtl w:val="0"/>
        </w:rPr>
        <w:t xml:space="preserve">Supplementary table 8 (biological age scores for astronauts)</w:t>
      </w:r>
    </w:p>
    <w:p w:rsidR="00000000" w:rsidDel="00000000" w:rsidP="00000000" w:rsidRDefault="00000000" w:rsidRPr="00000000" w14:paraId="0000004B">
      <w:pPr>
        <w:widowControl w:val="0"/>
        <w:spacing w:line="276" w:lineRule="auto"/>
        <w:ind w:left="-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276" w:lineRule="auto"/>
        <w:ind w:left="-90" w:firstLine="0"/>
        <w:rPr/>
      </w:pPr>
      <w:r w:rsidDel="00000000" w:rsidR="00000000" w:rsidRPr="00000000">
        <w:rPr>
          <w:rtl w:val="0"/>
        </w:rPr>
        <w:t xml:space="preserve">Supplementary table 9 (baseline tables for each clock from NHANES validation dataset)</w:t>
      </w:r>
    </w:p>
    <w:p w:rsidR="00000000" w:rsidDel="00000000" w:rsidP="00000000" w:rsidRDefault="00000000" w:rsidRPr="00000000" w14:paraId="0000004D">
      <w:pPr>
        <w:widowControl w:val="0"/>
        <w:spacing w:line="276" w:lineRule="auto"/>
        <w:ind w:left="-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276" w:lineRule="auto"/>
        <w:ind w:left="-90" w:firstLine="0"/>
        <w:rPr/>
      </w:pPr>
      <w:r w:rsidDel="00000000" w:rsidR="00000000" w:rsidRPr="00000000">
        <w:rPr>
          <w:rtl w:val="0"/>
        </w:rPr>
        <w:t xml:space="preserve">Supplementary table 10 (performance metrics for each clock from NHANES validation dataset)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Robert Chen" w:id="0" w:date="2025-08-03T23:14:05Z"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supplementary figure 4a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original supplementary figure 4 to supplementary figure 4b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51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10.png"/><Relationship Id="rId21" Type="http://schemas.openxmlformats.org/officeDocument/2006/relationships/image" Target="media/image4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26" Type="http://schemas.openxmlformats.org/officeDocument/2006/relationships/image" Target="media/image3.png"/><Relationship Id="rId25" Type="http://schemas.openxmlformats.org/officeDocument/2006/relationships/image" Target="media/image13.png"/><Relationship Id="rId28" Type="http://schemas.openxmlformats.org/officeDocument/2006/relationships/image" Target="media/image17.png"/><Relationship Id="rId27" Type="http://schemas.openxmlformats.org/officeDocument/2006/relationships/image" Target="media/image1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image" Target="media/image14.png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Relationship Id="rId11" Type="http://schemas.openxmlformats.org/officeDocument/2006/relationships/image" Target="media/image15.png"/><Relationship Id="rId10" Type="http://schemas.openxmlformats.org/officeDocument/2006/relationships/image" Target="media/image7.png"/><Relationship Id="rId13" Type="http://schemas.openxmlformats.org/officeDocument/2006/relationships/image" Target="media/image12.png"/><Relationship Id="rId12" Type="http://schemas.openxmlformats.org/officeDocument/2006/relationships/image" Target="media/image5.png"/><Relationship Id="rId15" Type="http://schemas.openxmlformats.org/officeDocument/2006/relationships/image" Target="media/image6.png"/><Relationship Id="rId14" Type="http://schemas.openxmlformats.org/officeDocument/2006/relationships/image" Target="media/image9.png"/><Relationship Id="rId17" Type="http://schemas.openxmlformats.org/officeDocument/2006/relationships/image" Target="media/image16.png"/><Relationship Id="rId16" Type="http://schemas.openxmlformats.org/officeDocument/2006/relationships/image" Target="media/image2.png"/><Relationship Id="rId19" Type="http://schemas.openxmlformats.org/officeDocument/2006/relationships/image" Target="media/image8.png"/><Relationship Id="rId1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yfzFFYRGJQPRcvOtTQlM6zGTYg==">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