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90" w:firstLine="0"/>
        <w:rPr>
          <w:sz w:val="34"/>
          <w:szCs w:val="34"/>
        </w:rPr>
      </w:pPr>
      <w:bookmarkStart w:colFirst="0" w:colLast="0" w:name="_q0v6t5baxkos" w:id="0"/>
      <w:bookmarkEnd w:id="0"/>
      <w:r w:rsidDel="00000000" w:rsidR="00000000" w:rsidRPr="00000000">
        <w:rPr>
          <w:sz w:val="34"/>
          <w:szCs w:val="34"/>
          <w:rtl w:val="0"/>
        </w:rPr>
        <w:t xml:space="preserve">Supplementary Data</w:t>
      </w:r>
    </w:p>
    <w:p w:rsidR="00000000" w:rsidDel="00000000" w:rsidP="00000000" w:rsidRDefault="00000000" w:rsidRPr="00000000" w14:paraId="00000002">
      <w:pPr>
        <w:pStyle w:val="Title"/>
        <w:ind w:left="-90" w:firstLine="0"/>
        <w:rPr/>
      </w:pPr>
      <w:bookmarkStart w:colFirst="0" w:colLast="0" w:name="_d6dqxhp557y1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kad6bmibycni" w:id="2"/>
      <w:bookmarkEnd w:id="2"/>
      <w:r w:rsidDel="00000000" w:rsidR="00000000" w:rsidRPr="00000000">
        <w:rPr>
          <w:rtl w:val="0"/>
        </w:rPr>
        <w:t xml:space="preserve">Supplementary Table 1: list of modalities and example features for each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560"/>
        <w:gridCol w:w="740"/>
        <w:gridCol w:w="780"/>
        <w:gridCol w:w="840"/>
        <w:gridCol w:w="4840"/>
        <w:tblGridChange w:id="0">
          <w:tblGrid>
            <w:gridCol w:w="2020"/>
            <w:gridCol w:w="1560"/>
            <w:gridCol w:w="740"/>
            <w:gridCol w:w="780"/>
            <w:gridCol w:w="840"/>
            <w:gridCol w:w="48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Feature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timepoint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n_pts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ANTHROPOMETRIC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anthropometric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500,241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Body mass index (BMI)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ARTERIALSTIFFNESS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arterial stiffness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170,759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Pulse wave peak to peak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BONEDENSITY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bone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484,384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Heel bone mineral density (BMD) T-score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CHEM-BLOOD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blood 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97,995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Glucose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CHEM-URINE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urine 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484,322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Microalbumin in urine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COGNITIVE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cognitive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125,208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Fluid intelligence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EYE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eye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117,197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Cylindrical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FITNESS-CARDIO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cardiorespiratory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79,213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Maximum workload during fitness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FITNESS-STRENGTH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497,971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Hand grip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167,441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Percentage of attempted triplets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IMPEDANCE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impedance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492,244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Body fat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METABOLOMICS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metabolomics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274,355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VLDL Cholesterol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PROTEOMICS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proteomics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52,704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LTBP3;Latent-transforming growth factor beta-binding protein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SPIROMETRY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spirometry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453,720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Forced expiratory volume in 1-second (FEV1)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TELOMERE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telomere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472,608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Adjusted T/S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VITALSIGNS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vital 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501,213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Systolic blood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ABDOMINAL-MRI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Abdominal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31,879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trunk fat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BRAIN-MRI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Brain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32,202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Volume of peripheral cortical grey matter (normalised for head size)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CAROTID-ULTRASOUND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carotid ultrasound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33,867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 carotid IMT (intima-medial thickness) at 120 degrees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DEXA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32,346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Gynoid tissue fat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30,901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QTC 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HEART-MRI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Heart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31,903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LV ejection fraction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iaonq6gby36o" w:id="3"/>
      <w:bookmarkEnd w:id="3"/>
      <w:r w:rsidDel="00000000" w:rsidR="00000000" w:rsidRPr="00000000">
        <w:rPr>
          <w:rtl w:val="0"/>
        </w:rPr>
        <w:t xml:space="preserve">Supplementary Table 2: description of feature construction methods used, across each modality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2.7012127894156"/>
        <w:gridCol w:w="1881.367144432194"/>
        <w:gridCol w:w="7465.931642778391"/>
        <w:tblGridChange w:id="0">
          <w:tblGrid>
            <w:gridCol w:w="1452.7012127894156"/>
            <w:gridCol w:w="1881.367144432194"/>
            <w:gridCol w:w="7465.93164277839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Feature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Constructed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 for constructing the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anthropometric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waist to hip ratio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(Waist circumference) / (Hip circumference)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arterial stiffness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bone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blood 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urine 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cognitive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eye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cardiorespiratory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VO2max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calculation with American College of Sports Medicine guidelines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impedance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metabolomics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proteomics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spirometry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all recordings for all recordings that were performed more than once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spirometry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(TREND)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slope of the regression line fitting all recordings for all recordings that were performed more than once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telomere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vital 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all recordings for all recordings that were performed more than once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Abdominal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Brain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carotid ultrasound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DEXA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(mean)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of FEATURE (left) and FEATURE (right)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Heart 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rve9ukyy15v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