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B633" w14:textId="77777777" w:rsidR="00AD0D91" w:rsidRDefault="00AD0D91" w:rsidP="003B4FE0">
      <w:pPr>
        <w:jc w:val="center"/>
        <w:rPr>
          <w:rFonts w:ascii="Times New Roman" w:hAnsi="Times New Roman" w:cs="Times New Roman"/>
          <w:b/>
          <w:bCs/>
          <w:sz w:val="32"/>
          <w:szCs w:val="32"/>
        </w:rPr>
      </w:pPr>
    </w:p>
    <w:p w14:paraId="3DBD2661" w14:textId="4B6AA7F1" w:rsidR="00AD0D91" w:rsidRDefault="00AD0D91" w:rsidP="003B4FE0">
      <w:pPr>
        <w:jc w:val="center"/>
        <w:rPr>
          <w:rFonts w:ascii="Times New Roman" w:hAnsi="Times New Roman" w:cs="Times New Roman"/>
          <w:b/>
          <w:bCs/>
          <w:sz w:val="32"/>
          <w:szCs w:val="32"/>
        </w:rPr>
      </w:pPr>
    </w:p>
    <w:p w14:paraId="55B9A024" w14:textId="77777777" w:rsidR="003B317D" w:rsidRDefault="003B317D" w:rsidP="003B4FE0">
      <w:pPr>
        <w:jc w:val="center"/>
        <w:rPr>
          <w:rFonts w:ascii="Times New Roman" w:hAnsi="Times New Roman" w:cs="Times New Roman"/>
          <w:b/>
          <w:bCs/>
          <w:sz w:val="32"/>
          <w:szCs w:val="32"/>
        </w:rPr>
      </w:pPr>
    </w:p>
    <w:p w14:paraId="7713D7C0" w14:textId="77777777" w:rsidR="00E82BFB" w:rsidRDefault="00E82BFB" w:rsidP="003B4FE0">
      <w:pPr>
        <w:jc w:val="center"/>
        <w:rPr>
          <w:rFonts w:ascii="Times New Roman" w:hAnsi="Times New Roman" w:cs="Times New Roman"/>
          <w:b/>
          <w:bCs/>
          <w:sz w:val="32"/>
          <w:szCs w:val="32"/>
        </w:rPr>
      </w:pPr>
    </w:p>
    <w:p w14:paraId="2890632D" w14:textId="41EE893E" w:rsidR="006C41EB" w:rsidRPr="00AB0D9A" w:rsidRDefault="00AD5A2E" w:rsidP="003B4FE0">
      <w:pPr>
        <w:jc w:val="center"/>
        <w:rPr>
          <w:rFonts w:ascii="Times New Roman" w:hAnsi="Times New Roman" w:cs="Times New Roman"/>
          <w:b/>
          <w:bCs/>
          <w:sz w:val="32"/>
          <w:szCs w:val="32"/>
        </w:rPr>
      </w:pPr>
      <w:r>
        <w:rPr>
          <w:rFonts w:ascii="Times New Roman" w:hAnsi="Times New Roman" w:cs="Times New Roman"/>
          <w:b/>
          <w:bCs/>
          <w:sz w:val="32"/>
          <w:szCs w:val="32"/>
        </w:rPr>
        <w:t xml:space="preserve">Does </w:t>
      </w:r>
      <w:r w:rsidR="00C114EC" w:rsidRPr="00C114EC">
        <w:rPr>
          <w:rFonts w:ascii="Times New Roman" w:hAnsi="Times New Roman" w:cs="Times New Roman"/>
          <w:b/>
          <w:bCs/>
          <w:sz w:val="32"/>
          <w:szCs w:val="32"/>
        </w:rPr>
        <w:t>Recreational Marijuana Legalization</w:t>
      </w:r>
      <w:r>
        <w:rPr>
          <w:rFonts w:ascii="Times New Roman" w:hAnsi="Times New Roman" w:cs="Times New Roman"/>
          <w:b/>
          <w:bCs/>
          <w:sz w:val="32"/>
          <w:szCs w:val="32"/>
        </w:rPr>
        <w:t xml:space="preserve"> Harm Students?</w:t>
      </w:r>
      <w:r w:rsidR="003B4FE0">
        <w:rPr>
          <w:rFonts w:ascii="Times New Roman" w:hAnsi="Times New Roman" w:cs="Times New Roman"/>
          <w:b/>
          <w:bCs/>
          <w:sz w:val="32"/>
          <w:szCs w:val="32"/>
        </w:rPr>
        <w:t xml:space="preserve"> </w:t>
      </w:r>
      <w:r w:rsidR="00C114EC" w:rsidRPr="00C114EC">
        <w:rPr>
          <w:rFonts w:ascii="Times New Roman" w:hAnsi="Times New Roman" w:cs="Times New Roman"/>
          <w:b/>
          <w:bCs/>
          <w:sz w:val="32"/>
          <w:szCs w:val="32"/>
        </w:rPr>
        <w:t xml:space="preserve">Evidence from Washington State’s Dispensary </w:t>
      </w:r>
      <w:r w:rsidR="00C114EC" w:rsidRPr="00AB0D9A">
        <w:rPr>
          <w:rFonts w:ascii="Times New Roman" w:hAnsi="Times New Roman" w:cs="Times New Roman"/>
          <w:b/>
          <w:bCs/>
          <w:sz w:val="32"/>
          <w:szCs w:val="32"/>
        </w:rPr>
        <w:t>Lottery</w:t>
      </w:r>
      <w:r w:rsidR="00D474C7" w:rsidRPr="00660890">
        <w:rPr>
          <w:rStyle w:val="FootnoteReference"/>
          <w:rFonts w:ascii="Times New Roman" w:hAnsi="Times New Roman" w:cs="Times New Roman"/>
          <w:sz w:val="32"/>
          <w:szCs w:val="32"/>
        </w:rPr>
        <w:footnoteReference w:customMarkFollows="1" w:id="2"/>
        <w:sym w:font="Symbol" w:char="F02A"/>
      </w:r>
    </w:p>
    <w:p w14:paraId="154A916C" w14:textId="2C05FCC6" w:rsidR="00C114EC" w:rsidRDefault="00C114EC" w:rsidP="00C114EC">
      <w:pPr>
        <w:spacing w:after="0" w:line="240" w:lineRule="auto"/>
        <w:contextualSpacing/>
        <w:jc w:val="center"/>
        <w:rPr>
          <w:rFonts w:ascii="Times New Roman" w:hAnsi="Times New Roman" w:cs="Times New Roman"/>
        </w:rPr>
      </w:pPr>
    </w:p>
    <w:p w14:paraId="7CBF04CE" w14:textId="45D9AF33" w:rsidR="00C114EC" w:rsidRDefault="00C114EC" w:rsidP="007417F8">
      <w:pPr>
        <w:spacing w:after="0" w:line="240" w:lineRule="auto"/>
        <w:contextualSpacing/>
        <w:rPr>
          <w:rFonts w:ascii="Times New Roman" w:hAnsi="Times New Roman" w:cs="Times New Roman"/>
        </w:rPr>
      </w:pPr>
    </w:p>
    <w:p w14:paraId="5F0A8D34" w14:textId="4492DCAD" w:rsidR="00541CDB" w:rsidRPr="00E82BFB" w:rsidRDefault="00C114EC" w:rsidP="00E82BFB">
      <w:pPr>
        <w:spacing w:after="0" w:line="240" w:lineRule="auto"/>
        <w:contextualSpacing/>
        <w:jc w:val="center"/>
        <w:rPr>
          <w:rFonts w:ascii="Times New Roman" w:hAnsi="Times New Roman" w:cs="Times New Roman"/>
          <w:b/>
          <w:bCs/>
          <w:sz w:val="28"/>
          <w:szCs w:val="28"/>
        </w:rPr>
      </w:pPr>
      <w:r w:rsidRPr="00A361BD">
        <w:rPr>
          <w:rFonts w:ascii="Times New Roman" w:hAnsi="Times New Roman" w:cs="Times New Roman"/>
          <w:b/>
          <w:bCs/>
          <w:sz w:val="28"/>
          <w:szCs w:val="28"/>
        </w:rPr>
        <w:t>Rachel Jarrold-Grapes</w:t>
      </w:r>
    </w:p>
    <w:p w14:paraId="77BE668B" w14:textId="4A4B32F4" w:rsidR="004E70C6" w:rsidRDefault="004E6523" w:rsidP="00E82BFB">
      <w:pPr>
        <w:spacing w:after="0" w:line="240" w:lineRule="auto"/>
        <w:contextualSpacing/>
        <w:jc w:val="center"/>
        <w:rPr>
          <w:rFonts w:ascii="Times New Roman" w:hAnsi="Times New Roman" w:cs="Times New Roman"/>
          <w:sz w:val="24"/>
          <w:szCs w:val="24"/>
        </w:rPr>
      </w:pPr>
      <w:r w:rsidRPr="00A361BD">
        <w:rPr>
          <w:rFonts w:ascii="Times New Roman" w:hAnsi="Times New Roman" w:cs="Times New Roman"/>
          <w:sz w:val="24"/>
          <w:szCs w:val="24"/>
        </w:rPr>
        <w:t>Federal Trade Commission</w:t>
      </w:r>
    </w:p>
    <w:p w14:paraId="26C7E9B0" w14:textId="77777777" w:rsidR="00573005" w:rsidRPr="00A361BD" w:rsidRDefault="00000000" w:rsidP="00573005">
      <w:pPr>
        <w:spacing w:after="0" w:line="240" w:lineRule="auto"/>
        <w:contextualSpacing/>
        <w:jc w:val="center"/>
        <w:rPr>
          <w:rFonts w:ascii="Times New Roman" w:hAnsi="Times New Roman" w:cs="Times New Roman"/>
          <w:sz w:val="24"/>
          <w:szCs w:val="24"/>
        </w:rPr>
      </w:pPr>
      <w:hyperlink r:id="rId11" w:history="1">
        <w:r w:rsidR="00573005" w:rsidRPr="00A361BD">
          <w:rPr>
            <w:rStyle w:val="Hyperlink"/>
            <w:rFonts w:ascii="Times New Roman" w:hAnsi="Times New Roman" w:cs="Times New Roman"/>
            <w:sz w:val="24"/>
            <w:szCs w:val="24"/>
          </w:rPr>
          <w:t>rjarroldgrapes@ftc.gov</w:t>
        </w:r>
      </w:hyperlink>
    </w:p>
    <w:p w14:paraId="1BB91784" w14:textId="77777777" w:rsidR="00573005" w:rsidRDefault="00573005" w:rsidP="00C114EC">
      <w:pPr>
        <w:spacing w:after="0" w:line="240" w:lineRule="auto"/>
        <w:contextualSpacing/>
        <w:jc w:val="center"/>
        <w:rPr>
          <w:rFonts w:ascii="Times New Roman" w:hAnsi="Times New Roman" w:cs="Times New Roman"/>
          <w:sz w:val="24"/>
          <w:szCs w:val="24"/>
        </w:rPr>
      </w:pPr>
    </w:p>
    <w:p w14:paraId="29DFD122" w14:textId="77777777" w:rsidR="00C114EC" w:rsidRPr="006C7A24" w:rsidRDefault="00C114EC" w:rsidP="00DC3502">
      <w:pPr>
        <w:spacing w:after="0" w:line="240" w:lineRule="auto"/>
        <w:contextualSpacing/>
        <w:rPr>
          <w:rFonts w:ascii="Times New Roman" w:hAnsi="Times New Roman" w:cs="Times New Roman"/>
          <w:sz w:val="24"/>
          <w:szCs w:val="24"/>
        </w:rPr>
      </w:pPr>
    </w:p>
    <w:p w14:paraId="43AD72A8" w14:textId="4B5ECB3A" w:rsidR="00C114EC" w:rsidRPr="006C7A24" w:rsidRDefault="00412557" w:rsidP="00C114EC">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May </w:t>
      </w:r>
      <w:r w:rsidR="00F54D59">
        <w:rPr>
          <w:rFonts w:ascii="Times New Roman" w:hAnsi="Times New Roman" w:cs="Times New Roman"/>
          <w:sz w:val="24"/>
          <w:szCs w:val="24"/>
        </w:rPr>
        <w:t>3</w:t>
      </w:r>
      <w:r w:rsidR="002005DB">
        <w:rPr>
          <w:rFonts w:ascii="Times New Roman" w:hAnsi="Times New Roman" w:cs="Times New Roman"/>
          <w:sz w:val="24"/>
          <w:szCs w:val="24"/>
        </w:rPr>
        <w:t>1</w:t>
      </w:r>
      <w:r w:rsidR="00C114EC" w:rsidRPr="006C7A24">
        <w:rPr>
          <w:rFonts w:ascii="Times New Roman" w:hAnsi="Times New Roman" w:cs="Times New Roman"/>
          <w:sz w:val="24"/>
          <w:szCs w:val="24"/>
        </w:rPr>
        <w:t>, 202</w:t>
      </w:r>
      <w:r w:rsidR="00D801F3">
        <w:rPr>
          <w:rFonts w:ascii="Times New Roman" w:hAnsi="Times New Roman" w:cs="Times New Roman"/>
          <w:sz w:val="24"/>
          <w:szCs w:val="24"/>
        </w:rPr>
        <w:t>3</w:t>
      </w:r>
      <w:r w:rsidR="0045675C">
        <w:rPr>
          <w:rFonts w:ascii="Times New Roman" w:hAnsi="Times New Roman" w:cs="Times New Roman"/>
          <w:sz w:val="24"/>
          <w:szCs w:val="24"/>
        </w:rPr>
        <w:t xml:space="preserve"> </w:t>
      </w:r>
    </w:p>
    <w:p w14:paraId="25FD9E73" w14:textId="0DB4788C" w:rsidR="00C114EC" w:rsidRPr="006C7A24" w:rsidRDefault="00C114EC" w:rsidP="00C114EC">
      <w:pPr>
        <w:spacing w:after="0" w:line="240" w:lineRule="auto"/>
        <w:contextualSpacing/>
        <w:jc w:val="center"/>
        <w:rPr>
          <w:rFonts w:ascii="Times New Roman" w:hAnsi="Times New Roman" w:cs="Times New Roman"/>
          <w:sz w:val="24"/>
          <w:szCs w:val="24"/>
        </w:rPr>
      </w:pPr>
    </w:p>
    <w:p w14:paraId="0B5DB1D2" w14:textId="77777777" w:rsidR="00596777" w:rsidRPr="006C7A24" w:rsidRDefault="00596777" w:rsidP="001B36C6">
      <w:pPr>
        <w:spacing w:after="0" w:line="240" w:lineRule="auto"/>
        <w:contextualSpacing/>
        <w:rPr>
          <w:rFonts w:ascii="Times New Roman" w:hAnsi="Times New Roman" w:cs="Times New Roman"/>
          <w:sz w:val="24"/>
          <w:szCs w:val="24"/>
        </w:rPr>
      </w:pPr>
    </w:p>
    <w:p w14:paraId="44AAE191" w14:textId="27EDB144" w:rsidR="00C114EC" w:rsidRPr="006C7A24" w:rsidRDefault="00C114EC" w:rsidP="00181F4E">
      <w:pPr>
        <w:spacing w:after="0" w:line="240" w:lineRule="auto"/>
        <w:contextualSpacing/>
        <w:jc w:val="center"/>
        <w:rPr>
          <w:rFonts w:ascii="Times New Roman" w:hAnsi="Times New Roman" w:cs="Times New Roman"/>
          <w:b/>
          <w:bCs/>
          <w:sz w:val="24"/>
          <w:szCs w:val="24"/>
        </w:rPr>
      </w:pPr>
      <w:r w:rsidRPr="006C7A24">
        <w:rPr>
          <w:rFonts w:ascii="Times New Roman" w:hAnsi="Times New Roman" w:cs="Times New Roman"/>
          <w:b/>
          <w:bCs/>
          <w:sz w:val="24"/>
          <w:szCs w:val="24"/>
        </w:rPr>
        <w:t>Abstract</w:t>
      </w:r>
    </w:p>
    <w:p w14:paraId="64B64495" w14:textId="77777777" w:rsidR="003B21D9" w:rsidRPr="006C7A24" w:rsidRDefault="003B21D9" w:rsidP="00181F4E">
      <w:pPr>
        <w:spacing w:after="0" w:line="240" w:lineRule="auto"/>
        <w:contextualSpacing/>
        <w:jc w:val="center"/>
        <w:rPr>
          <w:rFonts w:ascii="Times New Roman" w:hAnsi="Times New Roman" w:cs="Times New Roman"/>
          <w:b/>
          <w:bCs/>
          <w:sz w:val="24"/>
          <w:szCs w:val="24"/>
        </w:rPr>
      </w:pPr>
    </w:p>
    <w:p w14:paraId="4C9251AE" w14:textId="26D1EB63" w:rsidR="00181F4E" w:rsidRDefault="007B52A6" w:rsidP="00AD0D9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With </w:t>
      </w:r>
      <w:r w:rsidR="0069035E">
        <w:rPr>
          <w:rFonts w:ascii="Times New Roman" w:hAnsi="Times New Roman" w:cs="Times New Roman"/>
          <w:sz w:val="24"/>
          <w:szCs w:val="24"/>
        </w:rPr>
        <w:t xml:space="preserve">more states legalizing </w:t>
      </w:r>
      <w:r>
        <w:rPr>
          <w:rFonts w:ascii="Times New Roman" w:hAnsi="Times New Roman" w:cs="Times New Roman"/>
          <w:sz w:val="24"/>
          <w:szCs w:val="24"/>
        </w:rPr>
        <w:t>recreational marijuana</w:t>
      </w:r>
      <w:r w:rsidR="0069035E">
        <w:rPr>
          <w:rFonts w:ascii="Times New Roman" w:hAnsi="Times New Roman" w:cs="Times New Roman"/>
          <w:sz w:val="24"/>
          <w:szCs w:val="24"/>
        </w:rPr>
        <w:t>, it is i</w:t>
      </w:r>
      <w:r w:rsidR="0000212A">
        <w:rPr>
          <w:rFonts w:ascii="Times New Roman" w:hAnsi="Times New Roman" w:cs="Times New Roman"/>
          <w:sz w:val="24"/>
          <w:szCs w:val="24"/>
        </w:rPr>
        <w:t xml:space="preserve">mportant </w:t>
      </w:r>
      <w:r w:rsidR="0020630E">
        <w:rPr>
          <w:rFonts w:ascii="Times New Roman" w:hAnsi="Times New Roman" w:cs="Times New Roman"/>
          <w:sz w:val="24"/>
          <w:szCs w:val="24"/>
        </w:rPr>
        <w:t xml:space="preserve">to understand what consequences arise from </w:t>
      </w:r>
      <w:r w:rsidR="009E31C5">
        <w:rPr>
          <w:rFonts w:ascii="Times New Roman" w:hAnsi="Times New Roman" w:cs="Times New Roman"/>
          <w:sz w:val="24"/>
          <w:szCs w:val="24"/>
        </w:rPr>
        <w:t>doing so</w:t>
      </w:r>
      <w:r w:rsidR="00A249D3">
        <w:rPr>
          <w:rFonts w:ascii="Times New Roman" w:hAnsi="Times New Roman" w:cs="Times New Roman"/>
          <w:sz w:val="24"/>
          <w:szCs w:val="24"/>
        </w:rPr>
        <w:t xml:space="preserve">. </w:t>
      </w:r>
      <w:r w:rsidR="0020630E">
        <w:rPr>
          <w:rFonts w:ascii="Times New Roman" w:hAnsi="Times New Roman" w:cs="Times New Roman"/>
          <w:sz w:val="24"/>
          <w:szCs w:val="24"/>
        </w:rPr>
        <w:t>I estimate the effect of recreational marijuana legalization on educational outcomes using exogenous spatial variation in access to marijuana dispensaries in Washington</w:t>
      </w:r>
      <w:r w:rsidR="005B3A3D">
        <w:rPr>
          <w:rFonts w:ascii="Times New Roman" w:hAnsi="Times New Roman" w:cs="Times New Roman"/>
          <w:sz w:val="24"/>
          <w:szCs w:val="24"/>
        </w:rPr>
        <w:t xml:space="preserve"> state</w:t>
      </w:r>
      <w:r w:rsidR="0020630E">
        <w:rPr>
          <w:rFonts w:ascii="Times New Roman" w:hAnsi="Times New Roman" w:cs="Times New Roman"/>
          <w:sz w:val="24"/>
          <w:szCs w:val="24"/>
        </w:rPr>
        <w:t>.</w:t>
      </w:r>
      <w:r w:rsidR="007729E5">
        <w:rPr>
          <w:rFonts w:ascii="Times New Roman" w:hAnsi="Times New Roman" w:cs="Times New Roman"/>
          <w:sz w:val="24"/>
          <w:szCs w:val="24"/>
        </w:rPr>
        <w:t xml:space="preserve"> </w:t>
      </w:r>
      <w:r w:rsidR="005B3A3D">
        <w:rPr>
          <w:rFonts w:ascii="Times New Roman" w:hAnsi="Times New Roman" w:cs="Times New Roman"/>
          <w:sz w:val="24"/>
          <w:szCs w:val="24"/>
        </w:rPr>
        <w:t>After W</w:t>
      </w:r>
      <w:r w:rsidR="00755AE2">
        <w:rPr>
          <w:rFonts w:ascii="Times New Roman" w:hAnsi="Times New Roman" w:cs="Times New Roman"/>
          <w:sz w:val="24"/>
          <w:szCs w:val="24"/>
        </w:rPr>
        <w:t>ashi</w:t>
      </w:r>
      <w:r w:rsidR="0020630E">
        <w:rPr>
          <w:rFonts w:ascii="Times New Roman" w:hAnsi="Times New Roman" w:cs="Times New Roman"/>
          <w:sz w:val="24"/>
          <w:szCs w:val="24"/>
        </w:rPr>
        <w:t>n</w:t>
      </w:r>
      <w:r w:rsidR="00755AE2">
        <w:rPr>
          <w:rFonts w:ascii="Times New Roman" w:hAnsi="Times New Roman" w:cs="Times New Roman"/>
          <w:sz w:val="24"/>
          <w:szCs w:val="24"/>
        </w:rPr>
        <w:t xml:space="preserve">gton legalized, it </w:t>
      </w:r>
      <w:r w:rsidR="005E6D0A">
        <w:rPr>
          <w:rFonts w:ascii="Times New Roman" w:hAnsi="Times New Roman" w:cs="Times New Roman"/>
          <w:sz w:val="24"/>
          <w:szCs w:val="24"/>
        </w:rPr>
        <w:t xml:space="preserve">held a lottery </w:t>
      </w:r>
      <w:r w:rsidR="00F278B0">
        <w:rPr>
          <w:rFonts w:ascii="Times New Roman" w:hAnsi="Times New Roman" w:cs="Times New Roman"/>
          <w:sz w:val="24"/>
          <w:szCs w:val="24"/>
        </w:rPr>
        <w:t>for dispensary licenses</w:t>
      </w:r>
      <w:r w:rsidR="00A7122A">
        <w:rPr>
          <w:rFonts w:ascii="Times New Roman" w:hAnsi="Times New Roman" w:cs="Times New Roman"/>
          <w:sz w:val="24"/>
          <w:szCs w:val="24"/>
        </w:rPr>
        <w:t xml:space="preserve">. </w:t>
      </w:r>
      <w:r w:rsidR="00EF172F">
        <w:rPr>
          <w:rFonts w:ascii="Times New Roman" w:hAnsi="Times New Roman" w:cs="Times New Roman"/>
          <w:sz w:val="24"/>
          <w:szCs w:val="24"/>
        </w:rPr>
        <w:t xml:space="preserve">I </w:t>
      </w:r>
      <w:r w:rsidR="00AE27E9">
        <w:rPr>
          <w:rFonts w:ascii="Times New Roman" w:hAnsi="Times New Roman" w:cs="Times New Roman"/>
          <w:sz w:val="24"/>
          <w:szCs w:val="24"/>
        </w:rPr>
        <w:t xml:space="preserve">instrument for a school’s proximity to </w:t>
      </w:r>
      <w:r w:rsidR="00310C35">
        <w:rPr>
          <w:rFonts w:ascii="Times New Roman" w:hAnsi="Times New Roman" w:cs="Times New Roman"/>
          <w:sz w:val="24"/>
          <w:szCs w:val="24"/>
        </w:rPr>
        <w:t xml:space="preserve">an open dispensary with its proximity to a lottery winner. </w:t>
      </w:r>
      <w:r w:rsidR="00016C0A">
        <w:rPr>
          <w:rFonts w:ascii="Times New Roman" w:hAnsi="Times New Roman" w:cs="Times New Roman"/>
          <w:sz w:val="24"/>
          <w:szCs w:val="24"/>
        </w:rPr>
        <w:t>Using data on public high schools</w:t>
      </w:r>
      <w:r w:rsidR="00C36184">
        <w:rPr>
          <w:rFonts w:ascii="Times New Roman" w:hAnsi="Times New Roman" w:cs="Times New Roman"/>
          <w:sz w:val="24"/>
          <w:szCs w:val="24"/>
        </w:rPr>
        <w:t xml:space="preserve"> from Washington’s Office of Superintendent of Public Instruction, I find large, statistically significant increases in </w:t>
      </w:r>
      <w:r w:rsidR="00A25A33">
        <w:rPr>
          <w:rFonts w:ascii="Times New Roman" w:hAnsi="Times New Roman" w:cs="Times New Roman"/>
          <w:sz w:val="24"/>
          <w:szCs w:val="24"/>
        </w:rPr>
        <w:t xml:space="preserve">the dropout </w:t>
      </w:r>
      <w:r w:rsidR="00B570AB">
        <w:rPr>
          <w:rFonts w:ascii="Times New Roman" w:hAnsi="Times New Roman" w:cs="Times New Roman"/>
          <w:sz w:val="24"/>
          <w:szCs w:val="24"/>
        </w:rPr>
        <w:t xml:space="preserve">and chronic absenteeism </w:t>
      </w:r>
      <w:r w:rsidR="00A25A33">
        <w:rPr>
          <w:rFonts w:ascii="Times New Roman" w:hAnsi="Times New Roman" w:cs="Times New Roman"/>
          <w:sz w:val="24"/>
          <w:szCs w:val="24"/>
        </w:rPr>
        <w:t>rate</w:t>
      </w:r>
      <w:r w:rsidR="00B570AB">
        <w:rPr>
          <w:rFonts w:ascii="Times New Roman" w:hAnsi="Times New Roman" w:cs="Times New Roman"/>
          <w:sz w:val="24"/>
          <w:szCs w:val="24"/>
        </w:rPr>
        <w:t>s</w:t>
      </w:r>
      <w:r w:rsidR="00A25A33">
        <w:rPr>
          <w:rFonts w:ascii="Times New Roman" w:hAnsi="Times New Roman" w:cs="Times New Roman"/>
          <w:sz w:val="24"/>
          <w:szCs w:val="24"/>
        </w:rPr>
        <w:t xml:space="preserve"> for 11</w:t>
      </w:r>
      <w:r w:rsidR="00A25A33" w:rsidRPr="00A25A33">
        <w:rPr>
          <w:rFonts w:ascii="Times New Roman" w:hAnsi="Times New Roman" w:cs="Times New Roman"/>
          <w:sz w:val="24"/>
          <w:szCs w:val="24"/>
          <w:vertAlign w:val="superscript"/>
        </w:rPr>
        <w:t>th</w:t>
      </w:r>
      <w:r w:rsidR="00A25A33">
        <w:rPr>
          <w:rFonts w:ascii="Times New Roman" w:hAnsi="Times New Roman" w:cs="Times New Roman"/>
          <w:sz w:val="24"/>
          <w:szCs w:val="24"/>
        </w:rPr>
        <w:t>- and 12</w:t>
      </w:r>
      <w:r w:rsidR="00A25A33" w:rsidRPr="00A25A33">
        <w:rPr>
          <w:rFonts w:ascii="Times New Roman" w:hAnsi="Times New Roman" w:cs="Times New Roman"/>
          <w:sz w:val="24"/>
          <w:szCs w:val="24"/>
          <w:vertAlign w:val="superscript"/>
        </w:rPr>
        <w:t>th</w:t>
      </w:r>
      <w:r w:rsidR="00A25A33">
        <w:rPr>
          <w:rFonts w:ascii="Times New Roman" w:hAnsi="Times New Roman" w:cs="Times New Roman"/>
          <w:sz w:val="24"/>
          <w:szCs w:val="24"/>
        </w:rPr>
        <w:t xml:space="preserve">-grade boys and girls. </w:t>
      </w:r>
      <w:r w:rsidR="004868B8">
        <w:rPr>
          <w:rFonts w:ascii="Times New Roman" w:hAnsi="Times New Roman" w:cs="Times New Roman"/>
          <w:sz w:val="24"/>
          <w:szCs w:val="24"/>
        </w:rPr>
        <w:t>The effects are larger for girls</w:t>
      </w:r>
      <w:r w:rsidR="008E5CDB">
        <w:rPr>
          <w:rFonts w:ascii="Times New Roman" w:hAnsi="Times New Roman" w:cs="Times New Roman"/>
          <w:sz w:val="24"/>
          <w:szCs w:val="24"/>
        </w:rPr>
        <w:t xml:space="preserve"> than boys relative to the mean. I also find an increase in the discipline rate</w:t>
      </w:r>
      <w:r w:rsidR="004354FE">
        <w:rPr>
          <w:rFonts w:ascii="Times New Roman" w:hAnsi="Times New Roman" w:cs="Times New Roman"/>
          <w:sz w:val="24"/>
          <w:szCs w:val="24"/>
        </w:rPr>
        <w:t>, specifically for 12</w:t>
      </w:r>
      <w:r w:rsidR="004354FE" w:rsidRPr="004354FE">
        <w:rPr>
          <w:rFonts w:ascii="Times New Roman" w:hAnsi="Times New Roman" w:cs="Times New Roman"/>
          <w:sz w:val="24"/>
          <w:szCs w:val="24"/>
          <w:vertAlign w:val="superscript"/>
        </w:rPr>
        <w:t>th</w:t>
      </w:r>
      <w:r w:rsidR="004354FE">
        <w:rPr>
          <w:rFonts w:ascii="Times New Roman" w:hAnsi="Times New Roman" w:cs="Times New Roman"/>
          <w:sz w:val="24"/>
          <w:szCs w:val="24"/>
        </w:rPr>
        <w:t xml:space="preserve">-grade boys. </w:t>
      </w:r>
    </w:p>
    <w:p w14:paraId="316CF683" w14:textId="77777777" w:rsidR="00596777" w:rsidRDefault="00596777" w:rsidP="00AD0D91">
      <w:pPr>
        <w:spacing w:after="0" w:line="240" w:lineRule="auto"/>
        <w:contextualSpacing/>
        <w:jc w:val="both"/>
        <w:rPr>
          <w:rFonts w:ascii="Times New Roman" w:hAnsi="Times New Roman" w:cs="Times New Roman"/>
          <w:sz w:val="24"/>
          <w:szCs w:val="24"/>
        </w:rPr>
      </w:pPr>
    </w:p>
    <w:p w14:paraId="10D03439" w14:textId="2266AF5E" w:rsidR="00596777" w:rsidRPr="007B608C" w:rsidRDefault="00596777" w:rsidP="00AD0D9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Keywords: </w:t>
      </w:r>
      <w:r w:rsidR="00C5120B">
        <w:rPr>
          <w:rFonts w:ascii="Times New Roman" w:hAnsi="Times New Roman" w:cs="Times New Roman"/>
          <w:sz w:val="24"/>
          <w:szCs w:val="24"/>
        </w:rPr>
        <w:t xml:space="preserve">marijuana legalization, </w:t>
      </w:r>
      <w:r w:rsidR="00390214">
        <w:rPr>
          <w:rFonts w:ascii="Times New Roman" w:hAnsi="Times New Roman" w:cs="Times New Roman"/>
          <w:sz w:val="24"/>
          <w:szCs w:val="24"/>
        </w:rPr>
        <w:t xml:space="preserve">lottery, </w:t>
      </w:r>
      <w:r w:rsidR="00CE5FDA">
        <w:rPr>
          <w:rFonts w:ascii="Times New Roman" w:hAnsi="Times New Roman" w:cs="Times New Roman"/>
          <w:sz w:val="24"/>
          <w:szCs w:val="24"/>
        </w:rPr>
        <w:t xml:space="preserve">educational attainment, </w:t>
      </w:r>
      <w:r w:rsidR="00390214">
        <w:rPr>
          <w:rFonts w:ascii="Times New Roman" w:hAnsi="Times New Roman" w:cs="Times New Roman"/>
          <w:sz w:val="24"/>
          <w:szCs w:val="24"/>
        </w:rPr>
        <w:t>dropouts, chronic absenteeism</w:t>
      </w:r>
    </w:p>
    <w:p w14:paraId="5FF2F498" w14:textId="0E035494" w:rsidR="00BE1CA4" w:rsidRDefault="00BE1CA4" w:rsidP="00181F4E">
      <w:pPr>
        <w:spacing w:after="0" w:line="240" w:lineRule="auto"/>
        <w:contextualSpacing/>
        <w:jc w:val="both"/>
        <w:rPr>
          <w:rFonts w:ascii="Times New Roman" w:hAnsi="Times New Roman" w:cs="Times New Roman"/>
          <w:sz w:val="24"/>
          <w:szCs w:val="24"/>
        </w:rPr>
        <w:sectPr w:rsidR="00BE1CA4">
          <w:footerReference w:type="default" r:id="rId12"/>
          <w:pgSz w:w="12240" w:h="15840"/>
          <w:pgMar w:top="1440" w:right="1440" w:bottom="1440" w:left="1440" w:header="720" w:footer="720" w:gutter="0"/>
          <w:cols w:space="720"/>
          <w:docGrid w:linePitch="360"/>
        </w:sectPr>
      </w:pPr>
    </w:p>
    <w:p w14:paraId="2F3FEE62" w14:textId="7557E468" w:rsidR="00181F4E" w:rsidRPr="00181F4E" w:rsidRDefault="00E146D1" w:rsidP="00181F4E">
      <w:pPr>
        <w:pStyle w:val="ListParagraph"/>
        <w:numPr>
          <w:ilvl w:val="0"/>
          <w:numId w:val="1"/>
        </w:numPr>
        <w:rPr>
          <w:rFonts w:ascii="Times New Roman" w:hAnsi="Times New Roman" w:cs="Times New Roman"/>
          <w:b/>
          <w:bCs/>
          <w:sz w:val="32"/>
          <w:szCs w:val="32"/>
        </w:rPr>
      </w:pPr>
      <w:r w:rsidRPr="00E146D1">
        <w:rPr>
          <w:rFonts w:ascii="Times New Roman" w:hAnsi="Times New Roman" w:cs="Times New Roman"/>
          <w:b/>
          <w:bCs/>
          <w:sz w:val="32"/>
          <w:szCs w:val="32"/>
        </w:rPr>
        <w:lastRenderedPageBreak/>
        <w:t>Introduction</w:t>
      </w:r>
    </w:p>
    <w:p w14:paraId="40BBBB25" w14:textId="57583B94" w:rsidR="004554BA" w:rsidRDefault="004757A8" w:rsidP="0071516B">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Cannabis reform has </w:t>
      </w:r>
      <w:r w:rsidR="00B54917">
        <w:rPr>
          <w:rFonts w:ascii="Times New Roman" w:hAnsi="Times New Roman" w:cs="Times New Roman"/>
          <w:sz w:val="24"/>
          <w:szCs w:val="24"/>
        </w:rPr>
        <w:t>been a growing issue in the United States, especially</w:t>
      </w:r>
      <w:r w:rsidR="009C06D8">
        <w:rPr>
          <w:rFonts w:ascii="Times New Roman" w:hAnsi="Times New Roman" w:cs="Times New Roman"/>
          <w:sz w:val="24"/>
          <w:szCs w:val="24"/>
        </w:rPr>
        <w:t xml:space="preserve"> </w:t>
      </w:r>
      <w:r w:rsidR="00713C70">
        <w:rPr>
          <w:rFonts w:ascii="Times New Roman" w:hAnsi="Times New Roman" w:cs="Times New Roman"/>
          <w:sz w:val="24"/>
          <w:szCs w:val="24"/>
        </w:rPr>
        <w:t>throughout</w:t>
      </w:r>
      <w:r w:rsidR="009C06D8">
        <w:rPr>
          <w:rFonts w:ascii="Times New Roman" w:hAnsi="Times New Roman" w:cs="Times New Roman"/>
          <w:sz w:val="24"/>
          <w:szCs w:val="24"/>
        </w:rPr>
        <w:t xml:space="preserve"> the </w:t>
      </w:r>
      <w:r>
        <w:rPr>
          <w:rFonts w:ascii="Times New Roman" w:hAnsi="Times New Roman" w:cs="Times New Roman"/>
          <w:sz w:val="24"/>
          <w:szCs w:val="24"/>
        </w:rPr>
        <w:t xml:space="preserve">past decade. While marijuana is still classified as a Schedule </w:t>
      </w:r>
      <w:r w:rsidR="00713C70">
        <w:rPr>
          <w:rFonts w:ascii="Times New Roman" w:hAnsi="Times New Roman" w:cs="Times New Roman"/>
          <w:sz w:val="24"/>
          <w:szCs w:val="24"/>
        </w:rPr>
        <w:t>I</w:t>
      </w:r>
      <w:r>
        <w:rPr>
          <w:rFonts w:ascii="Times New Roman" w:hAnsi="Times New Roman" w:cs="Times New Roman"/>
          <w:sz w:val="24"/>
          <w:szCs w:val="24"/>
        </w:rPr>
        <w:t xml:space="preserve"> drug at the federal level, many states have decriminalized</w:t>
      </w:r>
      <w:r w:rsidR="00713C70">
        <w:rPr>
          <w:rFonts w:ascii="Times New Roman" w:hAnsi="Times New Roman" w:cs="Times New Roman"/>
          <w:sz w:val="24"/>
          <w:szCs w:val="24"/>
        </w:rPr>
        <w:t>,</w:t>
      </w:r>
      <w:r w:rsidR="0022293B">
        <w:rPr>
          <w:rFonts w:ascii="Times New Roman" w:hAnsi="Times New Roman" w:cs="Times New Roman"/>
          <w:sz w:val="24"/>
          <w:szCs w:val="24"/>
        </w:rPr>
        <w:t xml:space="preserve"> or at least reduced</w:t>
      </w:r>
      <w:r w:rsidR="00713C70">
        <w:rPr>
          <w:rFonts w:ascii="Times New Roman" w:hAnsi="Times New Roman" w:cs="Times New Roman"/>
          <w:sz w:val="24"/>
          <w:szCs w:val="24"/>
        </w:rPr>
        <w:t xml:space="preserve"> the</w:t>
      </w:r>
      <w:r w:rsidR="0022293B">
        <w:rPr>
          <w:rFonts w:ascii="Times New Roman" w:hAnsi="Times New Roman" w:cs="Times New Roman"/>
          <w:sz w:val="24"/>
          <w:szCs w:val="24"/>
        </w:rPr>
        <w:t xml:space="preserve"> jail time for</w:t>
      </w:r>
      <w:r w:rsidR="00713C70">
        <w:rPr>
          <w:rFonts w:ascii="Times New Roman" w:hAnsi="Times New Roman" w:cs="Times New Roman"/>
          <w:sz w:val="24"/>
          <w:szCs w:val="24"/>
        </w:rPr>
        <w:t>,</w:t>
      </w:r>
      <w:r w:rsidR="0022293B">
        <w:rPr>
          <w:rFonts w:ascii="Times New Roman" w:hAnsi="Times New Roman" w:cs="Times New Roman"/>
          <w:sz w:val="24"/>
          <w:szCs w:val="24"/>
        </w:rPr>
        <w:t xml:space="preserve"> marijuana possession, legalized marijuana for medical use, and/or made it legal for adults over the age of 21 to use </w:t>
      </w:r>
      <w:r w:rsidR="00F81041">
        <w:rPr>
          <w:rFonts w:ascii="Times New Roman" w:hAnsi="Times New Roman" w:cs="Times New Roman"/>
          <w:sz w:val="24"/>
          <w:szCs w:val="24"/>
        </w:rPr>
        <w:t xml:space="preserve">it </w:t>
      </w:r>
      <w:r w:rsidR="0022293B">
        <w:rPr>
          <w:rFonts w:ascii="Times New Roman" w:hAnsi="Times New Roman" w:cs="Times New Roman"/>
          <w:sz w:val="24"/>
          <w:szCs w:val="24"/>
        </w:rPr>
        <w:t xml:space="preserve">recreationally. </w:t>
      </w:r>
      <w:r w:rsidR="008B663F">
        <w:rPr>
          <w:rFonts w:ascii="Times New Roman" w:hAnsi="Times New Roman" w:cs="Times New Roman"/>
          <w:sz w:val="24"/>
          <w:szCs w:val="24"/>
        </w:rPr>
        <w:t>As of Ma</w:t>
      </w:r>
      <w:r w:rsidR="008C7DFE">
        <w:rPr>
          <w:rFonts w:ascii="Times New Roman" w:hAnsi="Times New Roman" w:cs="Times New Roman"/>
          <w:sz w:val="24"/>
          <w:szCs w:val="24"/>
        </w:rPr>
        <w:t>y</w:t>
      </w:r>
      <w:r w:rsidR="008B663F">
        <w:rPr>
          <w:rFonts w:ascii="Times New Roman" w:hAnsi="Times New Roman" w:cs="Times New Roman"/>
          <w:sz w:val="24"/>
          <w:szCs w:val="24"/>
        </w:rPr>
        <w:t xml:space="preserve"> 202</w:t>
      </w:r>
      <w:r w:rsidR="00C76DA3">
        <w:rPr>
          <w:rFonts w:ascii="Times New Roman" w:hAnsi="Times New Roman" w:cs="Times New Roman"/>
          <w:sz w:val="24"/>
          <w:szCs w:val="24"/>
        </w:rPr>
        <w:t>3</w:t>
      </w:r>
      <w:r w:rsidR="008B663F">
        <w:rPr>
          <w:rFonts w:ascii="Times New Roman" w:hAnsi="Times New Roman" w:cs="Times New Roman"/>
          <w:sz w:val="24"/>
          <w:szCs w:val="24"/>
        </w:rPr>
        <w:t xml:space="preserve">, </w:t>
      </w:r>
      <w:r w:rsidR="00BB454E">
        <w:rPr>
          <w:rFonts w:ascii="Times New Roman" w:hAnsi="Times New Roman" w:cs="Times New Roman"/>
          <w:sz w:val="24"/>
          <w:szCs w:val="24"/>
        </w:rPr>
        <w:t>2</w:t>
      </w:r>
      <w:r w:rsidR="00B46AE1">
        <w:rPr>
          <w:rFonts w:ascii="Times New Roman" w:hAnsi="Times New Roman" w:cs="Times New Roman"/>
          <w:sz w:val="24"/>
          <w:szCs w:val="24"/>
        </w:rPr>
        <w:t xml:space="preserve">9 </w:t>
      </w:r>
      <w:r w:rsidR="008B663F">
        <w:rPr>
          <w:rFonts w:ascii="Times New Roman" w:hAnsi="Times New Roman" w:cs="Times New Roman"/>
          <w:sz w:val="24"/>
          <w:szCs w:val="24"/>
        </w:rPr>
        <w:t xml:space="preserve">states have decriminalized the possession of marijuana, </w:t>
      </w:r>
      <w:r w:rsidR="00BB73D5">
        <w:rPr>
          <w:rFonts w:ascii="Times New Roman" w:hAnsi="Times New Roman" w:cs="Times New Roman"/>
          <w:sz w:val="24"/>
          <w:szCs w:val="24"/>
        </w:rPr>
        <w:t>3</w:t>
      </w:r>
      <w:r w:rsidR="007B3692">
        <w:rPr>
          <w:rFonts w:ascii="Times New Roman" w:hAnsi="Times New Roman" w:cs="Times New Roman"/>
          <w:sz w:val="24"/>
          <w:szCs w:val="24"/>
        </w:rPr>
        <w:t>8</w:t>
      </w:r>
      <w:r w:rsidR="00BB73D5">
        <w:rPr>
          <w:rFonts w:ascii="Times New Roman" w:hAnsi="Times New Roman" w:cs="Times New Roman"/>
          <w:sz w:val="24"/>
          <w:szCs w:val="24"/>
        </w:rPr>
        <w:t xml:space="preserve"> have legalized medical marijuana, and </w:t>
      </w:r>
      <w:r w:rsidR="00FB7827">
        <w:rPr>
          <w:rFonts w:ascii="Times New Roman" w:hAnsi="Times New Roman" w:cs="Times New Roman"/>
          <w:sz w:val="24"/>
          <w:szCs w:val="24"/>
        </w:rPr>
        <w:t>2</w:t>
      </w:r>
      <w:r w:rsidR="008C7DFE">
        <w:rPr>
          <w:rFonts w:ascii="Times New Roman" w:hAnsi="Times New Roman" w:cs="Times New Roman"/>
          <w:sz w:val="24"/>
          <w:szCs w:val="24"/>
        </w:rPr>
        <w:t>2</w:t>
      </w:r>
      <w:r>
        <w:rPr>
          <w:rFonts w:ascii="Times New Roman" w:hAnsi="Times New Roman" w:cs="Times New Roman"/>
          <w:sz w:val="24"/>
          <w:szCs w:val="24"/>
        </w:rPr>
        <w:t xml:space="preserve"> have legalized recreational marijuana</w:t>
      </w:r>
      <w:r w:rsidR="00532442">
        <w:rPr>
          <w:rFonts w:ascii="Times New Roman" w:hAnsi="Times New Roman" w:cs="Times New Roman"/>
          <w:sz w:val="24"/>
          <w:szCs w:val="24"/>
        </w:rPr>
        <w:t>.</w:t>
      </w:r>
      <w:r w:rsidR="00AE6016">
        <w:rPr>
          <w:rFonts w:ascii="Times New Roman" w:hAnsi="Times New Roman" w:cs="Times New Roman"/>
          <w:sz w:val="24"/>
          <w:szCs w:val="24"/>
        </w:rPr>
        <w:t xml:space="preserve"> Several states are </w:t>
      </w:r>
      <w:r w:rsidR="00105809">
        <w:rPr>
          <w:rFonts w:ascii="Times New Roman" w:hAnsi="Times New Roman" w:cs="Times New Roman"/>
          <w:sz w:val="24"/>
          <w:szCs w:val="24"/>
        </w:rPr>
        <w:t xml:space="preserve">also </w:t>
      </w:r>
      <w:r w:rsidR="00AE6016">
        <w:rPr>
          <w:rFonts w:ascii="Times New Roman" w:hAnsi="Times New Roman" w:cs="Times New Roman"/>
          <w:sz w:val="24"/>
          <w:szCs w:val="24"/>
        </w:rPr>
        <w:t>pu</w:t>
      </w:r>
      <w:r w:rsidR="004A610B">
        <w:rPr>
          <w:rFonts w:ascii="Times New Roman" w:hAnsi="Times New Roman" w:cs="Times New Roman"/>
          <w:sz w:val="24"/>
          <w:szCs w:val="24"/>
        </w:rPr>
        <w:t>rsuing legalization measures this year.</w:t>
      </w:r>
      <w:r w:rsidR="00882FF7">
        <w:rPr>
          <w:rFonts w:ascii="Times New Roman" w:hAnsi="Times New Roman" w:cs="Times New Roman"/>
          <w:sz w:val="24"/>
          <w:szCs w:val="24"/>
        </w:rPr>
        <w:t xml:space="preserve"> </w:t>
      </w:r>
      <w:r w:rsidR="00882FF7" w:rsidRPr="000C0C34">
        <w:rPr>
          <w:rFonts w:ascii="Times New Roman" w:hAnsi="Times New Roman" w:cs="Times New Roman"/>
          <w:sz w:val="24"/>
          <w:szCs w:val="24"/>
        </w:rPr>
        <w:t>From a policy perspective, it is important to understand what consequences arise from legalizing recreational marijuana</w:t>
      </w:r>
      <w:r w:rsidR="0071516B">
        <w:rPr>
          <w:rFonts w:ascii="Times New Roman" w:hAnsi="Times New Roman" w:cs="Times New Roman"/>
          <w:sz w:val="24"/>
          <w:szCs w:val="24"/>
        </w:rPr>
        <w:t>.</w:t>
      </w:r>
      <w:r w:rsidR="00882FF7" w:rsidRPr="000C0C34">
        <w:rPr>
          <w:rFonts w:ascii="Times New Roman" w:hAnsi="Times New Roman" w:cs="Times New Roman"/>
          <w:sz w:val="24"/>
          <w:szCs w:val="24"/>
        </w:rPr>
        <w:t xml:space="preserve">  </w:t>
      </w:r>
    </w:p>
    <w:p w14:paraId="0032FA1A" w14:textId="6CA0D3D0" w:rsidR="004510DD" w:rsidRDefault="00A01E9C" w:rsidP="00A36C25">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00FF5A05">
        <w:rPr>
          <w:rFonts w:ascii="Times New Roman" w:hAnsi="Times New Roman" w:cs="Times New Roman"/>
          <w:sz w:val="24"/>
          <w:szCs w:val="24"/>
        </w:rPr>
        <w:t>cognitive development literature has shown that using marijuana during adolescence</w:t>
      </w:r>
      <w:r w:rsidR="001065C3">
        <w:rPr>
          <w:rFonts w:ascii="Times New Roman" w:hAnsi="Times New Roman" w:cs="Times New Roman"/>
          <w:sz w:val="24"/>
          <w:szCs w:val="24"/>
        </w:rPr>
        <w:t xml:space="preserve"> can impede brain function, specifically </w:t>
      </w:r>
      <w:r w:rsidR="00FF5A05" w:rsidRPr="005F2DAB">
        <w:rPr>
          <w:rFonts w:ascii="Times New Roman" w:hAnsi="Times New Roman" w:cs="Times New Roman"/>
          <w:sz w:val="24"/>
          <w:szCs w:val="24"/>
        </w:rPr>
        <w:t>cognition, short-term memory, attention, overall and verbal IQ, and abstract reasoning skills</w:t>
      </w:r>
      <w:r w:rsidR="00503093">
        <w:rPr>
          <w:rFonts w:ascii="Times New Roman" w:hAnsi="Times New Roman" w:cs="Times New Roman"/>
          <w:sz w:val="24"/>
          <w:szCs w:val="24"/>
        </w:rPr>
        <w:t xml:space="preserve">, </w:t>
      </w:r>
      <w:r w:rsidR="001065C3">
        <w:rPr>
          <w:rFonts w:ascii="Times New Roman" w:hAnsi="Times New Roman" w:cs="Times New Roman"/>
          <w:sz w:val="24"/>
          <w:szCs w:val="24"/>
        </w:rPr>
        <w:t xml:space="preserve">all of </w:t>
      </w:r>
      <w:r w:rsidR="00503093">
        <w:rPr>
          <w:rFonts w:ascii="Times New Roman" w:hAnsi="Times New Roman" w:cs="Times New Roman"/>
          <w:sz w:val="24"/>
          <w:szCs w:val="24"/>
        </w:rPr>
        <w:t xml:space="preserve">which can affect </w:t>
      </w:r>
      <w:r w:rsidR="00DA6FE0">
        <w:rPr>
          <w:rFonts w:ascii="Times New Roman" w:hAnsi="Times New Roman" w:cs="Times New Roman"/>
          <w:sz w:val="24"/>
          <w:szCs w:val="24"/>
        </w:rPr>
        <w:t>student performance</w:t>
      </w:r>
      <w:r w:rsidR="00503093">
        <w:rPr>
          <w:rFonts w:ascii="Times New Roman" w:hAnsi="Times New Roman" w:cs="Times New Roman"/>
          <w:sz w:val="24"/>
          <w:szCs w:val="24"/>
        </w:rPr>
        <w:t>.</w:t>
      </w:r>
      <w:r w:rsidR="00D87B3F">
        <w:rPr>
          <w:rFonts w:ascii="Times New Roman" w:hAnsi="Times New Roman" w:cs="Times New Roman"/>
          <w:sz w:val="24"/>
          <w:szCs w:val="24"/>
        </w:rPr>
        <w:t xml:space="preserve"> </w:t>
      </w:r>
      <w:r w:rsidR="00503093">
        <w:rPr>
          <w:rFonts w:ascii="Times New Roman" w:hAnsi="Times New Roman" w:cs="Times New Roman"/>
          <w:sz w:val="24"/>
          <w:szCs w:val="24"/>
        </w:rPr>
        <w:t>Indeed, there is</w:t>
      </w:r>
      <w:r w:rsidR="00924B88">
        <w:rPr>
          <w:rFonts w:ascii="Times New Roman" w:hAnsi="Times New Roman" w:cs="Times New Roman"/>
          <w:sz w:val="24"/>
          <w:szCs w:val="24"/>
        </w:rPr>
        <w:t xml:space="preserve"> </w:t>
      </w:r>
      <w:r w:rsidR="00633E3E">
        <w:rPr>
          <w:rFonts w:ascii="Times New Roman" w:hAnsi="Times New Roman" w:cs="Times New Roman"/>
          <w:sz w:val="24"/>
          <w:szCs w:val="24"/>
        </w:rPr>
        <w:t xml:space="preserve">a </w:t>
      </w:r>
      <w:r w:rsidR="00BD0028">
        <w:rPr>
          <w:rFonts w:ascii="Times New Roman" w:hAnsi="Times New Roman" w:cs="Times New Roman"/>
          <w:sz w:val="24"/>
          <w:szCs w:val="24"/>
        </w:rPr>
        <w:t>well-established</w:t>
      </w:r>
      <w:r w:rsidR="00924B88">
        <w:rPr>
          <w:rFonts w:ascii="Times New Roman" w:hAnsi="Times New Roman" w:cs="Times New Roman"/>
          <w:sz w:val="24"/>
          <w:szCs w:val="24"/>
        </w:rPr>
        <w:t xml:space="preserve"> </w:t>
      </w:r>
      <w:r w:rsidR="00BD0028">
        <w:rPr>
          <w:rFonts w:ascii="Times New Roman" w:hAnsi="Times New Roman" w:cs="Times New Roman"/>
          <w:sz w:val="24"/>
          <w:szCs w:val="24"/>
        </w:rPr>
        <w:t xml:space="preserve">literature in </w:t>
      </w:r>
      <w:r w:rsidR="00633E3E">
        <w:rPr>
          <w:rFonts w:ascii="Times New Roman" w:hAnsi="Times New Roman" w:cs="Times New Roman"/>
          <w:sz w:val="24"/>
          <w:szCs w:val="24"/>
        </w:rPr>
        <w:t xml:space="preserve">both </w:t>
      </w:r>
      <w:r w:rsidR="00B9107E">
        <w:rPr>
          <w:rFonts w:ascii="Times New Roman" w:hAnsi="Times New Roman" w:cs="Times New Roman"/>
          <w:sz w:val="24"/>
          <w:szCs w:val="24"/>
        </w:rPr>
        <w:t xml:space="preserve">empirical </w:t>
      </w:r>
      <w:r w:rsidR="00273AD1">
        <w:rPr>
          <w:rFonts w:ascii="Times New Roman" w:hAnsi="Times New Roman" w:cs="Times New Roman"/>
          <w:sz w:val="24"/>
          <w:szCs w:val="24"/>
        </w:rPr>
        <w:t>economics</w:t>
      </w:r>
      <w:r w:rsidR="00B9107E">
        <w:rPr>
          <w:rFonts w:ascii="Times New Roman" w:hAnsi="Times New Roman" w:cs="Times New Roman"/>
          <w:sz w:val="24"/>
          <w:szCs w:val="24"/>
        </w:rPr>
        <w:t>, primarily stemming from the Grossman</w:t>
      </w:r>
      <w:r w:rsidR="00E44ECD">
        <w:rPr>
          <w:rFonts w:ascii="Times New Roman" w:hAnsi="Times New Roman" w:cs="Times New Roman"/>
          <w:sz w:val="24"/>
          <w:szCs w:val="24"/>
        </w:rPr>
        <w:t xml:space="preserve"> (1972)</w:t>
      </w:r>
      <w:r w:rsidR="00B9107E">
        <w:rPr>
          <w:rFonts w:ascii="Times New Roman" w:hAnsi="Times New Roman" w:cs="Times New Roman"/>
          <w:sz w:val="24"/>
          <w:szCs w:val="24"/>
        </w:rPr>
        <w:t xml:space="preserve"> model of human and health capital, </w:t>
      </w:r>
      <w:r w:rsidR="00273AD1">
        <w:rPr>
          <w:rFonts w:ascii="Times New Roman" w:hAnsi="Times New Roman" w:cs="Times New Roman"/>
          <w:sz w:val="24"/>
          <w:szCs w:val="24"/>
        </w:rPr>
        <w:t xml:space="preserve">and </w:t>
      </w:r>
      <w:r w:rsidR="00BD0028">
        <w:rPr>
          <w:rFonts w:ascii="Times New Roman" w:hAnsi="Times New Roman" w:cs="Times New Roman"/>
          <w:sz w:val="24"/>
          <w:szCs w:val="24"/>
        </w:rPr>
        <w:t xml:space="preserve">public health that finds a negative correlation between using marijuana and </w:t>
      </w:r>
      <w:r w:rsidR="00987B92">
        <w:rPr>
          <w:rFonts w:ascii="Times New Roman" w:hAnsi="Times New Roman" w:cs="Times New Roman"/>
          <w:sz w:val="24"/>
          <w:szCs w:val="24"/>
        </w:rPr>
        <w:t xml:space="preserve">educational </w:t>
      </w:r>
      <w:r w:rsidR="00503093">
        <w:rPr>
          <w:rFonts w:ascii="Times New Roman" w:hAnsi="Times New Roman" w:cs="Times New Roman"/>
          <w:sz w:val="24"/>
          <w:szCs w:val="24"/>
        </w:rPr>
        <w:t>attainment</w:t>
      </w:r>
      <w:r w:rsidR="00987B92">
        <w:rPr>
          <w:rFonts w:ascii="Times New Roman" w:hAnsi="Times New Roman" w:cs="Times New Roman"/>
          <w:sz w:val="24"/>
          <w:szCs w:val="24"/>
        </w:rPr>
        <w:t>.</w:t>
      </w:r>
      <w:r w:rsidR="00633E3E">
        <w:rPr>
          <w:rFonts w:ascii="Times New Roman" w:hAnsi="Times New Roman" w:cs="Times New Roman"/>
          <w:sz w:val="24"/>
          <w:szCs w:val="24"/>
        </w:rPr>
        <w:t xml:space="preserve"> </w:t>
      </w:r>
      <w:r w:rsidR="006A48CF">
        <w:rPr>
          <w:rFonts w:ascii="Times New Roman" w:hAnsi="Times New Roman" w:cs="Times New Roman"/>
          <w:sz w:val="24"/>
          <w:szCs w:val="24"/>
        </w:rPr>
        <w:t xml:space="preserve">Despite this, we know </w:t>
      </w:r>
      <w:r w:rsidR="006C1842">
        <w:rPr>
          <w:rFonts w:ascii="Times New Roman" w:hAnsi="Times New Roman" w:cs="Times New Roman"/>
          <w:sz w:val="24"/>
          <w:szCs w:val="24"/>
        </w:rPr>
        <w:t xml:space="preserve">very </w:t>
      </w:r>
      <w:r w:rsidR="006A48CF">
        <w:rPr>
          <w:rFonts w:ascii="Times New Roman" w:hAnsi="Times New Roman" w:cs="Times New Roman"/>
          <w:sz w:val="24"/>
          <w:szCs w:val="24"/>
        </w:rPr>
        <w:t>little about how legalization affects</w:t>
      </w:r>
      <w:r w:rsidR="00A36C25">
        <w:rPr>
          <w:rFonts w:ascii="Times New Roman" w:hAnsi="Times New Roman" w:cs="Times New Roman"/>
          <w:sz w:val="24"/>
          <w:szCs w:val="24"/>
        </w:rPr>
        <w:t xml:space="preserve"> </w:t>
      </w:r>
      <w:r w:rsidR="003F0757">
        <w:rPr>
          <w:rFonts w:ascii="Times New Roman" w:hAnsi="Times New Roman" w:cs="Times New Roman"/>
          <w:sz w:val="24"/>
          <w:szCs w:val="24"/>
        </w:rPr>
        <w:t xml:space="preserve">underage marijuana use and </w:t>
      </w:r>
      <w:r w:rsidR="006A48CF">
        <w:rPr>
          <w:rFonts w:ascii="Times New Roman" w:hAnsi="Times New Roman" w:cs="Times New Roman"/>
          <w:sz w:val="24"/>
          <w:szCs w:val="24"/>
        </w:rPr>
        <w:t xml:space="preserve">student </w:t>
      </w:r>
      <w:r w:rsidR="00856F05">
        <w:rPr>
          <w:rFonts w:ascii="Times New Roman" w:hAnsi="Times New Roman" w:cs="Times New Roman"/>
          <w:sz w:val="24"/>
          <w:szCs w:val="24"/>
        </w:rPr>
        <w:t>outcomes</w:t>
      </w:r>
      <w:r w:rsidR="004510DD">
        <w:rPr>
          <w:rFonts w:ascii="Times New Roman" w:hAnsi="Times New Roman" w:cs="Times New Roman"/>
          <w:sz w:val="24"/>
          <w:szCs w:val="24"/>
        </w:rPr>
        <w:t>.</w:t>
      </w:r>
    </w:p>
    <w:p w14:paraId="6D13FD20" w14:textId="529EE0A3" w:rsidR="00A36C25" w:rsidRPr="002662A0" w:rsidRDefault="00A36C25" w:rsidP="00A36C25">
      <w:pPr>
        <w:spacing w:after="0" w:line="480" w:lineRule="auto"/>
        <w:ind w:firstLine="720"/>
        <w:contextualSpacing/>
        <w:jc w:val="both"/>
        <w:rPr>
          <w:rFonts w:ascii="Times New Roman" w:hAnsi="Times New Roman" w:cs="Times New Roman"/>
          <w:sz w:val="24"/>
          <w:szCs w:val="24"/>
        </w:rPr>
      </w:pPr>
      <w:r w:rsidRPr="002662A0">
        <w:rPr>
          <w:rFonts w:ascii="Times New Roman" w:hAnsi="Times New Roman" w:cs="Times New Roman"/>
          <w:sz w:val="24"/>
          <w:szCs w:val="24"/>
        </w:rPr>
        <w:t xml:space="preserve">The primary challenge in identifying the effects of legalization is that places that legalize likely have higher latent demand for marijuana than places that do not. If latent demand is correlated with underage marijuana use and educational outcomes, then simple comparisons of </w:t>
      </w:r>
      <w:r>
        <w:rPr>
          <w:rFonts w:ascii="Times New Roman" w:hAnsi="Times New Roman" w:cs="Times New Roman"/>
          <w:sz w:val="24"/>
          <w:szCs w:val="24"/>
        </w:rPr>
        <w:t>average</w:t>
      </w:r>
      <w:r w:rsidRPr="002662A0">
        <w:rPr>
          <w:rFonts w:ascii="Times New Roman" w:hAnsi="Times New Roman" w:cs="Times New Roman"/>
          <w:sz w:val="24"/>
          <w:szCs w:val="24"/>
        </w:rPr>
        <w:t xml:space="preserve"> outcomes across places that legalize and those that do not would be biased. For example, if places that decide to legalize are those with </w:t>
      </w:r>
      <w:r>
        <w:rPr>
          <w:rFonts w:ascii="Times New Roman" w:hAnsi="Times New Roman" w:cs="Times New Roman"/>
          <w:sz w:val="24"/>
          <w:szCs w:val="24"/>
        </w:rPr>
        <w:t xml:space="preserve">a </w:t>
      </w:r>
      <w:r w:rsidRPr="002662A0">
        <w:rPr>
          <w:rFonts w:ascii="Times New Roman" w:hAnsi="Times New Roman" w:cs="Times New Roman"/>
          <w:sz w:val="24"/>
          <w:szCs w:val="24"/>
        </w:rPr>
        <w:t>higher latent demand for marijuana and have lots of underage use and poor educational outcomes, then legalization will appear to have little effect, assuming of course that legalization and underage use are positively correlated.</w:t>
      </w:r>
    </w:p>
    <w:p w14:paraId="27D99E10" w14:textId="341CBDD5" w:rsidR="003F0757" w:rsidRDefault="003A5272" w:rsidP="003D3F7B">
      <w:pPr>
        <w:spacing w:after="0" w:line="480" w:lineRule="auto"/>
        <w:ind w:firstLine="720"/>
        <w:contextualSpacing/>
        <w:jc w:val="both"/>
        <w:rPr>
          <w:rFonts w:ascii="Times New Roman" w:hAnsi="Times New Roman" w:cs="Times New Roman"/>
          <w:sz w:val="24"/>
          <w:szCs w:val="24"/>
        </w:rPr>
      </w:pPr>
      <w:r w:rsidRPr="002662A0">
        <w:rPr>
          <w:rFonts w:ascii="Times New Roman" w:hAnsi="Times New Roman" w:cs="Times New Roman"/>
          <w:sz w:val="24"/>
          <w:szCs w:val="24"/>
        </w:rPr>
        <w:lastRenderedPageBreak/>
        <w:t>To solve this endogeneity problem, I exploit exogenous spatial variation in access to marijuana dispensaries in Washington</w:t>
      </w:r>
      <w:r>
        <w:rPr>
          <w:rFonts w:ascii="Times New Roman" w:hAnsi="Times New Roman" w:cs="Times New Roman"/>
          <w:sz w:val="24"/>
          <w:szCs w:val="24"/>
        </w:rPr>
        <w:t xml:space="preserve"> state</w:t>
      </w:r>
      <w:r w:rsidRPr="002662A0">
        <w:rPr>
          <w:rFonts w:ascii="Times New Roman" w:hAnsi="Times New Roman" w:cs="Times New Roman"/>
          <w:sz w:val="24"/>
          <w:szCs w:val="24"/>
        </w:rPr>
        <w:t xml:space="preserve">. </w:t>
      </w:r>
      <w:r w:rsidR="003D3F7B">
        <w:rPr>
          <w:rFonts w:ascii="Times New Roman" w:hAnsi="Times New Roman" w:cs="Times New Roman"/>
          <w:sz w:val="24"/>
          <w:szCs w:val="24"/>
        </w:rPr>
        <w:t xml:space="preserve">After Washington legalized recreational marijuana in 2012, it </w:t>
      </w:r>
      <w:r w:rsidR="0023441B">
        <w:rPr>
          <w:rFonts w:ascii="Times New Roman" w:hAnsi="Times New Roman" w:cs="Times New Roman"/>
          <w:sz w:val="24"/>
          <w:szCs w:val="24"/>
        </w:rPr>
        <w:t xml:space="preserve">held a lottery to determine </w:t>
      </w:r>
      <w:r w:rsidR="001B0178">
        <w:rPr>
          <w:rFonts w:ascii="Times New Roman" w:hAnsi="Times New Roman" w:cs="Times New Roman"/>
          <w:sz w:val="24"/>
          <w:szCs w:val="24"/>
        </w:rPr>
        <w:t xml:space="preserve">which dispensary applicants would receive licenses. </w:t>
      </w:r>
      <w:r w:rsidR="00BC2E25">
        <w:rPr>
          <w:rFonts w:ascii="Times New Roman" w:hAnsi="Times New Roman" w:cs="Times New Roman"/>
          <w:sz w:val="24"/>
          <w:szCs w:val="24"/>
        </w:rPr>
        <w:t xml:space="preserve">This generated random variation in dispensary locations and thus access to marijuana. However, not all dispensaries opened, and some opened at different places than originally submitted in their applications. Since the decision to open is potentially endogenous, I </w:t>
      </w:r>
      <w:r w:rsidR="00AC4159">
        <w:rPr>
          <w:rFonts w:ascii="Times New Roman" w:hAnsi="Times New Roman" w:cs="Times New Roman"/>
          <w:sz w:val="24"/>
          <w:szCs w:val="24"/>
        </w:rPr>
        <w:t>use</w:t>
      </w:r>
      <w:r w:rsidR="00023785">
        <w:rPr>
          <w:rFonts w:ascii="Times New Roman" w:hAnsi="Times New Roman" w:cs="Times New Roman"/>
          <w:sz w:val="24"/>
          <w:szCs w:val="24"/>
        </w:rPr>
        <w:t xml:space="preserve"> </w:t>
      </w:r>
      <w:r w:rsidR="00C1592C">
        <w:rPr>
          <w:rFonts w:ascii="Times New Roman" w:hAnsi="Times New Roman" w:cs="Times New Roman"/>
          <w:sz w:val="24"/>
          <w:szCs w:val="24"/>
        </w:rPr>
        <w:t xml:space="preserve">a school’s </w:t>
      </w:r>
      <w:r w:rsidR="006216E1">
        <w:rPr>
          <w:rFonts w:ascii="Times New Roman" w:hAnsi="Times New Roman" w:cs="Times New Roman"/>
          <w:sz w:val="24"/>
          <w:szCs w:val="24"/>
        </w:rPr>
        <w:t>proximity to</w:t>
      </w:r>
      <w:r w:rsidR="00AC4159">
        <w:rPr>
          <w:rFonts w:ascii="Times New Roman" w:hAnsi="Times New Roman" w:cs="Times New Roman"/>
          <w:sz w:val="24"/>
          <w:szCs w:val="24"/>
        </w:rPr>
        <w:t xml:space="preserve"> lottery winners to instrument for </w:t>
      </w:r>
      <w:r w:rsidR="00D93423">
        <w:rPr>
          <w:rFonts w:ascii="Times New Roman" w:hAnsi="Times New Roman" w:cs="Times New Roman"/>
          <w:sz w:val="24"/>
          <w:szCs w:val="24"/>
        </w:rPr>
        <w:t>whether</w:t>
      </w:r>
      <w:r w:rsidR="00C1592C">
        <w:rPr>
          <w:rFonts w:ascii="Times New Roman" w:hAnsi="Times New Roman" w:cs="Times New Roman"/>
          <w:sz w:val="24"/>
          <w:szCs w:val="24"/>
        </w:rPr>
        <w:t xml:space="preserve"> it </w:t>
      </w:r>
      <w:r w:rsidR="00D93423">
        <w:rPr>
          <w:rFonts w:ascii="Times New Roman" w:hAnsi="Times New Roman" w:cs="Times New Roman"/>
          <w:sz w:val="24"/>
          <w:szCs w:val="24"/>
        </w:rPr>
        <w:t xml:space="preserve">is near an </w:t>
      </w:r>
      <w:r w:rsidR="00AC4159">
        <w:rPr>
          <w:rFonts w:ascii="Times New Roman" w:hAnsi="Times New Roman" w:cs="Times New Roman"/>
          <w:sz w:val="24"/>
          <w:szCs w:val="24"/>
        </w:rPr>
        <w:t>open dispensary</w:t>
      </w:r>
      <w:r w:rsidR="006216E1">
        <w:rPr>
          <w:rFonts w:ascii="Times New Roman" w:hAnsi="Times New Roman" w:cs="Times New Roman"/>
          <w:sz w:val="24"/>
          <w:szCs w:val="24"/>
        </w:rPr>
        <w:t>.</w:t>
      </w:r>
    </w:p>
    <w:p w14:paraId="55544AF7" w14:textId="4D1388EA" w:rsidR="006560D6" w:rsidRDefault="00FB2FB5" w:rsidP="003F0757">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estimate the effects of legalization on </w:t>
      </w:r>
      <w:r w:rsidR="00D10315">
        <w:rPr>
          <w:rFonts w:ascii="Times New Roman" w:hAnsi="Times New Roman" w:cs="Times New Roman"/>
          <w:sz w:val="24"/>
          <w:szCs w:val="24"/>
        </w:rPr>
        <w:t xml:space="preserve">high school students’ behavioral </w:t>
      </w:r>
      <w:r w:rsidR="00AD753C">
        <w:rPr>
          <w:rFonts w:ascii="Times New Roman" w:hAnsi="Times New Roman" w:cs="Times New Roman"/>
          <w:sz w:val="24"/>
          <w:szCs w:val="24"/>
        </w:rPr>
        <w:t>outcomes, including dropout rates, chronic absenteeism, and discipline rates</w:t>
      </w:r>
      <w:r w:rsidR="008B2EAF">
        <w:rPr>
          <w:rFonts w:ascii="Times New Roman" w:hAnsi="Times New Roman" w:cs="Times New Roman"/>
          <w:sz w:val="24"/>
          <w:szCs w:val="24"/>
        </w:rPr>
        <w:t xml:space="preserve"> (i.e., the percentage of students suspended or expelled from school)</w:t>
      </w:r>
      <w:r w:rsidR="00AD753C">
        <w:rPr>
          <w:rFonts w:ascii="Times New Roman" w:hAnsi="Times New Roman" w:cs="Times New Roman"/>
          <w:sz w:val="24"/>
          <w:szCs w:val="24"/>
        </w:rPr>
        <w:t>, as well as</w:t>
      </w:r>
      <w:r w:rsidR="004D5383">
        <w:rPr>
          <w:rFonts w:ascii="Times New Roman" w:hAnsi="Times New Roman" w:cs="Times New Roman"/>
          <w:sz w:val="24"/>
          <w:szCs w:val="24"/>
        </w:rPr>
        <w:t xml:space="preserve"> their performance </w:t>
      </w:r>
      <w:r w:rsidR="00D067A1">
        <w:rPr>
          <w:rFonts w:ascii="Times New Roman" w:hAnsi="Times New Roman" w:cs="Times New Roman"/>
          <w:sz w:val="24"/>
          <w:szCs w:val="24"/>
        </w:rPr>
        <w:t>i</w:t>
      </w:r>
      <w:r w:rsidR="004D5383">
        <w:rPr>
          <w:rFonts w:ascii="Times New Roman" w:hAnsi="Times New Roman" w:cs="Times New Roman"/>
          <w:sz w:val="24"/>
          <w:szCs w:val="24"/>
        </w:rPr>
        <w:t>n math and ELA.</w:t>
      </w:r>
      <w:r w:rsidR="00322D53">
        <w:rPr>
          <w:rFonts w:ascii="Times New Roman" w:hAnsi="Times New Roman" w:cs="Times New Roman"/>
          <w:sz w:val="24"/>
          <w:szCs w:val="24"/>
        </w:rPr>
        <w:t xml:space="preserve"> </w:t>
      </w:r>
      <w:r w:rsidR="0031305C">
        <w:rPr>
          <w:rFonts w:ascii="Times New Roman" w:hAnsi="Times New Roman" w:cs="Times New Roman"/>
          <w:sz w:val="24"/>
          <w:szCs w:val="24"/>
        </w:rPr>
        <w:t>Legalization may affect kids</w:t>
      </w:r>
      <w:r w:rsidR="00322D53">
        <w:rPr>
          <w:rFonts w:ascii="Times New Roman" w:hAnsi="Times New Roman" w:cs="Times New Roman"/>
          <w:sz w:val="24"/>
          <w:szCs w:val="24"/>
        </w:rPr>
        <w:t xml:space="preserve"> who already use marijuana</w:t>
      </w:r>
      <w:r w:rsidR="00C94C67">
        <w:rPr>
          <w:rFonts w:ascii="Times New Roman" w:hAnsi="Times New Roman" w:cs="Times New Roman"/>
          <w:sz w:val="24"/>
          <w:szCs w:val="24"/>
        </w:rPr>
        <w:t xml:space="preserve">, possibly those who are on the margin of dropping out. </w:t>
      </w:r>
      <w:r w:rsidR="00BD39C0">
        <w:rPr>
          <w:rFonts w:ascii="Times New Roman" w:hAnsi="Times New Roman" w:cs="Times New Roman"/>
          <w:sz w:val="24"/>
          <w:szCs w:val="24"/>
        </w:rPr>
        <w:t>It may also affec</w:t>
      </w:r>
      <w:r w:rsidR="00383EE6">
        <w:rPr>
          <w:rFonts w:ascii="Times New Roman" w:hAnsi="Times New Roman" w:cs="Times New Roman"/>
          <w:sz w:val="24"/>
          <w:szCs w:val="24"/>
        </w:rPr>
        <w:t xml:space="preserve">t kids who have not used marijuana before. </w:t>
      </w:r>
      <w:r w:rsidR="00F518FE">
        <w:rPr>
          <w:rFonts w:ascii="Times New Roman" w:hAnsi="Times New Roman" w:cs="Times New Roman"/>
          <w:sz w:val="24"/>
          <w:szCs w:val="24"/>
        </w:rPr>
        <w:t>These student</w:t>
      </w:r>
      <w:r w:rsidR="00F30D25">
        <w:rPr>
          <w:rFonts w:ascii="Times New Roman" w:hAnsi="Times New Roman" w:cs="Times New Roman"/>
          <w:sz w:val="24"/>
          <w:szCs w:val="24"/>
        </w:rPr>
        <w:t xml:space="preserve">s may not be on the margin of dropping out, but </w:t>
      </w:r>
      <w:r w:rsidR="00C872BA">
        <w:rPr>
          <w:rFonts w:ascii="Times New Roman" w:hAnsi="Times New Roman" w:cs="Times New Roman"/>
          <w:sz w:val="24"/>
          <w:szCs w:val="24"/>
        </w:rPr>
        <w:t>their attendance may change</w:t>
      </w:r>
      <w:r w:rsidR="002B652D">
        <w:rPr>
          <w:rFonts w:ascii="Times New Roman" w:hAnsi="Times New Roman" w:cs="Times New Roman"/>
          <w:sz w:val="24"/>
          <w:szCs w:val="24"/>
        </w:rPr>
        <w:t xml:space="preserve"> as a result of legalization</w:t>
      </w:r>
      <w:r w:rsidR="00C872BA">
        <w:rPr>
          <w:rFonts w:ascii="Times New Roman" w:hAnsi="Times New Roman" w:cs="Times New Roman"/>
          <w:sz w:val="24"/>
          <w:szCs w:val="24"/>
        </w:rPr>
        <w:t xml:space="preserve">. </w:t>
      </w:r>
      <w:r w:rsidR="00F90AF4">
        <w:rPr>
          <w:rFonts w:ascii="Times New Roman" w:hAnsi="Times New Roman" w:cs="Times New Roman"/>
          <w:sz w:val="24"/>
          <w:szCs w:val="24"/>
        </w:rPr>
        <w:t xml:space="preserve">Additionally, </w:t>
      </w:r>
      <w:r w:rsidR="00EB3EC1">
        <w:rPr>
          <w:rFonts w:ascii="Times New Roman" w:hAnsi="Times New Roman" w:cs="Times New Roman"/>
          <w:sz w:val="24"/>
          <w:szCs w:val="24"/>
        </w:rPr>
        <w:t xml:space="preserve">I look at discipline rates because drug use is correlated with </w:t>
      </w:r>
      <w:r w:rsidR="00B0714E">
        <w:rPr>
          <w:rFonts w:ascii="Times New Roman" w:hAnsi="Times New Roman" w:cs="Times New Roman"/>
          <w:sz w:val="24"/>
          <w:szCs w:val="24"/>
        </w:rPr>
        <w:t xml:space="preserve">criminal behavior. </w:t>
      </w:r>
      <w:r w:rsidR="00F90AF4">
        <w:rPr>
          <w:rFonts w:ascii="Times New Roman" w:hAnsi="Times New Roman" w:cs="Times New Roman"/>
          <w:sz w:val="24"/>
          <w:szCs w:val="24"/>
        </w:rPr>
        <w:t>Finally, m</w:t>
      </w:r>
      <w:r w:rsidR="007F5F4E">
        <w:rPr>
          <w:rFonts w:ascii="Times New Roman" w:hAnsi="Times New Roman" w:cs="Times New Roman"/>
          <w:sz w:val="24"/>
          <w:szCs w:val="24"/>
        </w:rPr>
        <w:t xml:space="preserve">ore absences and disciplinary infractions could lead to </w:t>
      </w:r>
      <w:r w:rsidR="006C6A7A">
        <w:rPr>
          <w:rFonts w:ascii="Times New Roman" w:hAnsi="Times New Roman" w:cs="Times New Roman"/>
          <w:sz w:val="24"/>
          <w:szCs w:val="24"/>
        </w:rPr>
        <w:t>worse performance on standardized tests, so I</w:t>
      </w:r>
      <w:r w:rsidR="00F90AF4">
        <w:rPr>
          <w:rFonts w:ascii="Times New Roman" w:hAnsi="Times New Roman" w:cs="Times New Roman"/>
          <w:sz w:val="24"/>
          <w:szCs w:val="24"/>
        </w:rPr>
        <w:t xml:space="preserve"> estimate effects on </w:t>
      </w:r>
      <w:r w:rsidR="007C31D2">
        <w:rPr>
          <w:rFonts w:ascii="Times New Roman" w:hAnsi="Times New Roman" w:cs="Times New Roman"/>
          <w:sz w:val="24"/>
          <w:szCs w:val="24"/>
        </w:rPr>
        <w:t>math and ELA proficiency</w:t>
      </w:r>
      <w:r w:rsidR="006C6A7A">
        <w:rPr>
          <w:rFonts w:ascii="Times New Roman" w:hAnsi="Times New Roman" w:cs="Times New Roman"/>
          <w:sz w:val="24"/>
          <w:szCs w:val="24"/>
        </w:rPr>
        <w:t>.</w:t>
      </w:r>
    </w:p>
    <w:p w14:paraId="05F46B3E" w14:textId="280EBFA3" w:rsidR="003F0757" w:rsidRDefault="003F0757" w:rsidP="001E18F6">
      <w:pPr>
        <w:spacing w:after="0" w:line="480" w:lineRule="auto"/>
        <w:ind w:firstLine="720"/>
        <w:contextualSpacing/>
        <w:jc w:val="both"/>
        <w:rPr>
          <w:rFonts w:ascii="Times New Roman" w:hAnsi="Times New Roman" w:cs="Times New Roman"/>
          <w:sz w:val="24"/>
          <w:szCs w:val="24"/>
        </w:rPr>
      </w:pPr>
      <w:r w:rsidRPr="004C5972">
        <w:rPr>
          <w:rFonts w:ascii="Times New Roman" w:hAnsi="Times New Roman" w:cs="Times New Roman"/>
          <w:sz w:val="24"/>
          <w:szCs w:val="24"/>
        </w:rPr>
        <w:t>Using data on public high schools from Washington’s Office of Superintendent of Public Instruction, I find that legalization has a negative impact on student</w:t>
      </w:r>
      <w:r w:rsidR="00EC127B">
        <w:rPr>
          <w:rFonts w:ascii="Times New Roman" w:hAnsi="Times New Roman" w:cs="Times New Roman"/>
          <w:sz w:val="24"/>
          <w:szCs w:val="24"/>
        </w:rPr>
        <w:t>s, particularly on their behavioral outcomes</w:t>
      </w:r>
      <w:r>
        <w:rPr>
          <w:rFonts w:ascii="Times New Roman" w:hAnsi="Times New Roman" w:cs="Times New Roman"/>
          <w:sz w:val="24"/>
          <w:szCs w:val="24"/>
        </w:rPr>
        <w:t>.</w:t>
      </w:r>
      <w:r w:rsidR="006560D6">
        <w:rPr>
          <w:rFonts w:ascii="Times New Roman" w:hAnsi="Times New Roman" w:cs="Times New Roman"/>
          <w:sz w:val="24"/>
          <w:szCs w:val="24"/>
        </w:rPr>
        <w:t xml:space="preserve"> </w:t>
      </w:r>
      <w:r>
        <w:rPr>
          <w:rFonts w:ascii="Times New Roman" w:hAnsi="Times New Roman" w:cs="Times New Roman"/>
          <w:sz w:val="24"/>
          <w:szCs w:val="24"/>
        </w:rPr>
        <w:t>When a school is within 10 minutes of a dispensary that opens relative to one that is within 10 minutes of a dispensary that does not, 11</w:t>
      </w:r>
      <w:r w:rsidRPr="00F86161">
        <w:rPr>
          <w:rFonts w:ascii="Times New Roman" w:hAnsi="Times New Roman" w:cs="Times New Roman"/>
          <w:sz w:val="24"/>
          <w:szCs w:val="24"/>
          <w:vertAlign w:val="superscript"/>
        </w:rPr>
        <w:t>th</w:t>
      </w:r>
      <w:r>
        <w:rPr>
          <w:rFonts w:ascii="Times New Roman" w:hAnsi="Times New Roman" w:cs="Times New Roman"/>
          <w:sz w:val="24"/>
          <w:szCs w:val="24"/>
        </w:rPr>
        <w:t xml:space="preserve">-grade girls’ and boys’ dropout rates increase by 2.9 </w:t>
      </w:r>
      <w:r w:rsidR="0046770B">
        <w:rPr>
          <w:rFonts w:ascii="Times New Roman" w:hAnsi="Times New Roman" w:cs="Times New Roman"/>
          <w:sz w:val="24"/>
          <w:szCs w:val="24"/>
        </w:rPr>
        <w:t xml:space="preserve">(140%) </w:t>
      </w:r>
      <w:r>
        <w:rPr>
          <w:rFonts w:ascii="Times New Roman" w:hAnsi="Times New Roman" w:cs="Times New Roman"/>
          <w:sz w:val="24"/>
          <w:szCs w:val="24"/>
        </w:rPr>
        <w:t>and 3.3</w:t>
      </w:r>
      <w:r w:rsidR="0046770B">
        <w:rPr>
          <w:rFonts w:ascii="Times New Roman" w:hAnsi="Times New Roman" w:cs="Times New Roman"/>
          <w:sz w:val="24"/>
          <w:szCs w:val="24"/>
        </w:rPr>
        <w:t xml:space="preserve"> (114%)</w:t>
      </w:r>
      <w:r>
        <w:rPr>
          <w:rFonts w:ascii="Times New Roman" w:hAnsi="Times New Roman" w:cs="Times New Roman"/>
          <w:sz w:val="24"/>
          <w:szCs w:val="24"/>
        </w:rPr>
        <w:t xml:space="preserve"> percentage points, respectively.</w:t>
      </w:r>
      <w:r w:rsidR="00CD5DED">
        <w:rPr>
          <w:rFonts w:ascii="Times New Roman" w:hAnsi="Times New Roman" w:cs="Times New Roman"/>
          <w:sz w:val="24"/>
          <w:szCs w:val="24"/>
        </w:rPr>
        <w:t xml:space="preserve"> </w:t>
      </w:r>
      <w:r w:rsidR="00BA6C02">
        <w:rPr>
          <w:rFonts w:ascii="Times New Roman" w:hAnsi="Times New Roman" w:cs="Times New Roman"/>
          <w:sz w:val="24"/>
          <w:szCs w:val="24"/>
        </w:rPr>
        <w:t>12</w:t>
      </w:r>
      <w:r w:rsidR="00BA6C02" w:rsidRPr="00BA6C02">
        <w:rPr>
          <w:rFonts w:ascii="Times New Roman" w:hAnsi="Times New Roman" w:cs="Times New Roman"/>
          <w:sz w:val="24"/>
          <w:szCs w:val="24"/>
          <w:vertAlign w:val="superscript"/>
        </w:rPr>
        <w:t>th</w:t>
      </w:r>
      <w:r w:rsidR="00BA6C02">
        <w:rPr>
          <w:rFonts w:ascii="Times New Roman" w:hAnsi="Times New Roman" w:cs="Times New Roman"/>
          <w:sz w:val="24"/>
          <w:szCs w:val="24"/>
        </w:rPr>
        <w:t xml:space="preserve">-grade dropout rates also </w:t>
      </w:r>
      <w:r w:rsidR="005E6D93">
        <w:rPr>
          <w:rFonts w:ascii="Times New Roman" w:hAnsi="Times New Roman" w:cs="Times New Roman"/>
          <w:sz w:val="24"/>
          <w:szCs w:val="24"/>
        </w:rPr>
        <w:t>increase significantly, but</w:t>
      </w:r>
      <w:r w:rsidR="00996E18">
        <w:rPr>
          <w:rFonts w:ascii="Times New Roman" w:hAnsi="Times New Roman" w:cs="Times New Roman"/>
          <w:sz w:val="24"/>
          <w:szCs w:val="24"/>
        </w:rPr>
        <w:t xml:space="preserve"> less than </w:t>
      </w:r>
      <w:r w:rsidR="005E6D93">
        <w:rPr>
          <w:rFonts w:ascii="Times New Roman" w:hAnsi="Times New Roman" w:cs="Times New Roman"/>
          <w:sz w:val="24"/>
          <w:szCs w:val="24"/>
        </w:rPr>
        <w:t>11</w:t>
      </w:r>
      <w:r w:rsidR="005E6D93" w:rsidRPr="005E6D93">
        <w:rPr>
          <w:rFonts w:ascii="Times New Roman" w:hAnsi="Times New Roman" w:cs="Times New Roman"/>
          <w:sz w:val="24"/>
          <w:szCs w:val="24"/>
          <w:vertAlign w:val="superscript"/>
        </w:rPr>
        <w:t>th</w:t>
      </w:r>
      <w:r w:rsidR="005E6D93">
        <w:rPr>
          <w:rFonts w:ascii="Times New Roman" w:hAnsi="Times New Roman" w:cs="Times New Roman"/>
          <w:sz w:val="24"/>
          <w:szCs w:val="24"/>
        </w:rPr>
        <w:t>-grade</w:t>
      </w:r>
      <w:r w:rsidR="00996E18">
        <w:rPr>
          <w:rFonts w:ascii="Times New Roman" w:hAnsi="Times New Roman" w:cs="Times New Roman"/>
          <w:sz w:val="24"/>
          <w:szCs w:val="24"/>
        </w:rPr>
        <w:t xml:space="preserve"> rates</w:t>
      </w:r>
      <w:r w:rsidR="00891EC7">
        <w:rPr>
          <w:rFonts w:ascii="Times New Roman" w:hAnsi="Times New Roman" w:cs="Times New Roman"/>
          <w:sz w:val="24"/>
          <w:szCs w:val="24"/>
        </w:rPr>
        <w:t xml:space="preserve">. </w:t>
      </w:r>
      <w:r>
        <w:rPr>
          <w:rFonts w:ascii="Times New Roman" w:hAnsi="Times New Roman" w:cs="Times New Roman"/>
          <w:sz w:val="24"/>
          <w:szCs w:val="24"/>
        </w:rPr>
        <w:t>I also find large increases in chronic absenteeism for girls and boys in both grades. 11</w:t>
      </w:r>
      <w:r w:rsidRPr="00A55A64">
        <w:rPr>
          <w:rFonts w:ascii="Times New Roman" w:hAnsi="Times New Roman" w:cs="Times New Roman"/>
          <w:sz w:val="24"/>
          <w:szCs w:val="24"/>
          <w:vertAlign w:val="superscript"/>
        </w:rPr>
        <w:t>th</w:t>
      </w:r>
      <w:r>
        <w:rPr>
          <w:rFonts w:ascii="Times New Roman" w:hAnsi="Times New Roman" w:cs="Times New Roman"/>
          <w:sz w:val="24"/>
          <w:szCs w:val="24"/>
        </w:rPr>
        <w:t xml:space="preserve">-grade girls’ chronic absenteeism goes up by </w:t>
      </w:r>
      <w:r>
        <w:rPr>
          <w:rFonts w:ascii="Times New Roman" w:hAnsi="Times New Roman" w:cs="Times New Roman"/>
          <w:sz w:val="24"/>
          <w:szCs w:val="24"/>
        </w:rPr>
        <w:lastRenderedPageBreak/>
        <w:t xml:space="preserve">10.9 </w:t>
      </w:r>
      <w:r w:rsidR="00D5150B">
        <w:rPr>
          <w:rFonts w:ascii="Times New Roman" w:hAnsi="Times New Roman" w:cs="Times New Roman"/>
          <w:sz w:val="24"/>
          <w:szCs w:val="24"/>
        </w:rPr>
        <w:t>(</w:t>
      </w:r>
      <w:r w:rsidR="00DD43EB">
        <w:rPr>
          <w:rFonts w:ascii="Times New Roman" w:hAnsi="Times New Roman" w:cs="Times New Roman"/>
          <w:sz w:val="24"/>
          <w:szCs w:val="24"/>
        </w:rPr>
        <w:t>45</w:t>
      </w:r>
      <w:r w:rsidR="00D5150B">
        <w:rPr>
          <w:rFonts w:ascii="Times New Roman" w:hAnsi="Times New Roman" w:cs="Times New Roman"/>
          <w:sz w:val="24"/>
          <w:szCs w:val="24"/>
        </w:rPr>
        <w:t xml:space="preserve">%) </w:t>
      </w:r>
      <w:r>
        <w:rPr>
          <w:rFonts w:ascii="Times New Roman" w:hAnsi="Times New Roman" w:cs="Times New Roman"/>
          <w:sz w:val="24"/>
          <w:szCs w:val="24"/>
        </w:rPr>
        <w:t>percentage points</w:t>
      </w:r>
      <w:r w:rsidR="00082A97">
        <w:rPr>
          <w:rFonts w:ascii="Times New Roman" w:hAnsi="Times New Roman" w:cs="Times New Roman"/>
          <w:sz w:val="24"/>
          <w:szCs w:val="24"/>
        </w:rPr>
        <w:t xml:space="preserve"> and 11</w:t>
      </w:r>
      <w:r w:rsidR="00082A97" w:rsidRPr="00082A97">
        <w:rPr>
          <w:rFonts w:ascii="Times New Roman" w:hAnsi="Times New Roman" w:cs="Times New Roman"/>
          <w:sz w:val="24"/>
          <w:szCs w:val="24"/>
          <w:vertAlign w:val="superscript"/>
        </w:rPr>
        <w:t>th</w:t>
      </w:r>
      <w:r w:rsidR="00082A97">
        <w:rPr>
          <w:rFonts w:ascii="Times New Roman" w:hAnsi="Times New Roman" w:cs="Times New Roman"/>
          <w:sz w:val="24"/>
          <w:szCs w:val="24"/>
        </w:rPr>
        <w:t xml:space="preserve">-grade boys’ chronic absenteeism increases </w:t>
      </w:r>
      <w:r>
        <w:rPr>
          <w:rFonts w:ascii="Times New Roman" w:hAnsi="Times New Roman" w:cs="Times New Roman"/>
          <w:sz w:val="24"/>
          <w:szCs w:val="24"/>
        </w:rPr>
        <w:t xml:space="preserve">by 7 </w:t>
      </w:r>
      <w:r w:rsidR="00D5150B">
        <w:rPr>
          <w:rFonts w:ascii="Times New Roman" w:hAnsi="Times New Roman" w:cs="Times New Roman"/>
          <w:sz w:val="24"/>
          <w:szCs w:val="24"/>
        </w:rPr>
        <w:t xml:space="preserve">(33%) </w:t>
      </w:r>
      <w:r>
        <w:rPr>
          <w:rFonts w:ascii="Times New Roman" w:hAnsi="Times New Roman" w:cs="Times New Roman"/>
          <w:sz w:val="24"/>
          <w:szCs w:val="24"/>
        </w:rPr>
        <w:t>percentage points</w:t>
      </w:r>
      <w:r w:rsidR="00D5150B">
        <w:rPr>
          <w:rFonts w:ascii="Times New Roman" w:hAnsi="Times New Roman" w:cs="Times New Roman"/>
          <w:sz w:val="24"/>
          <w:szCs w:val="24"/>
        </w:rPr>
        <w:t>. T</w:t>
      </w:r>
      <w:r>
        <w:rPr>
          <w:rFonts w:ascii="Times New Roman" w:hAnsi="Times New Roman" w:cs="Times New Roman"/>
          <w:sz w:val="24"/>
          <w:szCs w:val="24"/>
        </w:rPr>
        <w:t>he effects are slightly larger for 12</w:t>
      </w:r>
      <w:r w:rsidRPr="00746DF7">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t>
      </w:r>
    </w:p>
    <w:p w14:paraId="2C96644D" w14:textId="704BF9C0" w:rsidR="003F0757" w:rsidRDefault="00080BBC" w:rsidP="001A169F">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Unlike dropout rates and absenteeism, </w:t>
      </w:r>
      <w:r w:rsidR="003F0757">
        <w:rPr>
          <w:rFonts w:ascii="Times New Roman" w:hAnsi="Times New Roman" w:cs="Times New Roman"/>
          <w:sz w:val="24"/>
          <w:szCs w:val="24"/>
        </w:rPr>
        <w:t>I find little change in the discipline rate. Discipline rates for 11</w:t>
      </w:r>
      <w:r w:rsidR="003F0757" w:rsidRPr="00E719ED">
        <w:rPr>
          <w:rFonts w:ascii="Times New Roman" w:hAnsi="Times New Roman" w:cs="Times New Roman"/>
          <w:sz w:val="24"/>
          <w:szCs w:val="24"/>
          <w:vertAlign w:val="superscript"/>
        </w:rPr>
        <w:t>th</w:t>
      </w:r>
      <w:r w:rsidR="003F0757">
        <w:rPr>
          <w:rFonts w:ascii="Times New Roman" w:hAnsi="Times New Roman" w:cs="Times New Roman"/>
          <w:sz w:val="24"/>
          <w:szCs w:val="24"/>
        </w:rPr>
        <w:t>- and 12</w:t>
      </w:r>
      <w:r w:rsidR="003F0757" w:rsidRPr="00E719ED">
        <w:rPr>
          <w:rFonts w:ascii="Times New Roman" w:hAnsi="Times New Roman" w:cs="Times New Roman"/>
          <w:sz w:val="24"/>
          <w:szCs w:val="24"/>
          <w:vertAlign w:val="superscript"/>
        </w:rPr>
        <w:t>th</w:t>
      </w:r>
      <w:r w:rsidR="003F0757">
        <w:rPr>
          <w:rFonts w:ascii="Times New Roman" w:hAnsi="Times New Roman" w:cs="Times New Roman"/>
          <w:sz w:val="24"/>
          <w:szCs w:val="24"/>
        </w:rPr>
        <w:t>-grade girls do not change in a statistically significant way, but the discipline rate for both 11</w:t>
      </w:r>
      <w:r w:rsidR="003F0757" w:rsidRPr="00746DF7">
        <w:rPr>
          <w:rFonts w:ascii="Times New Roman" w:hAnsi="Times New Roman" w:cs="Times New Roman"/>
          <w:sz w:val="24"/>
          <w:szCs w:val="24"/>
          <w:vertAlign w:val="superscript"/>
        </w:rPr>
        <w:t>th</w:t>
      </w:r>
      <w:r w:rsidR="003F0757">
        <w:rPr>
          <w:rFonts w:ascii="Times New Roman" w:hAnsi="Times New Roman" w:cs="Times New Roman"/>
          <w:sz w:val="24"/>
          <w:szCs w:val="24"/>
        </w:rPr>
        <w:t>- and 12</w:t>
      </w:r>
      <w:r w:rsidR="003F0757" w:rsidRPr="00746DF7">
        <w:rPr>
          <w:rFonts w:ascii="Times New Roman" w:hAnsi="Times New Roman" w:cs="Times New Roman"/>
          <w:sz w:val="24"/>
          <w:szCs w:val="24"/>
          <w:vertAlign w:val="superscript"/>
        </w:rPr>
        <w:t>th</w:t>
      </w:r>
      <w:r w:rsidR="003F0757">
        <w:rPr>
          <w:rFonts w:ascii="Times New Roman" w:hAnsi="Times New Roman" w:cs="Times New Roman"/>
          <w:sz w:val="24"/>
          <w:szCs w:val="24"/>
        </w:rPr>
        <w:t xml:space="preserve">-grade boys increases by 1.7 percentage </w:t>
      </w:r>
      <w:r w:rsidR="001E1691">
        <w:rPr>
          <w:rFonts w:ascii="Times New Roman" w:hAnsi="Times New Roman" w:cs="Times New Roman"/>
          <w:sz w:val="24"/>
          <w:szCs w:val="24"/>
        </w:rPr>
        <w:t>points</w:t>
      </w:r>
      <w:r w:rsidR="003F0757">
        <w:rPr>
          <w:rFonts w:ascii="Times New Roman" w:hAnsi="Times New Roman" w:cs="Times New Roman"/>
          <w:sz w:val="24"/>
          <w:szCs w:val="24"/>
        </w:rPr>
        <w:t>.</w:t>
      </w:r>
      <w:r w:rsidR="001A169F">
        <w:rPr>
          <w:rFonts w:ascii="Times New Roman" w:hAnsi="Times New Roman" w:cs="Times New Roman"/>
          <w:sz w:val="24"/>
          <w:szCs w:val="24"/>
        </w:rPr>
        <w:t xml:space="preserve"> </w:t>
      </w:r>
      <w:r w:rsidR="003F0757">
        <w:rPr>
          <w:rFonts w:ascii="Times New Roman" w:hAnsi="Times New Roman" w:cs="Times New Roman"/>
          <w:sz w:val="24"/>
          <w:szCs w:val="24"/>
        </w:rPr>
        <w:t xml:space="preserve">Additionally, I find </w:t>
      </w:r>
      <w:r w:rsidR="00584088">
        <w:rPr>
          <w:rFonts w:ascii="Times New Roman" w:hAnsi="Times New Roman" w:cs="Times New Roman"/>
          <w:sz w:val="24"/>
          <w:szCs w:val="24"/>
        </w:rPr>
        <w:t>no statistically significant change in</w:t>
      </w:r>
      <w:r w:rsidR="003F0757">
        <w:rPr>
          <w:rFonts w:ascii="Times New Roman" w:hAnsi="Times New Roman" w:cs="Times New Roman"/>
          <w:sz w:val="24"/>
          <w:szCs w:val="24"/>
        </w:rPr>
        <w:t xml:space="preserve"> the shares of 11</w:t>
      </w:r>
      <w:r w:rsidR="003F0757" w:rsidRPr="002E7F75">
        <w:rPr>
          <w:rFonts w:ascii="Times New Roman" w:hAnsi="Times New Roman" w:cs="Times New Roman"/>
          <w:sz w:val="24"/>
          <w:szCs w:val="24"/>
          <w:vertAlign w:val="superscript"/>
        </w:rPr>
        <w:t>th</w:t>
      </w:r>
      <w:r w:rsidR="003F0757">
        <w:rPr>
          <w:rFonts w:ascii="Times New Roman" w:hAnsi="Times New Roman" w:cs="Times New Roman"/>
          <w:sz w:val="24"/>
          <w:szCs w:val="24"/>
        </w:rPr>
        <w:t>-grade girls who are not proficient in math or ELA, as well as the share of 11</w:t>
      </w:r>
      <w:r w:rsidR="003F0757" w:rsidRPr="002E7F75">
        <w:rPr>
          <w:rFonts w:ascii="Times New Roman" w:hAnsi="Times New Roman" w:cs="Times New Roman"/>
          <w:sz w:val="24"/>
          <w:szCs w:val="24"/>
          <w:vertAlign w:val="superscript"/>
        </w:rPr>
        <w:t>th</w:t>
      </w:r>
      <w:r w:rsidR="003F0757">
        <w:rPr>
          <w:rFonts w:ascii="Times New Roman" w:hAnsi="Times New Roman" w:cs="Times New Roman"/>
          <w:sz w:val="24"/>
          <w:szCs w:val="24"/>
        </w:rPr>
        <w:t>-grade boys who are not proficient in ELA</w:t>
      </w:r>
      <w:r w:rsidR="00584088">
        <w:rPr>
          <w:rFonts w:ascii="Times New Roman" w:hAnsi="Times New Roman" w:cs="Times New Roman"/>
          <w:sz w:val="24"/>
          <w:szCs w:val="24"/>
        </w:rPr>
        <w:t xml:space="preserve">. </w:t>
      </w:r>
      <w:r w:rsidR="003F0757">
        <w:rPr>
          <w:rFonts w:ascii="Times New Roman" w:hAnsi="Times New Roman" w:cs="Times New Roman"/>
          <w:sz w:val="24"/>
          <w:szCs w:val="24"/>
        </w:rPr>
        <w:t>There appears to be, however, a decline in the share of 11</w:t>
      </w:r>
      <w:r w:rsidR="003F0757" w:rsidRPr="002E7F75">
        <w:rPr>
          <w:rFonts w:ascii="Times New Roman" w:hAnsi="Times New Roman" w:cs="Times New Roman"/>
          <w:sz w:val="24"/>
          <w:szCs w:val="24"/>
          <w:vertAlign w:val="superscript"/>
        </w:rPr>
        <w:t>th</w:t>
      </w:r>
      <w:r w:rsidR="003F0757">
        <w:rPr>
          <w:rFonts w:ascii="Times New Roman" w:hAnsi="Times New Roman" w:cs="Times New Roman"/>
          <w:sz w:val="24"/>
          <w:szCs w:val="24"/>
        </w:rPr>
        <w:t>-grade boys who are not proficient in math.</w:t>
      </w:r>
      <w:r w:rsidR="003F0757">
        <w:rPr>
          <w:rStyle w:val="FootnoteReference"/>
          <w:rFonts w:ascii="Times New Roman" w:hAnsi="Times New Roman" w:cs="Times New Roman"/>
          <w:sz w:val="24"/>
          <w:szCs w:val="24"/>
        </w:rPr>
        <w:footnoteReference w:id="3"/>
      </w:r>
    </w:p>
    <w:p w14:paraId="2092A0F6" w14:textId="21808CC9" w:rsidR="003F0757" w:rsidRDefault="003F0757" w:rsidP="003F0757">
      <w:pPr>
        <w:spacing w:after="0" w:line="480" w:lineRule="auto"/>
        <w:ind w:firstLine="720"/>
        <w:contextualSpacing/>
        <w:jc w:val="both"/>
        <w:rPr>
          <w:rFonts w:ascii="Times New Roman" w:hAnsi="Times New Roman" w:cs="Times New Roman"/>
          <w:sz w:val="24"/>
          <w:szCs w:val="24"/>
        </w:rPr>
      </w:pPr>
      <w:r w:rsidRPr="008B0C80">
        <w:rPr>
          <w:rFonts w:ascii="Times New Roman" w:hAnsi="Times New Roman" w:cs="Times New Roman"/>
          <w:sz w:val="24"/>
          <w:szCs w:val="24"/>
        </w:rPr>
        <w:t>The weight of the evidence suggests that recreational marijuana legalization in Washington leads to worse behavioral outcomes for 11</w:t>
      </w:r>
      <w:r w:rsidRPr="008B0C80">
        <w:rPr>
          <w:rFonts w:ascii="Times New Roman" w:hAnsi="Times New Roman" w:cs="Times New Roman"/>
          <w:sz w:val="24"/>
          <w:szCs w:val="24"/>
          <w:vertAlign w:val="superscript"/>
        </w:rPr>
        <w:t>th</w:t>
      </w:r>
      <w:r w:rsidRPr="008B0C80">
        <w:rPr>
          <w:rFonts w:ascii="Times New Roman" w:hAnsi="Times New Roman" w:cs="Times New Roman"/>
          <w:sz w:val="24"/>
          <w:szCs w:val="24"/>
        </w:rPr>
        <w:t xml:space="preserve"> and 12</w:t>
      </w:r>
      <w:r w:rsidRPr="008B0C80">
        <w:rPr>
          <w:rFonts w:ascii="Times New Roman" w:hAnsi="Times New Roman" w:cs="Times New Roman"/>
          <w:sz w:val="24"/>
          <w:szCs w:val="24"/>
          <w:vertAlign w:val="superscript"/>
        </w:rPr>
        <w:t>th</w:t>
      </w:r>
      <w:r w:rsidRPr="008B0C80">
        <w:rPr>
          <w:rFonts w:ascii="Times New Roman" w:hAnsi="Times New Roman" w:cs="Times New Roman"/>
          <w:sz w:val="24"/>
          <w:szCs w:val="24"/>
        </w:rPr>
        <w:t xml:space="preserve"> graders, both girls and boys. There are larger effects on dropout and chronic absenteeism rates for girls than boys, while discipline rates increase for boys but not girls.</w:t>
      </w:r>
      <w:r>
        <w:rPr>
          <w:rFonts w:ascii="Times New Roman" w:hAnsi="Times New Roman" w:cs="Times New Roman"/>
          <w:sz w:val="24"/>
          <w:szCs w:val="24"/>
        </w:rPr>
        <w:t xml:space="preserve"> </w:t>
      </w:r>
    </w:p>
    <w:p w14:paraId="327E1EAF" w14:textId="011FC1DE" w:rsidR="00442CD2" w:rsidRDefault="00442CD2" w:rsidP="00442CD2">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is a large body of empirical work in economics </w:t>
      </w:r>
      <w:r w:rsidR="005A0F44">
        <w:rPr>
          <w:rFonts w:ascii="Times New Roman" w:hAnsi="Times New Roman" w:cs="Times New Roman"/>
          <w:sz w:val="24"/>
          <w:szCs w:val="24"/>
        </w:rPr>
        <w:t xml:space="preserve">and public health </w:t>
      </w:r>
      <w:r>
        <w:rPr>
          <w:rFonts w:ascii="Times New Roman" w:hAnsi="Times New Roman" w:cs="Times New Roman"/>
          <w:sz w:val="24"/>
          <w:szCs w:val="24"/>
        </w:rPr>
        <w:t>that examines the relationship between substance us</w:t>
      </w:r>
      <w:r w:rsidR="00DF730C">
        <w:rPr>
          <w:rFonts w:ascii="Times New Roman" w:hAnsi="Times New Roman" w:cs="Times New Roman"/>
          <w:sz w:val="24"/>
          <w:szCs w:val="24"/>
        </w:rPr>
        <w:t xml:space="preserve">e </w:t>
      </w:r>
      <w:r>
        <w:rPr>
          <w:rFonts w:ascii="Times New Roman" w:hAnsi="Times New Roman" w:cs="Times New Roman"/>
          <w:sz w:val="24"/>
          <w:szCs w:val="24"/>
        </w:rPr>
        <w:t xml:space="preserve">and human capital accumulation. Most of this literature focuses on cigarette smoking and alcohol use, while only a small part examines the effect of marijuana use. Generally, these papers have shown that there is a negative relationship between smoking </w:t>
      </w:r>
      <w:r w:rsidRPr="00AA089A">
        <w:rPr>
          <w:rFonts w:ascii="Times New Roman" w:hAnsi="Times New Roman" w:cs="Times New Roman"/>
          <w:sz w:val="24"/>
          <w:szCs w:val="24"/>
        </w:rPr>
        <w:t>marijuana and educational attainment</w:t>
      </w:r>
      <w:r w:rsidR="00AA089A" w:rsidRPr="00AA089A">
        <w:rPr>
          <w:rFonts w:ascii="Times New Roman" w:hAnsi="Times New Roman" w:cs="Times New Roman"/>
          <w:sz w:val="24"/>
          <w:szCs w:val="24"/>
        </w:rPr>
        <w:t>.</w:t>
      </w:r>
      <w:r w:rsidR="00DD2E48">
        <w:rPr>
          <w:rStyle w:val="FootnoteReference"/>
          <w:rFonts w:ascii="Times New Roman" w:hAnsi="Times New Roman" w:cs="Times New Roman"/>
          <w:sz w:val="24"/>
          <w:szCs w:val="24"/>
        </w:rPr>
        <w:footnoteReference w:id="4"/>
      </w:r>
    </w:p>
    <w:p w14:paraId="2B6BF452" w14:textId="62BE7F9E" w:rsidR="00442CD2" w:rsidRDefault="00442CD2" w:rsidP="00442CD2">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negative relationship could be explained by the effects of </w:t>
      </w:r>
      <w:r w:rsidRPr="005F2DAB">
        <w:rPr>
          <w:rFonts w:ascii="Times New Roman" w:hAnsi="Times New Roman" w:cs="Times New Roman"/>
          <w:sz w:val="24"/>
          <w:szCs w:val="24"/>
        </w:rPr>
        <w:t>tetrahydrocannabinol (THC)</w:t>
      </w:r>
      <w:r>
        <w:rPr>
          <w:rFonts w:ascii="Times New Roman" w:hAnsi="Times New Roman" w:cs="Times New Roman"/>
          <w:sz w:val="24"/>
          <w:szCs w:val="24"/>
        </w:rPr>
        <w:t>, the psychoactive ingredient in marijuana that produces the drug’s high, on brain function</w:t>
      </w:r>
      <w:r w:rsidR="00345448">
        <w:rPr>
          <w:rFonts w:ascii="Times New Roman" w:hAnsi="Times New Roman" w:cs="Times New Roman"/>
          <w:sz w:val="24"/>
          <w:szCs w:val="24"/>
        </w:rPr>
        <w:t xml:space="preserve"> and cognitive development</w:t>
      </w:r>
      <w:r w:rsidRPr="00B82A1B">
        <w:rPr>
          <w:rFonts w:ascii="Times New Roman" w:hAnsi="Times New Roman" w:cs="Times New Roman"/>
          <w:sz w:val="24"/>
          <w:szCs w:val="24"/>
        </w:rPr>
        <w:t>.</w:t>
      </w:r>
      <w:r w:rsidR="002B212F">
        <w:rPr>
          <w:rStyle w:val="FootnoteReference"/>
          <w:rFonts w:ascii="Times New Roman" w:hAnsi="Times New Roman" w:cs="Times New Roman"/>
          <w:sz w:val="24"/>
          <w:szCs w:val="24"/>
        </w:rPr>
        <w:footnoteReference w:id="5"/>
      </w:r>
      <w:r w:rsidRPr="00B82A1B">
        <w:rPr>
          <w:rFonts w:ascii="Times New Roman" w:hAnsi="Times New Roman" w:cs="Times New Roman"/>
          <w:sz w:val="24"/>
          <w:szCs w:val="24"/>
        </w:rPr>
        <w:t xml:space="preserve"> </w:t>
      </w:r>
      <w:r>
        <w:rPr>
          <w:rFonts w:ascii="Times New Roman" w:hAnsi="Times New Roman" w:cs="Times New Roman"/>
          <w:sz w:val="24"/>
          <w:szCs w:val="24"/>
        </w:rPr>
        <w:t xml:space="preserve">It is also possible that using marijuana decreases educational </w:t>
      </w:r>
      <w:r>
        <w:rPr>
          <w:rFonts w:ascii="Times New Roman" w:hAnsi="Times New Roman" w:cs="Times New Roman"/>
          <w:sz w:val="24"/>
          <w:szCs w:val="24"/>
        </w:rPr>
        <w:lastRenderedPageBreak/>
        <w:t xml:space="preserve">attainment indirectly. For example, some research suggests that </w:t>
      </w:r>
      <w:r w:rsidRPr="005F2DAB">
        <w:rPr>
          <w:rFonts w:ascii="Times New Roman" w:hAnsi="Times New Roman" w:cs="Times New Roman"/>
          <w:sz w:val="24"/>
          <w:szCs w:val="24"/>
        </w:rPr>
        <w:t>marijuana is a gateway drug to alcohol and other illicit substances</w:t>
      </w:r>
      <w:r>
        <w:rPr>
          <w:rFonts w:ascii="Times New Roman" w:hAnsi="Times New Roman" w:cs="Times New Roman"/>
          <w:sz w:val="24"/>
          <w:szCs w:val="24"/>
        </w:rPr>
        <w:t xml:space="preserve">, and that using </w:t>
      </w:r>
      <w:r w:rsidRPr="005F2DAB">
        <w:rPr>
          <w:rFonts w:ascii="Times New Roman" w:hAnsi="Times New Roman" w:cs="Times New Roman"/>
          <w:sz w:val="24"/>
          <w:szCs w:val="24"/>
        </w:rPr>
        <w:t>marijuana</w:t>
      </w:r>
      <w:r>
        <w:rPr>
          <w:rFonts w:ascii="Times New Roman" w:hAnsi="Times New Roman" w:cs="Times New Roman"/>
          <w:sz w:val="24"/>
          <w:szCs w:val="24"/>
        </w:rPr>
        <w:t xml:space="preserve"> </w:t>
      </w:r>
      <w:r w:rsidRPr="005F2DAB">
        <w:rPr>
          <w:rFonts w:ascii="Times New Roman" w:hAnsi="Times New Roman" w:cs="Times New Roman"/>
          <w:sz w:val="24"/>
          <w:szCs w:val="24"/>
        </w:rPr>
        <w:t>leads to worse mental health and greater participation in deviant and criminal behaviors</w:t>
      </w:r>
      <w:r>
        <w:rPr>
          <w:rFonts w:ascii="Times New Roman" w:hAnsi="Times New Roman" w:cs="Times New Roman"/>
          <w:sz w:val="24"/>
          <w:szCs w:val="24"/>
        </w:rPr>
        <w:t>, which can all have negative effects on educational outcomes</w:t>
      </w:r>
      <w:r w:rsidRPr="005F2DAB">
        <w:rPr>
          <w:rFonts w:ascii="Times New Roman" w:hAnsi="Times New Roman" w:cs="Times New Roman"/>
          <w:sz w:val="24"/>
          <w:szCs w:val="24"/>
        </w:rPr>
        <w:t>.</w:t>
      </w:r>
      <w:r w:rsidRPr="000121A5">
        <w:rPr>
          <w:rStyle w:val="FootnoteReference"/>
          <w:rFonts w:ascii="Times New Roman" w:hAnsi="Times New Roman" w:cs="Times New Roman"/>
          <w:sz w:val="24"/>
          <w:szCs w:val="24"/>
        </w:rPr>
        <w:footnoteReference w:id="6"/>
      </w:r>
      <w:r w:rsidRPr="005F2DAB">
        <w:rPr>
          <w:rFonts w:ascii="Times New Roman" w:hAnsi="Times New Roman" w:cs="Times New Roman"/>
          <w:sz w:val="24"/>
          <w:szCs w:val="24"/>
        </w:rPr>
        <w:t xml:space="preserve"> </w:t>
      </w:r>
    </w:p>
    <w:p w14:paraId="1C92590C" w14:textId="56029C2B" w:rsidR="00A17FF8" w:rsidRDefault="00F25D5F" w:rsidP="007F2D5B">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Even though r</w:t>
      </w:r>
      <w:r w:rsidR="00442CD2">
        <w:rPr>
          <w:rFonts w:ascii="Times New Roman" w:hAnsi="Times New Roman" w:cs="Times New Roman"/>
          <w:sz w:val="24"/>
          <w:szCs w:val="24"/>
        </w:rPr>
        <w:t xml:space="preserve">esearchers have consistently found </w:t>
      </w:r>
      <w:r>
        <w:rPr>
          <w:rFonts w:ascii="Times New Roman" w:hAnsi="Times New Roman" w:cs="Times New Roman"/>
          <w:sz w:val="24"/>
          <w:szCs w:val="24"/>
        </w:rPr>
        <w:t>that marijuana use and education</w:t>
      </w:r>
      <w:r w:rsidR="00F03E8F">
        <w:rPr>
          <w:rFonts w:ascii="Times New Roman" w:hAnsi="Times New Roman" w:cs="Times New Roman"/>
          <w:sz w:val="24"/>
          <w:szCs w:val="24"/>
        </w:rPr>
        <w:t xml:space="preserve">al outcomes are negatively related, not much has been done to understand the effects of marijuana laws on </w:t>
      </w:r>
      <w:r w:rsidR="00957C0D">
        <w:rPr>
          <w:rFonts w:ascii="Times New Roman" w:hAnsi="Times New Roman" w:cs="Times New Roman"/>
          <w:sz w:val="24"/>
          <w:szCs w:val="24"/>
        </w:rPr>
        <w:t>underage use and student outcomes</w:t>
      </w:r>
      <w:r w:rsidR="004E03D5">
        <w:rPr>
          <w:rFonts w:ascii="Times New Roman" w:hAnsi="Times New Roman" w:cs="Times New Roman"/>
          <w:sz w:val="24"/>
          <w:szCs w:val="24"/>
        </w:rPr>
        <w:t xml:space="preserve">. Some papers examine the </w:t>
      </w:r>
      <w:r w:rsidR="00836C03">
        <w:rPr>
          <w:rFonts w:ascii="Times New Roman" w:hAnsi="Times New Roman" w:cs="Times New Roman"/>
          <w:sz w:val="24"/>
          <w:szCs w:val="24"/>
        </w:rPr>
        <w:t>impact</w:t>
      </w:r>
      <w:r w:rsidR="004E03D5">
        <w:rPr>
          <w:rFonts w:ascii="Times New Roman" w:hAnsi="Times New Roman" w:cs="Times New Roman"/>
          <w:sz w:val="24"/>
          <w:szCs w:val="24"/>
        </w:rPr>
        <w:t xml:space="preserve"> of </w:t>
      </w:r>
      <w:r w:rsidR="00484D41">
        <w:rPr>
          <w:rFonts w:ascii="Times New Roman" w:hAnsi="Times New Roman" w:cs="Times New Roman"/>
          <w:sz w:val="24"/>
          <w:szCs w:val="24"/>
        </w:rPr>
        <w:t xml:space="preserve">medical and recreational marijuana legalization on access to </w:t>
      </w:r>
      <w:r w:rsidR="009335CB">
        <w:rPr>
          <w:rFonts w:ascii="Times New Roman" w:hAnsi="Times New Roman" w:cs="Times New Roman"/>
          <w:sz w:val="24"/>
          <w:szCs w:val="24"/>
        </w:rPr>
        <w:t xml:space="preserve">marijuana and underage use, but </w:t>
      </w:r>
      <w:r w:rsidR="00491C0A">
        <w:rPr>
          <w:rFonts w:ascii="Times New Roman" w:hAnsi="Times New Roman" w:cs="Times New Roman"/>
          <w:sz w:val="24"/>
          <w:szCs w:val="24"/>
        </w:rPr>
        <w:t xml:space="preserve">the results are </w:t>
      </w:r>
      <w:r w:rsidR="00491C0A" w:rsidRPr="003363D5">
        <w:rPr>
          <w:rFonts w:ascii="Times New Roman" w:hAnsi="Times New Roman" w:cs="Times New Roman"/>
          <w:sz w:val="24"/>
          <w:szCs w:val="24"/>
        </w:rPr>
        <w:t>inconclusive</w:t>
      </w:r>
      <w:r w:rsidR="002B212F">
        <w:rPr>
          <w:rFonts w:ascii="Times New Roman" w:hAnsi="Times New Roman" w:cs="Times New Roman"/>
          <w:sz w:val="24"/>
          <w:szCs w:val="24"/>
        </w:rPr>
        <w:t>.</w:t>
      </w:r>
      <w:r w:rsidR="002B212F">
        <w:rPr>
          <w:rStyle w:val="FootnoteReference"/>
          <w:rFonts w:ascii="Times New Roman" w:hAnsi="Times New Roman" w:cs="Times New Roman"/>
          <w:sz w:val="24"/>
          <w:szCs w:val="24"/>
        </w:rPr>
        <w:footnoteReference w:id="7"/>
      </w:r>
      <w:r w:rsidR="002B212F">
        <w:rPr>
          <w:rFonts w:ascii="Times New Roman" w:hAnsi="Times New Roman" w:cs="Times New Roman"/>
          <w:sz w:val="24"/>
          <w:szCs w:val="24"/>
        </w:rPr>
        <w:t xml:space="preserve"> </w:t>
      </w:r>
      <w:r w:rsidR="00760E3B">
        <w:rPr>
          <w:rFonts w:ascii="Times New Roman" w:hAnsi="Times New Roman" w:cs="Times New Roman"/>
          <w:sz w:val="24"/>
          <w:szCs w:val="24"/>
        </w:rPr>
        <w:t xml:space="preserve">Further, I am unaware of </w:t>
      </w:r>
      <w:r w:rsidR="00CD4787">
        <w:rPr>
          <w:rFonts w:ascii="Times New Roman" w:hAnsi="Times New Roman" w:cs="Times New Roman"/>
          <w:sz w:val="24"/>
          <w:szCs w:val="24"/>
        </w:rPr>
        <w:t xml:space="preserve">any papers, except for </w:t>
      </w:r>
      <w:r w:rsidR="000C2625">
        <w:rPr>
          <w:rFonts w:ascii="Times New Roman" w:hAnsi="Times New Roman" w:cs="Times New Roman"/>
          <w:sz w:val="24"/>
          <w:szCs w:val="24"/>
        </w:rPr>
        <w:t xml:space="preserve">Jarrold-Grapes (2023), that estimate the effects of legalization on educational outcomes. </w:t>
      </w:r>
      <w:r w:rsidR="00B12DE9">
        <w:rPr>
          <w:rFonts w:ascii="Times New Roman" w:hAnsi="Times New Roman" w:cs="Times New Roman"/>
          <w:sz w:val="24"/>
          <w:szCs w:val="24"/>
        </w:rPr>
        <w:t xml:space="preserve">While I ask a similar question in Jarrold-Grapes (2023) that I do </w:t>
      </w:r>
      <w:r w:rsidR="00AF2A66">
        <w:rPr>
          <w:rFonts w:ascii="Times New Roman" w:hAnsi="Times New Roman" w:cs="Times New Roman"/>
          <w:sz w:val="24"/>
          <w:szCs w:val="24"/>
        </w:rPr>
        <w:t xml:space="preserve">here, the two papers differ considerably. </w:t>
      </w:r>
      <w:r w:rsidR="00AA3037">
        <w:rPr>
          <w:rFonts w:ascii="Times New Roman" w:hAnsi="Times New Roman" w:cs="Times New Roman"/>
          <w:sz w:val="24"/>
          <w:szCs w:val="24"/>
        </w:rPr>
        <w:t>In Jarrold-Grapes (2023), I focus on legalization in Oregon</w:t>
      </w:r>
      <w:r w:rsidR="00184B49">
        <w:rPr>
          <w:rFonts w:ascii="Times New Roman" w:hAnsi="Times New Roman" w:cs="Times New Roman"/>
          <w:sz w:val="24"/>
          <w:szCs w:val="24"/>
        </w:rPr>
        <w:t xml:space="preserve">, which did not use a lottery system to distribute dispensary licenses, but rather allowed </w:t>
      </w:r>
      <w:r w:rsidR="000554AC">
        <w:rPr>
          <w:rFonts w:ascii="Times New Roman" w:hAnsi="Times New Roman" w:cs="Times New Roman"/>
          <w:sz w:val="24"/>
          <w:szCs w:val="24"/>
        </w:rPr>
        <w:t xml:space="preserve">localities that voted against the legalization measure with a 55% majority to </w:t>
      </w:r>
      <w:r w:rsidR="006B6DBC">
        <w:rPr>
          <w:rFonts w:ascii="Times New Roman" w:hAnsi="Times New Roman" w:cs="Times New Roman"/>
          <w:sz w:val="24"/>
          <w:szCs w:val="24"/>
        </w:rPr>
        <w:t>ban dispensaries</w:t>
      </w:r>
      <w:r w:rsidR="00205FEB">
        <w:rPr>
          <w:rFonts w:ascii="Times New Roman" w:hAnsi="Times New Roman" w:cs="Times New Roman"/>
          <w:sz w:val="24"/>
          <w:szCs w:val="24"/>
        </w:rPr>
        <w:t xml:space="preserve"> and other marijuana businesses.</w:t>
      </w:r>
      <w:r w:rsidR="00D709EF">
        <w:rPr>
          <w:rFonts w:ascii="Times New Roman" w:hAnsi="Times New Roman" w:cs="Times New Roman"/>
          <w:sz w:val="24"/>
          <w:szCs w:val="24"/>
        </w:rPr>
        <w:t xml:space="preserve"> I have access to student survey data for Oregon that allows me to estimate first</w:t>
      </w:r>
      <w:r w:rsidR="0037478A">
        <w:rPr>
          <w:rFonts w:ascii="Times New Roman" w:hAnsi="Times New Roman" w:cs="Times New Roman"/>
          <w:sz w:val="24"/>
          <w:szCs w:val="24"/>
        </w:rPr>
        <w:t>-</w:t>
      </w:r>
      <w:r w:rsidR="00D709EF">
        <w:rPr>
          <w:rFonts w:ascii="Times New Roman" w:hAnsi="Times New Roman" w:cs="Times New Roman"/>
          <w:sz w:val="24"/>
          <w:szCs w:val="24"/>
        </w:rPr>
        <w:t xml:space="preserve">stage effects on marijuana accessibility and use </w:t>
      </w:r>
      <w:r w:rsidR="0037478A">
        <w:rPr>
          <w:rFonts w:ascii="Times New Roman" w:hAnsi="Times New Roman" w:cs="Times New Roman"/>
          <w:sz w:val="24"/>
          <w:szCs w:val="24"/>
        </w:rPr>
        <w:t>before estimating the effects on student outcomes</w:t>
      </w:r>
      <w:r w:rsidR="00E908B4">
        <w:rPr>
          <w:rFonts w:ascii="Times New Roman" w:hAnsi="Times New Roman" w:cs="Times New Roman"/>
          <w:sz w:val="24"/>
          <w:szCs w:val="24"/>
        </w:rPr>
        <w:t xml:space="preserve">, as well as explore some potential mechanisms </w:t>
      </w:r>
      <w:r w:rsidR="007F2D5B">
        <w:rPr>
          <w:rFonts w:ascii="Times New Roman" w:hAnsi="Times New Roman" w:cs="Times New Roman"/>
          <w:sz w:val="24"/>
          <w:szCs w:val="24"/>
        </w:rPr>
        <w:t xml:space="preserve">driving the different results for girls and boys. </w:t>
      </w:r>
    </w:p>
    <w:p w14:paraId="6364F0FE" w14:textId="38562765" w:rsidR="00442CD2" w:rsidRDefault="00442CD2" w:rsidP="00442CD2">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is </w:t>
      </w:r>
      <w:r w:rsidR="007F2D5B">
        <w:rPr>
          <w:rFonts w:ascii="Times New Roman" w:hAnsi="Times New Roman" w:cs="Times New Roman"/>
          <w:sz w:val="24"/>
          <w:szCs w:val="24"/>
        </w:rPr>
        <w:t xml:space="preserve">a </w:t>
      </w:r>
      <w:r>
        <w:rPr>
          <w:rFonts w:ascii="Times New Roman" w:hAnsi="Times New Roman" w:cs="Times New Roman"/>
          <w:sz w:val="24"/>
          <w:szCs w:val="24"/>
        </w:rPr>
        <w:t xml:space="preserve">body of </w:t>
      </w:r>
      <w:r w:rsidRPr="001A169F">
        <w:rPr>
          <w:rFonts w:ascii="Times New Roman" w:hAnsi="Times New Roman" w:cs="Times New Roman"/>
          <w:sz w:val="24"/>
          <w:szCs w:val="24"/>
        </w:rPr>
        <w:t>literature in both psychology and neuroscience that suggests that girls and boys could respond differently to legalization. Psychologists have found that boys are more likely to be risk-takers than girls</w:t>
      </w:r>
      <w:r w:rsidR="005E5CAA">
        <w:rPr>
          <w:rFonts w:ascii="Times New Roman" w:hAnsi="Times New Roman" w:cs="Times New Roman"/>
          <w:sz w:val="24"/>
          <w:szCs w:val="24"/>
        </w:rPr>
        <w:t xml:space="preserve">, which could lead to different levels of use before and after </w:t>
      </w:r>
      <w:r w:rsidR="005E5CAA">
        <w:rPr>
          <w:rFonts w:ascii="Times New Roman" w:hAnsi="Times New Roman" w:cs="Times New Roman"/>
          <w:sz w:val="24"/>
          <w:szCs w:val="24"/>
        </w:rPr>
        <w:lastRenderedPageBreak/>
        <w:t>legalization</w:t>
      </w:r>
      <w:r w:rsidR="00FA6669">
        <w:rPr>
          <w:rFonts w:ascii="Times New Roman" w:hAnsi="Times New Roman" w:cs="Times New Roman"/>
          <w:sz w:val="24"/>
          <w:szCs w:val="24"/>
        </w:rPr>
        <w:t xml:space="preserve"> and different effects on educational outcomes</w:t>
      </w:r>
      <w:r w:rsidRPr="001A169F">
        <w:rPr>
          <w:rFonts w:ascii="Times New Roman" w:hAnsi="Times New Roman" w:cs="Times New Roman"/>
          <w:sz w:val="24"/>
          <w:szCs w:val="24"/>
        </w:rPr>
        <w:t>.</w:t>
      </w:r>
      <w:r w:rsidRPr="001A169F">
        <w:rPr>
          <w:rStyle w:val="FootnoteReference"/>
          <w:rFonts w:ascii="Times New Roman" w:hAnsi="Times New Roman" w:cs="Times New Roman"/>
          <w:sz w:val="24"/>
          <w:szCs w:val="24"/>
        </w:rPr>
        <w:footnoteReference w:id="8"/>
      </w:r>
      <w:r w:rsidR="00FA6669">
        <w:rPr>
          <w:rFonts w:ascii="Times New Roman" w:hAnsi="Times New Roman" w:cs="Times New Roman"/>
          <w:sz w:val="24"/>
          <w:szCs w:val="24"/>
        </w:rPr>
        <w:t xml:space="preserve"> </w:t>
      </w:r>
      <w:r w:rsidRPr="001A169F">
        <w:rPr>
          <w:rFonts w:ascii="Times New Roman" w:hAnsi="Times New Roman" w:cs="Times New Roman"/>
          <w:sz w:val="24"/>
          <w:szCs w:val="24"/>
        </w:rPr>
        <w:t>Additionally, there are biological differences between males and females, like brain chemistry and hormone levels, that make them respond differently to THC in ways that could impact how well they perform in school. Neuroscientists have found that using marijuana has different effects on female and male</w:t>
      </w:r>
      <w:r w:rsidR="00962DC1">
        <w:rPr>
          <w:rFonts w:ascii="Times New Roman" w:hAnsi="Times New Roman" w:cs="Times New Roman"/>
          <w:sz w:val="24"/>
          <w:szCs w:val="24"/>
        </w:rPr>
        <w:t xml:space="preserve"> brains that </w:t>
      </w:r>
      <w:r w:rsidR="00A65D95">
        <w:rPr>
          <w:rFonts w:ascii="Times New Roman" w:hAnsi="Times New Roman" w:cs="Times New Roman"/>
          <w:sz w:val="24"/>
          <w:szCs w:val="24"/>
        </w:rPr>
        <w:t>could l</w:t>
      </w:r>
      <w:r w:rsidRPr="001A169F">
        <w:rPr>
          <w:rFonts w:ascii="Times New Roman" w:hAnsi="Times New Roman" w:cs="Times New Roman"/>
          <w:sz w:val="24"/>
          <w:szCs w:val="24"/>
        </w:rPr>
        <w:t>ead to increased anxiety, depression, and short-term memory loss, particularly for females. Also, because of their estrogen levels, females are more sensitive to the pain-relieving effects of THC and develop a tolerance to the drug faster than males, leading to a greater probability of addiction.</w:t>
      </w:r>
      <w:r w:rsidRPr="001A169F">
        <w:rPr>
          <w:rStyle w:val="FootnoteReference"/>
          <w:rFonts w:ascii="Times New Roman" w:hAnsi="Times New Roman" w:cs="Times New Roman"/>
          <w:sz w:val="24"/>
          <w:szCs w:val="24"/>
        </w:rPr>
        <w:footnoteReference w:id="9"/>
      </w:r>
      <w:r w:rsidRPr="001A169F">
        <w:rPr>
          <w:rFonts w:ascii="Times New Roman" w:hAnsi="Times New Roman" w:cs="Times New Roman"/>
          <w:sz w:val="24"/>
          <w:szCs w:val="24"/>
        </w:rPr>
        <w:t xml:space="preserve"> Since there is strong evidence pointing to possible differential effects of legalization by student gender, I estimate effects for both boys and girls separately. </w:t>
      </w:r>
    </w:p>
    <w:p w14:paraId="627494F9" w14:textId="736C6501" w:rsidR="003F40F5" w:rsidRPr="00442CD2" w:rsidRDefault="003F0757" w:rsidP="00442CD2">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rest of the paper is organized as follows. In the next section, I provide background information on</w:t>
      </w:r>
      <w:r w:rsidR="00564A3C">
        <w:rPr>
          <w:rFonts w:ascii="Times New Roman" w:hAnsi="Times New Roman" w:cs="Times New Roman"/>
          <w:sz w:val="24"/>
          <w:szCs w:val="24"/>
        </w:rPr>
        <w:t xml:space="preserve"> </w:t>
      </w:r>
      <w:r w:rsidR="001B5FCF">
        <w:rPr>
          <w:rFonts w:ascii="Times New Roman" w:hAnsi="Times New Roman" w:cs="Times New Roman"/>
          <w:sz w:val="24"/>
          <w:szCs w:val="24"/>
        </w:rPr>
        <w:t xml:space="preserve">legalization and the </w:t>
      </w:r>
      <w:r>
        <w:rPr>
          <w:rFonts w:ascii="Times New Roman" w:hAnsi="Times New Roman" w:cs="Times New Roman"/>
          <w:sz w:val="24"/>
          <w:szCs w:val="24"/>
        </w:rPr>
        <w:t>dispensary license lottery. In section 3, I describe the data on marijuana dispensaries and educational outcomes. Then, in section 4, I present my empirical framework and in section 5 I discuss the main results. Robustness checks and extensions are included in section 6. Finally, I discuss caveats and conclusions.</w:t>
      </w:r>
    </w:p>
    <w:p w14:paraId="67120769" w14:textId="1F09E2B0" w:rsidR="00E146D1" w:rsidRDefault="00E146D1" w:rsidP="00E146D1">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Background on Marijuana Legalization in Washington</w:t>
      </w:r>
    </w:p>
    <w:p w14:paraId="0A3E237D" w14:textId="0E42FBD6" w:rsidR="00420A66" w:rsidRDefault="00CA5F95" w:rsidP="0054652D">
      <w:pPr>
        <w:rPr>
          <w:rFonts w:ascii="Times New Roman" w:hAnsi="Times New Roman" w:cs="Times New Roman"/>
          <w:sz w:val="24"/>
          <w:szCs w:val="24"/>
        </w:rPr>
      </w:pPr>
      <w:r>
        <w:rPr>
          <w:rFonts w:ascii="Times New Roman" w:hAnsi="Times New Roman" w:cs="Times New Roman"/>
          <w:b/>
          <w:bCs/>
          <w:sz w:val="28"/>
          <w:szCs w:val="28"/>
        </w:rPr>
        <w:t>2</w:t>
      </w:r>
      <w:r w:rsidR="00420A66" w:rsidRPr="00282BB8">
        <w:rPr>
          <w:rFonts w:ascii="Times New Roman" w:hAnsi="Times New Roman" w:cs="Times New Roman"/>
          <w:b/>
          <w:bCs/>
          <w:sz w:val="28"/>
          <w:szCs w:val="28"/>
        </w:rPr>
        <w:t>.1</w:t>
      </w:r>
      <w:r w:rsidR="00420A66" w:rsidRPr="00282BB8">
        <w:rPr>
          <w:rFonts w:ascii="Times New Roman" w:hAnsi="Times New Roman" w:cs="Times New Roman"/>
          <w:sz w:val="24"/>
          <w:szCs w:val="24"/>
        </w:rPr>
        <w:tab/>
      </w:r>
      <w:r w:rsidR="00420A66" w:rsidRPr="00282BB8">
        <w:rPr>
          <w:rFonts w:ascii="Times New Roman" w:hAnsi="Times New Roman" w:cs="Times New Roman"/>
          <w:b/>
          <w:bCs/>
          <w:sz w:val="28"/>
          <w:szCs w:val="28"/>
        </w:rPr>
        <w:t>Initiative-502</w:t>
      </w:r>
      <w:r w:rsidR="00420A66">
        <w:rPr>
          <w:rFonts w:ascii="Times New Roman" w:hAnsi="Times New Roman" w:cs="Times New Roman"/>
          <w:sz w:val="24"/>
          <w:szCs w:val="24"/>
        </w:rPr>
        <w:t xml:space="preserve"> </w:t>
      </w:r>
    </w:p>
    <w:p w14:paraId="3FA9A107" w14:textId="77777777" w:rsidR="00091970" w:rsidRDefault="003F5D28" w:rsidP="00091970">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Washington voters </w:t>
      </w:r>
      <w:r w:rsidRPr="00A24A1D">
        <w:rPr>
          <w:rFonts w:ascii="Times New Roman" w:hAnsi="Times New Roman" w:cs="Times New Roman"/>
          <w:sz w:val="24"/>
          <w:szCs w:val="24"/>
        </w:rPr>
        <w:t>passed Initiative-502 (I-502) with</w:t>
      </w:r>
      <w:r>
        <w:rPr>
          <w:rFonts w:ascii="Times New Roman" w:hAnsi="Times New Roman" w:cs="Times New Roman"/>
          <w:sz w:val="24"/>
          <w:szCs w:val="24"/>
        </w:rPr>
        <w:t xml:space="preserve"> a 55.7% majority vote on November 6, 2012, making Washington one of the first</w:t>
      </w:r>
      <w:r w:rsidR="005A5597">
        <w:rPr>
          <w:rFonts w:ascii="Times New Roman" w:hAnsi="Times New Roman" w:cs="Times New Roman"/>
          <w:sz w:val="24"/>
          <w:szCs w:val="24"/>
        </w:rPr>
        <w:t xml:space="preserve"> </w:t>
      </w:r>
      <w:r>
        <w:rPr>
          <w:rFonts w:ascii="Times New Roman" w:hAnsi="Times New Roman" w:cs="Times New Roman"/>
          <w:sz w:val="24"/>
          <w:szCs w:val="24"/>
        </w:rPr>
        <w:t>states to legalize recreational marijuana along with Colorado. I-502</w:t>
      </w:r>
      <w:r w:rsidR="00D42625">
        <w:rPr>
          <w:rFonts w:ascii="Times New Roman" w:hAnsi="Times New Roman" w:cs="Times New Roman"/>
          <w:sz w:val="24"/>
          <w:szCs w:val="24"/>
        </w:rPr>
        <w:t xml:space="preserve"> established a legal market for marijuana where adults over the age of 21 could possess and use small amounts of marijuana that they purchased from state-licensed retailers.</w:t>
      </w:r>
      <w:r w:rsidR="00BC1151">
        <w:rPr>
          <w:rStyle w:val="FootnoteReference"/>
          <w:rFonts w:ascii="Times New Roman" w:hAnsi="Times New Roman" w:cs="Times New Roman"/>
          <w:sz w:val="24"/>
          <w:szCs w:val="24"/>
        </w:rPr>
        <w:footnoteReference w:id="10"/>
      </w:r>
      <w:r w:rsidR="00BC1151">
        <w:rPr>
          <w:rFonts w:ascii="Times New Roman" w:hAnsi="Times New Roman" w:cs="Times New Roman"/>
          <w:sz w:val="24"/>
          <w:szCs w:val="24"/>
        </w:rPr>
        <w:t xml:space="preserve"> </w:t>
      </w:r>
      <w:r w:rsidR="006F49C1">
        <w:rPr>
          <w:rFonts w:ascii="Times New Roman" w:hAnsi="Times New Roman" w:cs="Times New Roman"/>
          <w:sz w:val="24"/>
          <w:szCs w:val="24"/>
        </w:rPr>
        <w:t xml:space="preserve">“Small amount” </w:t>
      </w:r>
      <w:r w:rsidR="00DD0F03">
        <w:rPr>
          <w:rFonts w:ascii="Times New Roman" w:hAnsi="Times New Roman" w:cs="Times New Roman"/>
          <w:sz w:val="24"/>
          <w:szCs w:val="24"/>
        </w:rPr>
        <w:t xml:space="preserve">is </w:t>
      </w:r>
      <w:r w:rsidR="006F49C1">
        <w:rPr>
          <w:rFonts w:ascii="Times New Roman" w:hAnsi="Times New Roman" w:cs="Times New Roman"/>
          <w:sz w:val="24"/>
          <w:szCs w:val="24"/>
        </w:rPr>
        <w:t xml:space="preserve">defined </w:t>
      </w:r>
      <w:r w:rsidR="00BC1151">
        <w:rPr>
          <w:rFonts w:ascii="Times New Roman" w:hAnsi="Times New Roman" w:cs="Times New Roman"/>
          <w:sz w:val="24"/>
          <w:szCs w:val="24"/>
        </w:rPr>
        <w:t xml:space="preserve">in the initiative </w:t>
      </w:r>
      <w:r w:rsidR="006F49C1">
        <w:rPr>
          <w:rFonts w:ascii="Times New Roman" w:hAnsi="Times New Roman" w:cs="Times New Roman"/>
          <w:sz w:val="24"/>
          <w:szCs w:val="24"/>
        </w:rPr>
        <w:t xml:space="preserve">as any combination of 1 ounce of useable (dried) </w:t>
      </w:r>
      <w:r w:rsidR="006F49C1">
        <w:rPr>
          <w:rFonts w:ascii="Times New Roman" w:hAnsi="Times New Roman" w:cs="Times New Roman"/>
          <w:sz w:val="24"/>
          <w:szCs w:val="24"/>
        </w:rPr>
        <w:lastRenderedPageBreak/>
        <w:t xml:space="preserve">marijuana, 16 ounces of marijuana-infused products in solid form, and 72 ounces of marijuana-infused products in liquid form. </w:t>
      </w:r>
      <w:r w:rsidR="00BC1151">
        <w:rPr>
          <w:rFonts w:ascii="Times New Roman" w:hAnsi="Times New Roman" w:cs="Times New Roman"/>
          <w:sz w:val="24"/>
          <w:szCs w:val="24"/>
        </w:rPr>
        <w:t xml:space="preserve">The law went </w:t>
      </w:r>
      <w:r w:rsidR="00F76CDA">
        <w:rPr>
          <w:rFonts w:ascii="Times New Roman" w:hAnsi="Times New Roman" w:cs="Times New Roman"/>
          <w:sz w:val="24"/>
          <w:szCs w:val="24"/>
        </w:rPr>
        <w:t>into effect on December 6, 2012.</w:t>
      </w:r>
    </w:p>
    <w:p w14:paraId="64F33EA1" w14:textId="3E9EC378" w:rsidR="003D6914" w:rsidRDefault="00B54FF2" w:rsidP="001E4CEF">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I-502 gave regulatory power to the Washington State Liquor and Cannabis Board (WSLCB). By December 1, 2013, the WSLCB was required to have established </w:t>
      </w:r>
      <w:r w:rsidR="004F293E">
        <w:rPr>
          <w:rFonts w:ascii="Times New Roman" w:hAnsi="Times New Roman" w:cs="Times New Roman"/>
          <w:sz w:val="24"/>
          <w:szCs w:val="24"/>
        </w:rPr>
        <w:t>several rules</w:t>
      </w:r>
      <w:r w:rsidR="00F257B7">
        <w:rPr>
          <w:rFonts w:ascii="Times New Roman" w:hAnsi="Times New Roman" w:cs="Times New Roman"/>
          <w:sz w:val="24"/>
          <w:szCs w:val="24"/>
        </w:rPr>
        <w:t xml:space="preserve"> </w:t>
      </w:r>
      <w:r w:rsidR="00F81A8D">
        <w:rPr>
          <w:rFonts w:ascii="Times New Roman" w:hAnsi="Times New Roman" w:cs="Times New Roman"/>
          <w:sz w:val="24"/>
          <w:szCs w:val="24"/>
        </w:rPr>
        <w:t xml:space="preserve">about marijuana products and distribution, including </w:t>
      </w:r>
      <w:r w:rsidR="00ED2645">
        <w:rPr>
          <w:rFonts w:ascii="Times New Roman" w:hAnsi="Times New Roman" w:cs="Times New Roman"/>
          <w:sz w:val="24"/>
          <w:szCs w:val="24"/>
        </w:rPr>
        <w:t>guidelines for how producers, processors, and retailers could obtain licenses</w:t>
      </w:r>
      <w:r w:rsidR="00F81A8D">
        <w:rPr>
          <w:rFonts w:ascii="Times New Roman" w:hAnsi="Times New Roman" w:cs="Times New Roman"/>
          <w:sz w:val="24"/>
          <w:szCs w:val="24"/>
        </w:rPr>
        <w:t xml:space="preserve"> and</w:t>
      </w:r>
      <w:r w:rsidR="00ED2645">
        <w:rPr>
          <w:rFonts w:ascii="Times New Roman" w:hAnsi="Times New Roman" w:cs="Times New Roman"/>
          <w:sz w:val="24"/>
          <w:szCs w:val="24"/>
        </w:rPr>
        <w:t xml:space="preserve"> the maximum number of retailers </w:t>
      </w:r>
      <w:r w:rsidR="00BC1151">
        <w:rPr>
          <w:rFonts w:ascii="Times New Roman" w:hAnsi="Times New Roman" w:cs="Times New Roman"/>
          <w:sz w:val="24"/>
          <w:szCs w:val="24"/>
        </w:rPr>
        <w:t xml:space="preserve">allowed to operate </w:t>
      </w:r>
      <w:r w:rsidR="00ED2645">
        <w:rPr>
          <w:rFonts w:ascii="Times New Roman" w:hAnsi="Times New Roman" w:cs="Times New Roman"/>
          <w:sz w:val="24"/>
          <w:szCs w:val="24"/>
        </w:rPr>
        <w:t>in a county</w:t>
      </w:r>
      <w:r w:rsidR="00F81A8D">
        <w:rPr>
          <w:rFonts w:ascii="Times New Roman" w:hAnsi="Times New Roman" w:cs="Times New Roman"/>
          <w:sz w:val="24"/>
          <w:szCs w:val="24"/>
        </w:rPr>
        <w:t>.</w:t>
      </w:r>
      <w:r w:rsidR="003D6914">
        <w:rPr>
          <w:rFonts w:ascii="Times New Roman" w:hAnsi="Times New Roman" w:cs="Times New Roman"/>
          <w:sz w:val="24"/>
          <w:szCs w:val="24"/>
        </w:rPr>
        <w:t xml:space="preserve"> </w:t>
      </w:r>
    </w:p>
    <w:p w14:paraId="53852046" w14:textId="55E0B252" w:rsidR="00091970" w:rsidRDefault="00081149" w:rsidP="006E1785">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I-502 also</w:t>
      </w:r>
      <w:r w:rsidR="00C66B94">
        <w:rPr>
          <w:rFonts w:ascii="Times New Roman" w:hAnsi="Times New Roman" w:cs="Times New Roman"/>
          <w:sz w:val="24"/>
          <w:szCs w:val="24"/>
        </w:rPr>
        <w:t xml:space="preserve"> established tax rates </w:t>
      </w:r>
      <w:r w:rsidR="00610EE4">
        <w:rPr>
          <w:rFonts w:ascii="Times New Roman" w:hAnsi="Times New Roman" w:cs="Times New Roman"/>
          <w:sz w:val="24"/>
          <w:szCs w:val="24"/>
        </w:rPr>
        <w:t xml:space="preserve">and how revenues were to be distributed. </w:t>
      </w:r>
      <w:r w:rsidR="00451A3A">
        <w:rPr>
          <w:rFonts w:ascii="Times New Roman" w:hAnsi="Times New Roman" w:cs="Times New Roman"/>
          <w:sz w:val="24"/>
          <w:szCs w:val="24"/>
        </w:rPr>
        <w:t xml:space="preserve">Originally, </w:t>
      </w:r>
      <w:r w:rsidR="00EA1B6A" w:rsidRPr="007016EC">
        <w:rPr>
          <w:rFonts w:ascii="Times New Roman" w:hAnsi="Times New Roman" w:cs="Times New Roman"/>
          <w:sz w:val="24"/>
          <w:szCs w:val="24"/>
        </w:rPr>
        <w:t xml:space="preserve">25% excise taxes were levied on each of producers, processors, and retailers. </w:t>
      </w:r>
      <w:r w:rsidR="009C328F">
        <w:rPr>
          <w:rFonts w:ascii="Times New Roman" w:hAnsi="Times New Roman" w:cs="Times New Roman"/>
          <w:sz w:val="24"/>
          <w:szCs w:val="24"/>
        </w:rPr>
        <w:t xml:space="preserve">However, </w:t>
      </w:r>
      <w:r w:rsidR="009C328F" w:rsidRPr="00A24A1D">
        <w:rPr>
          <w:rFonts w:ascii="Times New Roman" w:hAnsi="Times New Roman" w:cs="Times New Roman"/>
          <w:sz w:val="24"/>
          <w:szCs w:val="24"/>
        </w:rPr>
        <w:t>House Bill 2136</w:t>
      </w:r>
      <w:r w:rsidR="0011624E">
        <w:rPr>
          <w:rFonts w:ascii="Times New Roman" w:hAnsi="Times New Roman" w:cs="Times New Roman"/>
          <w:sz w:val="24"/>
          <w:szCs w:val="24"/>
        </w:rPr>
        <w:t xml:space="preserve"> </w:t>
      </w:r>
      <w:r w:rsidR="00F8127A">
        <w:rPr>
          <w:rFonts w:ascii="Times New Roman" w:hAnsi="Times New Roman" w:cs="Times New Roman"/>
          <w:sz w:val="24"/>
          <w:szCs w:val="24"/>
        </w:rPr>
        <w:t xml:space="preserve">removed the excise taxes on producers and processors and raised the tax on retailers from 25% to 37% </w:t>
      </w:r>
      <w:r w:rsidR="0011624E">
        <w:rPr>
          <w:rFonts w:ascii="Times New Roman" w:hAnsi="Times New Roman" w:cs="Times New Roman"/>
          <w:sz w:val="24"/>
          <w:szCs w:val="24"/>
        </w:rPr>
        <w:t>effective July 1, 2015.</w:t>
      </w:r>
      <w:r w:rsidR="002A4E67">
        <w:rPr>
          <w:rFonts w:ascii="Times New Roman" w:hAnsi="Times New Roman" w:cs="Times New Roman"/>
          <w:sz w:val="24"/>
          <w:szCs w:val="24"/>
        </w:rPr>
        <w:t xml:space="preserve"> Tax revenues </w:t>
      </w:r>
      <w:r w:rsidR="000822E4">
        <w:rPr>
          <w:rFonts w:ascii="Times New Roman" w:hAnsi="Times New Roman" w:cs="Times New Roman"/>
          <w:sz w:val="24"/>
          <w:szCs w:val="24"/>
        </w:rPr>
        <w:t>are</w:t>
      </w:r>
      <w:r w:rsidR="002A4E67">
        <w:rPr>
          <w:rFonts w:ascii="Times New Roman" w:hAnsi="Times New Roman" w:cs="Times New Roman"/>
          <w:sz w:val="24"/>
          <w:szCs w:val="24"/>
        </w:rPr>
        <w:t xml:space="preserve"> distributed</w:t>
      </w:r>
      <w:r w:rsidR="00F76004">
        <w:rPr>
          <w:rFonts w:ascii="Times New Roman" w:hAnsi="Times New Roman" w:cs="Times New Roman"/>
          <w:sz w:val="24"/>
          <w:szCs w:val="24"/>
        </w:rPr>
        <w:t xml:space="preserve"> </w:t>
      </w:r>
      <w:r w:rsidR="002A4E67">
        <w:rPr>
          <w:rFonts w:ascii="Times New Roman" w:hAnsi="Times New Roman" w:cs="Times New Roman"/>
          <w:sz w:val="24"/>
          <w:szCs w:val="24"/>
        </w:rPr>
        <w:t xml:space="preserve">to several entities, including the </w:t>
      </w:r>
      <w:r w:rsidR="007517AC">
        <w:rPr>
          <w:rFonts w:ascii="Times New Roman" w:hAnsi="Times New Roman" w:cs="Times New Roman"/>
          <w:sz w:val="24"/>
          <w:szCs w:val="24"/>
        </w:rPr>
        <w:t>D</w:t>
      </w:r>
      <w:r w:rsidR="007517AC" w:rsidRPr="007016EC">
        <w:rPr>
          <w:rFonts w:ascii="Times New Roman" w:hAnsi="Times New Roman" w:cs="Times New Roman"/>
          <w:sz w:val="24"/>
          <w:szCs w:val="24"/>
        </w:rPr>
        <w:t xml:space="preserve">epartment of </w:t>
      </w:r>
      <w:r w:rsidR="007517AC">
        <w:rPr>
          <w:rFonts w:ascii="Times New Roman" w:hAnsi="Times New Roman" w:cs="Times New Roman"/>
          <w:sz w:val="24"/>
          <w:szCs w:val="24"/>
        </w:rPr>
        <w:t>S</w:t>
      </w:r>
      <w:r w:rsidR="007517AC" w:rsidRPr="007016EC">
        <w:rPr>
          <w:rFonts w:ascii="Times New Roman" w:hAnsi="Times New Roman" w:cs="Times New Roman"/>
          <w:sz w:val="24"/>
          <w:szCs w:val="24"/>
        </w:rPr>
        <w:t xml:space="preserve">ocial and </w:t>
      </w:r>
      <w:r w:rsidR="007517AC">
        <w:rPr>
          <w:rFonts w:ascii="Times New Roman" w:hAnsi="Times New Roman" w:cs="Times New Roman"/>
          <w:sz w:val="24"/>
          <w:szCs w:val="24"/>
        </w:rPr>
        <w:t>H</w:t>
      </w:r>
      <w:r w:rsidR="007517AC" w:rsidRPr="007016EC">
        <w:rPr>
          <w:rFonts w:ascii="Times New Roman" w:hAnsi="Times New Roman" w:cs="Times New Roman"/>
          <w:sz w:val="24"/>
          <w:szCs w:val="24"/>
        </w:rPr>
        <w:t xml:space="preserve">ealth </w:t>
      </w:r>
      <w:r w:rsidR="007517AC">
        <w:rPr>
          <w:rFonts w:ascii="Times New Roman" w:hAnsi="Times New Roman" w:cs="Times New Roman"/>
          <w:sz w:val="24"/>
          <w:szCs w:val="24"/>
        </w:rPr>
        <w:t>S</w:t>
      </w:r>
      <w:r w:rsidR="007517AC" w:rsidRPr="007016EC">
        <w:rPr>
          <w:rFonts w:ascii="Times New Roman" w:hAnsi="Times New Roman" w:cs="Times New Roman"/>
          <w:sz w:val="24"/>
          <w:szCs w:val="24"/>
        </w:rPr>
        <w:t>ervices</w:t>
      </w:r>
      <w:r w:rsidR="00C90383">
        <w:rPr>
          <w:rFonts w:ascii="Times New Roman" w:hAnsi="Times New Roman" w:cs="Times New Roman"/>
          <w:sz w:val="24"/>
          <w:szCs w:val="24"/>
        </w:rPr>
        <w:t xml:space="preserve"> (in part to help administer </w:t>
      </w:r>
      <w:r w:rsidR="007517AC" w:rsidRPr="00A24A1D">
        <w:rPr>
          <w:rFonts w:ascii="Times New Roman" w:hAnsi="Times New Roman" w:cs="Times New Roman"/>
          <w:sz w:val="24"/>
          <w:szCs w:val="24"/>
        </w:rPr>
        <w:t>Washington’s Healthy Youth Survey</w:t>
      </w:r>
      <w:r w:rsidR="00C90383">
        <w:rPr>
          <w:rFonts w:ascii="Times New Roman" w:hAnsi="Times New Roman" w:cs="Times New Roman"/>
          <w:sz w:val="24"/>
          <w:szCs w:val="24"/>
        </w:rPr>
        <w:t>)</w:t>
      </w:r>
      <w:r w:rsidR="008A0ED8">
        <w:rPr>
          <w:rFonts w:ascii="Times New Roman" w:hAnsi="Times New Roman" w:cs="Times New Roman"/>
          <w:sz w:val="24"/>
          <w:szCs w:val="24"/>
        </w:rPr>
        <w:t xml:space="preserve"> and the O</w:t>
      </w:r>
      <w:r w:rsidR="008A0ED8" w:rsidRPr="00A10814">
        <w:rPr>
          <w:rFonts w:ascii="Times New Roman" w:hAnsi="Times New Roman" w:cs="Times New Roman"/>
          <w:sz w:val="24"/>
          <w:szCs w:val="24"/>
        </w:rPr>
        <w:t xml:space="preserve">ffice of Superintendent of Public Instruction to fund grants to </w:t>
      </w:r>
      <w:r w:rsidR="008A0ED8">
        <w:rPr>
          <w:rFonts w:ascii="Times New Roman" w:hAnsi="Times New Roman" w:cs="Times New Roman"/>
          <w:sz w:val="24"/>
          <w:szCs w:val="24"/>
        </w:rPr>
        <w:t>B</w:t>
      </w:r>
      <w:r w:rsidR="008A0ED8" w:rsidRPr="00A10814">
        <w:rPr>
          <w:rFonts w:ascii="Times New Roman" w:hAnsi="Times New Roman" w:cs="Times New Roman"/>
          <w:sz w:val="24"/>
          <w:szCs w:val="24"/>
        </w:rPr>
        <w:t xml:space="preserve">uilding </w:t>
      </w:r>
      <w:r w:rsidR="008A0ED8">
        <w:rPr>
          <w:rFonts w:ascii="Times New Roman" w:hAnsi="Times New Roman" w:cs="Times New Roman"/>
          <w:sz w:val="24"/>
          <w:szCs w:val="24"/>
        </w:rPr>
        <w:t>B</w:t>
      </w:r>
      <w:r w:rsidR="008A0ED8" w:rsidRPr="00A10814">
        <w:rPr>
          <w:rFonts w:ascii="Times New Roman" w:hAnsi="Times New Roman" w:cs="Times New Roman"/>
          <w:sz w:val="24"/>
          <w:szCs w:val="24"/>
        </w:rPr>
        <w:t xml:space="preserve">ridges programs, which are designed to prevent middle and high school </w:t>
      </w:r>
      <w:r w:rsidR="008A0ED8">
        <w:rPr>
          <w:rFonts w:ascii="Times New Roman" w:hAnsi="Times New Roman" w:cs="Times New Roman"/>
          <w:sz w:val="24"/>
          <w:szCs w:val="24"/>
        </w:rPr>
        <w:t xml:space="preserve">students </w:t>
      </w:r>
      <w:r w:rsidR="008A0ED8" w:rsidRPr="00A10814">
        <w:rPr>
          <w:rFonts w:ascii="Times New Roman" w:hAnsi="Times New Roman" w:cs="Times New Roman"/>
          <w:sz w:val="24"/>
          <w:szCs w:val="24"/>
        </w:rPr>
        <w:t>from dropping out</w:t>
      </w:r>
      <w:r w:rsidR="008A0ED8">
        <w:rPr>
          <w:rFonts w:ascii="Times New Roman" w:hAnsi="Times New Roman" w:cs="Times New Roman"/>
          <w:sz w:val="24"/>
          <w:szCs w:val="24"/>
        </w:rPr>
        <w:t xml:space="preserve">. </w:t>
      </w:r>
    </w:p>
    <w:p w14:paraId="49A8B9AD" w14:textId="77777777" w:rsidR="00876776" w:rsidRPr="00876776" w:rsidRDefault="00876776" w:rsidP="00876776">
      <w:pPr>
        <w:spacing w:after="0" w:line="480" w:lineRule="auto"/>
        <w:ind w:firstLine="720"/>
        <w:contextualSpacing/>
        <w:jc w:val="both"/>
        <w:rPr>
          <w:rFonts w:ascii="Times New Roman" w:hAnsi="Times New Roman" w:cs="Times New Roman"/>
          <w:sz w:val="12"/>
          <w:szCs w:val="12"/>
        </w:rPr>
      </w:pPr>
    </w:p>
    <w:p w14:paraId="5982572C" w14:textId="0C5CE46C" w:rsidR="00420A66" w:rsidRPr="00420A66" w:rsidRDefault="00CA5F95" w:rsidP="00FA16A3">
      <w:pPr>
        <w:rPr>
          <w:rFonts w:ascii="Times New Roman" w:hAnsi="Times New Roman" w:cs="Times New Roman"/>
          <w:b/>
          <w:bCs/>
          <w:sz w:val="28"/>
          <w:szCs w:val="28"/>
        </w:rPr>
      </w:pPr>
      <w:r>
        <w:rPr>
          <w:rFonts w:ascii="Times New Roman" w:hAnsi="Times New Roman" w:cs="Times New Roman"/>
          <w:b/>
          <w:bCs/>
          <w:sz w:val="28"/>
          <w:szCs w:val="28"/>
        </w:rPr>
        <w:t>2</w:t>
      </w:r>
      <w:r w:rsidR="00282BB8">
        <w:rPr>
          <w:rFonts w:ascii="Times New Roman" w:hAnsi="Times New Roman" w:cs="Times New Roman"/>
          <w:b/>
          <w:bCs/>
          <w:sz w:val="28"/>
          <w:szCs w:val="28"/>
        </w:rPr>
        <w:t>.2</w:t>
      </w:r>
      <w:r w:rsidR="00420A66" w:rsidRPr="00420A66">
        <w:rPr>
          <w:rFonts w:ascii="Times New Roman" w:hAnsi="Times New Roman" w:cs="Times New Roman"/>
          <w:b/>
          <w:bCs/>
          <w:sz w:val="28"/>
          <w:szCs w:val="28"/>
        </w:rPr>
        <w:tab/>
        <w:t>Dispensary Lottery</w:t>
      </w:r>
      <w:r w:rsidR="006F3D5C">
        <w:rPr>
          <w:rFonts w:ascii="Times New Roman" w:hAnsi="Times New Roman" w:cs="Times New Roman"/>
          <w:b/>
          <w:bCs/>
          <w:sz w:val="28"/>
          <w:szCs w:val="28"/>
        </w:rPr>
        <w:t xml:space="preserve"> </w:t>
      </w:r>
    </w:p>
    <w:p w14:paraId="53132A27" w14:textId="5E59C183" w:rsidR="003046E7" w:rsidRDefault="000A3671" w:rsidP="00903208">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Important for </w:t>
      </w:r>
      <w:r w:rsidR="00903208">
        <w:rPr>
          <w:rFonts w:ascii="Times New Roman" w:hAnsi="Times New Roman" w:cs="Times New Roman"/>
          <w:sz w:val="24"/>
          <w:szCs w:val="24"/>
        </w:rPr>
        <w:t xml:space="preserve">my </w:t>
      </w:r>
      <w:r>
        <w:rPr>
          <w:rFonts w:ascii="Times New Roman" w:hAnsi="Times New Roman" w:cs="Times New Roman"/>
          <w:sz w:val="24"/>
          <w:szCs w:val="24"/>
        </w:rPr>
        <w:t xml:space="preserve">identification strategy is that Washington </w:t>
      </w:r>
      <w:r w:rsidR="00262329">
        <w:rPr>
          <w:rFonts w:ascii="Times New Roman" w:hAnsi="Times New Roman" w:cs="Times New Roman"/>
          <w:sz w:val="24"/>
          <w:szCs w:val="24"/>
        </w:rPr>
        <w:t xml:space="preserve">limited the number of retail marijuana dispensaries allowed to operate to 334. </w:t>
      </w:r>
      <w:r>
        <w:rPr>
          <w:rFonts w:ascii="Times New Roman" w:hAnsi="Times New Roman" w:cs="Times New Roman"/>
          <w:sz w:val="24"/>
          <w:szCs w:val="24"/>
        </w:rPr>
        <w:t>The WSLCB was in charge of determining what the maximum number of dispensaries should be in each county and I-502 stated that the board should consider the following three things when making its decision: the population distribution in the state and county, safety and security issues, and the level of accessibility needed to discourage people from purchasing marijuana illegally</w:t>
      </w:r>
      <w:r w:rsidRPr="00163C98">
        <w:rPr>
          <w:rFonts w:ascii="Times New Roman" w:hAnsi="Times New Roman" w:cs="Times New Roman"/>
          <w:sz w:val="24"/>
          <w:szCs w:val="24"/>
        </w:rPr>
        <w:t>.</w:t>
      </w:r>
      <w:r w:rsidR="00CF5126" w:rsidRPr="00163C98">
        <w:rPr>
          <w:rFonts w:ascii="Times New Roman" w:hAnsi="Times New Roman" w:cs="Times New Roman"/>
          <w:sz w:val="24"/>
          <w:szCs w:val="24"/>
        </w:rPr>
        <w:t xml:space="preserve"> First, </w:t>
      </w:r>
      <w:r w:rsidR="00903208" w:rsidRPr="00163C98">
        <w:rPr>
          <w:rFonts w:ascii="Times New Roman" w:hAnsi="Times New Roman" w:cs="Times New Roman"/>
          <w:sz w:val="24"/>
          <w:szCs w:val="24"/>
        </w:rPr>
        <w:t xml:space="preserve">the WSLCB </w:t>
      </w:r>
      <w:r w:rsidR="00CF5126" w:rsidRPr="00163C98">
        <w:rPr>
          <w:rFonts w:ascii="Times New Roman" w:hAnsi="Times New Roman" w:cs="Times New Roman"/>
          <w:sz w:val="24"/>
          <w:szCs w:val="24"/>
        </w:rPr>
        <w:t>determined the number of dispensaries that could locate in each county b</w:t>
      </w:r>
      <w:r w:rsidR="00EC43ED" w:rsidRPr="00163C98">
        <w:rPr>
          <w:rFonts w:ascii="Times New Roman" w:hAnsi="Times New Roman" w:cs="Times New Roman"/>
          <w:sz w:val="24"/>
          <w:szCs w:val="24"/>
        </w:rPr>
        <w:t xml:space="preserve">y </w:t>
      </w:r>
      <w:r w:rsidR="00BC275B" w:rsidRPr="00163C98">
        <w:rPr>
          <w:rFonts w:ascii="Times New Roman" w:hAnsi="Times New Roman" w:cs="Times New Roman"/>
          <w:sz w:val="24"/>
          <w:szCs w:val="24"/>
        </w:rPr>
        <w:t xml:space="preserve">minimizing the average distance from past-month marijuana users to retail dispensaries. </w:t>
      </w:r>
      <w:r w:rsidR="00CF5126" w:rsidRPr="00163C98">
        <w:rPr>
          <w:rFonts w:ascii="Times New Roman" w:hAnsi="Times New Roman" w:cs="Times New Roman"/>
          <w:sz w:val="24"/>
          <w:szCs w:val="24"/>
        </w:rPr>
        <w:t xml:space="preserve">Then, </w:t>
      </w:r>
      <w:r w:rsidR="00EC43ED" w:rsidRPr="00163C98">
        <w:rPr>
          <w:rFonts w:ascii="Times New Roman" w:hAnsi="Times New Roman" w:cs="Times New Roman"/>
          <w:sz w:val="24"/>
          <w:szCs w:val="24"/>
        </w:rPr>
        <w:t xml:space="preserve">it determined the number of dispensaries in a </w:t>
      </w:r>
      <w:r w:rsidR="00EC43ED" w:rsidRPr="00163C98">
        <w:rPr>
          <w:rFonts w:ascii="Times New Roman" w:hAnsi="Times New Roman" w:cs="Times New Roman"/>
          <w:sz w:val="24"/>
          <w:szCs w:val="24"/>
        </w:rPr>
        <w:lastRenderedPageBreak/>
        <w:t xml:space="preserve">county that would be allocated to each city on the basis of population-share. </w:t>
      </w:r>
      <w:r w:rsidR="00903208" w:rsidRPr="00163C98">
        <w:rPr>
          <w:rFonts w:ascii="Times New Roman" w:hAnsi="Times New Roman" w:cs="Times New Roman"/>
          <w:sz w:val="24"/>
          <w:szCs w:val="24"/>
        </w:rPr>
        <w:t>Any remaining dispensaries were</w:t>
      </w:r>
      <w:r w:rsidR="00EC43ED" w:rsidRPr="00163C98">
        <w:rPr>
          <w:rFonts w:ascii="Times New Roman" w:hAnsi="Times New Roman" w:cs="Times New Roman"/>
          <w:sz w:val="24"/>
          <w:szCs w:val="24"/>
        </w:rPr>
        <w:t xml:space="preserve"> allocated to the unincorporated parts of the county.</w:t>
      </w:r>
      <w:r w:rsidR="00163C98" w:rsidRPr="00163C98">
        <w:rPr>
          <w:rStyle w:val="FootnoteReference"/>
          <w:rFonts w:ascii="Times New Roman" w:hAnsi="Times New Roman" w:cs="Times New Roman"/>
          <w:sz w:val="24"/>
          <w:szCs w:val="24"/>
        </w:rPr>
        <w:footnoteReference w:id="11"/>
      </w:r>
      <w:r w:rsidR="00CF5126">
        <w:rPr>
          <w:rFonts w:ascii="Times New Roman" w:hAnsi="Times New Roman" w:cs="Times New Roman"/>
          <w:sz w:val="24"/>
          <w:szCs w:val="24"/>
        </w:rPr>
        <w:t xml:space="preserve"> </w:t>
      </w:r>
    </w:p>
    <w:p w14:paraId="24DCF7D0" w14:textId="7FCD052D" w:rsidR="00C43FEF" w:rsidRDefault="00712522" w:rsidP="00903208">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Starting in November of 2013, </w:t>
      </w:r>
      <w:r w:rsidR="00700614">
        <w:rPr>
          <w:rFonts w:ascii="Times New Roman" w:hAnsi="Times New Roman" w:cs="Times New Roman"/>
          <w:sz w:val="24"/>
          <w:szCs w:val="24"/>
        </w:rPr>
        <w:t xml:space="preserve">the WSLCB accepted applications for retail marijuana dispensaries for a 30-day period. Applicants were required to </w:t>
      </w:r>
      <w:r w:rsidR="003B4C52">
        <w:rPr>
          <w:rFonts w:ascii="Times New Roman" w:hAnsi="Times New Roman" w:cs="Times New Roman"/>
          <w:sz w:val="24"/>
          <w:szCs w:val="24"/>
        </w:rPr>
        <w:t>pay a $250 fee</w:t>
      </w:r>
      <w:r w:rsidR="00511BF4">
        <w:rPr>
          <w:rFonts w:ascii="Times New Roman" w:hAnsi="Times New Roman" w:cs="Times New Roman"/>
          <w:sz w:val="24"/>
          <w:szCs w:val="24"/>
        </w:rPr>
        <w:t>;</w:t>
      </w:r>
      <w:r w:rsidR="003B4C52">
        <w:rPr>
          <w:rFonts w:ascii="Times New Roman" w:hAnsi="Times New Roman" w:cs="Times New Roman"/>
          <w:sz w:val="24"/>
          <w:szCs w:val="24"/>
        </w:rPr>
        <w:t xml:space="preserve"> </w:t>
      </w:r>
      <w:r w:rsidR="00700614">
        <w:rPr>
          <w:rFonts w:ascii="Times New Roman" w:hAnsi="Times New Roman" w:cs="Times New Roman"/>
          <w:sz w:val="24"/>
          <w:szCs w:val="24"/>
        </w:rPr>
        <w:t>participate in background checks</w:t>
      </w:r>
      <w:r w:rsidR="00511BF4">
        <w:rPr>
          <w:rFonts w:ascii="Times New Roman" w:hAnsi="Times New Roman" w:cs="Times New Roman"/>
          <w:sz w:val="24"/>
          <w:szCs w:val="24"/>
        </w:rPr>
        <w:t>;</w:t>
      </w:r>
      <w:r w:rsidR="00700614">
        <w:rPr>
          <w:rFonts w:ascii="Times New Roman" w:hAnsi="Times New Roman" w:cs="Times New Roman"/>
          <w:sz w:val="24"/>
          <w:szCs w:val="24"/>
        </w:rPr>
        <w:t xml:space="preserve"> and submit verification of their </w:t>
      </w:r>
      <w:r w:rsidR="00511BF4">
        <w:rPr>
          <w:rFonts w:ascii="Times New Roman" w:hAnsi="Times New Roman" w:cs="Times New Roman"/>
          <w:sz w:val="24"/>
          <w:szCs w:val="24"/>
        </w:rPr>
        <w:t>age and state</w:t>
      </w:r>
      <w:r w:rsidR="00700614">
        <w:rPr>
          <w:rFonts w:ascii="Times New Roman" w:hAnsi="Times New Roman" w:cs="Times New Roman"/>
          <w:sz w:val="24"/>
          <w:szCs w:val="24"/>
        </w:rPr>
        <w:t xml:space="preserve"> residency. They also needed to provide a proposed address for their business and verify that they had a right to the property. In addition, the proposed location could not be within 1,000 feet of a school, playground, recreation center, childcare center, public park, public transit center, library, or arcade allowing those under 21 years old. After this prescreening process, there </w:t>
      </w:r>
      <w:r w:rsidR="00700614" w:rsidRPr="00F642FE">
        <w:rPr>
          <w:rFonts w:ascii="Times New Roman" w:hAnsi="Times New Roman" w:cs="Times New Roman"/>
          <w:sz w:val="24"/>
          <w:szCs w:val="24"/>
        </w:rPr>
        <w:t>were 1,176 elig</w:t>
      </w:r>
      <w:r w:rsidR="00700614">
        <w:rPr>
          <w:rFonts w:ascii="Times New Roman" w:hAnsi="Times New Roman" w:cs="Times New Roman"/>
          <w:sz w:val="24"/>
          <w:szCs w:val="24"/>
        </w:rPr>
        <w:t xml:space="preserve">ible applicants vying for the 334 available licenses.  </w:t>
      </w:r>
    </w:p>
    <w:p w14:paraId="647B5919" w14:textId="653DD1F9" w:rsidR="00496EAD" w:rsidRDefault="003B4C52" w:rsidP="00903208">
      <w:pPr>
        <w:spacing w:after="0" w:line="480" w:lineRule="auto"/>
        <w:ind w:firstLine="720"/>
        <w:contextualSpacing/>
        <w:jc w:val="both"/>
        <w:rPr>
          <w:rFonts w:ascii="Times New Roman" w:hAnsi="Times New Roman" w:cs="Times New Roman"/>
          <w:sz w:val="24"/>
          <w:szCs w:val="24"/>
        </w:rPr>
      </w:pPr>
      <w:r w:rsidRPr="00F642FE">
        <w:rPr>
          <w:rFonts w:ascii="Times New Roman" w:hAnsi="Times New Roman" w:cs="Times New Roman"/>
          <w:sz w:val="24"/>
          <w:szCs w:val="24"/>
        </w:rPr>
        <w:t>In localities where the number of applicants was less than or equal to the number of available licenses (i.e., the local quota), all applicants could receive a license. In localities where the number of applicants exceeded the local quota, the WSLCB decided to allocate licenses using a lottery system.</w:t>
      </w:r>
      <w:r w:rsidR="00496EAD" w:rsidRPr="00F642FE">
        <w:rPr>
          <w:rFonts w:ascii="Times New Roman" w:hAnsi="Times New Roman" w:cs="Times New Roman"/>
          <w:sz w:val="24"/>
          <w:szCs w:val="24"/>
        </w:rPr>
        <w:t xml:space="preserve"> There were 75 localities where the lottery was required and 4</w:t>
      </w:r>
      <w:r w:rsidR="00F642FE" w:rsidRPr="00F642FE">
        <w:rPr>
          <w:rFonts w:ascii="Times New Roman" w:hAnsi="Times New Roman" w:cs="Times New Roman"/>
          <w:sz w:val="24"/>
          <w:szCs w:val="24"/>
        </w:rPr>
        <w:t>8</w:t>
      </w:r>
      <w:r w:rsidR="00496EAD" w:rsidRPr="00F642FE">
        <w:rPr>
          <w:rFonts w:ascii="Times New Roman" w:hAnsi="Times New Roman" w:cs="Times New Roman"/>
          <w:sz w:val="24"/>
          <w:szCs w:val="24"/>
        </w:rPr>
        <w:t xml:space="preserve"> where it was not.</w:t>
      </w:r>
      <w:r w:rsidR="00474C20">
        <w:rPr>
          <w:rFonts w:ascii="Times New Roman" w:hAnsi="Times New Roman" w:cs="Times New Roman"/>
          <w:sz w:val="24"/>
          <w:szCs w:val="24"/>
        </w:rPr>
        <w:t xml:space="preserve"> </w:t>
      </w:r>
      <w:r w:rsidR="00903208">
        <w:rPr>
          <w:rFonts w:ascii="Times New Roman" w:hAnsi="Times New Roman" w:cs="Times New Roman"/>
          <w:sz w:val="24"/>
          <w:szCs w:val="24"/>
        </w:rPr>
        <w:t xml:space="preserve">Of the 1,176 applicants, </w:t>
      </w:r>
      <w:r w:rsidR="00474C20">
        <w:rPr>
          <w:rFonts w:ascii="Times New Roman" w:hAnsi="Times New Roman" w:cs="Times New Roman"/>
          <w:sz w:val="24"/>
          <w:szCs w:val="24"/>
        </w:rPr>
        <w:t xml:space="preserve">1,128 </w:t>
      </w:r>
      <w:r w:rsidR="00903208">
        <w:rPr>
          <w:rFonts w:ascii="Times New Roman" w:hAnsi="Times New Roman" w:cs="Times New Roman"/>
          <w:sz w:val="24"/>
          <w:szCs w:val="24"/>
        </w:rPr>
        <w:t xml:space="preserve">were located in places where the lottery was necessary. </w:t>
      </w:r>
    </w:p>
    <w:p w14:paraId="1E0E5EA2" w14:textId="0CEC55AF" w:rsidR="00AA192D" w:rsidRDefault="00496EAD" w:rsidP="00903208">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lottery was held during the week of April 21, 2014. </w:t>
      </w:r>
      <w:r w:rsidR="00903208">
        <w:rPr>
          <w:rFonts w:ascii="Times New Roman" w:hAnsi="Times New Roman" w:cs="Times New Roman"/>
          <w:sz w:val="24"/>
          <w:szCs w:val="24"/>
        </w:rPr>
        <w:t xml:space="preserve">It </w:t>
      </w:r>
      <w:r>
        <w:rPr>
          <w:rFonts w:ascii="Times New Roman" w:hAnsi="Times New Roman" w:cs="Times New Roman"/>
          <w:sz w:val="24"/>
          <w:szCs w:val="24"/>
        </w:rPr>
        <w:t xml:space="preserve">was double-blind and conducted by the </w:t>
      </w:r>
      <w:proofErr w:type="spellStart"/>
      <w:r>
        <w:rPr>
          <w:rFonts w:ascii="Times New Roman" w:hAnsi="Times New Roman" w:cs="Times New Roman"/>
          <w:sz w:val="24"/>
          <w:szCs w:val="24"/>
        </w:rPr>
        <w:t>Kraght</w:t>
      </w:r>
      <w:proofErr w:type="spellEnd"/>
      <w:r>
        <w:rPr>
          <w:rFonts w:ascii="Times New Roman" w:hAnsi="Times New Roman" w:cs="Times New Roman"/>
          <w:sz w:val="24"/>
          <w:szCs w:val="24"/>
        </w:rPr>
        <w:t xml:space="preserve">-Snell accounting firm in conjunction with Washington State University’s </w:t>
      </w:r>
      <w:r w:rsidR="00B906F8">
        <w:rPr>
          <w:rFonts w:ascii="Times New Roman" w:hAnsi="Times New Roman" w:cs="Times New Roman"/>
          <w:sz w:val="24"/>
          <w:szCs w:val="24"/>
        </w:rPr>
        <w:t>Social and Economic Sciences Research Center</w:t>
      </w:r>
      <w:r>
        <w:rPr>
          <w:rFonts w:ascii="Times New Roman" w:hAnsi="Times New Roman" w:cs="Times New Roman"/>
          <w:sz w:val="24"/>
          <w:szCs w:val="24"/>
        </w:rPr>
        <w:t>.</w:t>
      </w:r>
      <w:r w:rsidR="00B906F8">
        <w:rPr>
          <w:rFonts w:ascii="Times New Roman" w:hAnsi="Times New Roman" w:cs="Times New Roman"/>
          <w:sz w:val="24"/>
          <w:szCs w:val="24"/>
        </w:rPr>
        <w:t xml:space="preserve"> </w:t>
      </w:r>
      <w:proofErr w:type="spellStart"/>
      <w:r w:rsidR="00B906F8">
        <w:rPr>
          <w:rFonts w:ascii="Times New Roman" w:hAnsi="Times New Roman" w:cs="Times New Roman"/>
          <w:sz w:val="24"/>
          <w:szCs w:val="24"/>
        </w:rPr>
        <w:t>Kraght</w:t>
      </w:r>
      <w:proofErr w:type="spellEnd"/>
      <w:r w:rsidR="00B906F8">
        <w:rPr>
          <w:rFonts w:ascii="Times New Roman" w:hAnsi="Times New Roman" w:cs="Times New Roman"/>
          <w:sz w:val="24"/>
          <w:szCs w:val="24"/>
        </w:rPr>
        <w:t xml:space="preserve">-Snell randomly assigned numbers </w:t>
      </w:r>
      <w:r w:rsidR="00B906F8" w:rsidRPr="00903208">
        <w:rPr>
          <w:rFonts w:ascii="Times New Roman" w:hAnsi="Times New Roman" w:cs="Times New Roman"/>
          <w:i/>
          <w:iCs/>
          <w:sz w:val="24"/>
          <w:szCs w:val="24"/>
        </w:rPr>
        <w:t>1-n</w:t>
      </w:r>
      <w:r w:rsidR="00B906F8">
        <w:rPr>
          <w:rFonts w:ascii="Times New Roman" w:hAnsi="Times New Roman" w:cs="Times New Roman"/>
          <w:sz w:val="24"/>
          <w:szCs w:val="24"/>
        </w:rPr>
        <w:t xml:space="preserve"> to applicants in each locality</w:t>
      </w:r>
      <w:r w:rsidR="00903208">
        <w:rPr>
          <w:rFonts w:ascii="Times New Roman" w:hAnsi="Times New Roman" w:cs="Times New Roman"/>
          <w:sz w:val="24"/>
          <w:szCs w:val="24"/>
        </w:rPr>
        <w:t xml:space="preserve"> </w:t>
      </w:r>
      <w:r w:rsidR="00B906F8">
        <w:rPr>
          <w:rFonts w:ascii="Times New Roman" w:hAnsi="Times New Roman" w:cs="Times New Roman"/>
          <w:sz w:val="24"/>
          <w:szCs w:val="24"/>
        </w:rPr>
        <w:t xml:space="preserve">participating in the lottery, where </w:t>
      </w:r>
      <w:r w:rsidR="00B906F8" w:rsidRPr="00903208">
        <w:rPr>
          <w:rFonts w:ascii="Times New Roman" w:hAnsi="Times New Roman" w:cs="Times New Roman"/>
          <w:i/>
          <w:iCs/>
          <w:sz w:val="24"/>
          <w:szCs w:val="24"/>
        </w:rPr>
        <w:t>n</w:t>
      </w:r>
      <w:r w:rsidR="00B906F8">
        <w:rPr>
          <w:rFonts w:ascii="Times New Roman" w:hAnsi="Times New Roman" w:cs="Times New Roman"/>
          <w:sz w:val="24"/>
          <w:szCs w:val="24"/>
        </w:rPr>
        <w:t xml:space="preserve"> was the number of applicants in the locality. The numbers were then sent to Washington State University where researchers ranked the random numbers from 1 to </w:t>
      </w:r>
      <w:r w:rsidR="00B906F8" w:rsidRPr="00903208">
        <w:rPr>
          <w:rFonts w:ascii="Times New Roman" w:hAnsi="Times New Roman" w:cs="Times New Roman"/>
          <w:i/>
          <w:iCs/>
          <w:sz w:val="24"/>
          <w:szCs w:val="24"/>
        </w:rPr>
        <w:t>n</w:t>
      </w:r>
      <w:r w:rsidR="00B906F8">
        <w:rPr>
          <w:rFonts w:ascii="Times New Roman" w:hAnsi="Times New Roman" w:cs="Times New Roman"/>
          <w:sz w:val="24"/>
          <w:szCs w:val="24"/>
        </w:rPr>
        <w:t xml:space="preserve">. The rankings were then sent back to </w:t>
      </w:r>
      <w:proofErr w:type="spellStart"/>
      <w:r w:rsidR="00B906F8">
        <w:rPr>
          <w:rFonts w:ascii="Times New Roman" w:hAnsi="Times New Roman" w:cs="Times New Roman"/>
          <w:sz w:val="24"/>
          <w:szCs w:val="24"/>
        </w:rPr>
        <w:t>Kraght</w:t>
      </w:r>
      <w:proofErr w:type="spellEnd"/>
      <w:r w:rsidR="00B906F8">
        <w:rPr>
          <w:rFonts w:ascii="Times New Roman" w:hAnsi="Times New Roman" w:cs="Times New Roman"/>
          <w:sz w:val="24"/>
          <w:szCs w:val="24"/>
        </w:rPr>
        <w:t xml:space="preserve">-Snell </w:t>
      </w:r>
      <w:r w:rsidR="00903208">
        <w:rPr>
          <w:rFonts w:ascii="Times New Roman" w:hAnsi="Times New Roman" w:cs="Times New Roman"/>
          <w:sz w:val="24"/>
          <w:szCs w:val="24"/>
        </w:rPr>
        <w:t>and d</w:t>
      </w:r>
      <w:r w:rsidR="00B906F8">
        <w:rPr>
          <w:rFonts w:ascii="Times New Roman" w:hAnsi="Times New Roman" w:cs="Times New Roman"/>
          <w:sz w:val="24"/>
          <w:szCs w:val="24"/>
        </w:rPr>
        <w:t xml:space="preserve">ecoded. An applicant whose lottery ranking was less than or equal to the local license quota was considered a lottery </w:t>
      </w:r>
      <w:r w:rsidR="00B906F8">
        <w:rPr>
          <w:rFonts w:ascii="Times New Roman" w:hAnsi="Times New Roman" w:cs="Times New Roman"/>
          <w:sz w:val="24"/>
          <w:szCs w:val="24"/>
        </w:rPr>
        <w:lastRenderedPageBreak/>
        <w:t xml:space="preserve">winner while applicants ranked above the quota were considered lottery losers. Winners were allowed to receive a license while losers were not. </w:t>
      </w:r>
      <w:r w:rsidR="00BE1FF5">
        <w:rPr>
          <w:rFonts w:ascii="Times New Roman" w:hAnsi="Times New Roman" w:cs="Times New Roman"/>
          <w:sz w:val="24"/>
          <w:szCs w:val="24"/>
        </w:rPr>
        <w:t>The lottery results were posted by the WSLCB on May 2, 2014</w:t>
      </w:r>
      <w:r w:rsidR="002C57FA">
        <w:rPr>
          <w:rFonts w:ascii="Times New Roman" w:hAnsi="Times New Roman" w:cs="Times New Roman"/>
          <w:sz w:val="24"/>
          <w:szCs w:val="24"/>
        </w:rPr>
        <w:t>, and the first retail dispensaries opened on July 8, 2014.</w:t>
      </w:r>
    </w:p>
    <w:p w14:paraId="619FDA30" w14:textId="77777777" w:rsidR="00903208" w:rsidRPr="00903208" w:rsidRDefault="00903208" w:rsidP="00903208">
      <w:pPr>
        <w:spacing w:after="0" w:line="480" w:lineRule="auto"/>
        <w:ind w:firstLine="720"/>
        <w:contextualSpacing/>
        <w:jc w:val="both"/>
        <w:rPr>
          <w:rFonts w:ascii="Times New Roman" w:hAnsi="Times New Roman" w:cs="Times New Roman"/>
          <w:sz w:val="12"/>
          <w:szCs w:val="12"/>
        </w:rPr>
      </w:pPr>
    </w:p>
    <w:p w14:paraId="77DACBD9" w14:textId="23BD128F" w:rsidR="00420A66" w:rsidRPr="00420A66" w:rsidRDefault="00CA5F95" w:rsidP="0054652D">
      <w:pPr>
        <w:rPr>
          <w:rFonts w:ascii="Times New Roman" w:hAnsi="Times New Roman" w:cs="Times New Roman"/>
          <w:b/>
          <w:bCs/>
          <w:sz w:val="28"/>
          <w:szCs w:val="28"/>
        </w:rPr>
      </w:pPr>
      <w:r>
        <w:rPr>
          <w:rFonts w:ascii="Times New Roman" w:hAnsi="Times New Roman" w:cs="Times New Roman"/>
          <w:b/>
          <w:bCs/>
          <w:sz w:val="28"/>
          <w:szCs w:val="28"/>
        </w:rPr>
        <w:t>2</w:t>
      </w:r>
      <w:r w:rsidR="00282BB8">
        <w:rPr>
          <w:rFonts w:ascii="Times New Roman" w:hAnsi="Times New Roman" w:cs="Times New Roman"/>
          <w:b/>
          <w:bCs/>
          <w:sz w:val="28"/>
          <w:szCs w:val="28"/>
        </w:rPr>
        <w:t>.3</w:t>
      </w:r>
      <w:r w:rsidR="00420A66" w:rsidRPr="00420A66">
        <w:rPr>
          <w:rFonts w:ascii="Times New Roman" w:hAnsi="Times New Roman" w:cs="Times New Roman"/>
          <w:b/>
          <w:bCs/>
          <w:sz w:val="28"/>
          <w:szCs w:val="28"/>
        </w:rPr>
        <w:tab/>
      </w:r>
      <w:r w:rsidR="006F3D5C">
        <w:rPr>
          <w:rFonts w:ascii="Times New Roman" w:hAnsi="Times New Roman" w:cs="Times New Roman"/>
          <w:b/>
          <w:bCs/>
          <w:sz w:val="28"/>
          <w:szCs w:val="28"/>
        </w:rPr>
        <w:t>Entry into the Market</w:t>
      </w:r>
    </w:p>
    <w:p w14:paraId="0E086F65" w14:textId="7F01BBB9" w:rsidR="00BE1FF5" w:rsidRDefault="002A0C73" w:rsidP="00094384">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It is important to note that not all lottery winners</w:t>
      </w:r>
      <w:r w:rsidR="00094384">
        <w:rPr>
          <w:rFonts w:ascii="Times New Roman" w:hAnsi="Times New Roman" w:cs="Times New Roman"/>
          <w:sz w:val="24"/>
          <w:szCs w:val="24"/>
        </w:rPr>
        <w:t xml:space="preserve"> </w:t>
      </w:r>
      <w:r>
        <w:rPr>
          <w:rFonts w:ascii="Times New Roman" w:hAnsi="Times New Roman" w:cs="Times New Roman"/>
          <w:sz w:val="24"/>
          <w:szCs w:val="24"/>
        </w:rPr>
        <w:t>received a license.</w:t>
      </w:r>
      <w:r w:rsidR="002C57FA">
        <w:rPr>
          <w:rFonts w:ascii="Times New Roman" w:hAnsi="Times New Roman" w:cs="Times New Roman"/>
          <w:sz w:val="24"/>
          <w:szCs w:val="24"/>
        </w:rPr>
        <w:t xml:space="preserve"> After the lottery was conducted, winners had to go through another screening process to double-check that their proposed location was far enough away from restricted entities (i.e., schools, childcare centers, etc.) and that their background checks were complete and satisfactory. If a winner was not allowed to receive a license after this screening process, then the license was awarded to the first applicant ranked above the license quota after the lottery.</w:t>
      </w:r>
      <w:r w:rsidR="00474C20">
        <w:rPr>
          <w:rFonts w:ascii="Times New Roman" w:hAnsi="Times New Roman" w:cs="Times New Roman"/>
          <w:sz w:val="24"/>
          <w:szCs w:val="24"/>
        </w:rPr>
        <w:t xml:space="preserve">  </w:t>
      </w:r>
    </w:p>
    <w:p w14:paraId="7E7C6C87" w14:textId="49D4D1EC" w:rsidR="000D3A39" w:rsidRDefault="001333B6" w:rsidP="006C602D">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addition, not all licensed dispensaries opened at the same time, opened in their originally proposed location, or opened at all. Some localities placed moratoriums on marijuana business activities, meaning retail dispensaries were not allowed to operate until the moratoriums were lifted.</w:t>
      </w:r>
      <w:r w:rsidR="00CD0AD8">
        <w:rPr>
          <w:rFonts w:ascii="Times New Roman" w:hAnsi="Times New Roman" w:cs="Times New Roman"/>
          <w:sz w:val="24"/>
          <w:szCs w:val="24"/>
        </w:rPr>
        <w:t xml:space="preserve"> In some cases, multiple lottery winners had proposed the same </w:t>
      </w:r>
      <w:r w:rsidR="0054404B">
        <w:rPr>
          <w:rFonts w:ascii="Times New Roman" w:hAnsi="Times New Roman" w:cs="Times New Roman"/>
          <w:sz w:val="24"/>
          <w:szCs w:val="24"/>
        </w:rPr>
        <w:t xml:space="preserve">business address. When this happened, whichever winner secured a lease could locate there and the other winner was granted time to find a different location. Additionally, winners had time to find a new location if the property owner of their proposed place no longer wanted to lease out the building. Many of the dispensaries that opened in a different location from their proposed one opened in places that had been listed on other applications or down the street from their proposed location. </w:t>
      </w:r>
      <w:r w:rsidR="00391E0C">
        <w:rPr>
          <w:rFonts w:ascii="Times New Roman" w:hAnsi="Times New Roman" w:cs="Times New Roman"/>
          <w:sz w:val="24"/>
          <w:szCs w:val="24"/>
        </w:rPr>
        <w:t>Because of this, the lottery</w:t>
      </w:r>
      <w:r w:rsidR="00873FD2">
        <w:rPr>
          <w:rFonts w:ascii="Times New Roman" w:hAnsi="Times New Roman" w:cs="Times New Roman"/>
          <w:sz w:val="24"/>
          <w:szCs w:val="24"/>
        </w:rPr>
        <w:t>-</w:t>
      </w:r>
      <w:r w:rsidR="00391E0C">
        <w:rPr>
          <w:rFonts w:ascii="Times New Roman" w:hAnsi="Times New Roman" w:cs="Times New Roman"/>
          <w:sz w:val="24"/>
          <w:szCs w:val="24"/>
        </w:rPr>
        <w:t>winning locations are a good predictor of where dispensaries actually</w:t>
      </w:r>
      <w:r w:rsidR="00094384">
        <w:rPr>
          <w:rFonts w:ascii="Times New Roman" w:hAnsi="Times New Roman" w:cs="Times New Roman"/>
          <w:sz w:val="24"/>
          <w:szCs w:val="24"/>
        </w:rPr>
        <w:t xml:space="preserve"> </w:t>
      </w:r>
      <w:r w:rsidR="00391E0C">
        <w:rPr>
          <w:rFonts w:ascii="Times New Roman" w:hAnsi="Times New Roman" w:cs="Times New Roman"/>
          <w:sz w:val="24"/>
          <w:szCs w:val="24"/>
        </w:rPr>
        <w:t>open</w:t>
      </w:r>
      <w:r w:rsidR="00094384">
        <w:rPr>
          <w:rFonts w:ascii="Times New Roman" w:hAnsi="Times New Roman" w:cs="Times New Roman"/>
          <w:sz w:val="24"/>
          <w:szCs w:val="24"/>
        </w:rPr>
        <w:t>ed</w:t>
      </w:r>
      <w:r w:rsidR="00391E0C">
        <w:rPr>
          <w:rFonts w:ascii="Times New Roman" w:hAnsi="Times New Roman" w:cs="Times New Roman"/>
          <w:sz w:val="24"/>
          <w:szCs w:val="24"/>
        </w:rPr>
        <w:t>, which is important for my empirical strategy</w:t>
      </w:r>
      <w:r w:rsidR="00094384">
        <w:rPr>
          <w:rFonts w:ascii="Times New Roman" w:hAnsi="Times New Roman" w:cs="Times New Roman"/>
          <w:sz w:val="24"/>
          <w:szCs w:val="24"/>
        </w:rPr>
        <w:t>.</w:t>
      </w:r>
    </w:p>
    <w:p w14:paraId="048628C6" w14:textId="77777777" w:rsidR="005E72E8" w:rsidRPr="006C602D" w:rsidRDefault="005E72E8" w:rsidP="006C602D">
      <w:pPr>
        <w:spacing w:after="0" w:line="480" w:lineRule="auto"/>
        <w:ind w:firstLine="720"/>
        <w:contextualSpacing/>
        <w:jc w:val="both"/>
        <w:rPr>
          <w:rFonts w:ascii="Times New Roman" w:hAnsi="Times New Roman" w:cs="Times New Roman"/>
          <w:sz w:val="24"/>
          <w:szCs w:val="24"/>
        </w:rPr>
      </w:pPr>
    </w:p>
    <w:p w14:paraId="494B0CBF" w14:textId="77777777" w:rsidR="00C0343B" w:rsidRPr="00C0343B" w:rsidRDefault="00C0343B" w:rsidP="00787CA0">
      <w:pPr>
        <w:spacing w:after="0" w:line="480" w:lineRule="auto"/>
        <w:contextualSpacing/>
        <w:jc w:val="both"/>
        <w:rPr>
          <w:rFonts w:ascii="Times New Roman" w:hAnsi="Times New Roman" w:cs="Times New Roman"/>
          <w:sz w:val="12"/>
          <w:szCs w:val="12"/>
        </w:rPr>
      </w:pPr>
    </w:p>
    <w:p w14:paraId="2F420371" w14:textId="7E9368A3" w:rsidR="00CD4027" w:rsidRDefault="00E146D1" w:rsidP="00CD402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Data</w:t>
      </w:r>
    </w:p>
    <w:p w14:paraId="78222022" w14:textId="3D9B1749" w:rsidR="00CD4027" w:rsidRDefault="00CA5F95" w:rsidP="00CD4027">
      <w:pPr>
        <w:rPr>
          <w:rFonts w:ascii="Times New Roman" w:hAnsi="Times New Roman" w:cs="Times New Roman"/>
          <w:b/>
          <w:bCs/>
          <w:sz w:val="28"/>
          <w:szCs w:val="28"/>
        </w:rPr>
      </w:pPr>
      <w:r>
        <w:rPr>
          <w:rFonts w:ascii="Times New Roman" w:hAnsi="Times New Roman" w:cs="Times New Roman"/>
          <w:b/>
          <w:bCs/>
          <w:sz w:val="28"/>
          <w:szCs w:val="28"/>
        </w:rPr>
        <w:t>3</w:t>
      </w:r>
      <w:r w:rsidR="00CD4027" w:rsidRPr="00BF0709">
        <w:rPr>
          <w:rFonts w:ascii="Times New Roman" w:hAnsi="Times New Roman" w:cs="Times New Roman"/>
          <w:b/>
          <w:bCs/>
          <w:sz w:val="28"/>
          <w:szCs w:val="28"/>
        </w:rPr>
        <w:t>.1</w:t>
      </w:r>
      <w:r w:rsidR="00CD4027" w:rsidRPr="00BF0709">
        <w:rPr>
          <w:rFonts w:ascii="Times New Roman" w:hAnsi="Times New Roman" w:cs="Times New Roman"/>
          <w:b/>
          <w:bCs/>
          <w:sz w:val="28"/>
          <w:szCs w:val="28"/>
        </w:rPr>
        <w:tab/>
        <w:t>Lottery Results</w:t>
      </w:r>
    </w:p>
    <w:p w14:paraId="7205C28C" w14:textId="24F0DDA4" w:rsidR="00B70B7B" w:rsidRDefault="00343FCD" w:rsidP="004505E8">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list </w:t>
      </w:r>
      <w:r w:rsidRPr="00873950">
        <w:rPr>
          <w:rFonts w:ascii="Times New Roman" w:hAnsi="Times New Roman" w:cs="Times New Roman"/>
          <w:sz w:val="24"/>
          <w:szCs w:val="24"/>
        </w:rPr>
        <w:t xml:space="preserve">of 1,176 </w:t>
      </w:r>
      <w:r w:rsidR="00511BF4">
        <w:rPr>
          <w:rFonts w:ascii="Times New Roman" w:hAnsi="Times New Roman" w:cs="Times New Roman"/>
          <w:sz w:val="24"/>
          <w:szCs w:val="24"/>
        </w:rPr>
        <w:t xml:space="preserve">dispensary license </w:t>
      </w:r>
      <w:r w:rsidRPr="00873950">
        <w:rPr>
          <w:rFonts w:ascii="Times New Roman" w:hAnsi="Times New Roman" w:cs="Times New Roman"/>
          <w:sz w:val="24"/>
          <w:szCs w:val="24"/>
        </w:rPr>
        <w:t>applicants i</w:t>
      </w:r>
      <w:r w:rsidR="00375551" w:rsidRPr="00873950">
        <w:rPr>
          <w:rFonts w:ascii="Times New Roman" w:hAnsi="Times New Roman" w:cs="Times New Roman"/>
          <w:sz w:val="24"/>
          <w:szCs w:val="24"/>
        </w:rPr>
        <w:t xml:space="preserve">s </w:t>
      </w:r>
      <w:r w:rsidRPr="00873950">
        <w:rPr>
          <w:rFonts w:ascii="Times New Roman" w:hAnsi="Times New Roman" w:cs="Times New Roman"/>
          <w:sz w:val="24"/>
          <w:szCs w:val="24"/>
        </w:rPr>
        <w:t>publicly available from the WSLCB. The applicants within each locality are listed</w:t>
      </w:r>
      <w:r>
        <w:rPr>
          <w:rFonts w:ascii="Times New Roman" w:hAnsi="Times New Roman" w:cs="Times New Roman"/>
          <w:sz w:val="24"/>
          <w:szCs w:val="24"/>
        </w:rPr>
        <w:t xml:space="preserve"> with a unique application (license) number, business name, proposed location address, and lottery ranking for participating localities. In addition, the data include the number of licenses allowed in each locality and which dispensaries won the lottery or replaced a winner in instances where winners did not pass the second screening process. In my analysis, </w:t>
      </w:r>
      <w:r w:rsidR="00454E82">
        <w:rPr>
          <w:rFonts w:ascii="Times New Roman" w:hAnsi="Times New Roman" w:cs="Times New Roman"/>
          <w:sz w:val="24"/>
          <w:szCs w:val="24"/>
        </w:rPr>
        <w:t xml:space="preserve">I treat original winners that pass the screening process and replacements for those that do not as my sample of applicants that won the lottery. </w:t>
      </w:r>
      <w:r w:rsidR="00741536">
        <w:rPr>
          <w:rFonts w:ascii="Times New Roman" w:hAnsi="Times New Roman" w:cs="Times New Roman"/>
          <w:sz w:val="24"/>
          <w:szCs w:val="24"/>
        </w:rPr>
        <w:t xml:space="preserve">I consider any </w:t>
      </w:r>
      <w:r w:rsidR="00D52E26">
        <w:rPr>
          <w:rFonts w:ascii="Times New Roman" w:hAnsi="Times New Roman" w:cs="Times New Roman"/>
          <w:sz w:val="24"/>
          <w:szCs w:val="24"/>
        </w:rPr>
        <w:t>other applicants in places where the lottery was held to be lottery losers</w:t>
      </w:r>
      <w:r w:rsidR="00741536">
        <w:rPr>
          <w:rFonts w:ascii="Times New Roman" w:hAnsi="Times New Roman" w:cs="Times New Roman"/>
          <w:sz w:val="24"/>
          <w:szCs w:val="24"/>
        </w:rPr>
        <w:t>.</w:t>
      </w:r>
      <w:r w:rsidR="00D52E26">
        <w:rPr>
          <w:rFonts w:ascii="Times New Roman" w:hAnsi="Times New Roman" w:cs="Times New Roman"/>
          <w:sz w:val="24"/>
          <w:szCs w:val="24"/>
        </w:rPr>
        <w:t xml:space="preserve"> T</w:t>
      </w:r>
      <w:r w:rsidR="00873950">
        <w:rPr>
          <w:rFonts w:ascii="Times New Roman" w:hAnsi="Times New Roman" w:cs="Times New Roman"/>
          <w:sz w:val="24"/>
          <w:szCs w:val="24"/>
        </w:rPr>
        <w:t>he total number of winners, substituting replacements for any original winners that failed the second screening process, was 253, and the number of losers was 875.</w:t>
      </w:r>
      <w:r w:rsidR="00DC1F57">
        <w:rPr>
          <w:rFonts w:ascii="Times New Roman" w:hAnsi="Times New Roman" w:cs="Times New Roman"/>
          <w:sz w:val="24"/>
          <w:szCs w:val="24"/>
        </w:rPr>
        <w:t xml:space="preserve"> Figure </w:t>
      </w:r>
      <w:r w:rsidR="00A71A06">
        <w:rPr>
          <w:rFonts w:ascii="Times New Roman" w:hAnsi="Times New Roman" w:cs="Times New Roman"/>
          <w:sz w:val="24"/>
          <w:szCs w:val="24"/>
        </w:rPr>
        <w:t>1</w:t>
      </w:r>
      <w:r w:rsidR="006B3ECE">
        <w:rPr>
          <w:rFonts w:ascii="Times New Roman" w:hAnsi="Times New Roman" w:cs="Times New Roman"/>
          <w:sz w:val="24"/>
          <w:szCs w:val="24"/>
        </w:rPr>
        <w:t>, panel (a)</w:t>
      </w:r>
      <w:r w:rsidR="00DC1F57">
        <w:rPr>
          <w:rFonts w:ascii="Times New Roman" w:hAnsi="Times New Roman" w:cs="Times New Roman"/>
          <w:sz w:val="24"/>
          <w:szCs w:val="24"/>
        </w:rPr>
        <w:t xml:space="preserve"> shows where the lottery winners </w:t>
      </w:r>
      <w:r w:rsidR="00E1187C">
        <w:rPr>
          <w:rFonts w:ascii="Times New Roman" w:hAnsi="Times New Roman" w:cs="Times New Roman"/>
          <w:sz w:val="24"/>
          <w:szCs w:val="24"/>
        </w:rPr>
        <w:t xml:space="preserve">(green triangles) </w:t>
      </w:r>
      <w:r w:rsidR="00DC1F57">
        <w:rPr>
          <w:rFonts w:ascii="Times New Roman" w:hAnsi="Times New Roman" w:cs="Times New Roman"/>
          <w:sz w:val="24"/>
          <w:szCs w:val="24"/>
        </w:rPr>
        <w:t xml:space="preserve">and losers </w:t>
      </w:r>
      <w:r w:rsidR="00E1187C">
        <w:rPr>
          <w:rFonts w:ascii="Times New Roman" w:hAnsi="Times New Roman" w:cs="Times New Roman"/>
          <w:sz w:val="24"/>
          <w:szCs w:val="24"/>
        </w:rPr>
        <w:t xml:space="preserve">(red triangles) </w:t>
      </w:r>
      <w:r w:rsidR="00DC1F57">
        <w:rPr>
          <w:rFonts w:ascii="Times New Roman" w:hAnsi="Times New Roman" w:cs="Times New Roman"/>
          <w:sz w:val="24"/>
          <w:szCs w:val="24"/>
        </w:rPr>
        <w:t>had proposed to locate on their applications, as well as the dispensaries located in areas that did not need the lottery</w:t>
      </w:r>
      <w:r w:rsidR="00E1187C">
        <w:rPr>
          <w:rFonts w:ascii="Times New Roman" w:hAnsi="Times New Roman" w:cs="Times New Roman"/>
          <w:sz w:val="24"/>
          <w:szCs w:val="24"/>
        </w:rPr>
        <w:t xml:space="preserve"> (black circles)</w:t>
      </w:r>
      <w:r w:rsidR="00DC1F57">
        <w:rPr>
          <w:rFonts w:ascii="Times New Roman" w:hAnsi="Times New Roman" w:cs="Times New Roman"/>
          <w:sz w:val="24"/>
          <w:szCs w:val="24"/>
        </w:rPr>
        <w:t>.</w:t>
      </w:r>
    </w:p>
    <w:p w14:paraId="51E12C1F" w14:textId="77777777" w:rsidR="004505E8" w:rsidRPr="004505E8" w:rsidRDefault="004505E8" w:rsidP="004505E8">
      <w:pPr>
        <w:spacing w:after="0" w:line="480" w:lineRule="auto"/>
        <w:ind w:firstLine="720"/>
        <w:contextualSpacing/>
        <w:jc w:val="both"/>
        <w:rPr>
          <w:rFonts w:ascii="Times New Roman" w:hAnsi="Times New Roman" w:cs="Times New Roman"/>
          <w:sz w:val="12"/>
          <w:szCs w:val="12"/>
        </w:rPr>
      </w:pPr>
    </w:p>
    <w:p w14:paraId="211D5631" w14:textId="006FE3A3" w:rsidR="00CD4027" w:rsidRDefault="00CA5F95" w:rsidP="00CD4027">
      <w:pPr>
        <w:rPr>
          <w:rFonts w:ascii="Times New Roman" w:hAnsi="Times New Roman" w:cs="Times New Roman"/>
          <w:b/>
          <w:bCs/>
          <w:sz w:val="28"/>
          <w:szCs w:val="28"/>
        </w:rPr>
      </w:pPr>
      <w:r>
        <w:rPr>
          <w:rFonts w:ascii="Times New Roman" w:hAnsi="Times New Roman" w:cs="Times New Roman"/>
          <w:b/>
          <w:bCs/>
          <w:sz w:val="28"/>
          <w:szCs w:val="28"/>
        </w:rPr>
        <w:t>3</w:t>
      </w:r>
      <w:r w:rsidR="00CD4027" w:rsidRPr="00BF0709">
        <w:rPr>
          <w:rFonts w:ascii="Times New Roman" w:hAnsi="Times New Roman" w:cs="Times New Roman"/>
          <w:b/>
          <w:bCs/>
          <w:sz w:val="28"/>
          <w:szCs w:val="28"/>
        </w:rPr>
        <w:t>.2</w:t>
      </w:r>
      <w:r w:rsidR="00CD4027" w:rsidRPr="00BF0709">
        <w:rPr>
          <w:rFonts w:ascii="Times New Roman" w:hAnsi="Times New Roman" w:cs="Times New Roman"/>
          <w:b/>
          <w:bCs/>
          <w:sz w:val="28"/>
          <w:szCs w:val="28"/>
        </w:rPr>
        <w:tab/>
      </w:r>
      <w:r w:rsidR="00BF0709" w:rsidRPr="00BF0709">
        <w:rPr>
          <w:rFonts w:ascii="Times New Roman" w:hAnsi="Times New Roman" w:cs="Times New Roman"/>
          <w:b/>
          <w:bCs/>
          <w:sz w:val="28"/>
          <w:szCs w:val="28"/>
        </w:rPr>
        <w:t>Dispensary Openings</w:t>
      </w:r>
    </w:p>
    <w:p w14:paraId="58EB4810" w14:textId="77777777" w:rsidR="004505E8" w:rsidRDefault="00D85335" w:rsidP="004505E8">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addition to the lottery data, the WSLCB also has publicly available information on sales and excise taxes due each month for operating dispensaries. This data identifies dispensaries with the same application or license number as in the lottery data, and also includes the reporting month, total sales, and excise taxes due. The data report sales for July 2014 through October 2017. I use this information to determine when dispensaries entered </w:t>
      </w:r>
      <w:r w:rsidR="008702BD">
        <w:rPr>
          <w:rFonts w:ascii="Times New Roman" w:hAnsi="Times New Roman" w:cs="Times New Roman"/>
          <w:sz w:val="24"/>
          <w:szCs w:val="24"/>
        </w:rPr>
        <w:t xml:space="preserve">or exited </w:t>
      </w:r>
      <w:r>
        <w:rPr>
          <w:rFonts w:ascii="Times New Roman" w:hAnsi="Times New Roman" w:cs="Times New Roman"/>
          <w:sz w:val="24"/>
          <w:szCs w:val="24"/>
        </w:rPr>
        <w:t>the market</w:t>
      </w:r>
      <w:r w:rsidR="008702BD">
        <w:rPr>
          <w:rFonts w:ascii="Times New Roman" w:hAnsi="Times New Roman" w:cs="Times New Roman"/>
          <w:sz w:val="24"/>
          <w:szCs w:val="24"/>
        </w:rPr>
        <w:t xml:space="preserve">. </w:t>
      </w:r>
      <w:r>
        <w:rPr>
          <w:rFonts w:ascii="Times New Roman" w:hAnsi="Times New Roman" w:cs="Times New Roman"/>
          <w:sz w:val="24"/>
          <w:szCs w:val="24"/>
        </w:rPr>
        <w:t xml:space="preserve">I consider the first month a dispensary has any sales as the month that it opened. </w:t>
      </w:r>
      <w:r w:rsidR="00895766">
        <w:rPr>
          <w:rFonts w:ascii="Times New Roman" w:hAnsi="Times New Roman" w:cs="Times New Roman"/>
          <w:sz w:val="24"/>
          <w:szCs w:val="24"/>
        </w:rPr>
        <w:t xml:space="preserve">For any dispensary that </w:t>
      </w:r>
      <w:r w:rsidR="008702BD">
        <w:rPr>
          <w:rFonts w:ascii="Times New Roman" w:hAnsi="Times New Roman" w:cs="Times New Roman"/>
          <w:sz w:val="24"/>
          <w:szCs w:val="24"/>
        </w:rPr>
        <w:t xml:space="preserve">stops appearing in the data, </w:t>
      </w:r>
      <w:r>
        <w:rPr>
          <w:rFonts w:ascii="Times New Roman" w:hAnsi="Times New Roman" w:cs="Times New Roman"/>
          <w:sz w:val="24"/>
          <w:szCs w:val="24"/>
        </w:rPr>
        <w:t xml:space="preserve">I consider the last month </w:t>
      </w:r>
      <w:r w:rsidR="00895766">
        <w:rPr>
          <w:rFonts w:ascii="Times New Roman" w:hAnsi="Times New Roman" w:cs="Times New Roman"/>
          <w:sz w:val="24"/>
          <w:szCs w:val="24"/>
        </w:rPr>
        <w:t xml:space="preserve">it </w:t>
      </w:r>
      <w:r>
        <w:rPr>
          <w:rFonts w:ascii="Times New Roman" w:hAnsi="Times New Roman" w:cs="Times New Roman"/>
          <w:sz w:val="24"/>
          <w:szCs w:val="24"/>
        </w:rPr>
        <w:t xml:space="preserve">appears in the data as </w:t>
      </w:r>
      <w:r w:rsidR="00895766">
        <w:rPr>
          <w:rFonts w:ascii="Times New Roman" w:hAnsi="Times New Roman" w:cs="Times New Roman"/>
          <w:sz w:val="24"/>
          <w:szCs w:val="24"/>
        </w:rPr>
        <w:t>the last month it was open.</w:t>
      </w:r>
      <w:r w:rsidR="002C33DD">
        <w:rPr>
          <w:rFonts w:ascii="Times New Roman" w:hAnsi="Times New Roman" w:cs="Times New Roman"/>
          <w:sz w:val="24"/>
          <w:szCs w:val="24"/>
        </w:rPr>
        <w:t xml:space="preserve"> In addition to this data, the WSLCB also provides the addresses for active dispensaries. I merge </w:t>
      </w:r>
      <w:r w:rsidR="002C33DD">
        <w:rPr>
          <w:rFonts w:ascii="Times New Roman" w:hAnsi="Times New Roman" w:cs="Times New Roman"/>
          <w:sz w:val="24"/>
          <w:szCs w:val="24"/>
        </w:rPr>
        <w:lastRenderedPageBreak/>
        <w:t xml:space="preserve">this data with the lottery data to determine which lottery winners actually opened and whether they opened in their originally proposed location. </w:t>
      </w:r>
    </w:p>
    <w:p w14:paraId="40EDB5C3" w14:textId="5B107031" w:rsidR="00873950" w:rsidRDefault="00D51FE9" w:rsidP="004505E8">
      <w:pPr>
        <w:spacing w:after="0" w:line="480" w:lineRule="auto"/>
        <w:ind w:firstLine="720"/>
        <w:contextualSpacing/>
        <w:jc w:val="both"/>
        <w:rPr>
          <w:rFonts w:ascii="Times New Roman" w:hAnsi="Times New Roman" w:cs="Times New Roman"/>
          <w:sz w:val="24"/>
          <w:szCs w:val="24"/>
        </w:rPr>
      </w:pPr>
      <w:r w:rsidRPr="00D51FE9">
        <w:rPr>
          <w:rFonts w:ascii="Times New Roman" w:hAnsi="Times New Roman" w:cs="Times New Roman"/>
          <w:sz w:val="24"/>
          <w:szCs w:val="24"/>
        </w:rPr>
        <w:t xml:space="preserve">Following Thomas </w:t>
      </w:r>
      <w:r w:rsidR="009F0550">
        <w:rPr>
          <w:rFonts w:ascii="Times New Roman" w:hAnsi="Times New Roman" w:cs="Times New Roman"/>
          <w:sz w:val="24"/>
          <w:szCs w:val="24"/>
        </w:rPr>
        <w:t>&amp;</w:t>
      </w:r>
      <w:r w:rsidRPr="00D51FE9">
        <w:rPr>
          <w:rFonts w:ascii="Times New Roman" w:hAnsi="Times New Roman" w:cs="Times New Roman"/>
          <w:sz w:val="24"/>
          <w:szCs w:val="24"/>
        </w:rPr>
        <w:t xml:space="preserve"> Tian (2021) and Dong </w:t>
      </w:r>
      <w:r w:rsidR="009F0550">
        <w:rPr>
          <w:rFonts w:ascii="Times New Roman" w:hAnsi="Times New Roman" w:cs="Times New Roman"/>
          <w:sz w:val="24"/>
          <w:szCs w:val="24"/>
        </w:rPr>
        <w:t>&amp;</w:t>
      </w:r>
      <w:r w:rsidRPr="00D51FE9">
        <w:rPr>
          <w:rFonts w:ascii="Times New Roman" w:hAnsi="Times New Roman" w:cs="Times New Roman"/>
          <w:sz w:val="24"/>
          <w:szCs w:val="24"/>
        </w:rPr>
        <w:t xml:space="preserve"> Tyndall (2021), </w:t>
      </w:r>
      <w:r w:rsidR="00511BF4" w:rsidRPr="00D51FE9">
        <w:rPr>
          <w:rFonts w:ascii="Times New Roman" w:hAnsi="Times New Roman" w:cs="Times New Roman"/>
          <w:sz w:val="24"/>
          <w:szCs w:val="24"/>
        </w:rPr>
        <w:t>I</w:t>
      </w:r>
      <w:r w:rsidR="00511BF4">
        <w:rPr>
          <w:rFonts w:ascii="Times New Roman" w:hAnsi="Times New Roman" w:cs="Times New Roman"/>
          <w:sz w:val="24"/>
          <w:szCs w:val="24"/>
        </w:rPr>
        <w:t xml:space="preserve"> </w:t>
      </w:r>
      <w:r w:rsidR="008702BD" w:rsidRPr="00A24A1D">
        <w:rPr>
          <w:rFonts w:ascii="Times New Roman" w:hAnsi="Times New Roman" w:cs="Times New Roman"/>
          <w:sz w:val="24"/>
          <w:szCs w:val="24"/>
        </w:rPr>
        <w:t xml:space="preserve">only use dispensaries that opened prior to the end of the 2015-16 school year (i.e., </w:t>
      </w:r>
      <w:r w:rsidR="007078C7" w:rsidRPr="00A24A1D">
        <w:rPr>
          <w:rFonts w:ascii="Times New Roman" w:hAnsi="Times New Roman" w:cs="Times New Roman"/>
          <w:sz w:val="24"/>
          <w:szCs w:val="24"/>
        </w:rPr>
        <w:t xml:space="preserve">before </w:t>
      </w:r>
      <w:r w:rsidR="008702BD" w:rsidRPr="00A24A1D">
        <w:rPr>
          <w:rFonts w:ascii="Times New Roman" w:hAnsi="Times New Roman" w:cs="Times New Roman"/>
          <w:sz w:val="24"/>
          <w:szCs w:val="24"/>
        </w:rPr>
        <w:t>June 2016</w:t>
      </w:r>
      <w:r w:rsidR="008702BD">
        <w:rPr>
          <w:rFonts w:ascii="Times New Roman" w:hAnsi="Times New Roman" w:cs="Times New Roman"/>
          <w:sz w:val="24"/>
          <w:szCs w:val="24"/>
        </w:rPr>
        <w:t>) in my analysis. Washington expanded the cap on the number of dispensaries from 334 to 556 in January 2016, and dispensaries that opened after this point did not have to be a part of the original lottery. Thus, I do not want to include them in my analysis.</w:t>
      </w:r>
      <w:r w:rsidR="007078C7">
        <w:rPr>
          <w:rFonts w:ascii="Times New Roman" w:hAnsi="Times New Roman" w:cs="Times New Roman"/>
          <w:sz w:val="24"/>
          <w:szCs w:val="24"/>
        </w:rPr>
        <w:t xml:space="preserve"> </w:t>
      </w:r>
      <w:r w:rsidR="00873950">
        <w:rPr>
          <w:rFonts w:ascii="Times New Roman" w:hAnsi="Times New Roman" w:cs="Times New Roman"/>
          <w:sz w:val="24"/>
          <w:szCs w:val="24"/>
        </w:rPr>
        <w:t>Of the 253 lottery winners, 1</w:t>
      </w:r>
      <w:r w:rsidR="007078C7">
        <w:rPr>
          <w:rFonts w:ascii="Times New Roman" w:hAnsi="Times New Roman" w:cs="Times New Roman"/>
          <w:sz w:val="24"/>
          <w:szCs w:val="24"/>
        </w:rPr>
        <w:t>77</w:t>
      </w:r>
      <w:r w:rsidR="00873950">
        <w:rPr>
          <w:rFonts w:ascii="Times New Roman" w:hAnsi="Times New Roman" w:cs="Times New Roman"/>
          <w:sz w:val="24"/>
          <w:szCs w:val="24"/>
        </w:rPr>
        <w:t xml:space="preserve"> opened between </w:t>
      </w:r>
      <w:r w:rsidR="007078C7">
        <w:rPr>
          <w:rFonts w:ascii="Times New Roman" w:hAnsi="Times New Roman" w:cs="Times New Roman"/>
          <w:sz w:val="24"/>
          <w:szCs w:val="24"/>
        </w:rPr>
        <w:t xml:space="preserve">July </w:t>
      </w:r>
      <w:r w:rsidR="00873950">
        <w:rPr>
          <w:rFonts w:ascii="Times New Roman" w:hAnsi="Times New Roman" w:cs="Times New Roman"/>
          <w:sz w:val="24"/>
          <w:szCs w:val="24"/>
        </w:rPr>
        <w:t xml:space="preserve">2014 and </w:t>
      </w:r>
      <w:r w:rsidR="007078C7">
        <w:rPr>
          <w:rFonts w:ascii="Times New Roman" w:hAnsi="Times New Roman" w:cs="Times New Roman"/>
          <w:sz w:val="24"/>
          <w:szCs w:val="24"/>
        </w:rPr>
        <w:t>June 2016</w:t>
      </w:r>
      <w:r w:rsidR="00873950">
        <w:rPr>
          <w:rFonts w:ascii="Times New Roman" w:hAnsi="Times New Roman" w:cs="Times New Roman"/>
          <w:sz w:val="24"/>
          <w:szCs w:val="24"/>
        </w:rPr>
        <w:t xml:space="preserve">, while 64 did not. </w:t>
      </w:r>
      <w:r w:rsidR="003C61AF">
        <w:rPr>
          <w:rFonts w:ascii="Times New Roman" w:hAnsi="Times New Roman" w:cs="Times New Roman"/>
          <w:sz w:val="24"/>
          <w:szCs w:val="24"/>
        </w:rPr>
        <w:t xml:space="preserve">Figure </w:t>
      </w:r>
      <w:r w:rsidR="000E1FCE">
        <w:rPr>
          <w:rFonts w:ascii="Times New Roman" w:hAnsi="Times New Roman" w:cs="Times New Roman"/>
          <w:sz w:val="24"/>
          <w:szCs w:val="24"/>
        </w:rPr>
        <w:t>1</w:t>
      </w:r>
      <w:r w:rsidR="006B3ECE">
        <w:rPr>
          <w:rFonts w:ascii="Times New Roman" w:hAnsi="Times New Roman" w:cs="Times New Roman"/>
          <w:sz w:val="24"/>
          <w:szCs w:val="24"/>
        </w:rPr>
        <w:t>, panel (b)</w:t>
      </w:r>
      <w:r w:rsidR="003C61AF">
        <w:rPr>
          <w:rFonts w:ascii="Times New Roman" w:hAnsi="Times New Roman" w:cs="Times New Roman"/>
          <w:sz w:val="24"/>
          <w:szCs w:val="24"/>
        </w:rPr>
        <w:t xml:space="preserve"> shows the lottery winners that did not open in red. </w:t>
      </w:r>
      <w:r w:rsidR="00873950">
        <w:rPr>
          <w:rFonts w:ascii="Times New Roman" w:hAnsi="Times New Roman" w:cs="Times New Roman"/>
          <w:sz w:val="24"/>
          <w:szCs w:val="24"/>
        </w:rPr>
        <w:t>Out of the ones that opened, 8</w:t>
      </w:r>
      <w:r w:rsidR="007078C7">
        <w:rPr>
          <w:rFonts w:ascii="Times New Roman" w:hAnsi="Times New Roman" w:cs="Times New Roman"/>
          <w:sz w:val="24"/>
          <w:szCs w:val="24"/>
        </w:rPr>
        <w:t>3</w:t>
      </w:r>
      <w:r w:rsidR="00873950">
        <w:rPr>
          <w:rFonts w:ascii="Times New Roman" w:hAnsi="Times New Roman" w:cs="Times New Roman"/>
          <w:sz w:val="24"/>
          <w:szCs w:val="24"/>
        </w:rPr>
        <w:t xml:space="preserve"> opened at the address listed in the original application</w:t>
      </w:r>
      <w:r w:rsidR="003C61AF">
        <w:rPr>
          <w:rFonts w:ascii="Times New Roman" w:hAnsi="Times New Roman" w:cs="Times New Roman"/>
          <w:sz w:val="24"/>
          <w:szCs w:val="24"/>
        </w:rPr>
        <w:t xml:space="preserve"> (the green triangles in Figure </w:t>
      </w:r>
      <w:r w:rsidR="000E1FCE">
        <w:rPr>
          <w:rFonts w:ascii="Times New Roman" w:hAnsi="Times New Roman" w:cs="Times New Roman"/>
          <w:sz w:val="24"/>
          <w:szCs w:val="24"/>
        </w:rPr>
        <w:t>1</w:t>
      </w:r>
      <w:r w:rsidR="00211148">
        <w:rPr>
          <w:rFonts w:ascii="Times New Roman" w:hAnsi="Times New Roman" w:cs="Times New Roman"/>
          <w:sz w:val="24"/>
          <w:szCs w:val="24"/>
        </w:rPr>
        <w:t>, panel (</w:t>
      </w:r>
      <w:r w:rsidR="00EE2557">
        <w:rPr>
          <w:rFonts w:ascii="Times New Roman" w:hAnsi="Times New Roman" w:cs="Times New Roman"/>
          <w:sz w:val="24"/>
          <w:szCs w:val="24"/>
        </w:rPr>
        <w:t>b</w:t>
      </w:r>
      <w:r w:rsidR="00211148">
        <w:rPr>
          <w:rFonts w:ascii="Times New Roman" w:hAnsi="Times New Roman" w:cs="Times New Roman"/>
          <w:sz w:val="24"/>
          <w:szCs w:val="24"/>
        </w:rPr>
        <w:t>)</w:t>
      </w:r>
      <w:r w:rsidR="003C61AF">
        <w:rPr>
          <w:rFonts w:ascii="Times New Roman" w:hAnsi="Times New Roman" w:cs="Times New Roman"/>
          <w:sz w:val="24"/>
          <w:szCs w:val="24"/>
        </w:rPr>
        <w:t>),</w:t>
      </w:r>
      <w:r w:rsidR="00873950">
        <w:rPr>
          <w:rFonts w:ascii="Times New Roman" w:hAnsi="Times New Roman" w:cs="Times New Roman"/>
          <w:sz w:val="24"/>
          <w:szCs w:val="24"/>
        </w:rPr>
        <w:t xml:space="preserve"> and </w:t>
      </w:r>
      <w:r w:rsidR="007078C7">
        <w:rPr>
          <w:rFonts w:ascii="Times New Roman" w:hAnsi="Times New Roman" w:cs="Times New Roman"/>
          <w:sz w:val="24"/>
          <w:szCs w:val="24"/>
        </w:rPr>
        <w:t>94</w:t>
      </w:r>
      <w:r w:rsidR="00873950">
        <w:rPr>
          <w:rFonts w:ascii="Times New Roman" w:hAnsi="Times New Roman" w:cs="Times New Roman"/>
          <w:sz w:val="24"/>
          <w:szCs w:val="24"/>
        </w:rPr>
        <w:t xml:space="preserve"> opened at a different location</w:t>
      </w:r>
      <w:r w:rsidR="003C61AF">
        <w:rPr>
          <w:rFonts w:ascii="Times New Roman" w:hAnsi="Times New Roman" w:cs="Times New Roman"/>
          <w:sz w:val="24"/>
          <w:szCs w:val="24"/>
        </w:rPr>
        <w:t xml:space="preserve"> (the blue triangles in Figure </w:t>
      </w:r>
      <w:r w:rsidR="000E1FCE">
        <w:rPr>
          <w:rFonts w:ascii="Times New Roman" w:hAnsi="Times New Roman" w:cs="Times New Roman"/>
          <w:sz w:val="24"/>
          <w:szCs w:val="24"/>
        </w:rPr>
        <w:t>1</w:t>
      </w:r>
      <w:r w:rsidR="00211148">
        <w:rPr>
          <w:rFonts w:ascii="Times New Roman" w:hAnsi="Times New Roman" w:cs="Times New Roman"/>
          <w:sz w:val="24"/>
          <w:szCs w:val="24"/>
        </w:rPr>
        <w:t>, panel (</w:t>
      </w:r>
      <w:r w:rsidR="00EE2557">
        <w:rPr>
          <w:rFonts w:ascii="Times New Roman" w:hAnsi="Times New Roman" w:cs="Times New Roman"/>
          <w:sz w:val="24"/>
          <w:szCs w:val="24"/>
        </w:rPr>
        <w:t>b</w:t>
      </w:r>
      <w:r w:rsidR="00211148">
        <w:rPr>
          <w:rFonts w:ascii="Times New Roman" w:hAnsi="Times New Roman" w:cs="Times New Roman"/>
          <w:sz w:val="24"/>
          <w:szCs w:val="24"/>
        </w:rPr>
        <w:t>)</w:t>
      </w:r>
      <w:r w:rsidR="003C61AF">
        <w:rPr>
          <w:rFonts w:ascii="Times New Roman" w:hAnsi="Times New Roman" w:cs="Times New Roman"/>
          <w:sz w:val="24"/>
          <w:szCs w:val="24"/>
        </w:rPr>
        <w:t>)</w:t>
      </w:r>
      <w:r w:rsidR="00873950">
        <w:rPr>
          <w:rFonts w:ascii="Times New Roman" w:hAnsi="Times New Roman" w:cs="Times New Roman"/>
          <w:sz w:val="24"/>
          <w:szCs w:val="24"/>
        </w:rPr>
        <w:t>.</w:t>
      </w:r>
      <w:r w:rsidR="007078C7">
        <w:rPr>
          <w:rStyle w:val="FootnoteReference"/>
          <w:rFonts w:ascii="Times New Roman" w:hAnsi="Times New Roman" w:cs="Times New Roman"/>
          <w:sz w:val="24"/>
          <w:szCs w:val="24"/>
        </w:rPr>
        <w:footnoteReference w:id="12"/>
      </w:r>
      <w:r w:rsidR="003C61AF">
        <w:rPr>
          <w:rFonts w:ascii="Times New Roman" w:hAnsi="Times New Roman" w:cs="Times New Roman"/>
          <w:sz w:val="24"/>
          <w:szCs w:val="24"/>
        </w:rPr>
        <w:t xml:space="preserve"> </w:t>
      </w:r>
      <w:r w:rsidR="00336CB4">
        <w:rPr>
          <w:rFonts w:ascii="Times New Roman" w:hAnsi="Times New Roman" w:cs="Times New Roman"/>
          <w:sz w:val="24"/>
          <w:szCs w:val="24"/>
        </w:rPr>
        <w:t>Lottery winners and o</w:t>
      </w:r>
      <w:r w:rsidR="003C61AF">
        <w:rPr>
          <w:rFonts w:ascii="Times New Roman" w:hAnsi="Times New Roman" w:cs="Times New Roman"/>
          <w:sz w:val="24"/>
          <w:szCs w:val="24"/>
        </w:rPr>
        <w:t xml:space="preserve">pen dispensaries are concentrated in the Seattle, Tacoma, Vancouver, and Spokane areas because the local dispensary quotas were </w:t>
      </w:r>
      <w:r w:rsidR="00FD7844">
        <w:rPr>
          <w:rFonts w:ascii="Times New Roman" w:hAnsi="Times New Roman" w:cs="Times New Roman"/>
          <w:sz w:val="24"/>
          <w:szCs w:val="24"/>
        </w:rPr>
        <w:t xml:space="preserve">highest in these places. </w:t>
      </w:r>
    </w:p>
    <w:p w14:paraId="20AFE51F" w14:textId="77777777" w:rsidR="004505E8" w:rsidRPr="004505E8" w:rsidRDefault="004505E8" w:rsidP="004505E8">
      <w:pPr>
        <w:spacing w:after="0" w:line="480" w:lineRule="auto"/>
        <w:ind w:firstLine="720"/>
        <w:contextualSpacing/>
        <w:jc w:val="both"/>
        <w:rPr>
          <w:rFonts w:ascii="Times New Roman" w:hAnsi="Times New Roman" w:cs="Times New Roman"/>
          <w:sz w:val="12"/>
          <w:szCs w:val="12"/>
        </w:rPr>
      </w:pPr>
    </w:p>
    <w:p w14:paraId="30C7BFF2" w14:textId="472DE87E" w:rsidR="00854CEA" w:rsidRPr="00854CEA" w:rsidRDefault="00CA5F95" w:rsidP="00CD4027">
      <w:pPr>
        <w:rPr>
          <w:rFonts w:ascii="Times New Roman" w:hAnsi="Times New Roman" w:cs="Times New Roman"/>
          <w:b/>
          <w:bCs/>
          <w:sz w:val="28"/>
          <w:szCs w:val="28"/>
        </w:rPr>
      </w:pPr>
      <w:r>
        <w:rPr>
          <w:rFonts w:ascii="Times New Roman" w:hAnsi="Times New Roman" w:cs="Times New Roman"/>
          <w:b/>
          <w:bCs/>
          <w:sz w:val="28"/>
          <w:szCs w:val="28"/>
        </w:rPr>
        <w:t>3</w:t>
      </w:r>
      <w:r w:rsidR="00BF0709" w:rsidRPr="00BF0709">
        <w:rPr>
          <w:rFonts w:ascii="Times New Roman" w:hAnsi="Times New Roman" w:cs="Times New Roman"/>
          <w:b/>
          <w:bCs/>
          <w:sz w:val="28"/>
          <w:szCs w:val="28"/>
        </w:rPr>
        <w:t>.3</w:t>
      </w:r>
      <w:r w:rsidR="00BF0709" w:rsidRPr="00BF0709">
        <w:rPr>
          <w:rFonts w:ascii="Times New Roman" w:hAnsi="Times New Roman" w:cs="Times New Roman"/>
          <w:b/>
          <w:bCs/>
          <w:sz w:val="28"/>
          <w:szCs w:val="28"/>
        </w:rPr>
        <w:tab/>
        <w:t>Educational Outcomes</w:t>
      </w:r>
    </w:p>
    <w:p w14:paraId="31BD1545" w14:textId="0AF55D5A" w:rsidR="0089311A" w:rsidRDefault="0089311A" w:rsidP="0089311A">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 only look at outcomes of high schoolers, specifically 11</w:t>
      </w:r>
      <w:r w:rsidRPr="00BB2763">
        <w:rPr>
          <w:rFonts w:ascii="Times New Roman" w:hAnsi="Times New Roman" w:cs="Times New Roman"/>
          <w:sz w:val="24"/>
          <w:szCs w:val="24"/>
          <w:vertAlign w:val="superscript"/>
        </w:rPr>
        <w:t>th</w:t>
      </w:r>
      <w:r>
        <w:rPr>
          <w:rFonts w:ascii="Times New Roman" w:hAnsi="Times New Roman" w:cs="Times New Roman"/>
          <w:sz w:val="24"/>
          <w:szCs w:val="24"/>
        </w:rPr>
        <w:t>- and 12</w:t>
      </w:r>
      <w:r w:rsidRPr="00BB2763">
        <w:rPr>
          <w:rFonts w:ascii="Times New Roman" w:hAnsi="Times New Roman" w:cs="Times New Roman"/>
          <w:sz w:val="24"/>
          <w:szCs w:val="24"/>
          <w:vertAlign w:val="superscript"/>
        </w:rPr>
        <w:t>th</w:t>
      </w:r>
      <w:r>
        <w:rPr>
          <w:rFonts w:ascii="Times New Roman" w:hAnsi="Times New Roman" w:cs="Times New Roman"/>
          <w:sz w:val="24"/>
          <w:szCs w:val="24"/>
        </w:rPr>
        <w:t xml:space="preserve">-grade students, because they are most likely to use marijuana. </w:t>
      </w:r>
      <w:r w:rsidRPr="009D1435">
        <w:rPr>
          <w:rFonts w:ascii="Times New Roman" w:hAnsi="Times New Roman" w:cs="Times New Roman"/>
          <w:sz w:val="24"/>
          <w:szCs w:val="24"/>
        </w:rPr>
        <w:t xml:space="preserve">Figure </w:t>
      </w:r>
      <w:r w:rsidR="000E1FCE">
        <w:rPr>
          <w:rFonts w:ascii="Times New Roman" w:hAnsi="Times New Roman" w:cs="Times New Roman"/>
          <w:sz w:val="24"/>
          <w:szCs w:val="24"/>
        </w:rPr>
        <w:t>2</w:t>
      </w:r>
      <w:r w:rsidRPr="009D1435">
        <w:rPr>
          <w:rFonts w:ascii="Times New Roman" w:hAnsi="Times New Roman" w:cs="Times New Roman"/>
          <w:sz w:val="24"/>
          <w:szCs w:val="24"/>
        </w:rPr>
        <w:t xml:space="preserve"> shows trends in </w:t>
      </w:r>
      <w:r>
        <w:rPr>
          <w:rFonts w:ascii="Times New Roman" w:hAnsi="Times New Roman" w:cs="Times New Roman"/>
          <w:sz w:val="24"/>
          <w:szCs w:val="24"/>
        </w:rPr>
        <w:t xml:space="preserve">self-reported </w:t>
      </w:r>
      <w:r w:rsidRPr="009D1435">
        <w:rPr>
          <w:rFonts w:ascii="Times New Roman" w:hAnsi="Times New Roman" w:cs="Times New Roman"/>
          <w:sz w:val="24"/>
          <w:szCs w:val="24"/>
        </w:rPr>
        <w:t>marijuana use by grade from the Washington Healthy Youth Survey (WHYS), a biennial survey used by the state to assess school climate issues and adolescent health.</w:t>
      </w:r>
      <w:r>
        <w:rPr>
          <w:rFonts w:ascii="Times New Roman" w:hAnsi="Times New Roman" w:cs="Times New Roman"/>
          <w:sz w:val="24"/>
          <w:szCs w:val="24"/>
        </w:rPr>
        <w:t xml:space="preserve"> 23-27% of 12</w:t>
      </w:r>
      <w:r w:rsidRPr="007E1382">
        <w:rPr>
          <w:rFonts w:ascii="Times New Roman" w:hAnsi="Times New Roman" w:cs="Times New Roman"/>
          <w:sz w:val="24"/>
          <w:szCs w:val="24"/>
          <w:vertAlign w:val="superscript"/>
        </w:rPr>
        <w:t>th</w:t>
      </w:r>
      <w:r>
        <w:rPr>
          <w:rFonts w:ascii="Times New Roman" w:hAnsi="Times New Roman" w:cs="Times New Roman"/>
          <w:sz w:val="24"/>
          <w:szCs w:val="24"/>
        </w:rPr>
        <w:t xml:space="preserve"> graders used marijuana in the past month between 2008 and 2018 compared to 17-20% of 10</w:t>
      </w:r>
      <w:r w:rsidRPr="0089311A">
        <w:rPr>
          <w:rFonts w:ascii="Times New Roman" w:hAnsi="Times New Roman" w:cs="Times New Roman"/>
          <w:sz w:val="24"/>
          <w:szCs w:val="24"/>
          <w:vertAlign w:val="superscript"/>
        </w:rPr>
        <w:t>th</w:t>
      </w:r>
      <w:r>
        <w:rPr>
          <w:rFonts w:ascii="Times New Roman" w:hAnsi="Times New Roman" w:cs="Times New Roman"/>
          <w:sz w:val="24"/>
          <w:szCs w:val="24"/>
        </w:rPr>
        <w:t xml:space="preserve"> graders, less than 10% of 8</w:t>
      </w:r>
      <w:r w:rsidRPr="0089311A">
        <w:rPr>
          <w:rFonts w:ascii="Times New Roman" w:hAnsi="Times New Roman" w:cs="Times New Roman"/>
          <w:sz w:val="24"/>
          <w:szCs w:val="24"/>
          <w:vertAlign w:val="superscript"/>
        </w:rPr>
        <w:t>th</w:t>
      </w:r>
      <w:r>
        <w:rPr>
          <w:rFonts w:ascii="Times New Roman" w:hAnsi="Times New Roman" w:cs="Times New Roman"/>
          <w:sz w:val="24"/>
          <w:szCs w:val="24"/>
        </w:rPr>
        <w:t xml:space="preserve"> graders, and less than 2% of 6</w:t>
      </w:r>
      <w:r w:rsidRPr="00710437">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t>
      </w:r>
      <w:r w:rsidR="00CF7EF2">
        <w:rPr>
          <w:rFonts w:ascii="Times New Roman" w:hAnsi="Times New Roman" w:cs="Times New Roman"/>
          <w:sz w:val="24"/>
          <w:szCs w:val="24"/>
        </w:rPr>
        <w:t xml:space="preserve">While the survey </w:t>
      </w:r>
      <w:r w:rsidR="00F17FC6">
        <w:rPr>
          <w:rFonts w:ascii="Times New Roman" w:hAnsi="Times New Roman" w:cs="Times New Roman"/>
          <w:sz w:val="24"/>
          <w:szCs w:val="24"/>
        </w:rPr>
        <w:t>is not given to 11</w:t>
      </w:r>
      <w:r w:rsidR="00F17FC6" w:rsidRPr="00F17FC6">
        <w:rPr>
          <w:rFonts w:ascii="Times New Roman" w:hAnsi="Times New Roman" w:cs="Times New Roman"/>
          <w:sz w:val="24"/>
          <w:szCs w:val="24"/>
          <w:vertAlign w:val="superscript"/>
        </w:rPr>
        <w:t>th</w:t>
      </w:r>
      <w:r w:rsidR="00F17FC6">
        <w:rPr>
          <w:rFonts w:ascii="Times New Roman" w:hAnsi="Times New Roman" w:cs="Times New Roman"/>
          <w:sz w:val="24"/>
          <w:szCs w:val="24"/>
        </w:rPr>
        <w:t xml:space="preserve"> graders, I assume that their marijuana use patterns are similar </w:t>
      </w:r>
      <w:r w:rsidR="007022FF">
        <w:rPr>
          <w:rFonts w:ascii="Times New Roman" w:hAnsi="Times New Roman" w:cs="Times New Roman"/>
          <w:sz w:val="24"/>
          <w:szCs w:val="24"/>
        </w:rPr>
        <w:t>to</w:t>
      </w:r>
      <w:r w:rsidR="00D406D0">
        <w:rPr>
          <w:rFonts w:ascii="Times New Roman" w:hAnsi="Times New Roman" w:cs="Times New Roman"/>
          <w:sz w:val="24"/>
          <w:szCs w:val="24"/>
        </w:rPr>
        <w:t>/fall between</w:t>
      </w:r>
      <w:r w:rsidR="007022FF">
        <w:rPr>
          <w:rFonts w:ascii="Times New Roman" w:hAnsi="Times New Roman" w:cs="Times New Roman"/>
          <w:sz w:val="24"/>
          <w:szCs w:val="24"/>
        </w:rPr>
        <w:t xml:space="preserve"> 10</w:t>
      </w:r>
      <w:r w:rsidR="007022FF" w:rsidRPr="007022FF">
        <w:rPr>
          <w:rFonts w:ascii="Times New Roman" w:hAnsi="Times New Roman" w:cs="Times New Roman"/>
          <w:sz w:val="24"/>
          <w:szCs w:val="24"/>
          <w:vertAlign w:val="superscript"/>
        </w:rPr>
        <w:t>th</w:t>
      </w:r>
      <w:r w:rsidR="007022FF">
        <w:rPr>
          <w:rFonts w:ascii="Times New Roman" w:hAnsi="Times New Roman" w:cs="Times New Roman"/>
          <w:sz w:val="24"/>
          <w:szCs w:val="24"/>
        </w:rPr>
        <w:t>- and 12</w:t>
      </w:r>
      <w:r w:rsidR="007022FF" w:rsidRPr="007022FF">
        <w:rPr>
          <w:rFonts w:ascii="Times New Roman" w:hAnsi="Times New Roman" w:cs="Times New Roman"/>
          <w:sz w:val="24"/>
          <w:szCs w:val="24"/>
          <w:vertAlign w:val="superscript"/>
        </w:rPr>
        <w:t>th</w:t>
      </w:r>
      <w:r w:rsidR="007022FF">
        <w:rPr>
          <w:rFonts w:ascii="Times New Roman" w:hAnsi="Times New Roman" w:cs="Times New Roman"/>
          <w:sz w:val="24"/>
          <w:szCs w:val="24"/>
        </w:rPr>
        <w:t>-grade students’.</w:t>
      </w:r>
    </w:p>
    <w:p w14:paraId="23FCCFFF" w14:textId="77777777" w:rsidR="00CB1090" w:rsidRDefault="00EB12EB" w:rsidP="00CB1090">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I collect information on schools from two sources: Washington’s Office of Superintendent of Public Instruction (OSPI) and the Common Core of Data</w:t>
      </w:r>
      <w:r w:rsidR="00DA5CA3">
        <w:rPr>
          <w:rFonts w:ascii="Times New Roman" w:hAnsi="Times New Roman" w:cs="Times New Roman"/>
          <w:sz w:val="24"/>
          <w:szCs w:val="24"/>
        </w:rPr>
        <w:t xml:space="preserve"> (CCD)</w:t>
      </w:r>
      <w:r>
        <w:rPr>
          <w:rFonts w:ascii="Times New Roman" w:hAnsi="Times New Roman" w:cs="Times New Roman"/>
          <w:sz w:val="24"/>
          <w:szCs w:val="24"/>
        </w:rPr>
        <w:t>.</w:t>
      </w:r>
      <w:r w:rsidR="00854CEA">
        <w:rPr>
          <w:rFonts w:ascii="Times New Roman" w:hAnsi="Times New Roman" w:cs="Times New Roman"/>
          <w:sz w:val="24"/>
          <w:szCs w:val="24"/>
        </w:rPr>
        <w:t xml:space="preserve"> </w:t>
      </w:r>
      <w:r>
        <w:rPr>
          <w:rFonts w:ascii="Times New Roman" w:hAnsi="Times New Roman" w:cs="Times New Roman"/>
          <w:sz w:val="24"/>
          <w:szCs w:val="24"/>
        </w:rPr>
        <w:t>The data on educational outcomes</w:t>
      </w:r>
      <w:r w:rsidR="00FC3B6E">
        <w:rPr>
          <w:rFonts w:ascii="Times New Roman" w:hAnsi="Times New Roman" w:cs="Times New Roman"/>
          <w:sz w:val="24"/>
          <w:szCs w:val="24"/>
        </w:rPr>
        <w:t xml:space="preserve"> are publicly available from OSPI</w:t>
      </w:r>
      <w:r>
        <w:rPr>
          <w:rFonts w:ascii="Times New Roman" w:hAnsi="Times New Roman" w:cs="Times New Roman"/>
          <w:sz w:val="24"/>
          <w:szCs w:val="24"/>
        </w:rPr>
        <w:t xml:space="preserve">, </w:t>
      </w:r>
      <w:r w:rsidR="00854CEA">
        <w:rPr>
          <w:rFonts w:ascii="Times New Roman" w:hAnsi="Times New Roman" w:cs="Times New Roman"/>
          <w:sz w:val="24"/>
          <w:szCs w:val="24"/>
        </w:rPr>
        <w:t xml:space="preserve">and include </w:t>
      </w:r>
      <w:r w:rsidR="00FC3B6E">
        <w:rPr>
          <w:rFonts w:ascii="Times New Roman" w:hAnsi="Times New Roman" w:cs="Times New Roman"/>
          <w:sz w:val="24"/>
          <w:szCs w:val="24"/>
        </w:rPr>
        <w:t xml:space="preserve">dropout, chronic absenteeism, discipline, and math and ELA proficiency rates. </w:t>
      </w:r>
    </w:p>
    <w:p w14:paraId="41722C6F" w14:textId="28333D0F" w:rsidR="00ED06BA" w:rsidRPr="00ED06BA" w:rsidRDefault="00EB12EB" w:rsidP="005F1105">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dropout rate is defined as the number of students who </w:t>
      </w:r>
      <w:r w:rsidR="0040325B">
        <w:rPr>
          <w:rFonts w:ascii="Times New Roman" w:hAnsi="Times New Roman" w:cs="Times New Roman"/>
          <w:sz w:val="24"/>
          <w:szCs w:val="24"/>
        </w:rPr>
        <w:t xml:space="preserve">did not start or </w:t>
      </w:r>
      <w:r>
        <w:rPr>
          <w:rFonts w:ascii="Times New Roman" w:hAnsi="Times New Roman" w:cs="Times New Roman"/>
          <w:sz w:val="24"/>
          <w:szCs w:val="24"/>
        </w:rPr>
        <w:t>dropped out of the</w:t>
      </w:r>
      <w:r w:rsidR="00F27D66">
        <w:rPr>
          <w:rFonts w:ascii="Times New Roman" w:hAnsi="Times New Roman" w:cs="Times New Roman"/>
          <w:sz w:val="24"/>
          <w:szCs w:val="24"/>
        </w:rPr>
        <w:t xml:space="preserve">ir </w:t>
      </w:r>
      <w:r>
        <w:rPr>
          <w:rFonts w:ascii="Times New Roman" w:hAnsi="Times New Roman" w:cs="Times New Roman"/>
          <w:sz w:val="24"/>
          <w:szCs w:val="24"/>
        </w:rPr>
        <w:t>senior year of high school divided by the number of students in the</w:t>
      </w:r>
      <w:r w:rsidR="00FD384C">
        <w:rPr>
          <w:rFonts w:ascii="Times New Roman" w:hAnsi="Times New Roman" w:cs="Times New Roman"/>
          <w:sz w:val="24"/>
          <w:szCs w:val="24"/>
        </w:rPr>
        <w:t xml:space="preserve"> </w:t>
      </w:r>
      <w:r>
        <w:rPr>
          <w:rFonts w:ascii="Times New Roman" w:hAnsi="Times New Roman" w:cs="Times New Roman"/>
          <w:sz w:val="24"/>
          <w:szCs w:val="24"/>
        </w:rPr>
        <w:t>senior-</w:t>
      </w:r>
      <w:r w:rsidR="00185B06">
        <w:rPr>
          <w:rFonts w:ascii="Times New Roman" w:hAnsi="Times New Roman" w:cs="Times New Roman"/>
          <w:sz w:val="24"/>
          <w:szCs w:val="24"/>
        </w:rPr>
        <w:t>year cohort</w:t>
      </w:r>
      <w:r w:rsidR="004F4F9D">
        <w:rPr>
          <w:rFonts w:ascii="Times New Roman" w:hAnsi="Times New Roman" w:cs="Times New Roman"/>
          <w:sz w:val="24"/>
          <w:szCs w:val="24"/>
        </w:rPr>
        <w:t>, adjusted for transfers across schools.</w:t>
      </w:r>
      <w:r w:rsidR="00BA1C7E">
        <w:rPr>
          <w:rFonts w:ascii="Times New Roman" w:hAnsi="Times New Roman" w:cs="Times New Roman"/>
          <w:sz w:val="24"/>
          <w:szCs w:val="24"/>
        </w:rPr>
        <w:t xml:space="preserve"> In addition to th</w:t>
      </w:r>
      <w:r w:rsidR="000D526D">
        <w:rPr>
          <w:rFonts w:ascii="Times New Roman" w:hAnsi="Times New Roman" w:cs="Times New Roman"/>
          <w:sz w:val="24"/>
          <w:szCs w:val="24"/>
        </w:rPr>
        <w:t>is</w:t>
      </w:r>
      <w:r w:rsidR="00BA1C7E">
        <w:rPr>
          <w:rFonts w:ascii="Times New Roman" w:hAnsi="Times New Roman" w:cs="Times New Roman"/>
          <w:sz w:val="24"/>
          <w:szCs w:val="24"/>
        </w:rPr>
        <w:t xml:space="preserve"> 12</w:t>
      </w:r>
      <w:r w:rsidR="00BA1C7E" w:rsidRPr="00BA1C7E">
        <w:rPr>
          <w:rFonts w:ascii="Times New Roman" w:hAnsi="Times New Roman" w:cs="Times New Roman"/>
          <w:sz w:val="24"/>
          <w:szCs w:val="24"/>
          <w:vertAlign w:val="superscript"/>
        </w:rPr>
        <w:t>th</w:t>
      </w:r>
      <w:r w:rsidR="00BA1C7E">
        <w:rPr>
          <w:rFonts w:ascii="Times New Roman" w:hAnsi="Times New Roman" w:cs="Times New Roman"/>
          <w:sz w:val="24"/>
          <w:szCs w:val="24"/>
        </w:rPr>
        <w:t xml:space="preserve">-grade dropout rate, I also </w:t>
      </w:r>
      <w:r w:rsidR="000D526D">
        <w:rPr>
          <w:rFonts w:ascii="Times New Roman" w:hAnsi="Times New Roman" w:cs="Times New Roman"/>
          <w:sz w:val="24"/>
          <w:szCs w:val="24"/>
        </w:rPr>
        <w:t>know the 11</w:t>
      </w:r>
      <w:r w:rsidR="000D526D" w:rsidRPr="000D526D">
        <w:rPr>
          <w:rFonts w:ascii="Times New Roman" w:hAnsi="Times New Roman" w:cs="Times New Roman"/>
          <w:sz w:val="24"/>
          <w:szCs w:val="24"/>
          <w:vertAlign w:val="superscript"/>
        </w:rPr>
        <w:t>th</w:t>
      </w:r>
      <w:r w:rsidR="000D526D">
        <w:rPr>
          <w:rFonts w:ascii="Times New Roman" w:hAnsi="Times New Roman" w:cs="Times New Roman"/>
          <w:sz w:val="24"/>
          <w:szCs w:val="24"/>
        </w:rPr>
        <w:t xml:space="preserve">-grade </w:t>
      </w:r>
      <w:r w:rsidR="00BA1C7E">
        <w:rPr>
          <w:rFonts w:ascii="Times New Roman" w:hAnsi="Times New Roman" w:cs="Times New Roman"/>
          <w:sz w:val="24"/>
          <w:szCs w:val="24"/>
        </w:rPr>
        <w:t>dropout rate</w:t>
      </w:r>
      <w:r w:rsidR="001F05C9">
        <w:rPr>
          <w:rFonts w:ascii="Times New Roman" w:hAnsi="Times New Roman" w:cs="Times New Roman"/>
          <w:sz w:val="24"/>
          <w:szCs w:val="24"/>
        </w:rPr>
        <w:t xml:space="preserve">, which is defined </w:t>
      </w:r>
      <w:r w:rsidR="00D51FE9">
        <w:rPr>
          <w:rFonts w:ascii="Times New Roman" w:hAnsi="Times New Roman" w:cs="Times New Roman"/>
          <w:sz w:val="24"/>
          <w:szCs w:val="24"/>
        </w:rPr>
        <w:t>as the number of students in the senior-year cohort who dropped out during their 11</w:t>
      </w:r>
      <w:r w:rsidR="00D51FE9" w:rsidRPr="00D51FE9">
        <w:rPr>
          <w:rFonts w:ascii="Times New Roman" w:hAnsi="Times New Roman" w:cs="Times New Roman"/>
          <w:sz w:val="24"/>
          <w:szCs w:val="24"/>
          <w:vertAlign w:val="superscript"/>
        </w:rPr>
        <w:t>th</w:t>
      </w:r>
      <w:r w:rsidR="00D51FE9">
        <w:rPr>
          <w:rFonts w:ascii="Times New Roman" w:hAnsi="Times New Roman" w:cs="Times New Roman"/>
          <w:sz w:val="24"/>
          <w:szCs w:val="24"/>
        </w:rPr>
        <w:t xml:space="preserve">-grade year. </w:t>
      </w:r>
      <w:r w:rsidR="001F05C9">
        <w:rPr>
          <w:rFonts w:ascii="Times New Roman" w:hAnsi="Times New Roman" w:cs="Times New Roman"/>
          <w:sz w:val="24"/>
          <w:szCs w:val="24"/>
        </w:rPr>
        <w:t>Th</w:t>
      </w:r>
      <w:r w:rsidR="00A91FD8">
        <w:rPr>
          <w:rFonts w:ascii="Times New Roman" w:hAnsi="Times New Roman" w:cs="Times New Roman"/>
          <w:sz w:val="24"/>
          <w:szCs w:val="24"/>
        </w:rPr>
        <w:t>i</w:t>
      </w:r>
      <w:r w:rsidR="00E9637D">
        <w:rPr>
          <w:rFonts w:ascii="Times New Roman" w:hAnsi="Times New Roman" w:cs="Times New Roman"/>
          <w:sz w:val="24"/>
          <w:szCs w:val="24"/>
        </w:rPr>
        <w:t>s</w:t>
      </w:r>
      <w:r w:rsidR="00A91FD8">
        <w:rPr>
          <w:rFonts w:ascii="Times New Roman" w:hAnsi="Times New Roman" w:cs="Times New Roman"/>
          <w:sz w:val="24"/>
          <w:szCs w:val="24"/>
        </w:rPr>
        <w:t xml:space="preserve"> </w:t>
      </w:r>
      <w:r w:rsidR="001F05C9">
        <w:rPr>
          <w:rFonts w:ascii="Times New Roman" w:hAnsi="Times New Roman" w:cs="Times New Roman"/>
          <w:sz w:val="24"/>
          <w:szCs w:val="24"/>
        </w:rPr>
        <w:t xml:space="preserve">data </w:t>
      </w:r>
      <w:r w:rsidR="00A91FD8">
        <w:rPr>
          <w:rFonts w:ascii="Times New Roman" w:hAnsi="Times New Roman" w:cs="Times New Roman"/>
          <w:sz w:val="24"/>
          <w:szCs w:val="24"/>
        </w:rPr>
        <w:t>is</w:t>
      </w:r>
      <w:r w:rsidR="001F05C9">
        <w:rPr>
          <w:rFonts w:ascii="Times New Roman" w:hAnsi="Times New Roman" w:cs="Times New Roman"/>
          <w:sz w:val="24"/>
          <w:szCs w:val="24"/>
        </w:rPr>
        <w:t xml:space="preserve"> </w:t>
      </w:r>
      <w:r w:rsidR="00E9637D">
        <w:rPr>
          <w:rFonts w:ascii="Times New Roman" w:hAnsi="Times New Roman" w:cs="Times New Roman"/>
          <w:sz w:val="24"/>
          <w:szCs w:val="24"/>
        </w:rPr>
        <w:t>at the school level</w:t>
      </w:r>
      <w:r w:rsidR="005C329A">
        <w:rPr>
          <w:rFonts w:ascii="Times New Roman" w:hAnsi="Times New Roman" w:cs="Times New Roman"/>
          <w:sz w:val="24"/>
          <w:szCs w:val="24"/>
        </w:rPr>
        <w:t xml:space="preserve"> f</w:t>
      </w:r>
      <w:r w:rsidR="006D5C76">
        <w:rPr>
          <w:rFonts w:ascii="Times New Roman" w:hAnsi="Times New Roman" w:cs="Times New Roman"/>
          <w:sz w:val="24"/>
          <w:szCs w:val="24"/>
        </w:rPr>
        <w:t>or the 2011-12 through 201</w:t>
      </w:r>
      <w:r w:rsidR="007078C7">
        <w:rPr>
          <w:rFonts w:ascii="Times New Roman" w:hAnsi="Times New Roman" w:cs="Times New Roman"/>
          <w:sz w:val="24"/>
          <w:szCs w:val="24"/>
        </w:rPr>
        <w:t>5-16</w:t>
      </w:r>
      <w:r w:rsidR="006D5C76">
        <w:rPr>
          <w:rFonts w:ascii="Times New Roman" w:hAnsi="Times New Roman" w:cs="Times New Roman"/>
          <w:sz w:val="24"/>
          <w:szCs w:val="24"/>
        </w:rPr>
        <w:t xml:space="preserve"> school years</w:t>
      </w:r>
      <w:r w:rsidR="005C329A">
        <w:rPr>
          <w:rFonts w:ascii="Times New Roman" w:hAnsi="Times New Roman" w:cs="Times New Roman"/>
          <w:sz w:val="24"/>
          <w:szCs w:val="24"/>
        </w:rPr>
        <w:t xml:space="preserve"> </w:t>
      </w:r>
      <w:r w:rsidR="00E9637D">
        <w:rPr>
          <w:rFonts w:ascii="Times New Roman" w:hAnsi="Times New Roman" w:cs="Times New Roman"/>
          <w:sz w:val="24"/>
          <w:szCs w:val="24"/>
        </w:rPr>
        <w:t xml:space="preserve">and </w:t>
      </w:r>
      <w:r w:rsidR="00A91FD8">
        <w:rPr>
          <w:rFonts w:ascii="Times New Roman" w:hAnsi="Times New Roman" w:cs="Times New Roman"/>
          <w:sz w:val="24"/>
          <w:szCs w:val="24"/>
        </w:rPr>
        <w:t>is</w:t>
      </w:r>
      <w:r w:rsidR="006D5C76">
        <w:rPr>
          <w:rFonts w:ascii="Times New Roman" w:hAnsi="Times New Roman" w:cs="Times New Roman"/>
          <w:sz w:val="24"/>
          <w:szCs w:val="24"/>
        </w:rPr>
        <w:t xml:space="preserve"> available for girls and boys separately. </w:t>
      </w:r>
      <w:r w:rsidR="00854CEA">
        <w:rPr>
          <w:rFonts w:ascii="Times New Roman" w:hAnsi="Times New Roman" w:cs="Times New Roman"/>
          <w:sz w:val="24"/>
          <w:szCs w:val="24"/>
        </w:rPr>
        <w:t>The rate of chronic absenteeism is the percentage of students who miss</w:t>
      </w:r>
      <w:r w:rsidR="00F8655C">
        <w:rPr>
          <w:rFonts w:ascii="Times New Roman" w:hAnsi="Times New Roman" w:cs="Times New Roman"/>
          <w:sz w:val="24"/>
          <w:szCs w:val="24"/>
        </w:rPr>
        <w:t>ed</w:t>
      </w:r>
      <w:r w:rsidR="00854CEA">
        <w:rPr>
          <w:rFonts w:ascii="Times New Roman" w:hAnsi="Times New Roman" w:cs="Times New Roman"/>
          <w:sz w:val="24"/>
          <w:szCs w:val="24"/>
        </w:rPr>
        <w:t xml:space="preserve"> at least 10% of the days they </w:t>
      </w:r>
      <w:r w:rsidR="00F8655C">
        <w:rPr>
          <w:rFonts w:ascii="Times New Roman" w:hAnsi="Times New Roman" w:cs="Times New Roman"/>
          <w:sz w:val="24"/>
          <w:szCs w:val="24"/>
        </w:rPr>
        <w:t>were</w:t>
      </w:r>
      <w:r w:rsidR="00854CEA">
        <w:rPr>
          <w:rFonts w:ascii="Times New Roman" w:hAnsi="Times New Roman" w:cs="Times New Roman"/>
          <w:sz w:val="24"/>
          <w:szCs w:val="24"/>
        </w:rPr>
        <w:t xml:space="preserve"> enrolled in school. </w:t>
      </w:r>
      <w:r w:rsidR="00874344">
        <w:rPr>
          <w:rFonts w:ascii="Times New Roman" w:hAnsi="Times New Roman" w:cs="Times New Roman"/>
          <w:sz w:val="24"/>
          <w:szCs w:val="24"/>
        </w:rPr>
        <w:t>Th</w:t>
      </w:r>
      <w:r w:rsidR="00E728E9">
        <w:rPr>
          <w:rFonts w:ascii="Times New Roman" w:hAnsi="Times New Roman" w:cs="Times New Roman"/>
          <w:sz w:val="24"/>
          <w:szCs w:val="24"/>
        </w:rPr>
        <w:t>is</w:t>
      </w:r>
      <w:r w:rsidR="00874344">
        <w:rPr>
          <w:rFonts w:ascii="Times New Roman" w:hAnsi="Times New Roman" w:cs="Times New Roman"/>
          <w:sz w:val="24"/>
          <w:szCs w:val="24"/>
        </w:rPr>
        <w:t xml:space="preserve"> data</w:t>
      </w:r>
      <w:r w:rsidR="00A12B58">
        <w:rPr>
          <w:rFonts w:ascii="Times New Roman" w:hAnsi="Times New Roman" w:cs="Times New Roman"/>
          <w:sz w:val="24"/>
          <w:szCs w:val="24"/>
        </w:rPr>
        <w:t xml:space="preserve"> is</w:t>
      </w:r>
      <w:r w:rsidR="00854CEA">
        <w:rPr>
          <w:rFonts w:ascii="Times New Roman" w:hAnsi="Times New Roman" w:cs="Times New Roman"/>
          <w:sz w:val="24"/>
          <w:szCs w:val="24"/>
        </w:rPr>
        <w:t xml:space="preserve"> at the school-grade level starting in the 2014-15 school year and is available by student gender. </w:t>
      </w:r>
      <w:r w:rsidR="00ED06BA">
        <w:rPr>
          <w:rFonts w:ascii="Times New Roman" w:hAnsi="Times New Roman" w:cs="Times New Roman"/>
          <w:sz w:val="24"/>
          <w:szCs w:val="24"/>
        </w:rPr>
        <w:t>OSPI started collecting data on discipline actions in 2014-15. In particular, it calculated the discipline rate, which is defined as the number of students who received an out-of-school exclusionary action (i.e., a short- or long-term suspension, an expulsion, or an emergency expulsion) divided by enrollment.</w:t>
      </w:r>
      <w:r w:rsidR="00ED06BA">
        <w:rPr>
          <w:rStyle w:val="FootnoteReference"/>
          <w:rFonts w:ascii="Times New Roman" w:hAnsi="Times New Roman" w:cs="Times New Roman"/>
          <w:sz w:val="24"/>
          <w:szCs w:val="24"/>
        </w:rPr>
        <w:footnoteReference w:id="13"/>
      </w:r>
      <w:r w:rsidR="00906063">
        <w:rPr>
          <w:rFonts w:ascii="Times New Roman" w:hAnsi="Times New Roman" w:cs="Times New Roman"/>
          <w:sz w:val="24"/>
          <w:szCs w:val="24"/>
        </w:rPr>
        <w:t xml:space="preserve"> </w:t>
      </w:r>
      <w:r w:rsidR="00ED06BA">
        <w:rPr>
          <w:rFonts w:ascii="Times New Roman" w:hAnsi="Times New Roman" w:cs="Times New Roman"/>
          <w:sz w:val="24"/>
          <w:szCs w:val="24"/>
        </w:rPr>
        <w:t xml:space="preserve">This data is at the school-grade level </w:t>
      </w:r>
      <w:r w:rsidR="00874344">
        <w:rPr>
          <w:rFonts w:ascii="Times New Roman" w:hAnsi="Times New Roman" w:cs="Times New Roman"/>
          <w:sz w:val="24"/>
          <w:szCs w:val="24"/>
        </w:rPr>
        <w:t>for boys and girls.</w:t>
      </w:r>
      <w:r w:rsidR="00906063">
        <w:rPr>
          <w:rStyle w:val="FootnoteReference"/>
          <w:rFonts w:ascii="Times New Roman" w:hAnsi="Times New Roman" w:cs="Times New Roman"/>
          <w:sz w:val="24"/>
          <w:szCs w:val="24"/>
        </w:rPr>
        <w:footnoteReference w:id="14"/>
      </w:r>
      <w:r w:rsidR="00ED06BA">
        <w:rPr>
          <w:rFonts w:ascii="Times New Roman" w:hAnsi="Times New Roman" w:cs="Times New Roman"/>
          <w:sz w:val="24"/>
          <w:szCs w:val="24"/>
        </w:rPr>
        <w:t xml:space="preserve">  </w:t>
      </w:r>
    </w:p>
    <w:p w14:paraId="28970F2F" w14:textId="5AB519E9" w:rsidR="00FC3B6E" w:rsidRDefault="002C1939" w:rsidP="00CB1090">
      <w:pPr>
        <w:spacing w:after="0" w:line="480" w:lineRule="auto"/>
        <w:ind w:firstLine="720"/>
        <w:contextualSpacing/>
        <w:jc w:val="both"/>
        <w:rPr>
          <w:rFonts w:ascii="Times New Roman" w:hAnsi="Times New Roman" w:cs="Times New Roman"/>
          <w:sz w:val="24"/>
          <w:szCs w:val="24"/>
        </w:rPr>
      </w:pPr>
      <w:r w:rsidRPr="002C1939">
        <w:rPr>
          <w:rFonts w:ascii="Times New Roman" w:hAnsi="Times New Roman" w:cs="Times New Roman"/>
          <w:color w:val="212529"/>
          <w:sz w:val="24"/>
          <w:szCs w:val="24"/>
          <w:shd w:val="clear" w:color="auto" w:fill="FFFFFF"/>
        </w:rPr>
        <w:t xml:space="preserve">In addition to these behavioral outcomes, </w:t>
      </w:r>
      <w:r w:rsidR="0009352D" w:rsidRPr="002C1939">
        <w:rPr>
          <w:rFonts w:ascii="Times New Roman" w:hAnsi="Times New Roman" w:cs="Times New Roman"/>
          <w:sz w:val="24"/>
          <w:szCs w:val="24"/>
        </w:rPr>
        <w:t>OSPI also has information on the proportion of students who did not meet, nearly met, met, and exceeded</w:t>
      </w:r>
      <w:r w:rsidR="0009352D" w:rsidRPr="00723D29">
        <w:rPr>
          <w:rFonts w:ascii="Times New Roman" w:hAnsi="Times New Roman" w:cs="Times New Roman"/>
          <w:sz w:val="24"/>
          <w:szCs w:val="24"/>
        </w:rPr>
        <w:t xml:space="preserve"> standards</w:t>
      </w:r>
      <w:r w:rsidR="0009352D">
        <w:rPr>
          <w:rFonts w:ascii="Times New Roman" w:hAnsi="Times New Roman" w:cs="Times New Roman"/>
          <w:sz w:val="24"/>
          <w:szCs w:val="24"/>
        </w:rPr>
        <w:t xml:space="preserve"> on standardized end-of-grade t</w:t>
      </w:r>
      <w:r w:rsidR="00DF2378">
        <w:rPr>
          <w:rFonts w:ascii="Times New Roman" w:hAnsi="Times New Roman" w:cs="Times New Roman"/>
          <w:sz w:val="24"/>
          <w:szCs w:val="24"/>
        </w:rPr>
        <w:t>ests. High school students were tested in 10</w:t>
      </w:r>
      <w:r w:rsidR="00DF2378" w:rsidRPr="00DF2378">
        <w:rPr>
          <w:rFonts w:ascii="Times New Roman" w:hAnsi="Times New Roman" w:cs="Times New Roman"/>
          <w:sz w:val="24"/>
          <w:szCs w:val="24"/>
          <w:vertAlign w:val="superscript"/>
        </w:rPr>
        <w:t>th</w:t>
      </w:r>
      <w:r w:rsidR="00DF2378">
        <w:rPr>
          <w:rFonts w:ascii="Times New Roman" w:hAnsi="Times New Roman" w:cs="Times New Roman"/>
          <w:sz w:val="24"/>
          <w:szCs w:val="24"/>
        </w:rPr>
        <w:t xml:space="preserve"> grade between 2011-12 and 2013-14 and in 11</w:t>
      </w:r>
      <w:r w:rsidR="00DF2378" w:rsidRPr="00DF2378">
        <w:rPr>
          <w:rFonts w:ascii="Times New Roman" w:hAnsi="Times New Roman" w:cs="Times New Roman"/>
          <w:sz w:val="24"/>
          <w:szCs w:val="24"/>
          <w:vertAlign w:val="superscript"/>
        </w:rPr>
        <w:t>th</w:t>
      </w:r>
      <w:r w:rsidR="00DF2378">
        <w:rPr>
          <w:rFonts w:ascii="Times New Roman" w:hAnsi="Times New Roman" w:cs="Times New Roman"/>
          <w:sz w:val="24"/>
          <w:szCs w:val="24"/>
        </w:rPr>
        <w:t xml:space="preserve"> grade between 2014-15 and 201</w:t>
      </w:r>
      <w:r w:rsidR="007078C7">
        <w:rPr>
          <w:rFonts w:ascii="Times New Roman" w:hAnsi="Times New Roman" w:cs="Times New Roman"/>
          <w:sz w:val="24"/>
          <w:szCs w:val="24"/>
        </w:rPr>
        <w:t>5</w:t>
      </w:r>
      <w:r w:rsidR="00DF2378">
        <w:rPr>
          <w:rFonts w:ascii="Times New Roman" w:hAnsi="Times New Roman" w:cs="Times New Roman"/>
          <w:sz w:val="24"/>
          <w:szCs w:val="24"/>
        </w:rPr>
        <w:t>-1</w:t>
      </w:r>
      <w:r w:rsidR="007078C7">
        <w:rPr>
          <w:rFonts w:ascii="Times New Roman" w:hAnsi="Times New Roman" w:cs="Times New Roman"/>
          <w:sz w:val="24"/>
          <w:szCs w:val="24"/>
        </w:rPr>
        <w:t>6</w:t>
      </w:r>
      <w:r w:rsidR="00DF2378">
        <w:rPr>
          <w:rFonts w:ascii="Times New Roman" w:hAnsi="Times New Roman" w:cs="Times New Roman"/>
          <w:sz w:val="24"/>
          <w:szCs w:val="24"/>
        </w:rPr>
        <w:t xml:space="preserve">. Prior to 2014-15, high school math tests were </w:t>
      </w:r>
      <w:r w:rsidR="00087253">
        <w:rPr>
          <w:rFonts w:ascii="Times New Roman" w:hAnsi="Times New Roman" w:cs="Times New Roman"/>
          <w:sz w:val="24"/>
          <w:szCs w:val="24"/>
        </w:rPr>
        <w:t>given at the end of courses rather than the end of 10</w:t>
      </w:r>
      <w:r w:rsidR="00087253" w:rsidRPr="00087253">
        <w:rPr>
          <w:rFonts w:ascii="Times New Roman" w:hAnsi="Times New Roman" w:cs="Times New Roman"/>
          <w:sz w:val="24"/>
          <w:szCs w:val="24"/>
          <w:vertAlign w:val="superscript"/>
        </w:rPr>
        <w:t>th</w:t>
      </w:r>
      <w:r w:rsidR="00087253">
        <w:rPr>
          <w:rFonts w:ascii="Times New Roman" w:hAnsi="Times New Roman" w:cs="Times New Roman"/>
          <w:sz w:val="24"/>
          <w:szCs w:val="24"/>
        </w:rPr>
        <w:t xml:space="preserve"> grade.</w:t>
      </w:r>
      <w:r w:rsidR="00FC3B6E">
        <w:rPr>
          <w:rFonts w:ascii="Times New Roman" w:hAnsi="Times New Roman" w:cs="Times New Roman"/>
          <w:sz w:val="24"/>
          <w:szCs w:val="24"/>
        </w:rPr>
        <w:t xml:space="preserve"> While t</w:t>
      </w:r>
      <w:r w:rsidR="00087253">
        <w:rPr>
          <w:rFonts w:ascii="Times New Roman" w:hAnsi="Times New Roman" w:cs="Times New Roman"/>
          <w:sz w:val="24"/>
          <w:szCs w:val="24"/>
        </w:rPr>
        <w:t xml:space="preserve">hese scores are unavailable, </w:t>
      </w:r>
      <w:r w:rsidR="00FC3B6E">
        <w:rPr>
          <w:rFonts w:ascii="Times New Roman" w:hAnsi="Times New Roman" w:cs="Times New Roman"/>
          <w:sz w:val="24"/>
          <w:szCs w:val="24"/>
        </w:rPr>
        <w:t xml:space="preserve">I do have </w:t>
      </w:r>
      <w:r w:rsidR="00FC3B6E">
        <w:rPr>
          <w:rFonts w:ascii="Times New Roman" w:hAnsi="Times New Roman" w:cs="Times New Roman"/>
          <w:sz w:val="24"/>
          <w:szCs w:val="24"/>
        </w:rPr>
        <w:lastRenderedPageBreak/>
        <w:t xml:space="preserve">school-level data on math proficiency on the end-of-grade tests for 2014-15 and 2015-16 across all students and by gender. </w:t>
      </w:r>
      <w:r>
        <w:rPr>
          <w:rFonts w:ascii="Times New Roman" w:hAnsi="Times New Roman" w:cs="Times New Roman"/>
          <w:sz w:val="24"/>
          <w:szCs w:val="24"/>
        </w:rPr>
        <w:t xml:space="preserve">Additionally, </w:t>
      </w:r>
      <w:r w:rsidR="00FC3B6E">
        <w:rPr>
          <w:rFonts w:ascii="Times New Roman" w:hAnsi="Times New Roman" w:cs="Times New Roman"/>
          <w:sz w:val="24"/>
          <w:szCs w:val="24"/>
        </w:rPr>
        <w:t>I have data on ELA proficiency at the school-level for the 2011-12 through 2015-16 school years across all students, and for girls and boys separately for 2012-13, 2014-15, and 2015-16.</w:t>
      </w:r>
      <w:r w:rsidR="00FC3B6E">
        <w:rPr>
          <w:rStyle w:val="FootnoteReference"/>
          <w:rFonts w:ascii="Times New Roman" w:hAnsi="Times New Roman" w:cs="Times New Roman"/>
          <w:sz w:val="24"/>
          <w:szCs w:val="24"/>
        </w:rPr>
        <w:footnoteReference w:id="15"/>
      </w:r>
      <w:r w:rsidR="00FC3B6E">
        <w:rPr>
          <w:rFonts w:ascii="Times New Roman" w:hAnsi="Times New Roman" w:cs="Times New Roman"/>
          <w:sz w:val="24"/>
          <w:szCs w:val="24"/>
        </w:rPr>
        <w:t xml:space="preserve"> I specifically use the proportion of students who did not meet or nearly met standards (i.e., those who scored below proficient) in each subject as my outcome of interest.</w:t>
      </w:r>
    </w:p>
    <w:p w14:paraId="01440763" w14:textId="1A76F79A" w:rsidR="00DA5CA3" w:rsidRDefault="005F1105" w:rsidP="00CB1090">
      <w:pPr>
        <w:spacing w:after="0" w:line="480" w:lineRule="auto"/>
        <w:ind w:firstLine="720"/>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Additionally, </w:t>
      </w:r>
      <w:r w:rsidR="001E22F8" w:rsidRPr="00E8279E">
        <w:rPr>
          <w:rFonts w:ascii="Times New Roman" w:hAnsi="Times New Roman" w:cs="Times New Roman"/>
          <w:sz w:val="24"/>
          <w:szCs w:val="24"/>
        </w:rPr>
        <w:t xml:space="preserve">I use data from the CCD for three main purposes. First, I use student and school characteristics, specifically the proportions of students who are free-or-reduced-price lunch eligible, Hispanic, Black, </w:t>
      </w:r>
      <w:r w:rsidR="00873950" w:rsidRPr="00E8279E">
        <w:rPr>
          <w:rFonts w:ascii="Times New Roman" w:hAnsi="Times New Roman" w:cs="Times New Roman"/>
          <w:sz w:val="24"/>
          <w:szCs w:val="24"/>
        </w:rPr>
        <w:t xml:space="preserve">and </w:t>
      </w:r>
      <w:r w:rsidR="001E22F8" w:rsidRPr="00E8279E">
        <w:rPr>
          <w:rFonts w:ascii="Times New Roman" w:hAnsi="Times New Roman" w:cs="Times New Roman"/>
          <w:sz w:val="24"/>
          <w:szCs w:val="24"/>
        </w:rPr>
        <w:t>Asian, and school locality to control for differences across schools in my analysis. T</w:t>
      </w:r>
      <w:r w:rsidR="00DA5CA3" w:rsidRPr="00E8279E">
        <w:rPr>
          <w:rFonts w:ascii="Times New Roman" w:eastAsiaTheme="minorEastAsia" w:hAnsi="Times New Roman" w:cs="Times New Roman"/>
          <w:sz w:val="24"/>
          <w:szCs w:val="24"/>
        </w:rPr>
        <w:t>he CCD classifies schools as being in one of the following locations based on U.S. Census Bureau definitions of urban and rural: small, midsize, or large cities; small, midsize, or large suburbs; remote, distant, or fringe towns; and remote, distant, or fringe rural areas.</w:t>
      </w:r>
      <w:r w:rsidR="001E22F8" w:rsidRPr="00E8279E">
        <w:rPr>
          <w:rFonts w:ascii="Times New Roman" w:eastAsiaTheme="minorEastAsia" w:hAnsi="Times New Roman" w:cs="Times New Roman"/>
          <w:sz w:val="24"/>
          <w:szCs w:val="24"/>
        </w:rPr>
        <w:t xml:space="preserve"> </w:t>
      </w:r>
      <w:r w:rsidR="00DD7634" w:rsidRPr="00E8279E">
        <w:rPr>
          <w:rFonts w:ascii="Times New Roman" w:eastAsiaTheme="minorEastAsia" w:hAnsi="Times New Roman" w:cs="Times New Roman"/>
          <w:sz w:val="24"/>
          <w:szCs w:val="24"/>
        </w:rPr>
        <w:t>I create</w:t>
      </w:r>
      <w:r w:rsidR="00375551" w:rsidRPr="00E8279E">
        <w:rPr>
          <w:rFonts w:ascii="Times New Roman" w:eastAsiaTheme="minorEastAsia" w:hAnsi="Times New Roman" w:cs="Times New Roman"/>
          <w:sz w:val="24"/>
          <w:szCs w:val="24"/>
        </w:rPr>
        <w:t xml:space="preserve"> four</w:t>
      </w:r>
      <w:r w:rsidR="0051610B">
        <w:rPr>
          <w:rFonts w:ascii="Times New Roman" w:eastAsiaTheme="minorEastAsia" w:hAnsi="Times New Roman" w:cs="Times New Roman"/>
          <w:sz w:val="24"/>
          <w:szCs w:val="24"/>
        </w:rPr>
        <w:t xml:space="preserve"> location</w:t>
      </w:r>
      <w:r w:rsidR="00DD7634" w:rsidRPr="00E8279E">
        <w:rPr>
          <w:rFonts w:ascii="Times New Roman" w:eastAsiaTheme="minorEastAsia" w:hAnsi="Times New Roman" w:cs="Times New Roman"/>
          <w:sz w:val="24"/>
          <w:szCs w:val="24"/>
        </w:rPr>
        <w:t xml:space="preserve"> categories</w:t>
      </w:r>
      <w:r w:rsidR="00375551" w:rsidRPr="00E8279E">
        <w:rPr>
          <w:rFonts w:ascii="Times New Roman" w:eastAsiaTheme="minorEastAsia" w:hAnsi="Times New Roman" w:cs="Times New Roman"/>
          <w:sz w:val="24"/>
          <w:szCs w:val="24"/>
        </w:rPr>
        <w:t>: city, suburb, town, and rural schools</w:t>
      </w:r>
      <w:r w:rsidR="00DD7634" w:rsidRPr="00E8279E">
        <w:rPr>
          <w:rFonts w:ascii="Times New Roman" w:eastAsiaTheme="minorEastAsia" w:hAnsi="Times New Roman" w:cs="Times New Roman"/>
          <w:sz w:val="24"/>
          <w:szCs w:val="24"/>
        </w:rPr>
        <w:t>.</w:t>
      </w:r>
      <w:r w:rsidR="00F8655C">
        <w:rPr>
          <w:rFonts w:ascii="Times New Roman" w:eastAsiaTheme="minorEastAsia" w:hAnsi="Times New Roman" w:cs="Times New Roman"/>
          <w:sz w:val="24"/>
          <w:szCs w:val="24"/>
        </w:rPr>
        <w:t xml:space="preserve"> </w:t>
      </w:r>
      <w:r w:rsidR="00DD7634" w:rsidRPr="00E8279E">
        <w:rPr>
          <w:rFonts w:ascii="Times New Roman" w:eastAsiaTheme="minorEastAsia" w:hAnsi="Times New Roman" w:cs="Times New Roman"/>
          <w:sz w:val="24"/>
          <w:szCs w:val="24"/>
        </w:rPr>
        <w:t xml:space="preserve">Second, I use data on school level and type to </w:t>
      </w:r>
      <w:r w:rsidR="003A6682" w:rsidRPr="00E8279E">
        <w:rPr>
          <w:rFonts w:ascii="Times New Roman" w:eastAsiaTheme="minorEastAsia" w:hAnsi="Times New Roman" w:cs="Times New Roman"/>
          <w:sz w:val="24"/>
          <w:szCs w:val="24"/>
        </w:rPr>
        <w:t xml:space="preserve">restrict </w:t>
      </w:r>
      <w:r w:rsidR="00DD7634" w:rsidRPr="00E8279E">
        <w:rPr>
          <w:rFonts w:ascii="Times New Roman" w:eastAsiaTheme="minorEastAsia" w:hAnsi="Times New Roman" w:cs="Times New Roman"/>
          <w:sz w:val="24"/>
          <w:szCs w:val="24"/>
        </w:rPr>
        <w:t>my analysis</w:t>
      </w:r>
      <w:r w:rsidR="003A6682" w:rsidRPr="00E8279E">
        <w:rPr>
          <w:rFonts w:ascii="Times New Roman" w:eastAsiaTheme="minorEastAsia" w:hAnsi="Times New Roman" w:cs="Times New Roman"/>
          <w:sz w:val="24"/>
          <w:szCs w:val="24"/>
        </w:rPr>
        <w:t xml:space="preserve"> sample</w:t>
      </w:r>
      <w:r w:rsidR="00DD7634" w:rsidRPr="00E8279E">
        <w:rPr>
          <w:rFonts w:ascii="Times New Roman" w:eastAsiaTheme="minorEastAsia" w:hAnsi="Times New Roman" w:cs="Times New Roman"/>
          <w:sz w:val="24"/>
          <w:szCs w:val="24"/>
        </w:rPr>
        <w:t xml:space="preserve"> to schools with high school students, non-charter schools, and regular schools (i.e., non-alternative, non-special-ed, non-juvenile detention </w:t>
      </w:r>
      <w:r w:rsidR="007101EE" w:rsidRPr="00E8279E">
        <w:rPr>
          <w:rFonts w:ascii="Times New Roman" w:eastAsiaTheme="minorEastAsia" w:hAnsi="Times New Roman" w:cs="Times New Roman"/>
          <w:sz w:val="24"/>
          <w:szCs w:val="24"/>
        </w:rPr>
        <w:t>centers</w:t>
      </w:r>
      <w:r w:rsidR="00DD7634" w:rsidRPr="00E8279E">
        <w:rPr>
          <w:rFonts w:ascii="Times New Roman" w:eastAsiaTheme="minorEastAsia" w:hAnsi="Times New Roman" w:cs="Times New Roman"/>
          <w:sz w:val="24"/>
          <w:szCs w:val="24"/>
        </w:rPr>
        <w:t xml:space="preserve">, etc.). </w:t>
      </w:r>
      <w:r w:rsidR="00A8453B" w:rsidRPr="00E8279E">
        <w:rPr>
          <w:rFonts w:ascii="Times New Roman" w:eastAsiaTheme="minorEastAsia" w:hAnsi="Times New Roman" w:cs="Times New Roman"/>
          <w:sz w:val="24"/>
          <w:szCs w:val="24"/>
        </w:rPr>
        <w:t xml:space="preserve">This leaves me with 371 public </w:t>
      </w:r>
      <w:r w:rsidR="00873950" w:rsidRPr="00E8279E">
        <w:rPr>
          <w:rFonts w:ascii="Times New Roman" w:eastAsiaTheme="minorEastAsia" w:hAnsi="Times New Roman" w:cs="Times New Roman"/>
          <w:sz w:val="24"/>
          <w:szCs w:val="24"/>
        </w:rPr>
        <w:t xml:space="preserve">high </w:t>
      </w:r>
      <w:r w:rsidR="00A8453B" w:rsidRPr="00E8279E">
        <w:rPr>
          <w:rFonts w:ascii="Times New Roman" w:eastAsiaTheme="minorEastAsia" w:hAnsi="Times New Roman" w:cs="Times New Roman"/>
          <w:sz w:val="24"/>
          <w:szCs w:val="24"/>
        </w:rPr>
        <w:t>schools</w:t>
      </w:r>
      <w:r w:rsidR="00873950" w:rsidRPr="00E8279E">
        <w:rPr>
          <w:rFonts w:ascii="Times New Roman" w:eastAsiaTheme="minorEastAsia" w:hAnsi="Times New Roman" w:cs="Times New Roman"/>
          <w:sz w:val="24"/>
          <w:szCs w:val="24"/>
        </w:rPr>
        <w:t xml:space="preserve"> available for analysis</w:t>
      </w:r>
      <w:r w:rsidR="00A8453B" w:rsidRPr="00E8279E">
        <w:rPr>
          <w:rFonts w:ascii="Times New Roman" w:eastAsiaTheme="minorEastAsia" w:hAnsi="Times New Roman" w:cs="Times New Roman"/>
          <w:sz w:val="24"/>
          <w:szCs w:val="24"/>
        </w:rPr>
        <w:t>.</w:t>
      </w:r>
      <w:r w:rsidR="00873950" w:rsidRPr="00E8279E">
        <w:rPr>
          <w:rFonts w:ascii="Times New Roman" w:eastAsiaTheme="minorEastAsia" w:hAnsi="Times New Roman" w:cs="Times New Roman"/>
          <w:sz w:val="24"/>
          <w:szCs w:val="24"/>
        </w:rPr>
        <w:t xml:space="preserve"> </w:t>
      </w:r>
      <w:r w:rsidR="00F8655C" w:rsidRPr="00DE753E">
        <w:rPr>
          <w:rFonts w:ascii="Times New Roman" w:eastAsiaTheme="minorEastAsia" w:hAnsi="Times New Roman" w:cs="Times New Roman"/>
          <w:sz w:val="24"/>
          <w:szCs w:val="24"/>
        </w:rPr>
        <w:t>D</w:t>
      </w:r>
      <w:r w:rsidR="00DF19D2" w:rsidRPr="00DE753E">
        <w:rPr>
          <w:rFonts w:ascii="Times New Roman" w:eastAsiaTheme="minorEastAsia" w:hAnsi="Times New Roman" w:cs="Times New Roman"/>
          <w:sz w:val="24"/>
          <w:szCs w:val="24"/>
        </w:rPr>
        <w:t xml:space="preserve">ue to small numbers of students, </w:t>
      </w:r>
      <w:r w:rsidR="00873950" w:rsidRPr="00DE753E">
        <w:rPr>
          <w:rFonts w:ascii="Times New Roman" w:eastAsiaTheme="minorEastAsia" w:hAnsi="Times New Roman" w:cs="Times New Roman"/>
          <w:sz w:val="24"/>
          <w:szCs w:val="24"/>
        </w:rPr>
        <w:t>some schools</w:t>
      </w:r>
      <w:r w:rsidR="00DF19D2" w:rsidRPr="00DE753E">
        <w:rPr>
          <w:rFonts w:ascii="Times New Roman" w:eastAsiaTheme="minorEastAsia" w:hAnsi="Times New Roman" w:cs="Times New Roman"/>
          <w:sz w:val="24"/>
          <w:szCs w:val="24"/>
        </w:rPr>
        <w:t xml:space="preserve"> have</w:t>
      </w:r>
      <w:r w:rsidR="00F8655C" w:rsidRPr="00DE753E">
        <w:rPr>
          <w:rFonts w:ascii="Times New Roman" w:eastAsiaTheme="minorEastAsia" w:hAnsi="Times New Roman" w:cs="Times New Roman"/>
          <w:sz w:val="24"/>
          <w:szCs w:val="24"/>
        </w:rPr>
        <w:t xml:space="preserve"> data redacted. </w:t>
      </w:r>
      <w:r w:rsidR="00DF19D2" w:rsidRPr="00DE753E">
        <w:rPr>
          <w:rFonts w:ascii="Times New Roman" w:eastAsiaTheme="minorEastAsia" w:hAnsi="Times New Roman" w:cs="Times New Roman"/>
          <w:sz w:val="24"/>
          <w:szCs w:val="24"/>
        </w:rPr>
        <w:t>I exclude schools that do not have information on both boys’ and girls’ outcomes so I can compare results for boys and girls without worrying about differences in samples driving the effects</w:t>
      </w:r>
      <w:r w:rsidR="00DE753E">
        <w:rPr>
          <w:rFonts w:ascii="Times New Roman" w:eastAsiaTheme="minorEastAsia" w:hAnsi="Times New Roman" w:cs="Times New Roman"/>
          <w:sz w:val="24"/>
          <w:szCs w:val="24"/>
        </w:rPr>
        <w:t xml:space="preserve">. </w:t>
      </w:r>
      <w:r w:rsidR="00DC0808">
        <w:rPr>
          <w:rFonts w:ascii="Times New Roman" w:eastAsiaTheme="minorEastAsia" w:hAnsi="Times New Roman" w:cs="Times New Roman"/>
          <w:sz w:val="24"/>
          <w:szCs w:val="24"/>
        </w:rPr>
        <w:t>Finally, the CCD includes street addresses for each school, which is important because it allows me to calculate how far away schools are from retail marijuana dispensaries.</w:t>
      </w:r>
      <w:r w:rsidR="00003850">
        <w:rPr>
          <w:rFonts w:ascii="Times New Roman" w:eastAsiaTheme="minorEastAsia" w:hAnsi="Times New Roman" w:cs="Times New Roman"/>
          <w:sz w:val="24"/>
          <w:szCs w:val="24"/>
        </w:rPr>
        <w:t xml:space="preserve"> A map of the 371 high schools</w:t>
      </w:r>
      <w:r w:rsidR="00B317AA">
        <w:rPr>
          <w:rFonts w:ascii="Times New Roman" w:eastAsiaTheme="minorEastAsia" w:hAnsi="Times New Roman" w:cs="Times New Roman"/>
          <w:sz w:val="24"/>
          <w:szCs w:val="24"/>
        </w:rPr>
        <w:t>, as well as</w:t>
      </w:r>
      <w:r w:rsidR="00003850">
        <w:rPr>
          <w:rFonts w:ascii="Times New Roman" w:eastAsiaTheme="minorEastAsia" w:hAnsi="Times New Roman" w:cs="Times New Roman"/>
          <w:sz w:val="24"/>
          <w:szCs w:val="24"/>
        </w:rPr>
        <w:t xml:space="preserve"> the distribution of dispensary </w:t>
      </w:r>
      <w:r w:rsidR="00003850">
        <w:rPr>
          <w:rFonts w:ascii="Times New Roman" w:eastAsiaTheme="minorEastAsia" w:hAnsi="Times New Roman" w:cs="Times New Roman"/>
          <w:sz w:val="24"/>
          <w:szCs w:val="24"/>
        </w:rPr>
        <w:lastRenderedPageBreak/>
        <w:t>lottery winners and losers</w:t>
      </w:r>
      <w:r w:rsidR="00B317AA">
        <w:rPr>
          <w:rFonts w:ascii="Times New Roman" w:eastAsiaTheme="minorEastAsia" w:hAnsi="Times New Roman" w:cs="Times New Roman"/>
          <w:sz w:val="24"/>
          <w:szCs w:val="24"/>
        </w:rPr>
        <w:t xml:space="preserve"> across the state</w:t>
      </w:r>
      <w:r w:rsidR="00003850">
        <w:rPr>
          <w:rFonts w:ascii="Times New Roman" w:eastAsiaTheme="minorEastAsia" w:hAnsi="Times New Roman" w:cs="Times New Roman"/>
          <w:sz w:val="24"/>
          <w:szCs w:val="24"/>
        </w:rPr>
        <w:t xml:space="preserve"> is shown in Figure </w:t>
      </w:r>
      <w:r w:rsidR="00054EEF">
        <w:rPr>
          <w:rFonts w:ascii="Times New Roman" w:eastAsiaTheme="minorEastAsia" w:hAnsi="Times New Roman" w:cs="Times New Roman"/>
          <w:sz w:val="24"/>
          <w:szCs w:val="24"/>
        </w:rPr>
        <w:t>3, panel (a)</w:t>
      </w:r>
      <w:r w:rsidR="00003850">
        <w:rPr>
          <w:rFonts w:ascii="Times New Roman" w:eastAsiaTheme="minorEastAsia" w:hAnsi="Times New Roman" w:cs="Times New Roman"/>
          <w:sz w:val="24"/>
          <w:szCs w:val="24"/>
        </w:rPr>
        <w:t xml:space="preserve">. </w:t>
      </w:r>
      <w:r w:rsidR="00B317AA">
        <w:rPr>
          <w:rFonts w:ascii="Times New Roman" w:eastAsiaTheme="minorEastAsia" w:hAnsi="Times New Roman" w:cs="Times New Roman"/>
          <w:sz w:val="24"/>
          <w:szCs w:val="24"/>
        </w:rPr>
        <w:t xml:space="preserve">There is quite a bit of overlap between school and dispensary locations, particularly in the major cities. </w:t>
      </w:r>
      <w:r w:rsidR="00336CB4">
        <w:rPr>
          <w:rFonts w:ascii="Times New Roman" w:eastAsiaTheme="minorEastAsia" w:hAnsi="Times New Roman" w:cs="Times New Roman"/>
          <w:sz w:val="24"/>
          <w:szCs w:val="24"/>
        </w:rPr>
        <w:t xml:space="preserve"> </w:t>
      </w:r>
      <w:r w:rsidR="00DC0808">
        <w:rPr>
          <w:rFonts w:ascii="Times New Roman" w:eastAsiaTheme="minorEastAsia" w:hAnsi="Times New Roman" w:cs="Times New Roman"/>
          <w:sz w:val="24"/>
          <w:szCs w:val="24"/>
        </w:rPr>
        <w:t xml:space="preserve"> </w:t>
      </w:r>
    </w:p>
    <w:p w14:paraId="15DB4983" w14:textId="77777777" w:rsidR="00CB1090" w:rsidRPr="00CB1090" w:rsidRDefault="00CB1090" w:rsidP="00CB1090">
      <w:pPr>
        <w:spacing w:after="0" w:line="480" w:lineRule="auto"/>
        <w:ind w:firstLine="720"/>
        <w:contextualSpacing/>
        <w:jc w:val="both"/>
        <w:rPr>
          <w:rFonts w:ascii="Times New Roman" w:eastAsiaTheme="minorEastAsia" w:hAnsi="Times New Roman" w:cs="Times New Roman"/>
          <w:sz w:val="12"/>
          <w:szCs w:val="12"/>
        </w:rPr>
      </w:pPr>
    </w:p>
    <w:p w14:paraId="1C9E1ED7" w14:textId="087BC9D6" w:rsidR="00DA5CA3" w:rsidRDefault="00CA5F95" w:rsidP="00CD4027">
      <w:pPr>
        <w:rPr>
          <w:rFonts w:ascii="Times New Roman" w:hAnsi="Times New Roman" w:cs="Times New Roman"/>
          <w:b/>
          <w:bCs/>
          <w:sz w:val="28"/>
          <w:szCs w:val="28"/>
        </w:rPr>
      </w:pPr>
      <w:r>
        <w:rPr>
          <w:rFonts w:ascii="Times New Roman" w:hAnsi="Times New Roman" w:cs="Times New Roman"/>
          <w:b/>
          <w:bCs/>
          <w:sz w:val="28"/>
          <w:szCs w:val="28"/>
        </w:rPr>
        <w:t>3</w:t>
      </w:r>
      <w:r w:rsidR="003A6682">
        <w:rPr>
          <w:rFonts w:ascii="Times New Roman" w:hAnsi="Times New Roman" w:cs="Times New Roman"/>
          <w:b/>
          <w:bCs/>
          <w:sz w:val="28"/>
          <w:szCs w:val="28"/>
        </w:rPr>
        <w:t>.4</w:t>
      </w:r>
      <w:r w:rsidR="003A6682">
        <w:rPr>
          <w:rFonts w:ascii="Times New Roman" w:hAnsi="Times New Roman" w:cs="Times New Roman"/>
          <w:b/>
          <w:bCs/>
          <w:sz w:val="28"/>
          <w:szCs w:val="28"/>
        </w:rPr>
        <w:tab/>
        <w:t>Drive</w:t>
      </w:r>
      <w:r w:rsidR="006F3D5C">
        <w:rPr>
          <w:rFonts w:ascii="Times New Roman" w:hAnsi="Times New Roman" w:cs="Times New Roman"/>
          <w:b/>
          <w:bCs/>
          <w:sz w:val="28"/>
          <w:szCs w:val="28"/>
        </w:rPr>
        <w:t>-</w:t>
      </w:r>
      <w:r w:rsidR="003A6682">
        <w:rPr>
          <w:rFonts w:ascii="Times New Roman" w:hAnsi="Times New Roman" w:cs="Times New Roman"/>
          <w:b/>
          <w:bCs/>
          <w:sz w:val="28"/>
          <w:szCs w:val="28"/>
        </w:rPr>
        <w:t>Time Between Schools and Dispensaries</w:t>
      </w:r>
    </w:p>
    <w:p w14:paraId="67612BB8" w14:textId="7CC5BA90" w:rsidR="00E86929" w:rsidRDefault="00A8453B" w:rsidP="004505E8">
      <w:pPr>
        <w:spacing w:after="0" w:line="48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use the Google Distance-Matrix API to find the drive-time between </w:t>
      </w:r>
      <w:r w:rsidR="00A141EB">
        <w:rPr>
          <w:rFonts w:ascii="Times New Roman" w:eastAsiaTheme="minorEastAsia" w:hAnsi="Times New Roman" w:cs="Times New Roman"/>
          <w:sz w:val="24"/>
          <w:szCs w:val="24"/>
        </w:rPr>
        <w:t xml:space="preserve">my sample of high </w:t>
      </w:r>
      <w:r w:rsidR="002D2076">
        <w:rPr>
          <w:rFonts w:ascii="Times New Roman" w:eastAsiaTheme="minorEastAsia" w:hAnsi="Times New Roman" w:cs="Times New Roman"/>
          <w:sz w:val="24"/>
          <w:szCs w:val="24"/>
        </w:rPr>
        <w:t xml:space="preserve">schools and </w:t>
      </w:r>
      <w:r w:rsidR="00A141EB">
        <w:rPr>
          <w:rFonts w:ascii="Times New Roman" w:eastAsiaTheme="minorEastAsia" w:hAnsi="Times New Roman" w:cs="Times New Roman"/>
          <w:sz w:val="24"/>
          <w:szCs w:val="24"/>
        </w:rPr>
        <w:t xml:space="preserve">lottery winners, losers, and </w:t>
      </w:r>
      <w:r w:rsidR="00DF5FE8">
        <w:rPr>
          <w:rFonts w:ascii="Times New Roman" w:eastAsiaTheme="minorEastAsia" w:hAnsi="Times New Roman" w:cs="Times New Roman"/>
          <w:sz w:val="24"/>
          <w:szCs w:val="24"/>
        </w:rPr>
        <w:t xml:space="preserve">winners that </w:t>
      </w:r>
      <w:r w:rsidR="00A141EB">
        <w:rPr>
          <w:rFonts w:ascii="Times New Roman" w:eastAsiaTheme="minorEastAsia" w:hAnsi="Times New Roman" w:cs="Times New Roman"/>
          <w:sz w:val="24"/>
          <w:szCs w:val="24"/>
        </w:rPr>
        <w:t>opened</w:t>
      </w:r>
      <w:r w:rsidR="00DF5FE8">
        <w:rPr>
          <w:rFonts w:ascii="Times New Roman" w:eastAsiaTheme="minorEastAsia" w:hAnsi="Times New Roman" w:cs="Times New Roman"/>
          <w:sz w:val="24"/>
          <w:szCs w:val="24"/>
        </w:rPr>
        <w:t xml:space="preserve"> between July 2014 and June 2016</w:t>
      </w:r>
      <w:r w:rsidR="002D2076">
        <w:rPr>
          <w:rFonts w:ascii="Times New Roman" w:eastAsiaTheme="minorEastAsia" w:hAnsi="Times New Roman" w:cs="Times New Roman"/>
          <w:sz w:val="24"/>
          <w:szCs w:val="24"/>
        </w:rPr>
        <w:t xml:space="preserve">. I </w:t>
      </w:r>
      <w:r>
        <w:rPr>
          <w:rFonts w:ascii="Times New Roman" w:eastAsiaTheme="minorEastAsia" w:hAnsi="Times New Roman" w:cs="Times New Roman"/>
          <w:sz w:val="24"/>
          <w:szCs w:val="24"/>
        </w:rPr>
        <w:t xml:space="preserve">input starting and ending addresses and </w:t>
      </w:r>
      <w:r w:rsidR="002D2076">
        <w:rPr>
          <w:rFonts w:ascii="Times New Roman" w:eastAsiaTheme="minorEastAsia" w:hAnsi="Times New Roman" w:cs="Times New Roman"/>
          <w:sz w:val="24"/>
          <w:szCs w:val="24"/>
        </w:rPr>
        <w:t xml:space="preserve">the API </w:t>
      </w:r>
      <w:r>
        <w:rPr>
          <w:rFonts w:ascii="Times New Roman" w:eastAsiaTheme="minorEastAsia" w:hAnsi="Times New Roman" w:cs="Times New Roman"/>
          <w:sz w:val="24"/>
          <w:szCs w:val="24"/>
        </w:rPr>
        <w:t>uses Google Maps to calculate seconds of drive-time and meters of drive-distance between the two locations.</w:t>
      </w:r>
      <w:r w:rsidR="00DF5FE8">
        <w:rPr>
          <w:rFonts w:ascii="Times New Roman" w:eastAsiaTheme="minorEastAsia" w:hAnsi="Times New Roman" w:cs="Times New Roman"/>
          <w:sz w:val="24"/>
          <w:szCs w:val="24"/>
        </w:rPr>
        <w:t xml:space="preserve"> I use the drive-time from schools to dispensaries to proxy for a student’s access to marijuana. I assume that students at schools closer to dispensaries have greater access to marijuana, and</w:t>
      </w:r>
      <w:r w:rsidR="0051610B">
        <w:rPr>
          <w:rFonts w:ascii="Times New Roman" w:eastAsiaTheme="minorEastAsia" w:hAnsi="Times New Roman" w:cs="Times New Roman"/>
          <w:sz w:val="24"/>
          <w:szCs w:val="24"/>
        </w:rPr>
        <w:t xml:space="preserve"> are</w:t>
      </w:r>
      <w:r w:rsidR="00DF5FE8">
        <w:rPr>
          <w:rFonts w:ascii="Times New Roman" w:eastAsiaTheme="minorEastAsia" w:hAnsi="Times New Roman" w:cs="Times New Roman"/>
          <w:sz w:val="24"/>
          <w:szCs w:val="24"/>
        </w:rPr>
        <w:t xml:space="preserve"> thus more likely to use it, than students at schools farther away from dispensaries.</w:t>
      </w:r>
      <w:r w:rsidR="00BE03E6">
        <w:rPr>
          <w:rFonts w:ascii="Times New Roman" w:eastAsiaTheme="minorEastAsia" w:hAnsi="Times New Roman" w:cs="Times New Roman"/>
          <w:sz w:val="24"/>
          <w:szCs w:val="24"/>
        </w:rPr>
        <w:t xml:space="preserve"> </w:t>
      </w:r>
    </w:p>
    <w:p w14:paraId="13E11B51" w14:textId="77777777" w:rsidR="004505E8" w:rsidRPr="004505E8" w:rsidRDefault="004505E8" w:rsidP="004505E8">
      <w:pPr>
        <w:spacing w:after="0" w:line="480" w:lineRule="auto"/>
        <w:ind w:firstLine="720"/>
        <w:contextualSpacing/>
        <w:rPr>
          <w:rFonts w:ascii="Times New Roman" w:eastAsiaTheme="minorEastAsia" w:hAnsi="Times New Roman" w:cs="Times New Roman"/>
          <w:sz w:val="12"/>
          <w:szCs w:val="12"/>
        </w:rPr>
      </w:pPr>
    </w:p>
    <w:p w14:paraId="61011020" w14:textId="5BB2A405" w:rsidR="00E146D1" w:rsidRDefault="00E146D1" w:rsidP="00E146D1">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Empirical Methodology</w:t>
      </w:r>
    </w:p>
    <w:p w14:paraId="608C0C21" w14:textId="7CA500C4" w:rsidR="00DA0FDC" w:rsidRDefault="003273EC" w:rsidP="00863A26">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One of the difficulties in estimating the causal effect of recreational marijuana legalization on educational outcomes is that </w:t>
      </w:r>
      <w:r w:rsidR="00DA0FDC">
        <w:rPr>
          <w:rFonts w:ascii="Times New Roman" w:hAnsi="Times New Roman" w:cs="Times New Roman"/>
          <w:sz w:val="24"/>
          <w:szCs w:val="24"/>
        </w:rPr>
        <w:t xml:space="preserve">where </w:t>
      </w:r>
      <w:r>
        <w:rPr>
          <w:rFonts w:ascii="Times New Roman" w:hAnsi="Times New Roman" w:cs="Times New Roman"/>
          <w:sz w:val="24"/>
          <w:szCs w:val="24"/>
        </w:rPr>
        <w:t xml:space="preserve">marijuana dispensaries </w:t>
      </w:r>
      <w:r w:rsidR="00DA0FDC">
        <w:rPr>
          <w:rFonts w:ascii="Times New Roman" w:hAnsi="Times New Roman" w:cs="Times New Roman"/>
          <w:sz w:val="24"/>
          <w:szCs w:val="24"/>
        </w:rPr>
        <w:t xml:space="preserve">choose to locate is likely endogenous to local demand for marijuana, which is unobserved. </w:t>
      </w:r>
      <w:r>
        <w:rPr>
          <w:rFonts w:ascii="Times New Roman" w:hAnsi="Times New Roman" w:cs="Times New Roman"/>
          <w:sz w:val="24"/>
          <w:szCs w:val="24"/>
        </w:rPr>
        <w:t xml:space="preserve">If latent demand is correlated in any way with how students do in school, then simple comparisons of student outcomes in areas where dispensaries open and where they do not would be biased. </w:t>
      </w:r>
      <w:r w:rsidR="00E55D62">
        <w:rPr>
          <w:rFonts w:ascii="Times New Roman" w:hAnsi="Times New Roman" w:cs="Times New Roman"/>
          <w:sz w:val="24"/>
          <w:szCs w:val="24"/>
        </w:rPr>
        <w:t>Washington</w:t>
      </w:r>
      <w:r w:rsidR="00DA0FDC">
        <w:rPr>
          <w:rFonts w:ascii="Times New Roman" w:hAnsi="Times New Roman" w:cs="Times New Roman"/>
          <w:sz w:val="24"/>
          <w:szCs w:val="24"/>
        </w:rPr>
        <w:t>’s</w:t>
      </w:r>
      <w:r w:rsidR="00E55D62">
        <w:rPr>
          <w:rFonts w:ascii="Times New Roman" w:hAnsi="Times New Roman" w:cs="Times New Roman"/>
          <w:sz w:val="24"/>
          <w:szCs w:val="24"/>
        </w:rPr>
        <w:t xml:space="preserve"> lottery</w:t>
      </w:r>
      <w:r w:rsidR="00DA0FDC">
        <w:rPr>
          <w:rFonts w:ascii="Times New Roman" w:hAnsi="Times New Roman" w:cs="Times New Roman"/>
          <w:sz w:val="24"/>
          <w:szCs w:val="24"/>
        </w:rPr>
        <w:t xml:space="preserve"> design</w:t>
      </w:r>
      <w:r w:rsidR="00E55D62">
        <w:rPr>
          <w:rFonts w:ascii="Times New Roman" w:hAnsi="Times New Roman" w:cs="Times New Roman"/>
          <w:sz w:val="24"/>
          <w:szCs w:val="24"/>
        </w:rPr>
        <w:t xml:space="preserve"> helps get around this endogeneity problem.</w:t>
      </w:r>
      <w:r w:rsidR="00DA0FDC">
        <w:rPr>
          <w:rFonts w:ascii="Times New Roman" w:hAnsi="Times New Roman" w:cs="Times New Roman"/>
          <w:sz w:val="24"/>
          <w:szCs w:val="24"/>
        </w:rPr>
        <w:t xml:space="preserve"> Areas around dispensary applicants likely have similar demand for marijuana, but some places are randomly selected to get a dispensary while others are not. By comparing student outcomes in areas around lottery winners and losers, I can estimate the causal effect of legalization</w:t>
      </w:r>
      <w:r w:rsidR="00737292">
        <w:rPr>
          <w:rFonts w:ascii="Times New Roman" w:hAnsi="Times New Roman" w:cs="Times New Roman"/>
          <w:sz w:val="24"/>
          <w:szCs w:val="24"/>
        </w:rPr>
        <w:t xml:space="preserve">. </w:t>
      </w:r>
      <w:r w:rsidR="00DA0FDC">
        <w:rPr>
          <w:rFonts w:ascii="Times New Roman" w:hAnsi="Times New Roman" w:cs="Times New Roman"/>
          <w:sz w:val="24"/>
          <w:szCs w:val="24"/>
        </w:rPr>
        <w:t xml:space="preserve"> </w:t>
      </w:r>
    </w:p>
    <w:p w14:paraId="6F4B4195" w14:textId="5F90DE48" w:rsidR="006479E7" w:rsidRDefault="00737292" w:rsidP="00863A26">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Specifically, I can estimate two effects: the intention</w:t>
      </w:r>
      <w:r w:rsidR="00106406">
        <w:rPr>
          <w:rFonts w:ascii="Times New Roman" w:hAnsi="Times New Roman" w:cs="Times New Roman"/>
          <w:sz w:val="24"/>
          <w:szCs w:val="24"/>
        </w:rPr>
        <w:t>-</w:t>
      </w:r>
      <w:r>
        <w:rPr>
          <w:rFonts w:ascii="Times New Roman" w:hAnsi="Times New Roman" w:cs="Times New Roman"/>
          <w:sz w:val="24"/>
          <w:szCs w:val="24"/>
        </w:rPr>
        <w:t>to</w:t>
      </w:r>
      <w:r w:rsidR="00106406">
        <w:rPr>
          <w:rFonts w:ascii="Times New Roman" w:hAnsi="Times New Roman" w:cs="Times New Roman"/>
          <w:sz w:val="24"/>
          <w:szCs w:val="24"/>
        </w:rPr>
        <w:t>-</w:t>
      </w:r>
      <w:r>
        <w:rPr>
          <w:rFonts w:ascii="Times New Roman" w:hAnsi="Times New Roman" w:cs="Times New Roman"/>
          <w:sz w:val="24"/>
          <w:szCs w:val="24"/>
        </w:rPr>
        <w:t>treat effect (ITE) and the average treatment effect</w:t>
      </w:r>
      <w:r w:rsidR="00106406">
        <w:rPr>
          <w:rFonts w:ascii="Times New Roman" w:hAnsi="Times New Roman" w:cs="Times New Roman"/>
          <w:sz w:val="24"/>
          <w:szCs w:val="24"/>
        </w:rPr>
        <w:t xml:space="preserve"> (ATE)</w:t>
      </w:r>
      <w:r>
        <w:rPr>
          <w:rFonts w:ascii="Times New Roman" w:hAnsi="Times New Roman" w:cs="Times New Roman"/>
          <w:sz w:val="24"/>
          <w:szCs w:val="24"/>
        </w:rPr>
        <w:t xml:space="preserve">. </w:t>
      </w:r>
      <w:r w:rsidR="00384A85">
        <w:rPr>
          <w:rFonts w:ascii="Times New Roman" w:hAnsi="Times New Roman" w:cs="Times New Roman"/>
          <w:sz w:val="24"/>
          <w:szCs w:val="24"/>
        </w:rPr>
        <w:t>S</w:t>
      </w:r>
      <w:r>
        <w:rPr>
          <w:rFonts w:ascii="Times New Roman" w:hAnsi="Times New Roman" w:cs="Times New Roman"/>
          <w:sz w:val="24"/>
          <w:szCs w:val="24"/>
        </w:rPr>
        <w:t xml:space="preserve">ince not all lottery winners opened or opened at the location in their original application, comparing outcomes in areas around lottery winners and losers gives me the </w:t>
      </w:r>
      <w:r>
        <w:rPr>
          <w:rFonts w:ascii="Times New Roman" w:hAnsi="Times New Roman" w:cs="Times New Roman"/>
          <w:sz w:val="24"/>
          <w:szCs w:val="24"/>
        </w:rPr>
        <w:lastRenderedPageBreak/>
        <w:t>ITE.</w:t>
      </w:r>
      <w:r w:rsidR="00384A85">
        <w:rPr>
          <w:rFonts w:ascii="Times New Roman" w:hAnsi="Times New Roman" w:cs="Times New Roman"/>
          <w:sz w:val="24"/>
          <w:szCs w:val="24"/>
        </w:rPr>
        <w:t xml:space="preserve"> To identify the AT</w:t>
      </w:r>
      <w:r w:rsidR="002809F3">
        <w:rPr>
          <w:rFonts w:ascii="Times New Roman" w:hAnsi="Times New Roman" w:cs="Times New Roman"/>
          <w:sz w:val="24"/>
          <w:szCs w:val="24"/>
        </w:rPr>
        <w:t>E</w:t>
      </w:r>
      <w:r w:rsidR="00384A85">
        <w:rPr>
          <w:rFonts w:ascii="Times New Roman" w:hAnsi="Times New Roman" w:cs="Times New Roman"/>
          <w:sz w:val="24"/>
          <w:szCs w:val="24"/>
        </w:rPr>
        <w:t xml:space="preserve">, I use the lottery results </w:t>
      </w:r>
      <w:r w:rsidR="00991233">
        <w:rPr>
          <w:rFonts w:ascii="Times New Roman" w:hAnsi="Times New Roman" w:cs="Times New Roman"/>
          <w:sz w:val="24"/>
          <w:szCs w:val="24"/>
        </w:rPr>
        <w:t>as an</w:t>
      </w:r>
      <w:r w:rsidR="00384A85">
        <w:rPr>
          <w:rFonts w:ascii="Times New Roman" w:hAnsi="Times New Roman" w:cs="Times New Roman"/>
          <w:sz w:val="24"/>
          <w:szCs w:val="24"/>
        </w:rPr>
        <w:t xml:space="preserve"> instrument for where a dispensary </w:t>
      </w:r>
      <w:r w:rsidR="004F0D9D">
        <w:rPr>
          <w:rFonts w:ascii="Times New Roman" w:hAnsi="Times New Roman" w:cs="Times New Roman"/>
          <w:sz w:val="24"/>
          <w:szCs w:val="24"/>
        </w:rPr>
        <w:t xml:space="preserve">actually </w:t>
      </w:r>
      <w:r w:rsidR="00384A85">
        <w:rPr>
          <w:rFonts w:ascii="Times New Roman" w:hAnsi="Times New Roman" w:cs="Times New Roman"/>
          <w:sz w:val="24"/>
          <w:szCs w:val="24"/>
        </w:rPr>
        <w:t>opened.</w:t>
      </w:r>
    </w:p>
    <w:p w14:paraId="32D6F255" w14:textId="77777777" w:rsidR="00863A26" w:rsidRPr="00863A26" w:rsidRDefault="00863A26" w:rsidP="00863A26">
      <w:pPr>
        <w:spacing w:after="0" w:line="480" w:lineRule="auto"/>
        <w:ind w:firstLine="720"/>
        <w:contextualSpacing/>
        <w:jc w:val="both"/>
        <w:rPr>
          <w:rFonts w:ascii="Times New Roman" w:hAnsi="Times New Roman" w:cs="Times New Roman"/>
          <w:sz w:val="12"/>
          <w:szCs w:val="12"/>
        </w:rPr>
      </w:pPr>
    </w:p>
    <w:p w14:paraId="2DB7AAB4" w14:textId="2160ACB6" w:rsidR="009C2469" w:rsidRDefault="00CA5F95" w:rsidP="006479E7">
      <w:pPr>
        <w:rPr>
          <w:rFonts w:ascii="Times New Roman" w:hAnsi="Times New Roman" w:cs="Times New Roman"/>
          <w:b/>
          <w:bCs/>
          <w:sz w:val="28"/>
          <w:szCs w:val="28"/>
        </w:rPr>
      </w:pPr>
      <w:r>
        <w:rPr>
          <w:rFonts w:ascii="Times New Roman" w:hAnsi="Times New Roman" w:cs="Times New Roman"/>
          <w:b/>
          <w:bCs/>
          <w:sz w:val="28"/>
          <w:szCs w:val="28"/>
        </w:rPr>
        <w:t>4</w:t>
      </w:r>
      <w:r w:rsidR="009C2469">
        <w:rPr>
          <w:rFonts w:ascii="Times New Roman" w:hAnsi="Times New Roman" w:cs="Times New Roman"/>
          <w:b/>
          <w:bCs/>
          <w:sz w:val="28"/>
          <w:szCs w:val="28"/>
        </w:rPr>
        <w:t>.1</w:t>
      </w:r>
      <w:r w:rsidR="009C2469">
        <w:rPr>
          <w:rFonts w:ascii="Times New Roman" w:hAnsi="Times New Roman" w:cs="Times New Roman"/>
          <w:b/>
          <w:bCs/>
          <w:sz w:val="28"/>
          <w:szCs w:val="28"/>
        </w:rPr>
        <w:tab/>
        <w:t>Control and Treatment Groups</w:t>
      </w:r>
    </w:p>
    <w:p w14:paraId="2976C7C7" w14:textId="31B1B660" w:rsidR="009C2469" w:rsidRDefault="00F963CD" w:rsidP="00616A7F">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designate a school as “treated” if it is within 10 minutes of driving time to a lottery winner. “Control” schools are those that are within 10 minutes </w:t>
      </w:r>
      <w:r w:rsidR="00D01898">
        <w:rPr>
          <w:rFonts w:ascii="Times New Roman" w:hAnsi="Times New Roman" w:cs="Times New Roman"/>
          <w:sz w:val="24"/>
          <w:szCs w:val="24"/>
        </w:rPr>
        <w:t>of</w:t>
      </w:r>
      <w:r>
        <w:rPr>
          <w:rFonts w:ascii="Times New Roman" w:hAnsi="Times New Roman" w:cs="Times New Roman"/>
          <w:sz w:val="24"/>
          <w:szCs w:val="24"/>
        </w:rPr>
        <w:t xml:space="preserve"> a lottery loser </w:t>
      </w:r>
      <w:r>
        <w:rPr>
          <w:rFonts w:ascii="Times New Roman" w:hAnsi="Times New Roman" w:cs="Times New Roman"/>
          <w:i/>
          <w:iCs/>
          <w:sz w:val="24"/>
          <w:szCs w:val="24"/>
        </w:rPr>
        <w:t xml:space="preserve">and </w:t>
      </w:r>
      <w:r>
        <w:rPr>
          <w:rFonts w:ascii="Times New Roman" w:hAnsi="Times New Roman" w:cs="Times New Roman"/>
          <w:sz w:val="24"/>
          <w:szCs w:val="24"/>
        </w:rPr>
        <w:t>at least 10 minutes away from a lottery winner.</w:t>
      </w:r>
      <w:r w:rsidR="00AF0241">
        <w:rPr>
          <w:rFonts w:ascii="Times New Roman" w:hAnsi="Times New Roman" w:cs="Times New Roman"/>
          <w:sz w:val="24"/>
          <w:szCs w:val="24"/>
        </w:rPr>
        <w:t xml:space="preserve"> In this set up, treated schools within 10 minutes of a winner </w:t>
      </w:r>
      <w:r w:rsidR="00AF0241" w:rsidRPr="004F0D9D">
        <w:rPr>
          <w:rFonts w:ascii="Times New Roman" w:hAnsi="Times New Roman" w:cs="Times New Roman"/>
          <w:i/>
          <w:iCs/>
          <w:sz w:val="24"/>
          <w:szCs w:val="24"/>
        </w:rPr>
        <w:t>and</w:t>
      </w:r>
      <w:r w:rsidR="00AF0241">
        <w:rPr>
          <w:rFonts w:ascii="Times New Roman" w:hAnsi="Times New Roman" w:cs="Times New Roman"/>
          <w:sz w:val="24"/>
          <w:szCs w:val="24"/>
        </w:rPr>
        <w:t xml:space="preserve"> a loser are considered treated</w:t>
      </w:r>
      <w:r w:rsidR="00672133">
        <w:rPr>
          <w:rFonts w:ascii="Times New Roman" w:hAnsi="Times New Roman" w:cs="Times New Roman"/>
          <w:sz w:val="24"/>
          <w:szCs w:val="24"/>
        </w:rPr>
        <w:t>. Additionally, schools within 10 minutes of multiple winners are not considered any differently than schools within 10 minutes of a single winner.</w:t>
      </w:r>
      <w:r w:rsidR="00FE63B5">
        <w:rPr>
          <w:rFonts w:ascii="Times New Roman" w:hAnsi="Times New Roman" w:cs="Times New Roman"/>
          <w:sz w:val="24"/>
          <w:szCs w:val="24"/>
        </w:rPr>
        <w:t xml:space="preserve"> </w:t>
      </w:r>
      <w:r w:rsidR="00275754">
        <w:rPr>
          <w:rFonts w:ascii="Times New Roman" w:hAnsi="Times New Roman" w:cs="Times New Roman"/>
          <w:sz w:val="24"/>
          <w:szCs w:val="24"/>
        </w:rPr>
        <w:t xml:space="preserve">I test the robustness of my results to different treatment definitions in section </w:t>
      </w:r>
      <w:r w:rsidR="00A14890">
        <w:rPr>
          <w:rFonts w:ascii="Times New Roman" w:hAnsi="Times New Roman" w:cs="Times New Roman"/>
          <w:sz w:val="24"/>
          <w:szCs w:val="24"/>
        </w:rPr>
        <w:t>6</w:t>
      </w:r>
      <w:r w:rsidR="00275754">
        <w:rPr>
          <w:rFonts w:ascii="Times New Roman" w:hAnsi="Times New Roman" w:cs="Times New Roman"/>
          <w:sz w:val="24"/>
          <w:szCs w:val="24"/>
        </w:rPr>
        <w:t xml:space="preserve">. </w:t>
      </w:r>
      <w:r w:rsidR="00FE63B5" w:rsidRPr="005C7C2D">
        <w:rPr>
          <w:rFonts w:ascii="Times New Roman" w:hAnsi="Times New Roman" w:cs="Times New Roman"/>
          <w:sz w:val="24"/>
          <w:szCs w:val="24"/>
        </w:rPr>
        <w:t>1</w:t>
      </w:r>
      <w:r w:rsidR="003A27CA">
        <w:rPr>
          <w:rFonts w:ascii="Times New Roman" w:hAnsi="Times New Roman" w:cs="Times New Roman"/>
          <w:sz w:val="24"/>
          <w:szCs w:val="24"/>
        </w:rPr>
        <w:t>79</w:t>
      </w:r>
      <w:r w:rsidR="00FE63B5" w:rsidRPr="005C7C2D">
        <w:rPr>
          <w:rFonts w:ascii="Times New Roman" w:hAnsi="Times New Roman" w:cs="Times New Roman"/>
          <w:sz w:val="24"/>
          <w:szCs w:val="24"/>
        </w:rPr>
        <w:t xml:space="preserve"> schools in my sample are in the treatment group, while </w:t>
      </w:r>
      <w:r w:rsidR="003A27CA">
        <w:rPr>
          <w:rFonts w:ascii="Times New Roman" w:hAnsi="Times New Roman" w:cs="Times New Roman"/>
          <w:sz w:val="24"/>
          <w:szCs w:val="24"/>
        </w:rPr>
        <w:t>39</w:t>
      </w:r>
      <w:r w:rsidR="00FE63B5" w:rsidRPr="005C7C2D">
        <w:rPr>
          <w:rFonts w:ascii="Times New Roman" w:hAnsi="Times New Roman" w:cs="Times New Roman"/>
          <w:sz w:val="24"/>
          <w:szCs w:val="24"/>
        </w:rPr>
        <w:t xml:space="preserve"> make up the control group.</w:t>
      </w:r>
      <w:r w:rsidR="00FE63B5">
        <w:rPr>
          <w:rFonts w:ascii="Times New Roman" w:hAnsi="Times New Roman" w:cs="Times New Roman"/>
          <w:sz w:val="24"/>
          <w:szCs w:val="24"/>
        </w:rPr>
        <w:t xml:space="preserve"> </w:t>
      </w:r>
      <w:r w:rsidR="00DB0E65">
        <w:rPr>
          <w:rFonts w:ascii="Times New Roman" w:hAnsi="Times New Roman" w:cs="Times New Roman"/>
          <w:sz w:val="24"/>
          <w:szCs w:val="24"/>
        </w:rPr>
        <w:t xml:space="preserve"> </w:t>
      </w:r>
      <w:r w:rsidR="00672133">
        <w:rPr>
          <w:rFonts w:ascii="Times New Roman" w:hAnsi="Times New Roman" w:cs="Times New Roman"/>
          <w:sz w:val="24"/>
          <w:szCs w:val="24"/>
        </w:rPr>
        <w:t xml:space="preserve"> </w:t>
      </w:r>
    </w:p>
    <w:p w14:paraId="743677F3" w14:textId="4B7463D3" w:rsidR="007C0EB0" w:rsidRDefault="00FE63B5" w:rsidP="00616A7F">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use a cutoff of 10 minutes for a couple of reasons. First, for </w:t>
      </w:r>
      <w:r w:rsidR="003D1265">
        <w:rPr>
          <w:rFonts w:ascii="Times New Roman" w:hAnsi="Times New Roman" w:cs="Times New Roman"/>
          <w:sz w:val="24"/>
          <w:szCs w:val="24"/>
        </w:rPr>
        <w:t>over</w:t>
      </w:r>
      <w:r>
        <w:rPr>
          <w:rFonts w:ascii="Times New Roman" w:hAnsi="Times New Roman" w:cs="Times New Roman"/>
          <w:sz w:val="24"/>
          <w:szCs w:val="24"/>
        </w:rPr>
        <w:t xml:space="preserve"> half of the schools in my sample</w:t>
      </w:r>
      <w:r w:rsidR="00463D47">
        <w:rPr>
          <w:rFonts w:ascii="Times New Roman" w:hAnsi="Times New Roman" w:cs="Times New Roman"/>
          <w:sz w:val="24"/>
          <w:szCs w:val="24"/>
        </w:rPr>
        <w:t>,</w:t>
      </w:r>
      <w:r>
        <w:rPr>
          <w:rFonts w:ascii="Times New Roman" w:hAnsi="Times New Roman" w:cs="Times New Roman"/>
          <w:sz w:val="24"/>
          <w:szCs w:val="24"/>
        </w:rPr>
        <w:t xml:space="preserve"> it takes 10 minutes</w:t>
      </w:r>
      <w:r w:rsidR="00463D47">
        <w:rPr>
          <w:rFonts w:ascii="Times New Roman" w:hAnsi="Times New Roman" w:cs="Times New Roman"/>
          <w:sz w:val="24"/>
          <w:szCs w:val="24"/>
        </w:rPr>
        <w:t xml:space="preserve"> or less</w:t>
      </w:r>
      <w:r>
        <w:rPr>
          <w:rFonts w:ascii="Times New Roman" w:hAnsi="Times New Roman" w:cs="Times New Roman"/>
          <w:sz w:val="24"/>
          <w:szCs w:val="24"/>
        </w:rPr>
        <w:t xml:space="preserve"> to get to the nearest lottery </w:t>
      </w:r>
      <w:r w:rsidR="00463D47">
        <w:rPr>
          <w:rFonts w:ascii="Times New Roman" w:hAnsi="Times New Roman" w:cs="Times New Roman"/>
          <w:sz w:val="24"/>
          <w:szCs w:val="24"/>
        </w:rPr>
        <w:t>participant</w:t>
      </w:r>
      <w:r w:rsidR="005C60C2">
        <w:rPr>
          <w:rFonts w:ascii="Times New Roman" w:hAnsi="Times New Roman" w:cs="Times New Roman"/>
          <w:sz w:val="24"/>
          <w:szCs w:val="24"/>
        </w:rPr>
        <w:t>, so it seems like a natural time to consider. Second, times below 10 minutes result in a very small treatment group while those above drastically reduce the number of control schools</w:t>
      </w:r>
      <w:r w:rsidR="005C60C2" w:rsidRPr="00EE0CA1">
        <w:rPr>
          <w:rFonts w:ascii="Times New Roman" w:hAnsi="Times New Roman" w:cs="Times New Roman"/>
          <w:sz w:val="24"/>
          <w:szCs w:val="24"/>
        </w:rPr>
        <w:t>. For instance, when I shrink the cutoff to 5 minutes, the number</w:t>
      </w:r>
      <w:r w:rsidR="008E577E" w:rsidRPr="00EE0CA1">
        <w:rPr>
          <w:rFonts w:ascii="Times New Roman" w:hAnsi="Times New Roman" w:cs="Times New Roman"/>
          <w:sz w:val="24"/>
          <w:szCs w:val="24"/>
        </w:rPr>
        <w:t xml:space="preserve"> of</w:t>
      </w:r>
      <w:r w:rsidR="005C60C2" w:rsidRPr="00EE0CA1">
        <w:rPr>
          <w:rFonts w:ascii="Times New Roman" w:hAnsi="Times New Roman" w:cs="Times New Roman"/>
          <w:sz w:val="24"/>
          <w:szCs w:val="24"/>
        </w:rPr>
        <w:t xml:space="preserve"> treated schools </w:t>
      </w:r>
      <w:r w:rsidR="00447439" w:rsidRPr="00EE0CA1">
        <w:rPr>
          <w:rFonts w:ascii="Times New Roman" w:hAnsi="Times New Roman" w:cs="Times New Roman"/>
          <w:sz w:val="24"/>
          <w:szCs w:val="24"/>
        </w:rPr>
        <w:t>falls from 1</w:t>
      </w:r>
      <w:r w:rsidR="003A27CA" w:rsidRPr="00EE0CA1">
        <w:rPr>
          <w:rFonts w:ascii="Times New Roman" w:hAnsi="Times New Roman" w:cs="Times New Roman"/>
          <w:sz w:val="24"/>
          <w:szCs w:val="24"/>
        </w:rPr>
        <w:t>79</w:t>
      </w:r>
      <w:r w:rsidR="00447439" w:rsidRPr="00EE0CA1">
        <w:rPr>
          <w:rFonts w:ascii="Times New Roman" w:hAnsi="Times New Roman" w:cs="Times New Roman"/>
          <w:sz w:val="24"/>
          <w:szCs w:val="24"/>
        </w:rPr>
        <w:t xml:space="preserve"> to </w:t>
      </w:r>
      <w:r w:rsidR="00EE0CA1" w:rsidRPr="00EE0CA1">
        <w:rPr>
          <w:rFonts w:ascii="Times New Roman" w:hAnsi="Times New Roman" w:cs="Times New Roman"/>
          <w:sz w:val="24"/>
          <w:szCs w:val="24"/>
        </w:rPr>
        <w:t>59</w:t>
      </w:r>
      <w:r w:rsidR="00447439" w:rsidRPr="00EE0CA1">
        <w:rPr>
          <w:rFonts w:ascii="Times New Roman" w:hAnsi="Times New Roman" w:cs="Times New Roman"/>
          <w:sz w:val="24"/>
          <w:szCs w:val="24"/>
        </w:rPr>
        <w:t xml:space="preserve"> </w:t>
      </w:r>
      <w:r w:rsidR="009918FD" w:rsidRPr="00EE0CA1">
        <w:rPr>
          <w:rFonts w:ascii="Times New Roman" w:hAnsi="Times New Roman" w:cs="Times New Roman"/>
          <w:sz w:val="24"/>
          <w:szCs w:val="24"/>
        </w:rPr>
        <w:t>wh</w:t>
      </w:r>
      <w:r w:rsidR="005C60C2" w:rsidRPr="00EE0CA1">
        <w:rPr>
          <w:rFonts w:ascii="Times New Roman" w:hAnsi="Times New Roman" w:cs="Times New Roman"/>
          <w:sz w:val="24"/>
          <w:szCs w:val="24"/>
        </w:rPr>
        <w:t>ile the number of controls remains about the same.</w:t>
      </w:r>
      <w:r w:rsidR="009918FD" w:rsidRPr="00EE0CA1">
        <w:rPr>
          <w:rFonts w:ascii="Times New Roman" w:hAnsi="Times New Roman" w:cs="Times New Roman"/>
          <w:sz w:val="24"/>
          <w:szCs w:val="24"/>
        </w:rPr>
        <w:t xml:space="preserve"> If instead I use 15 minutes, the number of treated schools goes up </w:t>
      </w:r>
      <w:r w:rsidR="00447439" w:rsidRPr="00EE0CA1">
        <w:rPr>
          <w:rFonts w:ascii="Times New Roman" w:hAnsi="Times New Roman" w:cs="Times New Roman"/>
          <w:sz w:val="24"/>
          <w:szCs w:val="24"/>
        </w:rPr>
        <w:t xml:space="preserve">by </w:t>
      </w:r>
      <w:r w:rsidR="00EE0CA1" w:rsidRPr="00EE0CA1">
        <w:rPr>
          <w:rFonts w:ascii="Times New Roman" w:hAnsi="Times New Roman" w:cs="Times New Roman"/>
          <w:sz w:val="24"/>
          <w:szCs w:val="24"/>
        </w:rPr>
        <w:t>just over 25%</w:t>
      </w:r>
      <w:r w:rsidR="009918FD" w:rsidRPr="00EE0CA1">
        <w:rPr>
          <w:rFonts w:ascii="Times New Roman" w:hAnsi="Times New Roman" w:cs="Times New Roman"/>
          <w:sz w:val="24"/>
          <w:szCs w:val="24"/>
        </w:rPr>
        <w:t xml:space="preserve"> while the control group</w:t>
      </w:r>
      <w:r w:rsidR="00EE0CA1" w:rsidRPr="00EE0CA1">
        <w:rPr>
          <w:rFonts w:ascii="Times New Roman" w:hAnsi="Times New Roman" w:cs="Times New Roman"/>
          <w:sz w:val="24"/>
          <w:szCs w:val="24"/>
        </w:rPr>
        <w:t xml:space="preserve"> falls by almost half</w:t>
      </w:r>
      <w:r w:rsidR="00F766DB" w:rsidRPr="00EE0CA1">
        <w:rPr>
          <w:rFonts w:ascii="Times New Roman" w:hAnsi="Times New Roman" w:cs="Times New Roman"/>
          <w:sz w:val="24"/>
          <w:szCs w:val="24"/>
        </w:rPr>
        <w:t>.</w:t>
      </w:r>
      <w:r w:rsidR="00F766DB">
        <w:rPr>
          <w:rFonts w:ascii="Times New Roman" w:hAnsi="Times New Roman" w:cs="Times New Roman"/>
          <w:sz w:val="24"/>
          <w:szCs w:val="24"/>
        </w:rPr>
        <w:t xml:space="preserve"> </w:t>
      </w:r>
      <w:r w:rsidR="005C60C2">
        <w:rPr>
          <w:rFonts w:ascii="Times New Roman" w:hAnsi="Times New Roman" w:cs="Times New Roman"/>
          <w:sz w:val="24"/>
          <w:szCs w:val="24"/>
        </w:rPr>
        <w:t xml:space="preserve">    </w:t>
      </w:r>
    </w:p>
    <w:p w14:paraId="4B266D18" w14:textId="77777777" w:rsidR="00616A7F" w:rsidRPr="00616A7F" w:rsidRDefault="00616A7F" w:rsidP="00616A7F">
      <w:pPr>
        <w:spacing w:after="0" w:line="480" w:lineRule="auto"/>
        <w:ind w:firstLine="720"/>
        <w:contextualSpacing/>
        <w:jc w:val="both"/>
        <w:rPr>
          <w:rFonts w:ascii="Times New Roman" w:hAnsi="Times New Roman" w:cs="Times New Roman"/>
          <w:sz w:val="12"/>
          <w:szCs w:val="12"/>
        </w:rPr>
      </w:pPr>
    </w:p>
    <w:p w14:paraId="4643433A" w14:textId="5084CE40" w:rsidR="00BF0709" w:rsidRDefault="00CA5F95" w:rsidP="00BF0709">
      <w:pPr>
        <w:rPr>
          <w:rFonts w:ascii="Times New Roman" w:hAnsi="Times New Roman" w:cs="Times New Roman"/>
          <w:b/>
          <w:bCs/>
          <w:sz w:val="28"/>
          <w:szCs w:val="28"/>
        </w:rPr>
      </w:pPr>
      <w:r>
        <w:rPr>
          <w:rFonts w:ascii="Times New Roman" w:hAnsi="Times New Roman" w:cs="Times New Roman"/>
          <w:b/>
          <w:bCs/>
          <w:sz w:val="28"/>
          <w:szCs w:val="28"/>
        </w:rPr>
        <w:t>4</w:t>
      </w:r>
      <w:r w:rsidR="00BF0709" w:rsidRPr="00BF0709">
        <w:rPr>
          <w:rFonts w:ascii="Times New Roman" w:hAnsi="Times New Roman" w:cs="Times New Roman"/>
          <w:b/>
          <w:bCs/>
          <w:sz w:val="28"/>
          <w:szCs w:val="28"/>
        </w:rPr>
        <w:t>.</w:t>
      </w:r>
      <w:r w:rsidR="009C2469">
        <w:rPr>
          <w:rFonts w:ascii="Times New Roman" w:hAnsi="Times New Roman" w:cs="Times New Roman"/>
          <w:b/>
          <w:bCs/>
          <w:sz w:val="28"/>
          <w:szCs w:val="28"/>
        </w:rPr>
        <w:t>2</w:t>
      </w:r>
      <w:r w:rsidR="00BF0709" w:rsidRPr="00BF0709">
        <w:rPr>
          <w:rFonts w:ascii="Times New Roman" w:hAnsi="Times New Roman" w:cs="Times New Roman"/>
          <w:b/>
          <w:bCs/>
          <w:sz w:val="28"/>
          <w:szCs w:val="28"/>
        </w:rPr>
        <w:tab/>
        <w:t>Effect of the Lottery</w:t>
      </w:r>
    </w:p>
    <w:p w14:paraId="4104BEC1" w14:textId="1862B6A2" w:rsidR="0083023F" w:rsidRDefault="00D5328D" w:rsidP="0083023F">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To estimate the effect of the lottery, or ITE, on educational outcomes, I compare schools within</w:t>
      </w:r>
      <w:r w:rsidR="009B1BC7">
        <w:rPr>
          <w:rFonts w:ascii="Times New Roman" w:hAnsi="Times New Roman" w:cs="Times New Roman"/>
          <w:sz w:val="24"/>
          <w:szCs w:val="24"/>
        </w:rPr>
        <w:t xml:space="preserve"> a 10-minute drive-time</w:t>
      </w:r>
      <w:r>
        <w:rPr>
          <w:rFonts w:ascii="Times New Roman" w:hAnsi="Times New Roman" w:cs="Times New Roman"/>
          <w:sz w:val="24"/>
          <w:szCs w:val="24"/>
        </w:rPr>
        <w:t xml:space="preserve"> </w:t>
      </w:r>
      <w:r w:rsidR="009B1BC7">
        <w:rPr>
          <w:rFonts w:ascii="Times New Roman" w:hAnsi="Times New Roman" w:cs="Times New Roman"/>
          <w:sz w:val="24"/>
          <w:szCs w:val="24"/>
        </w:rPr>
        <w:t>of</w:t>
      </w:r>
      <w:r>
        <w:rPr>
          <w:rFonts w:ascii="Times New Roman" w:hAnsi="Times New Roman" w:cs="Times New Roman"/>
          <w:sz w:val="24"/>
          <w:szCs w:val="24"/>
        </w:rPr>
        <w:t xml:space="preserve"> </w:t>
      </w:r>
      <w:r w:rsidR="009B1BC7">
        <w:rPr>
          <w:rFonts w:ascii="Times New Roman" w:hAnsi="Times New Roman" w:cs="Times New Roman"/>
          <w:sz w:val="24"/>
          <w:szCs w:val="24"/>
        </w:rPr>
        <w:t xml:space="preserve">a </w:t>
      </w:r>
      <w:r>
        <w:rPr>
          <w:rFonts w:ascii="Times New Roman" w:hAnsi="Times New Roman" w:cs="Times New Roman"/>
          <w:sz w:val="24"/>
          <w:szCs w:val="24"/>
        </w:rPr>
        <w:t>winning dispensar</w:t>
      </w:r>
      <w:r w:rsidR="009B1BC7">
        <w:rPr>
          <w:rFonts w:ascii="Times New Roman" w:hAnsi="Times New Roman" w:cs="Times New Roman"/>
          <w:sz w:val="24"/>
          <w:szCs w:val="24"/>
        </w:rPr>
        <w:t xml:space="preserve">y </w:t>
      </w:r>
      <w:r>
        <w:rPr>
          <w:rFonts w:ascii="Times New Roman" w:hAnsi="Times New Roman" w:cs="Times New Roman"/>
          <w:sz w:val="24"/>
          <w:szCs w:val="24"/>
        </w:rPr>
        <w:t>to those within 10 minutes of a losing dispensary (and at least 10 minutes from a winner)</w:t>
      </w:r>
      <w:r w:rsidR="00183441">
        <w:rPr>
          <w:rFonts w:ascii="Times New Roman" w:hAnsi="Times New Roman" w:cs="Times New Roman"/>
          <w:sz w:val="24"/>
          <w:szCs w:val="24"/>
        </w:rPr>
        <w:t xml:space="preserve"> after dispensaries open in Washington</w:t>
      </w:r>
      <w:r>
        <w:rPr>
          <w:rFonts w:ascii="Times New Roman" w:hAnsi="Times New Roman" w:cs="Times New Roman"/>
          <w:sz w:val="24"/>
          <w:szCs w:val="24"/>
        </w:rPr>
        <w:t>.</w:t>
      </w:r>
      <w:r w:rsidR="0083023F">
        <w:rPr>
          <w:rFonts w:ascii="Times New Roman" w:hAnsi="Times New Roman" w:cs="Times New Roman"/>
          <w:sz w:val="24"/>
          <w:szCs w:val="24"/>
        </w:rPr>
        <w:t xml:space="preserve"> First, I estimate a simple model given by the following regression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83023F" w14:paraId="35F95EBC" w14:textId="77777777" w:rsidTr="006A4634">
        <w:tc>
          <w:tcPr>
            <w:tcW w:w="8545" w:type="dxa"/>
          </w:tcPr>
          <w:p w14:paraId="086E2674" w14:textId="2E1F201A" w:rsidR="0083023F" w:rsidRPr="00967780" w:rsidRDefault="00000000" w:rsidP="006A4634">
            <w:pPr>
              <w:spacing w:line="480" w:lineRule="auto"/>
              <w:contextualSpacing/>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10MinsLotter</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st</m:t>
                    </m:r>
                  </m:sub>
                </m:sSub>
              </m:oMath>
            </m:oMathPara>
          </w:p>
        </w:tc>
        <w:tc>
          <w:tcPr>
            <w:tcW w:w="805" w:type="dxa"/>
          </w:tcPr>
          <w:p w14:paraId="04C5DE9A" w14:textId="77777777" w:rsidR="0083023F" w:rsidRDefault="0083023F" w:rsidP="006A4634">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(1)</w:t>
            </w:r>
          </w:p>
        </w:tc>
      </w:tr>
    </w:tbl>
    <w:p w14:paraId="4D349314" w14:textId="0B91F92F" w:rsidR="00AB21ED" w:rsidRDefault="0083023F" w:rsidP="0083023F">
      <w:pPr>
        <w:spacing w:after="0" w:line="480" w:lineRule="auto"/>
        <w:contextualSpacing/>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iCs/>
          <w:sz w:val="24"/>
          <w:szCs w:val="24"/>
        </w:rPr>
        <w:t>E</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represents dropout, chronic absenteeism, discipline, or math or ELA </w:t>
      </w:r>
      <w:r w:rsidR="00F5515B">
        <w:rPr>
          <w:rFonts w:ascii="Times New Roman" w:eastAsiaTheme="minorEastAsia" w:hAnsi="Times New Roman" w:cs="Times New Roman"/>
          <w:sz w:val="24"/>
          <w:szCs w:val="24"/>
        </w:rPr>
        <w:t>non-</w:t>
      </w:r>
      <w:r>
        <w:rPr>
          <w:rFonts w:ascii="Times New Roman" w:eastAsiaTheme="minorEastAsia" w:hAnsi="Times New Roman" w:cs="Times New Roman"/>
          <w:sz w:val="24"/>
          <w:szCs w:val="24"/>
        </w:rPr>
        <w:t xml:space="preserve">proficiency rates in school </w:t>
      </w:r>
      <w:r>
        <w:rPr>
          <w:rFonts w:ascii="Times New Roman" w:eastAsiaTheme="minorEastAsia" w:hAnsi="Times New Roman" w:cs="Times New Roman"/>
          <w:i/>
          <w:iCs/>
          <w:sz w:val="24"/>
          <w:szCs w:val="24"/>
        </w:rPr>
        <w:t xml:space="preserve">s </w:t>
      </w:r>
      <w:r>
        <w:rPr>
          <w:rFonts w:ascii="Times New Roman" w:eastAsiaTheme="minorEastAsia" w:hAnsi="Times New Roman" w:cs="Times New Roman"/>
          <w:sz w:val="24"/>
          <w:szCs w:val="24"/>
        </w:rPr>
        <w:t xml:space="preserve">and year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The treatment variable is </w:t>
      </w:r>
      <w:r>
        <w:rPr>
          <w:rFonts w:ascii="Times New Roman" w:eastAsiaTheme="minorEastAsia" w:hAnsi="Times New Roman" w:cs="Times New Roman"/>
          <w:i/>
          <w:iCs/>
          <w:sz w:val="24"/>
          <w:szCs w:val="24"/>
        </w:rPr>
        <w:t xml:space="preserve">10MinsLottery </w:t>
      </w:r>
      <w:r>
        <w:rPr>
          <w:rFonts w:ascii="Times New Roman" w:eastAsiaTheme="minorEastAsia" w:hAnsi="Times New Roman" w:cs="Times New Roman"/>
          <w:sz w:val="24"/>
          <w:szCs w:val="24"/>
        </w:rPr>
        <w:t xml:space="preserve">and takes a value of 1 for schools within 10 minutes of a lottery winner and 0 for schools within 10 minutes of loser and at least 10 minutes of a winner. </w:t>
      </w:r>
      <m:oMath>
        <m:r>
          <w:rPr>
            <w:rFonts w:ascii="Cambria Math" w:hAnsi="Cambria Math" w:cs="Times New Roman"/>
            <w:sz w:val="24"/>
            <w:szCs w:val="24"/>
          </w:rPr>
          <m:t>ε</m:t>
        </m:r>
      </m:oMath>
      <w:r>
        <w:rPr>
          <w:rFonts w:ascii="Times New Roman" w:eastAsiaTheme="minorEastAsia" w:hAnsi="Times New Roman" w:cs="Times New Roman"/>
          <w:sz w:val="24"/>
          <w:szCs w:val="24"/>
        </w:rPr>
        <w:t xml:space="preserve"> is a random school-by-year error term.</w:t>
      </w:r>
      <w:r w:rsidR="00AB21ED">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cov(</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st</m:t>
            </m:r>
          </m:sub>
        </m:sSub>
        <m:r>
          <w:rPr>
            <w:rFonts w:ascii="Cambria Math" w:eastAsiaTheme="minorEastAsia" w:hAnsi="Cambria Math" w:cs="Times New Roman"/>
            <w:sz w:val="24"/>
            <w:szCs w:val="24"/>
          </w:rPr>
          <m:t>,10MinsLotter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r>
          <w:rPr>
            <w:rFonts w:ascii="Cambria Math" w:hAnsi="Cambria Math" w:cs="Times New Roman"/>
            <w:sz w:val="24"/>
            <w:szCs w:val="24"/>
          </w:rPr>
          <m:t>=0</m:t>
        </m:r>
      </m:oMath>
      <w:r>
        <w:rPr>
          <w:rFonts w:ascii="Times New Roman" w:eastAsiaTheme="minorEastAsia" w:hAnsi="Times New Roman" w:cs="Times New Roman"/>
          <w:sz w:val="24"/>
          <w:szCs w:val="24"/>
        </w:rPr>
        <w:t>,</w:t>
      </w:r>
      <w:r w:rsidR="00EE2095">
        <w:rPr>
          <w:rFonts w:ascii="Times New Roman" w:eastAsiaTheme="minorEastAsia" w:hAnsi="Times New Roman" w:cs="Times New Roman"/>
          <w:sz w:val="24"/>
          <w:szCs w:val="24"/>
        </w:rPr>
        <w:t xml:space="preserve"> meaning that the lottery randomly assign</w:t>
      </w:r>
      <w:r w:rsidR="00D95FCE">
        <w:rPr>
          <w:rFonts w:ascii="Times New Roman" w:eastAsiaTheme="minorEastAsia" w:hAnsi="Times New Roman" w:cs="Times New Roman"/>
          <w:sz w:val="24"/>
          <w:szCs w:val="24"/>
        </w:rPr>
        <w:t>ed</w:t>
      </w:r>
      <w:r w:rsidR="00EE2095">
        <w:rPr>
          <w:rFonts w:ascii="Times New Roman" w:eastAsiaTheme="minorEastAsia" w:hAnsi="Times New Roman" w:cs="Times New Roman"/>
          <w:sz w:val="24"/>
          <w:szCs w:val="24"/>
        </w:rPr>
        <w:t xml:space="preserve"> schools to treatment and control groups unconditional on covariates, then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oMath>
      <w:r w:rsidR="00EE2095">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the causal effect of being within 10 minutes of a lottery-winning dispensary after recreational marijuana is legalized.</w:t>
      </w:r>
      <w:r w:rsidR="00AB21ED">
        <w:rPr>
          <w:rFonts w:ascii="Times New Roman" w:eastAsiaTheme="minorEastAsia" w:hAnsi="Times New Roman" w:cs="Times New Roman"/>
          <w:sz w:val="24"/>
          <w:szCs w:val="24"/>
        </w:rPr>
        <w:t xml:space="preserve"> </w:t>
      </w:r>
    </w:p>
    <w:p w14:paraId="26C9A2F9" w14:textId="60779046" w:rsidR="00D6041F" w:rsidRDefault="00D95FCE" w:rsidP="0083023F">
      <w:pPr>
        <w:spacing w:after="0" w:line="48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However</w:t>
      </w:r>
      <w:r w:rsidR="0085533C">
        <w:rPr>
          <w:rFonts w:ascii="Times New Roman" w:eastAsiaTheme="minorEastAsia" w:hAnsi="Times New Roman" w:cs="Times New Roman"/>
          <w:sz w:val="24"/>
          <w:szCs w:val="24"/>
        </w:rPr>
        <w:t xml:space="preserve">, </w:t>
      </w:r>
      <w:r w:rsidR="00D6041F">
        <w:rPr>
          <w:rFonts w:ascii="Times New Roman" w:eastAsiaTheme="minorEastAsia" w:hAnsi="Times New Roman" w:cs="Times New Roman"/>
          <w:sz w:val="24"/>
          <w:szCs w:val="24"/>
        </w:rPr>
        <w:t>the probability that a school is within 10 minutes of a lottery winner depends on how many dispensaries applied to locate within that area. In other words, the lottery randomly assign</w:t>
      </w:r>
      <w:r w:rsidR="001C3F20">
        <w:rPr>
          <w:rFonts w:ascii="Times New Roman" w:eastAsiaTheme="minorEastAsia" w:hAnsi="Times New Roman" w:cs="Times New Roman"/>
          <w:sz w:val="24"/>
          <w:szCs w:val="24"/>
        </w:rPr>
        <w:t xml:space="preserve">ed </w:t>
      </w:r>
      <w:r w:rsidR="00D6041F">
        <w:rPr>
          <w:rFonts w:ascii="Times New Roman" w:eastAsiaTheme="minorEastAsia" w:hAnsi="Times New Roman" w:cs="Times New Roman"/>
          <w:sz w:val="24"/>
          <w:szCs w:val="24"/>
        </w:rPr>
        <w:t xml:space="preserve">schools to treatment and control groups </w:t>
      </w:r>
      <w:r w:rsidR="00D6041F" w:rsidRPr="001C3F20">
        <w:rPr>
          <w:rFonts w:ascii="Times New Roman" w:eastAsiaTheme="minorEastAsia" w:hAnsi="Times New Roman" w:cs="Times New Roman"/>
          <w:i/>
          <w:iCs/>
          <w:sz w:val="24"/>
          <w:szCs w:val="24"/>
        </w:rPr>
        <w:t>conditional</w:t>
      </w:r>
      <w:r w:rsidR="00D6041F">
        <w:rPr>
          <w:rFonts w:ascii="Times New Roman" w:eastAsiaTheme="minorEastAsia" w:hAnsi="Times New Roman" w:cs="Times New Roman"/>
          <w:sz w:val="24"/>
          <w:szCs w:val="24"/>
        </w:rPr>
        <w:t xml:space="preserve"> on the number of applicants within 10 minutes of the school. </w:t>
      </w:r>
      <w:r w:rsidR="001C3F20">
        <w:rPr>
          <w:rFonts w:ascii="Times New Roman" w:eastAsiaTheme="minorEastAsia" w:hAnsi="Times New Roman" w:cs="Times New Roman"/>
          <w:sz w:val="24"/>
          <w:szCs w:val="24"/>
        </w:rPr>
        <w:t>Thus, I estimate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1C3F20" w14:paraId="036D642B" w14:textId="77777777" w:rsidTr="006A4634">
        <w:tc>
          <w:tcPr>
            <w:tcW w:w="8545" w:type="dxa"/>
          </w:tcPr>
          <w:p w14:paraId="2139A7DC" w14:textId="1B152A0E" w:rsidR="001C3F20" w:rsidRPr="00967780" w:rsidRDefault="00000000" w:rsidP="006A4634">
            <w:pPr>
              <w:spacing w:line="480" w:lineRule="auto"/>
              <w:contextualSpacing/>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10MinsLotter</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10MinsApplicant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st</m:t>
                    </m:r>
                  </m:sub>
                </m:sSub>
              </m:oMath>
            </m:oMathPara>
          </w:p>
        </w:tc>
        <w:tc>
          <w:tcPr>
            <w:tcW w:w="805" w:type="dxa"/>
          </w:tcPr>
          <w:p w14:paraId="3BE96250" w14:textId="0DFB3680" w:rsidR="001C3F20" w:rsidRDefault="001C3F20" w:rsidP="006A4634">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3C18BA">
              <w:rPr>
                <w:rFonts w:ascii="Times New Roman" w:hAnsi="Times New Roman" w:cs="Times New Roman"/>
                <w:sz w:val="24"/>
                <w:szCs w:val="24"/>
              </w:rPr>
              <w:t>2</w:t>
            </w:r>
            <w:r>
              <w:rPr>
                <w:rFonts w:ascii="Times New Roman" w:hAnsi="Times New Roman" w:cs="Times New Roman"/>
                <w:sz w:val="24"/>
                <w:szCs w:val="24"/>
              </w:rPr>
              <w:t>)</w:t>
            </w:r>
          </w:p>
        </w:tc>
      </w:tr>
    </w:tbl>
    <w:p w14:paraId="1919155C" w14:textId="6BB2C421" w:rsidR="00D95FCE" w:rsidRDefault="001C3F20" w:rsidP="00084EB4">
      <w:pPr>
        <w:spacing w:after="0" w:line="48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variable </w:t>
      </w:r>
      <w:r>
        <w:rPr>
          <w:rFonts w:ascii="Times New Roman" w:eastAsiaTheme="minorEastAsia" w:hAnsi="Times New Roman" w:cs="Times New Roman"/>
          <w:i/>
          <w:iCs/>
          <w:sz w:val="24"/>
          <w:szCs w:val="24"/>
        </w:rPr>
        <w:t xml:space="preserve">10MinsApplicants </w:t>
      </w:r>
      <w:r>
        <w:rPr>
          <w:rFonts w:ascii="Times New Roman" w:eastAsiaTheme="minorEastAsia" w:hAnsi="Times New Roman" w:cs="Times New Roman"/>
          <w:sz w:val="24"/>
          <w:szCs w:val="24"/>
        </w:rPr>
        <w:t xml:space="preserve">is the number of dispensaries that applied for licenses within 10 minutes of school </w:t>
      </w:r>
      <w:r>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The issue with this model is that the number of applicants is </w:t>
      </w:r>
      <w:r w:rsidR="001C2A7C">
        <w:rPr>
          <w:rFonts w:ascii="Times New Roman" w:eastAsiaTheme="minorEastAsia" w:hAnsi="Times New Roman" w:cs="Times New Roman"/>
          <w:sz w:val="24"/>
          <w:szCs w:val="24"/>
        </w:rPr>
        <w:t xml:space="preserve">potentially </w:t>
      </w:r>
      <w:r>
        <w:rPr>
          <w:rFonts w:ascii="Times New Roman" w:eastAsiaTheme="minorEastAsia" w:hAnsi="Times New Roman" w:cs="Times New Roman"/>
          <w:sz w:val="24"/>
          <w:szCs w:val="24"/>
        </w:rPr>
        <w:t xml:space="preserve">endogenous to </w:t>
      </w:r>
      <w:r w:rsidR="001C2A7C">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latent demand for marijuana. </w:t>
      </w:r>
      <w:r w:rsidR="00FB7EFC">
        <w:rPr>
          <w:rFonts w:ascii="Times New Roman" w:eastAsiaTheme="minorEastAsia" w:hAnsi="Times New Roman" w:cs="Times New Roman"/>
          <w:sz w:val="24"/>
          <w:szCs w:val="24"/>
        </w:rPr>
        <w:t xml:space="preserve">There are likely to be more applicants where </w:t>
      </w:r>
      <w:r w:rsidR="00D8030A">
        <w:rPr>
          <w:rFonts w:ascii="Times New Roman" w:eastAsiaTheme="minorEastAsia" w:hAnsi="Times New Roman" w:cs="Times New Roman"/>
          <w:sz w:val="24"/>
          <w:szCs w:val="24"/>
        </w:rPr>
        <w:t>demand is high and fewer where demand is low.</w:t>
      </w:r>
      <w:r w:rsidR="001C2A7C">
        <w:rPr>
          <w:rFonts w:ascii="Times New Roman" w:eastAsiaTheme="minorEastAsia" w:hAnsi="Times New Roman" w:cs="Times New Roman"/>
          <w:sz w:val="24"/>
          <w:szCs w:val="24"/>
        </w:rPr>
        <w:t xml:space="preserve"> Thus, instead of controlling for the number of applicants directly, I proxy for the probability that a school is assigned to the treatment group with school characteristics, which are</w:t>
      </w:r>
      <w:r w:rsidR="004D26DB">
        <w:rPr>
          <w:rFonts w:ascii="Times New Roman" w:eastAsiaTheme="minorEastAsia" w:hAnsi="Times New Roman" w:cs="Times New Roman"/>
          <w:sz w:val="24"/>
          <w:szCs w:val="24"/>
        </w:rPr>
        <w:t xml:space="preserve"> </w:t>
      </w:r>
      <w:r w:rsidR="00C9280E">
        <w:rPr>
          <w:rFonts w:ascii="Times New Roman" w:eastAsiaTheme="minorEastAsia" w:hAnsi="Times New Roman" w:cs="Times New Roman"/>
          <w:sz w:val="24"/>
          <w:szCs w:val="24"/>
        </w:rPr>
        <w:t xml:space="preserve">likely exogenous to the latent demand for marijuana. Specifically, I control for where the school is located – in a city, suburb, town, or rural area. Additionally, I control for school-level student characteristics, including the proportions of students who are eligible for free-or-reduced-price lunch, Black, Hispanic, and Asian. </w:t>
      </w:r>
      <w:r w:rsidR="00E024CE">
        <w:rPr>
          <w:rFonts w:ascii="Times New Roman" w:eastAsiaTheme="minorEastAsia" w:hAnsi="Times New Roman" w:cs="Times New Roman"/>
          <w:sz w:val="24"/>
          <w:szCs w:val="24"/>
        </w:rPr>
        <w:t xml:space="preserve">Differences in these characteristics between schools within 10 minutes of a lottery winner and those within 10 minutes </w:t>
      </w:r>
      <w:r w:rsidR="00E024CE">
        <w:rPr>
          <w:rFonts w:ascii="Times New Roman" w:eastAsiaTheme="minorEastAsia" w:hAnsi="Times New Roman" w:cs="Times New Roman"/>
          <w:sz w:val="24"/>
          <w:szCs w:val="24"/>
        </w:rPr>
        <w:lastRenderedPageBreak/>
        <w:t>of a loser pre-legalization are shown in Panel A of Table 1.</w:t>
      </w:r>
      <w:r w:rsidR="00233A8F">
        <w:rPr>
          <w:rFonts w:ascii="Times New Roman" w:eastAsiaTheme="minorEastAsia" w:hAnsi="Times New Roman" w:cs="Times New Roman"/>
          <w:sz w:val="24"/>
          <w:szCs w:val="24"/>
        </w:rPr>
        <w:t xml:space="preserve"> Schools within 10 minutes of lottery winners are more likely to be in cities, </w:t>
      </w:r>
      <w:r w:rsidR="00C23FEF">
        <w:rPr>
          <w:rFonts w:ascii="Times New Roman" w:eastAsiaTheme="minorEastAsia" w:hAnsi="Times New Roman" w:cs="Times New Roman"/>
          <w:sz w:val="24"/>
          <w:szCs w:val="24"/>
        </w:rPr>
        <w:t>and less likely to be in towns and rural areas relative to schools within 10 minutes of lottery losers.</w:t>
      </w:r>
      <w:r w:rsidR="00E024CE">
        <w:rPr>
          <w:rFonts w:ascii="Times New Roman" w:eastAsiaTheme="minorEastAsia" w:hAnsi="Times New Roman" w:cs="Times New Roman"/>
          <w:sz w:val="24"/>
          <w:szCs w:val="24"/>
        </w:rPr>
        <w:t xml:space="preserve"> </w:t>
      </w:r>
      <w:r w:rsidR="00233A8F">
        <w:rPr>
          <w:rFonts w:ascii="Times New Roman" w:eastAsiaTheme="minorEastAsia" w:hAnsi="Times New Roman" w:cs="Times New Roman"/>
          <w:sz w:val="24"/>
          <w:szCs w:val="24"/>
        </w:rPr>
        <w:t>On average, 34% of schools near lottery winners</w:t>
      </w:r>
      <w:r w:rsidR="00C23FEF">
        <w:rPr>
          <w:rFonts w:ascii="Times New Roman" w:eastAsiaTheme="minorEastAsia" w:hAnsi="Times New Roman" w:cs="Times New Roman"/>
          <w:sz w:val="24"/>
          <w:szCs w:val="24"/>
        </w:rPr>
        <w:t>, while only 20% near lottery losers,</w:t>
      </w:r>
      <w:r w:rsidR="00233A8F">
        <w:rPr>
          <w:rFonts w:ascii="Times New Roman" w:eastAsiaTheme="minorEastAsia" w:hAnsi="Times New Roman" w:cs="Times New Roman"/>
          <w:sz w:val="24"/>
          <w:szCs w:val="24"/>
        </w:rPr>
        <w:t xml:space="preserve"> are located in cities. </w:t>
      </w:r>
      <w:r w:rsidR="00C23FEF">
        <w:rPr>
          <w:rFonts w:ascii="Times New Roman" w:eastAsiaTheme="minorEastAsia" w:hAnsi="Times New Roman" w:cs="Times New Roman"/>
          <w:sz w:val="24"/>
          <w:szCs w:val="24"/>
        </w:rPr>
        <w:t xml:space="preserve">In addition, </w:t>
      </w:r>
      <w:r w:rsidR="00233A8F">
        <w:rPr>
          <w:rFonts w:ascii="Times New Roman" w:eastAsiaTheme="minorEastAsia" w:hAnsi="Times New Roman" w:cs="Times New Roman"/>
          <w:sz w:val="24"/>
          <w:szCs w:val="24"/>
        </w:rPr>
        <w:t>12% of schools within 10 minutes of lottery winners</w:t>
      </w:r>
      <w:r w:rsidR="00C23FEF">
        <w:rPr>
          <w:rFonts w:ascii="Times New Roman" w:eastAsiaTheme="minorEastAsia" w:hAnsi="Times New Roman" w:cs="Times New Roman"/>
          <w:sz w:val="24"/>
          <w:szCs w:val="24"/>
        </w:rPr>
        <w:t xml:space="preserve">, relative to </w:t>
      </w:r>
      <w:r w:rsidR="00233A8F">
        <w:rPr>
          <w:rFonts w:ascii="Times New Roman" w:eastAsiaTheme="minorEastAsia" w:hAnsi="Times New Roman" w:cs="Times New Roman"/>
          <w:sz w:val="24"/>
          <w:szCs w:val="24"/>
        </w:rPr>
        <w:t>25%</w:t>
      </w:r>
      <w:r w:rsidR="00C23FEF">
        <w:rPr>
          <w:rFonts w:ascii="Times New Roman" w:eastAsiaTheme="minorEastAsia" w:hAnsi="Times New Roman" w:cs="Times New Roman"/>
          <w:sz w:val="24"/>
          <w:szCs w:val="24"/>
        </w:rPr>
        <w:t xml:space="preserve"> within 10 minutes of lottery losers, are </w:t>
      </w:r>
      <w:r w:rsidR="00233A8F">
        <w:rPr>
          <w:rFonts w:ascii="Times New Roman" w:eastAsiaTheme="minorEastAsia" w:hAnsi="Times New Roman" w:cs="Times New Roman"/>
          <w:sz w:val="24"/>
          <w:szCs w:val="24"/>
        </w:rPr>
        <w:t>rural schools.</w:t>
      </w:r>
      <w:r w:rsidR="00C23FEF">
        <w:rPr>
          <w:rFonts w:ascii="Times New Roman" w:eastAsiaTheme="minorEastAsia" w:hAnsi="Times New Roman" w:cs="Times New Roman"/>
          <w:sz w:val="24"/>
          <w:szCs w:val="24"/>
        </w:rPr>
        <w:t xml:space="preserve"> Not only do treatment and control schools differ in location, but they also differ in student demographics. Schools near lottery winners have fewer free-or-reduced-price lunch eligible students than those near lottery losers (42% compared to 46%), and they also </w:t>
      </w:r>
      <w:r w:rsidR="00084EB4">
        <w:rPr>
          <w:rFonts w:ascii="Times New Roman" w:eastAsiaTheme="minorEastAsia" w:hAnsi="Times New Roman" w:cs="Times New Roman"/>
          <w:sz w:val="24"/>
          <w:szCs w:val="24"/>
        </w:rPr>
        <w:t xml:space="preserve">have more Black and fewer Hispanic students on average. </w:t>
      </w:r>
    </w:p>
    <w:p w14:paraId="223A85F6" w14:textId="4C00497A" w:rsidR="009272A9" w:rsidRPr="00084EB4" w:rsidRDefault="00084EB4" w:rsidP="00084EB4">
      <w:pPr>
        <w:spacing w:after="0" w:line="48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following regression equation, my preferred specification, controls for these school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967780" w14:paraId="08EFC6AD" w14:textId="77777777" w:rsidTr="00E7418F">
        <w:tc>
          <w:tcPr>
            <w:tcW w:w="8545" w:type="dxa"/>
          </w:tcPr>
          <w:p w14:paraId="399768B7" w14:textId="32896613" w:rsidR="00967780" w:rsidRPr="00967780" w:rsidRDefault="00000000" w:rsidP="00D72955">
            <w:pPr>
              <w:spacing w:line="480" w:lineRule="auto"/>
              <w:contextualSpacing/>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10MinsLotter</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st</m:t>
                    </m:r>
                  </m:sub>
                </m:sSub>
              </m:oMath>
            </m:oMathPara>
          </w:p>
        </w:tc>
        <w:tc>
          <w:tcPr>
            <w:tcW w:w="805" w:type="dxa"/>
          </w:tcPr>
          <w:p w14:paraId="00990209" w14:textId="065F9620" w:rsidR="00967780" w:rsidRDefault="00967780" w:rsidP="00D7295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3C18BA">
              <w:rPr>
                <w:rFonts w:ascii="Times New Roman" w:hAnsi="Times New Roman" w:cs="Times New Roman"/>
                <w:sz w:val="24"/>
                <w:szCs w:val="24"/>
              </w:rPr>
              <w:t>3</w:t>
            </w:r>
            <w:r>
              <w:rPr>
                <w:rFonts w:ascii="Times New Roman" w:hAnsi="Times New Roman" w:cs="Times New Roman"/>
                <w:sz w:val="24"/>
                <w:szCs w:val="24"/>
              </w:rPr>
              <w:t>)</w:t>
            </w:r>
          </w:p>
        </w:tc>
      </w:tr>
    </w:tbl>
    <w:p w14:paraId="1AE56B9A" w14:textId="041183CB" w:rsidR="00183441" w:rsidRDefault="00183441" w:rsidP="00D72955">
      <w:pPr>
        <w:spacing w:after="0" w:line="48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 xml:space="preserve">X </w:t>
      </w:r>
      <w:r>
        <w:rPr>
          <w:rFonts w:ascii="Times New Roman" w:eastAsiaTheme="minorEastAsia" w:hAnsi="Times New Roman" w:cs="Times New Roman"/>
          <w:sz w:val="24"/>
          <w:szCs w:val="24"/>
        </w:rPr>
        <w:t>includes the proportions of students who are eligible for free-or-reduced-price lunch, Black, Hispanic, or Asian</w:t>
      </w:r>
      <w:r w:rsidR="00084EB4">
        <w:rPr>
          <w:rFonts w:ascii="Times New Roman" w:eastAsiaTheme="minorEastAsia" w:hAnsi="Times New Roman" w:cs="Times New Roman"/>
          <w:sz w:val="24"/>
          <w:szCs w:val="24"/>
        </w:rPr>
        <w:t xml:space="preserve">, while </w:t>
      </w:r>
      <w:r w:rsidR="00CF18B9">
        <w:rPr>
          <w:rFonts w:ascii="Times New Roman" w:eastAsiaTheme="minorEastAsia" w:hAnsi="Times New Roman" w:cs="Times New Roman"/>
          <w:i/>
          <w:iCs/>
          <w:sz w:val="24"/>
          <w:szCs w:val="24"/>
        </w:rPr>
        <w:t>W</w:t>
      </w:r>
      <w:r w:rsidR="00946BD4">
        <w:rPr>
          <w:rFonts w:ascii="Times New Roman" w:eastAsiaTheme="minorEastAsia" w:hAnsi="Times New Roman" w:cs="Times New Roman"/>
          <w:i/>
          <w:iCs/>
          <w:sz w:val="24"/>
          <w:szCs w:val="24"/>
        </w:rPr>
        <w:t xml:space="preserve"> </w:t>
      </w:r>
      <w:r w:rsidR="00946BD4">
        <w:rPr>
          <w:rFonts w:ascii="Times New Roman" w:eastAsiaTheme="minorEastAsia" w:hAnsi="Times New Roman" w:cs="Times New Roman"/>
          <w:sz w:val="24"/>
          <w:szCs w:val="24"/>
        </w:rPr>
        <w:t>includes</w:t>
      </w:r>
      <w:r w:rsidR="00BA1C7E">
        <w:rPr>
          <w:rFonts w:ascii="Times New Roman" w:eastAsiaTheme="minorEastAsia" w:hAnsi="Times New Roman" w:cs="Times New Roman"/>
          <w:sz w:val="24"/>
          <w:szCs w:val="24"/>
        </w:rPr>
        <w:t xml:space="preserve"> </w:t>
      </w:r>
      <w:r w:rsidR="00946BD4">
        <w:rPr>
          <w:rFonts w:ascii="Times New Roman" w:eastAsiaTheme="minorEastAsia" w:hAnsi="Times New Roman" w:cs="Times New Roman"/>
          <w:sz w:val="24"/>
          <w:szCs w:val="24"/>
        </w:rPr>
        <w:t>indicators for</w:t>
      </w:r>
      <w:r w:rsidR="00CF18B9">
        <w:rPr>
          <w:rFonts w:ascii="Times New Roman" w:eastAsiaTheme="minorEastAsia" w:hAnsi="Times New Roman" w:cs="Times New Roman"/>
          <w:sz w:val="24"/>
          <w:szCs w:val="24"/>
        </w:rPr>
        <w:t xml:space="preserve"> whether the school is located in a</w:t>
      </w:r>
      <w:r w:rsidR="00946BD4">
        <w:rPr>
          <w:rFonts w:ascii="Times New Roman" w:eastAsiaTheme="minorEastAsia" w:hAnsi="Times New Roman" w:cs="Times New Roman"/>
          <w:sz w:val="24"/>
          <w:szCs w:val="24"/>
        </w:rPr>
        <w:t xml:space="preserve"> city, town, </w:t>
      </w:r>
      <w:r w:rsidR="00CF18B9">
        <w:rPr>
          <w:rFonts w:ascii="Times New Roman" w:eastAsiaTheme="minorEastAsia" w:hAnsi="Times New Roman" w:cs="Times New Roman"/>
          <w:sz w:val="24"/>
          <w:szCs w:val="24"/>
        </w:rPr>
        <w:t>or</w:t>
      </w:r>
      <w:r w:rsidR="00946BD4">
        <w:rPr>
          <w:rFonts w:ascii="Times New Roman" w:eastAsiaTheme="minorEastAsia" w:hAnsi="Times New Roman" w:cs="Times New Roman"/>
          <w:sz w:val="24"/>
          <w:szCs w:val="24"/>
        </w:rPr>
        <w:t xml:space="preserve"> suburb. The omitted category is rural.</w:t>
      </w:r>
      <w:r w:rsidR="003C18BA">
        <w:rPr>
          <w:rFonts w:ascii="Times New Roman" w:eastAsiaTheme="minorEastAsia" w:hAnsi="Times New Roman" w:cs="Times New Roman"/>
          <w:sz w:val="24"/>
          <w:szCs w:val="24"/>
        </w:rPr>
        <w:t xml:space="preserve"> In addition to these controls, I also include a year fixed effect,</w:t>
      </w:r>
      <w:r>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sidR="008E4109">
        <w:rPr>
          <w:rFonts w:ascii="Times New Roman" w:eastAsiaTheme="minorEastAsia" w:hAnsi="Times New Roman" w:cs="Times New Roman"/>
          <w:sz w:val="24"/>
          <w:szCs w:val="24"/>
        </w:rPr>
        <w:t xml:space="preserve">, </w:t>
      </w:r>
      <w:r w:rsidR="003C18BA">
        <w:rPr>
          <w:rFonts w:ascii="Times New Roman" w:eastAsiaTheme="minorEastAsia" w:hAnsi="Times New Roman" w:cs="Times New Roman"/>
          <w:sz w:val="24"/>
          <w:szCs w:val="24"/>
        </w:rPr>
        <w:t xml:space="preserve">to </w:t>
      </w:r>
      <w:r w:rsidR="00652FD7">
        <w:rPr>
          <w:rFonts w:ascii="Times New Roman" w:eastAsiaTheme="minorEastAsia" w:hAnsi="Times New Roman" w:cs="Times New Roman"/>
          <w:sz w:val="24"/>
          <w:szCs w:val="24"/>
        </w:rPr>
        <w:t xml:space="preserve">absorb </w:t>
      </w:r>
      <w:r w:rsidR="008E4109">
        <w:rPr>
          <w:rFonts w:ascii="Times New Roman" w:eastAsiaTheme="minorEastAsia" w:hAnsi="Times New Roman" w:cs="Times New Roman"/>
          <w:sz w:val="24"/>
          <w:szCs w:val="24"/>
        </w:rPr>
        <w:t>any shocks across time that impacted all schools and could be related to educational outcomes.</w:t>
      </w:r>
      <w:r w:rsidR="003C18BA">
        <w:rPr>
          <w:rFonts w:ascii="Times New Roman" w:eastAsiaTheme="minorEastAsia" w:hAnsi="Times New Roman" w:cs="Times New Roman"/>
          <w:sz w:val="24"/>
          <w:szCs w:val="24"/>
        </w:rPr>
        <w:t xml:space="preserve"> </w:t>
      </w:r>
      <w:r w:rsidR="00652FD7">
        <w:rPr>
          <w:rFonts w:ascii="Times New Roman" w:eastAsiaTheme="minorEastAsia" w:hAnsi="Times New Roman" w:cs="Times New Roman"/>
          <w:sz w:val="24"/>
          <w:szCs w:val="24"/>
        </w:rPr>
        <w:t xml:space="preserve">The coefficient of interest is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652FD7">
        <w:rPr>
          <w:rFonts w:ascii="Times New Roman" w:eastAsiaTheme="minorEastAsia" w:hAnsi="Times New Roman" w:cs="Times New Roman"/>
          <w:sz w:val="24"/>
          <w:szCs w:val="24"/>
        </w:rPr>
        <w:t xml:space="preserve">, </w:t>
      </w:r>
      <w:r w:rsidR="003A046C">
        <w:rPr>
          <w:rFonts w:ascii="Times New Roman" w:eastAsiaTheme="minorEastAsia" w:hAnsi="Times New Roman" w:cs="Times New Roman"/>
          <w:sz w:val="24"/>
          <w:szCs w:val="24"/>
        </w:rPr>
        <w:t>which</w:t>
      </w:r>
      <w:r w:rsidR="00F3455D">
        <w:rPr>
          <w:rFonts w:ascii="Times New Roman" w:eastAsiaTheme="minorEastAsia" w:hAnsi="Times New Roman" w:cs="Times New Roman"/>
          <w:sz w:val="24"/>
          <w:szCs w:val="24"/>
        </w:rPr>
        <w:t xml:space="preserve">, assuming that </w:t>
      </w:r>
      <m:oMath>
        <m:r>
          <w:rPr>
            <w:rFonts w:ascii="Cambria Math" w:eastAsiaTheme="minorEastAsia" w:hAnsi="Cambria Math" w:cs="Times New Roman"/>
            <w:sz w:val="24"/>
            <w:szCs w:val="24"/>
          </w:rPr>
          <m:t>cov</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st</m:t>
                </m:r>
              </m:sub>
            </m:sSub>
            <m:r>
              <w:rPr>
                <w:rFonts w:ascii="Cambria Math" w:hAnsi="Cambria Math" w:cs="Times New Roman"/>
                <w:sz w:val="24"/>
                <w:szCs w:val="24"/>
              </w:rPr>
              <m:t>,10MinsLotter</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ctrlPr>
              <w:rPr>
                <w:rFonts w:ascii="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ctrlPr>
              <w:rPr>
                <w:rFonts w:ascii="Cambria Math" w:hAnsi="Cambria Math" w:cs="Times New Roman"/>
                <w:i/>
                <w:sz w:val="24"/>
                <w:szCs w:val="24"/>
              </w:rPr>
            </m:ctrlPr>
          </m:e>
        </m:d>
        <m:r>
          <w:rPr>
            <w:rFonts w:ascii="Cambria Math" w:hAnsi="Cambria Math" w:cs="Times New Roman"/>
            <w:sz w:val="24"/>
            <w:szCs w:val="24"/>
          </w:rPr>
          <m:t>=0</m:t>
        </m:r>
      </m:oMath>
      <w:r w:rsidR="00F3455D">
        <w:rPr>
          <w:rFonts w:ascii="Times New Roman" w:eastAsiaTheme="minorEastAsia" w:hAnsi="Times New Roman" w:cs="Times New Roman"/>
          <w:sz w:val="24"/>
          <w:szCs w:val="24"/>
        </w:rPr>
        <w:t>,</w:t>
      </w:r>
      <w:r w:rsidR="003A046C">
        <w:rPr>
          <w:rFonts w:ascii="Times New Roman" w:eastAsiaTheme="minorEastAsia" w:hAnsi="Times New Roman" w:cs="Times New Roman"/>
          <w:sz w:val="24"/>
          <w:szCs w:val="24"/>
        </w:rPr>
        <w:t xml:space="preserve"> is the causal </w:t>
      </w:r>
      <w:r w:rsidR="00652FD7">
        <w:rPr>
          <w:rFonts w:ascii="Times New Roman" w:eastAsiaTheme="minorEastAsia" w:hAnsi="Times New Roman" w:cs="Times New Roman"/>
          <w:sz w:val="24"/>
          <w:szCs w:val="24"/>
        </w:rPr>
        <w:t>effect of being within 10 minutes of a lottery-winning dispensary after recreational marijuana is legalized</w:t>
      </w:r>
      <w:r w:rsidR="003A046C">
        <w:rPr>
          <w:rFonts w:ascii="Times New Roman" w:eastAsiaTheme="minorEastAsia" w:hAnsi="Times New Roman" w:cs="Times New Roman"/>
          <w:sz w:val="24"/>
          <w:szCs w:val="24"/>
        </w:rPr>
        <w:t>.</w:t>
      </w:r>
    </w:p>
    <w:p w14:paraId="1F40D9AE" w14:textId="3A117E3D" w:rsidR="003E081B" w:rsidRDefault="001B4786" w:rsidP="003E081B">
      <w:pPr>
        <w:spacing w:after="0" w:line="480" w:lineRule="auto"/>
        <w:ind w:firstLine="720"/>
        <w:contextualSpacing/>
        <w:jc w:val="both"/>
        <w:rPr>
          <w:rFonts w:ascii="Times New Roman" w:eastAsiaTheme="minorEastAsia" w:hAnsi="Times New Roman" w:cs="Times New Roman"/>
          <w:sz w:val="24"/>
          <w:szCs w:val="24"/>
        </w:rPr>
      </w:pPr>
      <w:r w:rsidRPr="00514CA0">
        <w:rPr>
          <w:rFonts w:ascii="Times New Roman" w:eastAsiaTheme="minorEastAsia" w:hAnsi="Times New Roman" w:cs="Times New Roman"/>
          <w:sz w:val="24"/>
          <w:szCs w:val="24"/>
        </w:rPr>
        <w:t>The primary identifying assumption of this model is that</w:t>
      </w:r>
      <w:r w:rsidR="008737BE" w:rsidRPr="00514CA0">
        <w:rPr>
          <w:rFonts w:ascii="Times New Roman" w:eastAsiaTheme="minorEastAsia" w:hAnsi="Times New Roman" w:cs="Times New Roman"/>
          <w:sz w:val="24"/>
          <w:szCs w:val="24"/>
        </w:rPr>
        <w:t xml:space="preserve"> the lottery generated random variation in the proximity of marijuana dispensaries to schools</w:t>
      </w:r>
      <w:r w:rsidR="003C18BA" w:rsidRPr="00514CA0">
        <w:rPr>
          <w:rFonts w:ascii="Times New Roman" w:eastAsiaTheme="minorEastAsia" w:hAnsi="Times New Roman" w:cs="Times New Roman"/>
          <w:sz w:val="24"/>
          <w:szCs w:val="24"/>
        </w:rPr>
        <w:t xml:space="preserve"> conditional on the covariates in equation (3)</w:t>
      </w:r>
      <w:r w:rsidR="008737BE" w:rsidRPr="00514CA0">
        <w:rPr>
          <w:rFonts w:ascii="Times New Roman" w:eastAsiaTheme="minorEastAsia" w:hAnsi="Times New Roman" w:cs="Times New Roman"/>
          <w:sz w:val="24"/>
          <w:szCs w:val="24"/>
        </w:rPr>
        <w:t xml:space="preserve">. To justify this assumption, I test whether there are differences in baseline educational outcomes between schools within 10 minutes of a lottery winner and schools within 10 minutes of </w:t>
      </w:r>
      <w:r w:rsidR="008737BE" w:rsidRPr="00514CA0">
        <w:rPr>
          <w:rFonts w:ascii="Times New Roman" w:eastAsiaTheme="minorEastAsia" w:hAnsi="Times New Roman" w:cs="Times New Roman"/>
          <w:sz w:val="24"/>
          <w:szCs w:val="24"/>
        </w:rPr>
        <w:lastRenderedPageBreak/>
        <w:t xml:space="preserve">a lottery loser (and at least 10 minutes of a winner). </w:t>
      </w:r>
      <w:r w:rsidR="003C18BA" w:rsidRPr="00514CA0">
        <w:rPr>
          <w:rFonts w:ascii="Times New Roman" w:eastAsiaTheme="minorEastAsia" w:hAnsi="Times New Roman" w:cs="Times New Roman"/>
          <w:sz w:val="24"/>
          <w:szCs w:val="24"/>
        </w:rPr>
        <w:t xml:space="preserve">These differences are presented in Panel B of Table 1. </w:t>
      </w:r>
      <w:r w:rsidR="0071052D" w:rsidRPr="00514CA0">
        <w:rPr>
          <w:rFonts w:ascii="Times New Roman" w:eastAsiaTheme="minorEastAsia" w:hAnsi="Times New Roman" w:cs="Times New Roman"/>
          <w:sz w:val="24"/>
          <w:szCs w:val="24"/>
        </w:rPr>
        <w:t xml:space="preserve">I find no </w:t>
      </w:r>
      <w:r w:rsidR="006A4544" w:rsidRPr="00514CA0">
        <w:rPr>
          <w:rFonts w:ascii="Times New Roman" w:eastAsiaTheme="minorEastAsia" w:hAnsi="Times New Roman" w:cs="Times New Roman"/>
          <w:sz w:val="24"/>
          <w:szCs w:val="24"/>
        </w:rPr>
        <w:t>statistically significant difference between average outcomes in the treat</w:t>
      </w:r>
      <w:r w:rsidR="002042C0">
        <w:rPr>
          <w:rFonts w:ascii="Times New Roman" w:eastAsiaTheme="minorEastAsia" w:hAnsi="Times New Roman" w:cs="Times New Roman"/>
          <w:sz w:val="24"/>
          <w:szCs w:val="24"/>
        </w:rPr>
        <w:t>ment</w:t>
      </w:r>
      <w:r w:rsidR="006A4544" w:rsidRPr="00514CA0">
        <w:rPr>
          <w:rFonts w:ascii="Times New Roman" w:eastAsiaTheme="minorEastAsia" w:hAnsi="Times New Roman" w:cs="Times New Roman"/>
          <w:sz w:val="24"/>
          <w:szCs w:val="24"/>
        </w:rPr>
        <w:t xml:space="preserve"> and control groups before legalization</w:t>
      </w:r>
      <w:r w:rsidR="003C18BA" w:rsidRPr="00514CA0">
        <w:rPr>
          <w:rFonts w:ascii="Times New Roman" w:eastAsiaTheme="minorEastAsia" w:hAnsi="Times New Roman" w:cs="Times New Roman"/>
          <w:sz w:val="24"/>
          <w:szCs w:val="24"/>
        </w:rPr>
        <w:t>, except for 11</w:t>
      </w:r>
      <w:r w:rsidR="003C18BA" w:rsidRPr="00514CA0">
        <w:rPr>
          <w:rFonts w:ascii="Times New Roman" w:eastAsiaTheme="minorEastAsia" w:hAnsi="Times New Roman" w:cs="Times New Roman"/>
          <w:sz w:val="24"/>
          <w:szCs w:val="24"/>
          <w:vertAlign w:val="superscript"/>
        </w:rPr>
        <w:t>th</w:t>
      </w:r>
      <w:r w:rsidR="003C18BA" w:rsidRPr="00514CA0">
        <w:rPr>
          <w:rFonts w:ascii="Times New Roman" w:eastAsiaTheme="minorEastAsia" w:hAnsi="Times New Roman" w:cs="Times New Roman"/>
          <w:sz w:val="24"/>
          <w:szCs w:val="24"/>
        </w:rPr>
        <w:t xml:space="preserve">-grade </w:t>
      </w:r>
      <w:r w:rsidR="00C4174E">
        <w:rPr>
          <w:rFonts w:ascii="Times New Roman" w:eastAsiaTheme="minorEastAsia" w:hAnsi="Times New Roman" w:cs="Times New Roman"/>
          <w:sz w:val="24"/>
          <w:szCs w:val="24"/>
        </w:rPr>
        <w:t xml:space="preserve">boys’ </w:t>
      </w:r>
      <w:r w:rsidR="003C18BA" w:rsidRPr="00514CA0">
        <w:rPr>
          <w:rFonts w:ascii="Times New Roman" w:eastAsiaTheme="minorEastAsia" w:hAnsi="Times New Roman" w:cs="Times New Roman"/>
          <w:sz w:val="24"/>
          <w:szCs w:val="24"/>
        </w:rPr>
        <w:t>dropout rates</w:t>
      </w:r>
      <w:r w:rsidR="009060A5" w:rsidRPr="00514CA0">
        <w:rPr>
          <w:rFonts w:ascii="Times New Roman" w:eastAsiaTheme="minorEastAsia" w:hAnsi="Times New Roman" w:cs="Times New Roman"/>
          <w:sz w:val="24"/>
          <w:szCs w:val="24"/>
        </w:rPr>
        <w:t>. In this case, schools within 10 minutes of a lottery winner have a higher dropout rate than those within 10 minutes of a lottery loser (3% compared to 2%). This table only includes baseline outcomes for 11</w:t>
      </w:r>
      <w:r w:rsidR="009060A5" w:rsidRPr="00514CA0">
        <w:rPr>
          <w:rFonts w:ascii="Times New Roman" w:eastAsiaTheme="minorEastAsia" w:hAnsi="Times New Roman" w:cs="Times New Roman"/>
          <w:sz w:val="24"/>
          <w:szCs w:val="24"/>
          <w:vertAlign w:val="superscript"/>
        </w:rPr>
        <w:t>th</w:t>
      </w:r>
      <w:r w:rsidR="009060A5" w:rsidRPr="00514CA0">
        <w:rPr>
          <w:rFonts w:ascii="Times New Roman" w:eastAsiaTheme="minorEastAsia" w:hAnsi="Times New Roman" w:cs="Times New Roman"/>
          <w:sz w:val="24"/>
          <w:szCs w:val="24"/>
        </w:rPr>
        <w:t>- and 12</w:t>
      </w:r>
      <w:r w:rsidR="009060A5" w:rsidRPr="00514CA0">
        <w:rPr>
          <w:rFonts w:ascii="Times New Roman" w:eastAsiaTheme="minorEastAsia" w:hAnsi="Times New Roman" w:cs="Times New Roman"/>
          <w:sz w:val="24"/>
          <w:szCs w:val="24"/>
          <w:vertAlign w:val="superscript"/>
        </w:rPr>
        <w:t>th</w:t>
      </w:r>
      <w:r w:rsidR="009060A5" w:rsidRPr="00514CA0">
        <w:rPr>
          <w:rFonts w:ascii="Times New Roman" w:eastAsiaTheme="minorEastAsia" w:hAnsi="Times New Roman" w:cs="Times New Roman"/>
          <w:sz w:val="24"/>
          <w:szCs w:val="24"/>
        </w:rPr>
        <w:t>-grade dropout rates as well as the share of 11</w:t>
      </w:r>
      <w:r w:rsidR="009060A5" w:rsidRPr="00514CA0">
        <w:rPr>
          <w:rFonts w:ascii="Times New Roman" w:eastAsiaTheme="minorEastAsia" w:hAnsi="Times New Roman" w:cs="Times New Roman"/>
          <w:sz w:val="24"/>
          <w:szCs w:val="24"/>
          <w:vertAlign w:val="superscript"/>
        </w:rPr>
        <w:t>th</w:t>
      </w:r>
      <w:r w:rsidR="009060A5" w:rsidRPr="00514CA0">
        <w:rPr>
          <w:rFonts w:ascii="Times New Roman" w:eastAsiaTheme="minorEastAsia" w:hAnsi="Times New Roman" w:cs="Times New Roman"/>
          <w:sz w:val="24"/>
          <w:szCs w:val="24"/>
        </w:rPr>
        <w:t xml:space="preserve"> graders who are no</w:t>
      </w:r>
      <w:r w:rsidR="002042C0">
        <w:rPr>
          <w:rFonts w:ascii="Times New Roman" w:eastAsiaTheme="minorEastAsia" w:hAnsi="Times New Roman" w:cs="Times New Roman"/>
          <w:sz w:val="24"/>
          <w:szCs w:val="24"/>
        </w:rPr>
        <w:t>t</w:t>
      </w:r>
      <w:r w:rsidR="009060A5" w:rsidRPr="00514CA0">
        <w:rPr>
          <w:rFonts w:ascii="Times New Roman" w:eastAsiaTheme="minorEastAsia" w:hAnsi="Times New Roman" w:cs="Times New Roman"/>
          <w:sz w:val="24"/>
          <w:szCs w:val="24"/>
        </w:rPr>
        <w:t xml:space="preserve"> proficient in ELA</w:t>
      </w:r>
      <w:r w:rsidR="00312E81" w:rsidRPr="00514CA0">
        <w:rPr>
          <w:rFonts w:ascii="Times New Roman" w:eastAsiaTheme="minorEastAsia" w:hAnsi="Times New Roman" w:cs="Times New Roman"/>
          <w:sz w:val="24"/>
          <w:szCs w:val="24"/>
        </w:rPr>
        <w:t xml:space="preserve"> because the c</w:t>
      </w:r>
      <w:r w:rsidR="009060A5" w:rsidRPr="00514CA0">
        <w:rPr>
          <w:rFonts w:ascii="Times New Roman" w:eastAsiaTheme="minorEastAsia" w:hAnsi="Times New Roman" w:cs="Times New Roman"/>
          <w:sz w:val="24"/>
          <w:szCs w:val="24"/>
        </w:rPr>
        <w:t xml:space="preserve">hronic absenteeism, discipline, and math proficiency data are not available for the pre-legalization period. </w:t>
      </w:r>
      <w:r w:rsidR="002B3704" w:rsidRPr="00514CA0">
        <w:rPr>
          <w:rFonts w:ascii="Times New Roman" w:eastAsiaTheme="minorEastAsia" w:hAnsi="Times New Roman" w:cs="Times New Roman"/>
          <w:sz w:val="24"/>
          <w:szCs w:val="24"/>
        </w:rPr>
        <w:t>Given that five of the six other outcomes are not statistically different across treat</w:t>
      </w:r>
      <w:r w:rsidR="002042C0">
        <w:rPr>
          <w:rFonts w:ascii="Times New Roman" w:eastAsiaTheme="minorEastAsia" w:hAnsi="Times New Roman" w:cs="Times New Roman"/>
          <w:sz w:val="24"/>
          <w:szCs w:val="24"/>
        </w:rPr>
        <w:t xml:space="preserve">ment </w:t>
      </w:r>
      <w:r w:rsidR="002B3704" w:rsidRPr="00514CA0">
        <w:rPr>
          <w:rFonts w:ascii="Times New Roman" w:eastAsiaTheme="minorEastAsia" w:hAnsi="Times New Roman" w:cs="Times New Roman"/>
          <w:sz w:val="24"/>
          <w:szCs w:val="24"/>
        </w:rPr>
        <w:t xml:space="preserve">and control schools, </w:t>
      </w:r>
      <w:r w:rsidR="00312E81" w:rsidRPr="00514CA0">
        <w:rPr>
          <w:rFonts w:ascii="Times New Roman" w:eastAsiaTheme="minorEastAsia" w:hAnsi="Times New Roman" w:cs="Times New Roman"/>
          <w:sz w:val="24"/>
          <w:szCs w:val="24"/>
        </w:rPr>
        <w:t>it seems likely that</w:t>
      </w:r>
      <w:r w:rsidR="002042C0">
        <w:rPr>
          <w:rFonts w:ascii="Times New Roman" w:eastAsiaTheme="minorEastAsia" w:hAnsi="Times New Roman" w:cs="Times New Roman"/>
          <w:sz w:val="24"/>
          <w:szCs w:val="24"/>
        </w:rPr>
        <w:t xml:space="preserve"> </w:t>
      </w:r>
      <w:r w:rsidR="00312E81" w:rsidRPr="00514CA0">
        <w:rPr>
          <w:rFonts w:ascii="Times New Roman" w:eastAsiaTheme="minorEastAsia" w:hAnsi="Times New Roman" w:cs="Times New Roman"/>
          <w:sz w:val="24"/>
          <w:szCs w:val="24"/>
        </w:rPr>
        <w:t xml:space="preserve">the other outcomes would </w:t>
      </w:r>
      <w:r w:rsidR="002042C0">
        <w:rPr>
          <w:rFonts w:ascii="Times New Roman" w:eastAsiaTheme="minorEastAsia" w:hAnsi="Times New Roman" w:cs="Times New Roman"/>
          <w:sz w:val="24"/>
          <w:szCs w:val="24"/>
        </w:rPr>
        <w:t xml:space="preserve">also </w:t>
      </w:r>
      <w:r w:rsidR="00312E81" w:rsidRPr="00514CA0">
        <w:rPr>
          <w:rFonts w:ascii="Times New Roman" w:eastAsiaTheme="minorEastAsia" w:hAnsi="Times New Roman" w:cs="Times New Roman"/>
          <w:sz w:val="24"/>
          <w:szCs w:val="24"/>
        </w:rPr>
        <w:t xml:space="preserve">not differ at baseline. </w:t>
      </w:r>
    </w:p>
    <w:p w14:paraId="36CF40FD" w14:textId="77777777" w:rsidR="00D62E97" w:rsidRPr="003E081B" w:rsidRDefault="00D62E97" w:rsidP="003E081B">
      <w:pPr>
        <w:spacing w:after="0" w:line="480" w:lineRule="auto"/>
        <w:ind w:firstLine="720"/>
        <w:contextualSpacing/>
        <w:jc w:val="both"/>
        <w:rPr>
          <w:rFonts w:ascii="Times New Roman" w:eastAsiaTheme="minorEastAsia" w:hAnsi="Times New Roman" w:cs="Times New Roman"/>
          <w:sz w:val="12"/>
          <w:szCs w:val="12"/>
        </w:rPr>
      </w:pPr>
    </w:p>
    <w:p w14:paraId="5A4CF3F8" w14:textId="3F3079D1" w:rsidR="00BF0709" w:rsidRDefault="00CA5F95" w:rsidP="00BF0709">
      <w:pPr>
        <w:rPr>
          <w:rFonts w:ascii="Times New Roman" w:hAnsi="Times New Roman" w:cs="Times New Roman"/>
          <w:b/>
          <w:bCs/>
          <w:sz w:val="28"/>
          <w:szCs w:val="28"/>
        </w:rPr>
      </w:pPr>
      <w:r>
        <w:rPr>
          <w:rFonts w:ascii="Times New Roman" w:hAnsi="Times New Roman" w:cs="Times New Roman"/>
          <w:b/>
          <w:bCs/>
          <w:sz w:val="28"/>
          <w:szCs w:val="28"/>
        </w:rPr>
        <w:t>4</w:t>
      </w:r>
      <w:r w:rsidR="00BF0709" w:rsidRPr="00BF0709">
        <w:rPr>
          <w:rFonts w:ascii="Times New Roman" w:hAnsi="Times New Roman" w:cs="Times New Roman"/>
          <w:b/>
          <w:bCs/>
          <w:sz w:val="28"/>
          <w:szCs w:val="28"/>
        </w:rPr>
        <w:t>.</w:t>
      </w:r>
      <w:r w:rsidR="009C2469">
        <w:rPr>
          <w:rFonts w:ascii="Times New Roman" w:hAnsi="Times New Roman" w:cs="Times New Roman"/>
          <w:b/>
          <w:bCs/>
          <w:sz w:val="28"/>
          <w:szCs w:val="28"/>
        </w:rPr>
        <w:t>3</w:t>
      </w:r>
      <w:r w:rsidR="00BF0709" w:rsidRPr="00BF0709">
        <w:rPr>
          <w:rFonts w:ascii="Times New Roman" w:hAnsi="Times New Roman" w:cs="Times New Roman"/>
          <w:b/>
          <w:bCs/>
          <w:sz w:val="28"/>
          <w:szCs w:val="28"/>
        </w:rPr>
        <w:tab/>
      </w:r>
      <w:r w:rsidR="00FA7270">
        <w:rPr>
          <w:rFonts w:ascii="Times New Roman" w:hAnsi="Times New Roman" w:cs="Times New Roman"/>
          <w:b/>
          <w:bCs/>
          <w:sz w:val="28"/>
          <w:szCs w:val="28"/>
        </w:rPr>
        <w:t>Identifying the AT</w:t>
      </w:r>
      <w:r w:rsidR="00B46657">
        <w:rPr>
          <w:rFonts w:ascii="Times New Roman" w:hAnsi="Times New Roman" w:cs="Times New Roman"/>
          <w:b/>
          <w:bCs/>
          <w:sz w:val="28"/>
          <w:szCs w:val="28"/>
        </w:rPr>
        <w:t>E</w:t>
      </w:r>
    </w:p>
    <w:p w14:paraId="177A0E13" w14:textId="47FBBB4F" w:rsidR="009272A9" w:rsidRDefault="00EC125B" w:rsidP="00707C2B">
      <w:pPr>
        <w:spacing w:after="0" w:line="480" w:lineRule="auto"/>
        <w:ind w:firstLine="720"/>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As I explained before, not all dispensaries that won the lottery decided to open, not all opened at the address noted on their original applications, and not all opened at the same time. Whether </w:t>
      </w:r>
      <w:r w:rsidR="00336162">
        <w:rPr>
          <w:rFonts w:ascii="Times New Roman" w:hAnsi="Times New Roman" w:cs="Times New Roman"/>
          <w:sz w:val="24"/>
          <w:szCs w:val="24"/>
        </w:rPr>
        <w:t xml:space="preserve">winning </w:t>
      </w:r>
      <w:r>
        <w:rPr>
          <w:rFonts w:ascii="Times New Roman" w:hAnsi="Times New Roman" w:cs="Times New Roman"/>
          <w:sz w:val="24"/>
          <w:szCs w:val="24"/>
        </w:rPr>
        <w:t>dispensaries opened (and where and when) is potentially endogenous to latent demand for marijuana</w:t>
      </w:r>
      <w:r w:rsidR="00336162">
        <w:rPr>
          <w:rFonts w:ascii="Times New Roman" w:hAnsi="Times New Roman" w:cs="Times New Roman"/>
          <w:sz w:val="24"/>
          <w:szCs w:val="24"/>
        </w:rPr>
        <w:t xml:space="preserve">. </w:t>
      </w:r>
      <w:r w:rsidR="00673219">
        <w:rPr>
          <w:rFonts w:ascii="Times New Roman" w:hAnsi="Times New Roman" w:cs="Times New Roman"/>
          <w:sz w:val="24"/>
          <w:szCs w:val="24"/>
        </w:rPr>
        <w:t xml:space="preserve">In so far as these decisions are also related to educational outcomes, a regression like equation </w:t>
      </w:r>
      <w:r w:rsidR="007F1D60">
        <w:rPr>
          <w:rFonts w:ascii="Times New Roman" w:hAnsi="Times New Roman" w:cs="Times New Roman"/>
          <w:sz w:val="24"/>
          <w:szCs w:val="24"/>
        </w:rPr>
        <w:t>(</w:t>
      </w:r>
      <w:r w:rsidR="00AE7240">
        <w:rPr>
          <w:rFonts w:ascii="Times New Roman" w:hAnsi="Times New Roman" w:cs="Times New Roman"/>
          <w:sz w:val="24"/>
          <w:szCs w:val="24"/>
        </w:rPr>
        <w:t>3</w:t>
      </w:r>
      <w:r w:rsidR="007F1D60">
        <w:rPr>
          <w:rFonts w:ascii="Times New Roman" w:hAnsi="Times New Roman" w:cs="Times New Roman"/>
          <w:sz w:val="24"/>
          <w:szCs w:val="24"/>
        </w:rPr>
        <w:t>)</w:t>
      </w:r>
      <w:r w:rsidR="00673219">
        <w:rPr>
          <w:rFonts w:ascii="Times New Roman" w:hAnsi="Times New Roman" w:cs="Times New Roman"/>
          <w:sz w:val="24"/>
          <w:szCs w:val="24"/>
        </w:rPr>
        <w:t xml:space="preserve"> above where the treatment variable captured 10 minutes to an open dispensary rather than a lottery winner would yield a biased estimate of</w:t>
      </w:r>
      <w:r w:rsidR="0067321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673219">
        <w:rPr>
          <w:rFonts w:ascii="Times New Roman" w:eastAsiaTheme="minorEastAsia" w:hAnsi="Times New Roman" w:cs="Times New Roman"/>
          <w:sz w:val="24"/>
          <w:szCs w:val="24"/>
        </w:rPr>
        <w:t xml:space="preserve">. </w:t>
      </w:r>
      <w:r w:rsidR="00CF4AF8">
        <w:rPr>
          <w:rFonts w:ascii="Times New Roman" w:eastAsiaTheme="minorEastAsia" w:hAnsi="Times New Roman" w:cs="Times New Roman"/>
          <w:sz w:val="24"/>
          <w:szCs w:val="24"/>
        </w:rPr>
        <w:t xml:space="preserve">To deal with this issue, </w:t>
      </w:r>
      <w:r w:rsidR="00673219">
        <w:rPr>
          <w:rFonts w:ascii="Times New Roman" w:eastAsiaTheme="minorEastAsia" w:hAnsi="Times New Roman" w:cs="Times New Roman"/>
          <w:sz w:val="24"/>
          <w:szCs w:val="24"/>
        </w:rPr>
        <w:t>I instrument for a school’s proximity to an open dispensary with its proximity to a lottery winner and estimate the AT</w:t>
      </w:r>
      <w:r w:rsidR="00B46657">
        <w:rPr>
          <w:rFonts w:ascii="Times New Roman" w:eastAsiaTheme="minorEastAsia" w:hAnsi="Times New Roman" w:cs="Times New Roman"/>
          <w:sz w:val="24"/>
          <w:szCs w:val="24"/>
        </w:rPr>
        <w:t>E</w:t>
      </w:r>
      <w:r w:rsidR="00673219">
        <w:rPr>
          <w:rFonts w:ascii="Times New Roman" w:eastAsiaTheme="minorEastAsia" w:hAnsi="Times New Roman" w:cs="Times New Roman"/>
          <w:sz w:val="24"/>
          <w:szCs w:val="24"/>
        </w:rPr>
        <w:t xml:space="preserve"> using two-stage least squares. The</w:t>
      </w:r>
      <w:r w:rsidR="00765034">
        <w:rPr>
          <w:rFonts w:ascii="Times New Roman" w:eastAsiaTheme="minorEastAsia" w:hAnsi="Times New Roman" w:cs="Times New Roman"/>
          <w:sz w:val="24"/>
          <w:szCs w:val="24"/>
        </w:rPr>
        <w:t xml:space="preserve"> IV estimation equation is </w:t>
      </w:r>
      <w:r w:rsidR="004153F6">
        <w:rPr>
          <w:rFonts w:ascii="Times New Roman" w:eastAsiaTheme="minorEastAsia" w:hAnsi="Times New Roman" w:cs="Times New Roman"/>
          <w:sz w:val="24"/>
          <w:szCs w:val="24"/>
        </w:rPr>
        <w:t>as follows</w:t>
      </w:r>
      <w:r w:rsidR="00765034">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9272A9" w14:paraId="53D1B432" w14:textId="77777777" w:rsidTr="009272A9">
        <w:tc>
          <w:tcPr>
            <w:tcW w:w="8545" w:type="dxa"/>
          </w:tcPr>
          <w:p w14:paraId="70589ADD" w14:textId="0A1CA1D4" w:rsidR="009272A9" w:rsidRDefault="00000000" w:rsidP="00707C2B">
            <w:pPr>
              <w:spacing w:line="480" w:lineRule="auto"/>
              <w:contextualSpacing/>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w:rPr>
                    <w:rFonts w:ascii="Cambria Math" w:hAnsi="Cambria Math" w:cs="Times New Roman"/>
                    <w:sz w:val="24"/>
                    <w:szCs w:val="24"/>
                  </w:rPr>
                  <m:t>10MinsOpe</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st</m:t>
                    </m:r>
                  </m:sub>
                </m:sSub>
              </m:oMath>
            </m:oMathPara>
          </w:p>
        </w:tc>
        <w:tc>
          <w:tcPr>
            <w:tcW w:w="805" w:type="dxa"/>
          </w:tcPr>
          <w:p w14:paraId="1239F0A5" w14:textId="44ECE24C" w:rsidR="009272A9" w:rsidRDefault="009272A9" w:rsidP="00707C2B">
            <w:pPr>
              <w:spacing w:line="48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E7240">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tc>
      </w:tr>
    </w:tbl>
    <w:p w14:paraId="05CB6DAF" w14:textId="21DAEE68" w:rsidR="00CF7A95" w:rsidRDefault="007F1D60" w:rsidP="00CF7A95">
      <w:pPr>
        <w:spacing w:after="0" w:line="48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w:t>
      </w:r>
      <w:r w:rsidR="004153F6">
        <w:rPr>
          <w:rFonts w:ascii="Times New Roman" w:eastAsiaTheme="minorEastAsia" w:hAnsi="Times New Roman" w:cs="Times New Roman"/>
          <w:sz w:val="24"/>
          <w:szCs w:val="24"/>
        </w:rPr>
        <w:t xml:space="preserve">here </w:t>
      </w:r>
      <w:r w:rsidR="004153F6">
        <w:rPr>
          <w:rFonts w:ascii="Times New Roman" w:eastAsiaTheme="minorEastAsia" w:hAnsi="Times New Roman" w:cs="Times New Roman"/>
          <w:i/>
          <w:iCs/>
          <w:sz w:val="24"/>
          <w:szCs w:val="24"/>
        </w:rPr>
        <w:t>10MinsLottery</w:t>
      </w:r>
      <w:r w:rsidR="00946BD4">
        <w:rPr>
          <w:rFonts w:ascii="Times New Roman" w:eastAsiaTheme="minorEastAsia" w:hAnsi="Times New Roman" w:cs="Times New Roman"/>
          <w:i/>
          <w:iCs/>
          <w:sz w:val="24"/>
          <w:szCs w:val="24"/>
        </w:rPr>
        <w:t xml:space="preserve"> </w:t>
      </w:r>
      <w:r w:rsidR="00946BD4">
        <w:rPr>
          <w:rFonts w:ascii="Times New Roman" w:eastAsiaTheme="minorEastAsia" w:hAnsi="Times New Roman" w:cs="Times New Roman"/>
          <w:sz w:val="24"/>
          <w:szCs w:val="24"/>
        </w:rPr>
        <w:t>i</w:t>
      </w:r>
      <w:r w:rsidR="004153F6">
        <w:rPr>
          <w:rFonts w:ascii="Times New Roman" w:eastAsiaTheme="minorEastAsia" w:hAnsi="Times New Roman" w:cs="Times New Roman"/>
          <w:sz w:val="24"/>
          <w:szCs w:val="24"/>
        </w:rPr>
        <w:t xml:space="preserve">s the instrument for </w:t>
      </w:r>
      <w:r w:rsidR="00CF4AF8">
        <w:rPr>
          <w:rFonts w:ascii="Times New Roman" w:eastAsiaTheme="minorEastAsia" w:hAnsi="Times New Roman" w:cs="Times New Roman"/>
          <w:i/>
          <w:iCs/>
          <w:sz w:val="24"/>
          <w:szCs w:val="24"/>
        </w:rPr>
        <w:t>10MinsOpen</w:t>
      </w:r>
      <w:r w:rsidR="00CF4AF8">
        <w:rPr>
          <w:rFonts w:ascii="Times New Roman" w:eastAsiaTheme="minorEastAsia" w:hAnsi="Times New Roman" w:cs="Times New Roman"/>
          <w:sz w:val="24"/>
          <w:szCs w:val="24"/>
        </w:rPr>
        <w:t xml:space="preserve">, an indicator for whether school </w:t>
      </w:r>
      <w:proofErr w:type="spellStart"/>
      <w:r w:rsidR="00CF4AF8">
        <w:rPr>
          <w:rFonts w:ascii="Times New Roman" w:eastAsiaTheme="minorEastAsia" w:hAnsi="Times New Roman" w:cs="Times New Roman"/>
          <w:i/>
          <w:iCs/>
          <w:sz w:val="24"/>
          <w:szCs w:val="24"/>
        </w:rPr>
        <w:t xml:space="preserve">s </w:t>
      </w:r>
      <w:r w:rsidR="00CF4AF8">
        <w:rPr>
          <w:rFonts w:ascii="Times New Roman" w:eastAsiaTheme="minorEastAsia" w:hAnsi="Times New Roman" w:cs="Times New Roman"/>
          <w:sz w:val="24"/>
          <w:szCs w:val="24"/>
        </w:rPr>
        <w:t>in</w:t>
      </w:r>
      <w:proofErr w:type="spellEnd"/>
      <w:r w:rsidR="00CF4AF8">
        <w:rPr>
          <w:rFonts w:ascii="Times New Roman" w:eastAsiaTheme="minorEastAsia" w:hAnsi="Times New Roman" w:cs="Times New Roman"/>
          <w:sz w:val="24"/>
          <w:szCs w:val="24"/>
        </w:rPr>
        <w:t xml:space="preserve"> year </w:t>
      </w:r>
      <w:r w:rsidR="00CF4AF8">
        <w:rPr>
          <w:rFonts w:ascii="Times New Roman" w:eastAsiaTheme="minorEastAsia" w:hAnsi="Times New Roman" w:cs="Times New Roman"/>
          <w:i/>
          <w:iCs/>
          <w:sz w:val="24"/>
          <w:szCs w:val="24"/>
        </w:rPr>
        <w:t xml:space="preserve">t </w:t>
      </w:r>
      <w:r w:rsidR="00CF4AF8">
        <w:rPr>
          <w:rFonts w:ascii="Times New Roman" w:eastAsiaTheme="minorEastAsia" w:hAnsi="Times New Roman" w:cs="Times New Roman"/>
          <w:sz w:val="24"/>
          <w:szCs w:val="24"/>
        </w:rPr>
        <w:t>is within 10 minutes of an open marijuana dispensary.</w:t>
      </w:r>
      <w:r w:rsidR="00CF4AF8">
        <w:rPr>
          <w:rStyle w:val="FootnoteReference"/>
          <w:rFonts w:ascii="Times New Roman" w:eastAsiaTheme="minorEastAsia" w:hAnsi="Times New Roman" w:cs="Times New Roman"/>
          <w:sz w:val="24"/>
          <w:szCs w:val="24"/>
        </w:rPr>
        <w:footnoteReference w:id="16"/>
      </w:r>
      <w:r w:rsidR="00CF4AF8">
        <w:rPr>
          <w:rFonts w:ascii="Times New Roman" w:eastAsiaTheme="minorEastAsia" w:hAnsi="Times New Roman" w:cs="Times New Roman"/>
          <w:sz w:val="24"/>
          <w:szCs w:val="24"/>
        </w:rPr>
        <w:t xml:space="preserve"> </w:t>
      </w:r>
      <w:r w:rsidR="004153F6">
        <w:rPr>
          <w:rFonts w:ascii="Times New Roman" w:eastAsiaTheme="minorEastAsia" w:hAnsi="Times New Roman" w:cs="Times New Roman"/>
          <w:sz w:val="24"/>
          <w:szCs w:val="24"/>
        </w:rPr>
        <w:t xml:space="preserve">The remaining terms are the same as those in equation </w:t>
      </w:r>
      <w:r>
        <w:rPr>
          <w:rFonts w:ascii="Times New Roman" w:eastAsiaTheme="minorEastAsia" w:hAnsi="Times New Roman" w:cs="Times New Roman"/>
          <w:sz w:val="24"/>
          <w:szCs w:val="24"/>
        </w:rPr>
        <w:t>(</w:t>
      </w:r>
      <w:r w:rsidR="00AE7240">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r w:rsidR="004153F6">
        <w:rPr>
          <w:rFonts w:ascii="Times New Roman" w:eastAsiaTheme="minorEastAsia" w:hAnsi="Times New Roman" w:cs="Times New Roman"/>
          <w:sz w:val="24"/>
          <w:szCs w:val="24"/>
        </w:rPr>
        <w:t>.</w:t>
      </w:r>
    </w:p>
    <w:p w14:paraId="33661277" w14:textId="4CF3BE94" w:rsidR="00EC125B" w:rsidRDefault="001B6798" w:rsidP="00E2036E">
      <w:pPr>
        <w:spacing w:after="0" w:line="480" w:lineRule="auto"/>
        <w:ind w:firstLine="720"/>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assumption of this IV estimation strategy is that being close to a lottery winner is a strong predictor of being close to a winner that actually opened</w:t>
      </w:r>
      <w:r w:rsidR="004153F6">
        <w:rPr>
          <w:rFonts w:ascii="Times New Roman" w:eastAsiaTheme="minorEastAsia" w:hAnsi="Times New Roman" w:cs="Times New Roman"/>
          <w:sz w:val="24"/>
          <w:szCs w:val="24"/>
        </w:rPr>
        <w:t>, i.e., there is a strong first stage.</w:t>
      </w:r>
      <w:r>
        <w:rPr>
          <w:rFonts w:ascii="Times New Roman" w:eastAsiaTheme="minorEastAsia" w:hAnsi="Times New Roman" w:cs="Times New Roman"/>
          <w:sz w:val="24"/>
          <w:szCs w:val="24"/>
        </w:rPr>
        <w:t xml:space="preserve"> This is plausible in this case because </w:t>
      </w:r>
      <w:r w:rsidR="00DE343C">
        <w:rPr>
          <w:rFonts w:ascii="Times New Roman" w:eastAsiaTheme="minorEastAsia" w:hAnsi="Times New Roman" w:cs="Times New Roman"/>
          <w:sz w:val="24"/>
          <w:szCs w:val="24"/>
        </w:rPr>
        <w:t xml:space="preserve">almost half of the lottery winners that opened in my sample period did so at the address listed in their applications, and many of the others located in places near their proposed </w:t>
      </w:r>
      <w:r w:rsidR="00DE343C" w:rsidRPr="00B81242">
        <w:rPr>
          <w:rFonts w:ascii="Times New Roman" w:eastAsiaTheme="minorEastAsia" w:hAnsi="Times New Roman" w:cs="Times New Roman"/>
          <w:sz w:val="24"/>
          <w:szCs w:val="24"/>
        </w:rPr>
        <w:t>address</w:t>
      </w:r>
      <w:r w:rsidR="009556ED" w:rsidRPr="00B81242">
        <w:rPr>
          <w:rFonts w:ascii="Times New Roman" w:eastAsiaTheme="minorEastAsia" w:hAnsi="Times New Roman" w:cs="Times New Roman"/>
          <w:sz w:val="24"/>
          <w:szCs w:val="24"/>
        </w:rPr>
        <w:t>es</w:t>
      </w:r>
      <w:r w:rsidR="00C76C8D">
        <w:rPr>
          <w:rFonts w:ascii="Times New Roman" w:eastAsiaTheme="minorEastAsia" w:hAnsi="Times New Roman" w:cs="Times New Roman"/>
          <w:sz w:val="24"/>
          <w:szCs w:val="24"/>
        </w:rPr>
        <w:t xml:space="preserve"> (see Figure </w:t>
      </w:r>
      <w:r w:rsidR="0050529E">
        <w:rPr>
          <w:rFonts w:ascii="Times New Roman" w:eastAsiaTheme="minorEastAsia" w:hAnsi="Times New Roman" w:cs="Times New Roman"/>
          <w:sz w:val="24"/>
          <w:szCs w:val="24"/>
        </w:rPr>
        <w:t>3, panel (b)</w:t>
      </w:r>
      <w:r w:rsidR="00C76C8D">
        <w:rPr>
          <w:rFonts w:ascii="Times New Roman" w:eastAsiaTheme="minorEastAsia" w:hAnsi="Times New Roman" w:cs="Times New Roman"/>
          <w:sz w:val="24"/>
          <w:szCs w:val="24"/>
        </w:rPr>
        <w:t>)</w:t>
      </w:r>
      <w:r w:rsidR="00DE343C" w:rsidRPr="00B81242">
        <w:rPr>
          <w:rFonts w:ascii="Times New Roman" w:eastAsiaTheme="minorEastAsia" w:hAnsi="Times New Roman" w:cs="Times New Roman"/>
          <w:sz w:val="24"/>
          <w:szCs w:val="24"/>
        </w:rPr>
        <w:t xml:space="preserve">. </w:t>
      </w:r>
      <w:r w:rsidR="00CF18B9">
        <w:rPr>
          <w:rFonts w:ascii="Times New Roman" w:eastAsiaTheme="minorEastAsia" w:hAnsi="Times New Roman" w:cs="Times New Roman"/>
          <w:sz w:val="24"/>
          <w:szCs w:val="24"/>
        </w:rPr>
        <w:t xml:space="preserve">Table </w:t>
      </w:r>
      <w:r w:rsidR="00023FA7">
        <w:rPr>
          <w:rFonts w:ascii="Times New Roman" w:eastAsiaTheme="minorEastAsia" w:hAnsi="Times New Roman" w:cs="Times New Roman"/>
          <w:sz w:val="24"/>
          <w:szCs w:val="24"/>
        </w:rPr>
        <w:t>6</w:t>
      </w:r>
      <w:r w:rsidR="00CF18B9">
        <w:rPr>
          <w:rFonts w:ascii="Times New Roman" w:eastAsiaTheme="minorEastAsia" w:hAnsi="Times New Roman" w:cs="Times New Roman"/>
          <w:sz w:val="24"/>
          <w:szCs w:val="24"/>
        </w:rPr>
        <w:t xml:space="preserve"> shows the </w:t>
      </w:r>
      <w:r w:rsidR="00F12FC0">
        <w:rPr>
          <w:rFonts w:ascii="Times New Roman" w:eastAsiaTheme="minorEastAsia" w:hAnsi="Times New Roman" w:cs="Times New Roman"/>
          <w:sz w:val="24"/>
          <w:szCs w:val="24"/>
        </w:rPr>
        <w:t>first stage</w:t>
      </w:r>
      <w:r w:rsidR="00CF18B9">
        <w:rPr>
          <w:rFonts w:ascii="Times New Roman" w:eastAsiaTheme="minorEastAsia" w:hAnsi="Times New Roman" w:cs="Times New Roman"/>
          <w:sz w:val="24"/>
          <w:szCs w:val="24"/>
        </w:rPr>
        <w:t xml:space="preserve"> estimates</w:t>
      </w:r>
      <w:r w:rsidR="00AE7240">
        <w:rPr>
          <w:rFonts w:ascii="Times New Roman" w:eastAsiaTheme="minorEastAsia" w:hAnsi="Times New Roman" w:cs="Times New Roman"/>
          <w:sz w:val="24"/>
          <w:szCs w:val="24"/>
        </w:rPr>
        <w:t xml:space="preserve"> for 11</w:t>
      </w:r>
      <w:r w:rsidR="00AE7240" w:rsidRPr="00AE7240">
        <w:rPr>
          <w:rFonts w:ascii="Times New Roman" w:eastAsiaTheme="minorEastAsia" w:hAnsi="Times New Roman" w:cs="Times New Roman"/>
          <w:sz w:val="24"/>
          <w:szCs w:val="24"/>
          <w:vertAlign w:val="superscript"/>
        </w:rPr>
        <w:t>th</w:t>
      </w:r>
      <w:r w:rsidR="00AE7240">
        <w:rPr>
          <w:rFonts w:ascii="Times New Roman" w:eastAsiaTheme="minorEastAsia" w:hAnsi="Times New Roman" w:cs="Times New Roman"/>
          <w:sz w:val="24"/>
          <w:szCs w:val="24"/>
        </w:rPr>
        <w:t>-grade dropout rates</w:t>
      </w:r>
      <w:r w:rsidR="00CF18B9">
        <w:rPr>
          <w:rFonts w:ascii="Times New Roman" w:eastAsiaTheme="minorEastAsia" w:hAnsi="Times New Roman" w:cs="Times New Roman"/>
          <w:sz w:val="24"/>
          <w:szCs w:val="24"/>
        </w:rPr>
        <w:t>.</w:t>
      </w:r>
      <w:r w:rsidR="00AE7240">
        <w:rPr>
          <w:rFonts w:ascii="Times New Roman" w:eastAsiaTheme="minorEastAsia" w:hAnsi="Times New Roman" w:cs="Times New Roman"/>
          <w:sz w:val="24"/>
          <w:szCs w:val="24"/>
        </w:rPr>
        <w:t xml:space="preserve"> Column (3), my preferred specification, shows that the </w:t>
      </w:r>
      <w:r w:rsidR="000D1529">
        <w:rPr>
          <w:rFonts w:ascii="Times New Roman" w:eastAsiaTheme="minorEastAsia" w:hAnsi="Times New Roman" w:cs="Times New Roman"/>
          <w:sz w:val="24"/>
          <w:szCs w:val="24"/>
        </w:rPr>
        <w:t>probability of a school being within 10 minutes o</w:t>
      </w:r>
      <w:r w:rsidR="004153F6" w:rsidRPr="00B81242">
        <w:rPr>
          <w:rFonts w:ascii="Times New Roman" w:eastAsiaTheme="minorEastAsia" w:hAnsi="Times New Roman" w:cs="Times New Roman"/>
          <w:sz w:val="24"/>
          <w:szCs w:val="24"/>
        </w:rPr>
        <w:t xml:space="preserve">f an open dispensary after legalization increases by </w:t>
      </w:r>
      <w:r w:rsidR="00CF18B9">
        <w:rPr>
          <w:rFonts w:ascii="Times New Roman" w:eastAsiaTheme="minorEastAsia" w:hAnsi="Times New Roman" w:cs="Times New Roman"/>
          <w:sz w:val="24"/>
          <w:szCs w:val="24"/>
        </w:rPr>
        <w:t>35</w:t>
      </w:r>
      <w:r w:rsidR="004153F6" w:rsidRPr="00B81242">
        <w:rPr>
          <w:rFonts w:ascii="Times New Roman" w:eastAsiaTheme="minorEastAsia" w:hAnsi="Times New Roman" w:cs="Times New Roman"/>
          <w:sz w:val="24"/>
          <w:szCs w:val="24"/>
        </w:rPr>
        <w:t>% when the school is within 10 minutes of a dispensary that won the lottery</w:t>
      </w:r>
      <w:r w:rsidR="009556ED" w:rsidRPr="00B81242">
        <w:rPr>
          <w:rFonts w:ascii="Times New Roman" w:eastAsiaTheme="minorEastAsia" w:hAnsi="Times New Roman" w:cs="Times New Roman"/>
          <w:sz w:val="24"/>
          <w:szCs w:val="24"/>
        </w:rPr>
        <w:t>.</w:t>
      </w:r>
      <w:r w:rsidR="000D1529">
        <w:rPr>
          <w:rFonts w:ascii="Times New Roman" w:eastAsiaTheme="minorEastAsia" w:hAnsi="Times New Roman" w:cs="Times New Roman"/>
          <w:sz w:val="24"/>
          <w:szCs w:val="24"/>
        </w:rPr>
        <w:t xml:space="preserve"> The associated F-statistic is 11.28, which indicates that the instrument is strong.</w:t>
      </w:r>
      <w:r w:rsidR="000D1529">
        <w:rPr>
          <w:rStyle w:val="FootnoteReference"/>
          <w:rFonts w:ascii="Times New Roman" w:eastAsiaTheme="minorEastAsia" w:hAnsi="Times New Roman" w:cs="Times New Roman"/>
          <w:sz w:val="24"/>
          <w:szCs w:val="24"/>
        </w:rPr>
        <w:footnoteReference w:id="17"/>
      </w:r>
      <w:r w:rsidR="000D1529">
        <w:rPr>
          <w:rFonts w:ascii="Times New Roman" w:eastAsiaTheme="minorEastAsia" w:hAnsi="Times New Roman" w:cs="Times New Roman"/>
          <w:sz w:val="24"/>
          <w:szCs w:val="24"/>
        </w:rPr>
        <w:t xml:space="preserve"> The remaining first-stage estimates are included in the appendix, Tables A1-A4</w:t>
      </w:r>
      <w:r w:rsidR="00E2036E">
        <w:rPr>
          <w:rFonts w:ascii="Times New Roman" w:eastAsiaTheme="minorEastAsia" w:hAnsi="Times New Roman" w:cs="Times New Roman"/>
          <w:sz w:val="24"/>
          <w:szCs w:val="24"/>
        </w:rPr>
        <w:t xml:space="preserve">. </w:t>
      </w:r>
      <w:r w:rsidR="004153F6">
        <w:rPr>
          <w:rFonts w:ascii="Times New Roman" w:eastAsiaTheme="minorEastAsia" w:hAnsi="Times New Roman" w:cs="Times New Roman"/>
          <w:sz w:val="24"/>
          <w:szCs w:val="24"/>
        </w:rPr>
        <w:t>In addition to a strong first-stage, the exclusion restriction needs to be satisfied. This means that being close to a lottery winner cannot be directly correlated with educational outcomes</w:t>
      </w:r>
      <w:r w:rsidR="00EF52C3" w:rsidRPr="00E2036E">
        <w:rPr>
          <w:rFonts w:ascii="Times New Roman" w:eastAsiaTheme="minorEastAsia" w:hAnsi="Times New Roman" w:cs="Times New Roman"/>
          <w:sz w:val="24"/>
          <w:szCs w:val="24"/>
        </w:rPr>
        <w:t xml:space="preserve">. </w:t>
      </w:r>
      <w:r w:rsidR="00B4332B" w:rsidRPr="00E2036E">
        <w:rPr>
          <w:rFonts w:ascii="Times New Roman" w:eastAsiaTheme="minorEastAsia" w:hAnsi="Times New Roman" w:cs="Times New Roman"/>
          <w:sz w:val="24"/>
          <w:szCs w:val="24"/>
        </w:rPr>
        <w:t>Since winners are randomly selected (i.e., unconditional on educational outcomes), a dispensary’s winning status is</w:t>
      </w:r>
      <w:r w:rsidR="00EF52C3" w:rsidRPr="00E2036E">
        <w:rPr>
          <w:rFonts w:ascii="Times New Roman" w:eastAsiaTheme="minorEastAsia" w:hAnsi="Times New Roman" w:cs="Times New Roman"/>
          <w:sz w:val="24"/>
          <w:szCs w:val="24"/>
        </w:rPr>
        <w:t xml:space="preserve"> </w:t>
      </w:r>
      <w:r w:rsidR="00B4332B" w:rsidRPr="00E2036E">
        <w:rPr>
          <w:rFonts w:ascii="Times New Roman" w:eastAsiaTheme="minorEastAsia" w:hAnsi="Times New Roman" w:cs="Times New Roman"/>
          <w:sz w:val="24"/>
          <w:szCs w:val="24"/>
        </w:rPr>
        <w:t>only related to outcomes in so far as it predicts which schools are near an open dispensary.</w:t>
      </w:r>
      <w:r w:rsidR="004153F6" w:rsidRPr="00E2036E">
        <w:rPr>
          <w:rFonts w:ascii="Times New Roman" w:eastAsiaTheme="minorEastAsia" w:hAnsi="Times New Roman" w:cs="Times New Roman"/>
          <w:sz w:val="24"/>
          <w:szCs w:val="24"/>
        </w:rPr>
        <w:t xml:space="preserve"> </w:t>
      </w:r>
    </w:p>
    <w:p w14:paraId="5085D017" w14:textId="77777777" w:rsidR="000609A7" w:rsidRPr="000609A7" w:rsidRDefault="000609A7" w:rsidP="00BF0709">
      <w:pPr>
        <w:rPr>
          <w:rFonts w:ascii="Times New Roman" w:hAnsi="Times New Roman" w:cs="Times New Roman"/>
          <w:sz w:val="12"/>
          <w:szCs w:val="12"/>
        </w:rPr>
      </w:pPr>
    </w:p>
    <w:p w14:paraId="66193737" w14:textId="0F88800E" w:rsidR="00E146D1" w:rsidRDefault="00D750E1" w:rsidP="00E146D1">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Main Results</w:t>
      </w:r>
    </w:p>
    <w:p w14:paraId="6986846C" w14:textId="381DF84E" w:rsidR="005638C9" w:rsidRDefault="00CA5F95" w:rsidP="005638C9">
      <w:pPr>
        <w:rPr>
          <w:rFonts w:ascii="Times New Roman" w:hAnsi="Times New Roman" w:cs="Times New Roman"/>
          <w:b/>
          <w:bCs/>
          <w:sz w:val="28"/>
          <w:szCs w:val="28"/>
        </w:rPr>
      </w:pPr>
      <w:r>
        <w:rPr>
          <w:rFonts w:ascii="Times New Roman" w:hAnsi="Times New Roman" w:cs="Times New Roman"/>
          <w:b/>
          <w:bCs/>
          <w:sz w:val="28"/>
          <w:szCs w:val="28"/>
        </w:rPr>
        <w:t>5</w:t>
      </w:r>
      <w:r w:rsidR="005638C9" w:rsidRPr="005638C9">
        <w:rPr>
          <w:rFonts w:ascii="Times New Roman" w:hAnsi="Times New Roman" w:cs="Times New Roman"/>
          <w:b/>
          <w:bCs/>
          <w:sz w:val="28"/>
          <w:szCs w:val="28"/>
        </w:rPr>
        <w:t>.1</w:t>
      </w:r>
      <w:r w:rsidR="005638C9" w:rsidRPr="005638C9">
        <w:rPr>
          <w:rFonts w:ascii="Times New Roman" w:hAnsi="Times New Roman" w:cs="Times New Roman"/>
          <w:b/>
          <w:bCs/>
          <w:sz w:val="28"/>
          <w:szCs w:val="28"/>
        </w:rPr>
        <w:tab/>
        <w:t>Intention-to-Treat Effect</w:t>
      </w:r>
      <w:r w:rsidR="007A50BC">
        <w:rPr>
          <w:rFonts w:ascii="Times New Roman" w:hAnsi="Times New Roman" w:cs="Times New Roman"/>
          <w:b/>
          <w:bCs/>
          <w:sz w:val="28"/>
          <w:szCs w:val="28"/>
        </w:rPr>
        <w:t xml:space="preserve"> of the Lottery</w:t>
      </w:r>
    </w:p>
    <w:p w14:paraId="22B33290" w14:textId="51FE1B87" w:rsidR="002B3830" w:rsidRDefault="00757DAA"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Tables 2-</w:t>
      </w:r>
      <w:r w:rsidR="006E251F">
        <w:rPr>
          <w:rFonts w:ascii="Times New Roman" w:hAnsi="Times New Roman" w:cs="Times New Roman"/>
          <w:sz w:val="24"/>
          <w:szCs w:val="24"/>
        </w:rPr>
        <w:t>5</w:t>
      </w:r>
      <w:r>
        <w:rPr>
          <w:rFonts w:ascii="Times New Roman" w:hAnsi="Times New Roman" w:cs="Times New Roman"/>
          <w:sz w:val="24"/>
          <w:szCs w:val="24"/>
        </w:rPr>
        <w:t xml:space="preserve"> show the reduced form estimates of the lottery on dropout rates, chronic absenteeism, and discipline rates for 11</w:t>
      </w:r>
      <w:r w:rsidRPr="00757DAA">
        <w:rPr>
          <w:rFonts w:ascii="Times New Roman" w:hAnsi="Times New Roman" w:cs="Times New Roman"/>
          <w:sz w:val="24"/>
          <w:szCs w:val="24"/>
          <w:vertAlign w:val="superscript"/>
        </w:rPr>
        <w:t>th</w:t>
      </w:r>
      <w:r>
        <w:rPr>
          <w:rFonts w:ascii="Times New Roman" w:hAnsi="Times New Roman" w:cs="Times New Roman"/>
          <w:sz w:val="24"/>
          <w:szCs w:val="24"/>
        </w:rPr>
        <w:t xml:space="preserve"> and 12</w:t>
      </w:r>
      <w:r w:rsidRPr="00757DAA">
        <w:rPr>
          <w:rFonts w:ascii="Times New Roman" w:hAnsi="Times New Roman" w:cs="Times New Roman"/>
          <w:sz w:val="24"/>
          <w:szCs w:val="24"/>
          <w:vertAlign w:val="superscript"/>
        </w:rPr>
        <w:t>th</w:t>
      </w:r>
      <w:r>
        <w:rPr>
          <w:rFonts w:ascii="Times New Roman" w:hAnsi="Times New Roman" w:cs="Times New Roman"/>
          <w:sz w:val="24"/>
          <w:szCs w:val="24"/>
        </w:rPr>
        <w:t xml:space="preserve"> graders</w:t>
      </w:r>
      <w:r w:rsidR="005F16A9">
        <w:rPr>
          <w:rFonts w:ascii="Times New Roman" w:hAnsi="Times New Roman" w:cs="Times New Roman"/>
          <w:sz w:val="24"/>
          <w:szCs w:val="24"/>
        </w:rPr>
        <w:t xml:space="preserve">, as well as the effects on the shares of </w:t>
      </w:r>
      <w:r w:rsidR="005F16A9">
        <w:rPr>
          <w:rFonts w:ascii="Times New Roman" w:hAnsi="Times New Roman" w:cs="Times New Roman"/>
          <w:sz w:val="24"/>
          <w:szCs w:val="24"/>
        </w:rPr>
        <w:lastRenderedPageBreak/>
        <w:t>students who are not proficient in math or ELA</w:t>
      </w:r>
      <w:r w:rsidR="00AE7A1C">
        <w:rPr>
          <w:rFonts w:ascii="Times New Roman" w:hAnsi="Times New Roman" w:cs="Times New Roman"/>
          <w:sz w:val="24"/>
          <w:szCs w:val="24"/>
        </w:rPr>
        <w:t xml:space="preserve">. </w:t>
      </w:r>
      <w:r w:rsidR="00783DFC">
        <w:rPr>
          <w:rFonts w:ascii="Times New Roman" w:hAnsi="Times New Roman" w:cs="Times New Roman"/>
          <w:sz w:val="24"/>
          <w:szCs w:val="24"/>
        </w:rPr>
        <w:t>In the</w:t>
      </w:r>
      <w:r w:rsidR="00BA0964">
        <w:rPr>
          <w:rFonts w:ascii="Times New Roman" w:hAnsi="Times New Roman" w:cs="Times New Roman"/>
          <w:sz w:val="24"/>
          <w:szCs w:val="24"/>
        </w:rPr>
        <w:t>se</w:t>
      </w:r>
      <w:r w:rsidR="00783DFC">
        <w:rPr>
          <w:rFonts w:ascii="Times New Roman" w:hAnsi="Times New Roman" w:cs="Times New Roman"/>
          <w:sz w:val="24"/>
          <w:szCs w:val="24"/>
        </w:rPr>
        <w:t xml:space="preserve"> tables</w:t>
      </w:r>
      <w:r w:rsidR="00BA0964">
        <w:rPr>
          <w:rFonts w:ascii="Times New Roman" w:hAnsi="Times New Roman" w:cs="Times New Roman"/>
          <w:sz w:val="24"/>
          <w:szCs w:val="24"/>
        </w:rPr>
        <w:t>,</w:t>
      </w:r>
      <w:r w:rsidR="00783DFC">
        <w:rPr>
          <w:rFonts w:ascii="Times New Roman" w:hAnsi="Times New Roman" w:cs="Times New Roman"/>
          <w:sz w:val="24"/>
          <w:szCs w:val="24"/>
        </w:rPr>
        <w:t xml:space="preserve"> I </w:t>
      </w:r>
      <w:r w:rsidR="004C161E">
        <w:rPr>
          <w:rFonts w:ascii="Times New Roman" w:hAnsi="Times New Roman" w:cs="Times New Roman"/>
          <w:sz w:val="24"/>
          <w:szCs w:val="24"/>
        </w:rPr>
        <w:t xml:space="preserve">present </w:t>
      </w:r>
      <w:r w:rsidR="001E3D17">
        <w:rPr>
          <w:rFonts w:ascii="Times New Roman" w:hAnsi="Times New Roman" w:cs="Times New Roman"/>
          <w:sz w:val="24"/>
          <w:szCs w:val="24"/>
        </w:rPr>
        <w:t xml:space="preserve">several specifications to show </w:t>
      </w:r>
      <w:r w:rsidR="00D82F4B">
        <w:rPr>
          <w:rFonts w:ascii="Times New Roman" w:hAnsi="Times New Roman" w:cs="Times New Roman"/>
          <w:sz w:val="24"/>
          <w:szCs w:val="24"/>
        </w:rPr>
        <w:t xml:space="preserve">that some results are sensitive to the addition of controls, but I do not discuss </w:t>
      </w:r>
      <w:r w:rsidR="00FA1554">
        <w:rPr>
          <w:rFonts w:ascii="Times New Roman" w:hAnsi="Times New Roman" w:cs="Times New Roman"/>
          <w:sz w:val="24"/>
          <w:szCs w:val="24"/>
        </w:rPr>
        <w:t xml:space="preserve">them in </w:t>
      </w:r>
      <w:r w:rsidR="00D82F4B">
        <w:rPr>
          <w:rFonts w:ascii="Times New Roman" w:hAnsi="Times New Roman" w:cs="Times New Roman"/>
          <w:sz w:val="24"/>
          <w:szCs w:val="24"/>
        </w:rPr>
        <w:t xml:space="preserve">the body of the paper. </w:t>
      </w:r>
      <w:r w:rsidR="00E9271D">
        <w:rPr>
          <w:rFonts w:ascii="Times New Roman" w:hAnsi="Times New Roman" w:cs="Times New Roman"/>
          <w:sz w:val="24"/>
          <w:szCs w:val="24"/>
        </w:rPr>
        <w:t>I cluster s</w:t>
      </w:r>
      <w:r w:rsidR="00786A9F">
        <w:rPr>
          <w:rFonts w:ascii="Times New Roman" w:hAnsi="Times New Roman" w:cs="Times New Roman"/>
          <w:sz w:val="24"/>
          <w:szCs w:val="24"/>
        </w:rPr>
        <w:t>tandard errors by school</w:t>
      </w:r>
      <w:r w:rsidR="008F4CAA">
        <w:rPr>
          <w:rFonts w:ascii="Times New Roman" w:hAnsi="Times New Roman" w:cs="Times New Roman"/>
          <w:sz w:val="24"/>
          <w:szCs w:val="24"/>
        </w:rPr>
        <w:t>, which are</w:t>
      </w:r>
      <w:r w:rsidR="00E9271D">
        <w:rPr>
          <w:rFonts w:ascii="Times New Roman" w:hAnsi="Times New Roman" w:cs="Times New Roman"/>
          <w:sz w:val="24"/>
          <w:szCs w:val="24"/>
        </w:rPr>
        <w:t xml:space="preserve"> shown</w:t>
      </w:r>
      <w:r w:rsidR="00786A9F">
        <w:rPr>
          <w:rFonts w:ascii="Times New Roman" w:hAnsi="Times New Roman" w:cs="Times New Roman"/>
          <w:sz w:val="24"/>
          <w:szCs w:val="24"/>
        </w:rPr>
        <w:t xml:space="preserve"> in parentheses. </w:t>
      </w:r>
      <w:r w:rsidR="002616BA">
        <w:rPr>
          <w:rFonts w:ascii="Times New Roman" w:hAnsi="Times New Roman" w:cs="Times New Roman"/>
          <w:sz w:val="24"/>
          <w:szCs w:val="24"/>
        </w:rPr>
        <w:t>Along with one-sided p-values from the original estimation, I also show Romano-Wolf p-values that correct for multiple hypothesis testing since I use the same model to estimate effects on several outcomes.</w:t>
      </w:r>
      <w:r w:rsidR="002616BA">
        <w:rPr>
          <w:rStyle w:val="FootnoteReference"/>
          <w:rFonts w:ascii="Times New Roman" w:hAnsi="Times New Roman" w:cs="Times New Roman"/>
          <w:sz w:val="24"/>
          <w:szCs w:val="24"/>
        </w:rPr>
        <w:footnoteReference w:id="18"/>
      </w:r>
      <w:r w:rsidR="002616BA">
        <w:rPr>
          <w:rFonts w:ascii="Times New Roman" w:hAnsi="Times New Roman" w:cs="Times New Roman"/>
          <w:sz w:val="24"/>
          <w:szCs w:val="24"/>
        </w:rPr>
        <w:t xml:space="preserve"> </w:t>
      </w:r>
    </w:p>
    <w:p w14:paraId="0B554B2D" w14:textId="6F83FA16" w:rsidR="0001087E" w:rsidRDefault="0001087E"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57718">
        <w:rPr>
          <w:rFonts w:ascii="Times New Roman" w:hAnsi="Times New Roman" w:cs="Times New Roman"/>
          <w:sz w:val="24"/>
          <w:szCs w:val="24"/>
        </w:rPr>
        <w:t>Dropout rates for both 11</w:t>
      </w:r>
      <w:r w:rsidR="00B57718" w:rsidRPr="00B57718">
        <w:rPr>
          <w:rFonts w:ascii="Times New Roman" w:hAnsi="Times New Roman" w:cs="Times New Roman"/>
          <w:sz w:val="24"/>
          <w:szCs w:val="24"/>
          <w:vertAlign w:val="superscript"/>
        </w:rPr>
        <w:t>th</w:t>
      </w:r>
      <w:r w:rsidR="00B57718">
        <w:rPr>
          <w:rFonts w:ascii="Times New Roman" w:hAnsi="Times New Roman" w:cs="Times New Roman"/>
          <w:sz w:val="24"/>
          <w:szCs w:val="24"/>
        </w:rPr>
        <w:t xml:space="preserve">-grade girls and boys increase after recreational marijuana is legalized. </w:t>
      </w:r>
      <w:r w:rsidR="002C5BA2">
        <w:rPr>
          <w:rFonts w:ascii="Times New Roman" w:hAnsi="Times New Roman" w:cs="Times New Roman"/>
          <w:sz w:val="24"/>
          <w:szCs w:val="24"/>
        </w:rPr>
        <w:t xml:space="preserve">Panel A of </w:t>
      </w:r>
      <w:r w:rsidR="00422958">
        <w:rPr>
          <w:rFonts w:ascii="Times New Roman" w:hAnsi="Times New Roman" w:cs="Times New Roman"/>
          <w:sz w:val="24"/>
          <w:szCs w:val="24"/>
        </w:rPr>
        <w:t>Table 2, columns (</w:t>
      </w:r>
      <w:r w:rsidR="002C5BA2">
        <w:rPr>
          <w:rFonts w:ascii="Times New Roman" w:hAnsi="Times New Roman" w:cs="Times New Roman"/>
          <w:sz w:val="24"/>
          <w:szCs w:val="24"/>
        </w:rPr>
        <w:t>4</w:t>
      </w:r>
      <w:r w:rsidR="00422958">
        <w:rPr>
          <w:rFonts w:ascii="Times New Roman" w:hAnsi="Times New Roman" w:cs="Times New Roman"/>
          <w:sz w:val="24"/>
          <w:szCs w:val="24"/>
        </w:rPr>
        <w:t>) and (</w:t>
      </w:r>
      <w:r w:rsidR="002C5BA2">
        <w:rPr>
          <w:rFonts w:ascii="Times New Roman" w:hAnsi="Times New Roman" w:cs="Times New Roman"/>
          <w:sz w:val="24"/>
          <w:szCs w:val="24"/>
        </w:rPr>
        <w:t>8</w:t>
      </w:r>
      <w:r w:rsidR="00422958">
        <w:rPr>
          <w:rFonts w:ascii="Times New Roman" w:hAnsi="Times New Roman" w:cs="Times New Roman"/>
          <w:sz w:val="24"/>
          <w:szCs w:val="24"/>
        </w:rPr>
        <w:t>) show that b</w:t>
      </w:r>
      <w:r w:rsidR="00052E10">
        <w:rPr>
          <w:rFonts w:ascii="Times New Roman" w:hAnsi="Times New Roman" w:cs="Times New Roman"/>
          <w:sz w:val="24"/>
          <w:szCs w:val="24"/>
        </w:rPr>
        <w:t>eing</w:t>
      </w:r>
      <w:r w:rsidR="00B57718">
        <w:rPr>
          <w:rFonts w:ascii="Times New Roman" w:hAnsi="Times New Roman" w:cs="Times New Roman"/>
          <w:sz w:val="24"/>
          <w:szCs w:val="24"/>
        </w:rPr>
        <w:t xml:space="preserve"> within 10 minutes of a lottery-winning dispensary increases dropout rates by 0.01</w:t>
      </w:r>
      <w:r w:rsidR="00E07599">
        <w:rPr>
          <w:rFonts w:ascii="Times New Roman" w:hAnsi="Times New Roman" w:cs="Times New Roman"/>
          <w:sz w:val="24"/>
          <w:szCs w:val="24"/>
        </w:rPr>
        <w:t xml:space="preserve"> (0.0032)</w:t>
      </w:r>
      <w:r w:rsidR="00B57718">
        <w:rPr>
          <w:rFonts w:ascii="Times New Roman" w:hAnsi="Times New Roman" w:cs="Times New Roman"/>
          <w:sz w:val="24"/>
          <w:szCs w:val="24"/>
        </w:rPr>
        <w:t xml:space="preserve"> for girls and 0.01</w:t>
      </w:r>
      <w:r w:rsidR="00182668">
        <w:rPr>
          <w:rFonts w:ascii="Times New Roman" w:hAnsi="Times New Roman" w:cs="Times New Roman"/>
          <w:sz w:val="24"/>
          <w:szCs w:val="24"/>
        </w:rPr>
        <w:t>1</w:t>
      </w:r>
      <w:r w:rsidR="00E07599">
        <w:rPr>
          <w:rFonts w:ascii="Times New Roman" w:hAnsi="Times New Roman" w:cs="Times New Roman"/>
          <w:sz w:val="24"/>
          <w:szCs w:val="24"/>
        </w:rPr>
        <w:t xml:space="preserve"> (0.0051)</w:t>
      </w:r>
      <w:r w:rsidR="00B57718">
        <w:rPr>
          <w:rFonts w:ascii="Times New Roman" w:hAnsi="Times New Roman" w:cs="Times New Roman"/>
          <w:sz w:val="24"/>
          <w:szCs w:val="24"/>
        </w:rPr>
        <w:t xml:space="preserve"> for boys</w:t>
      </w:r>
      <w:r w:rsidR="00422958">
        <w:rPr>
          <w:rFonts w:ascii="Times New Roman" w:hAnsi="Times New Roman" w:cs="Times New Roman"/>
          <w:sz w:val="24"/>
          <w:szCs w:val="24"/>
        </w:rPr>
        <w:t>.</w:t>
      </w:r>
      <w:r w:rsidR="009677DA">
        <w:rPr>
          <w:rFonts w:ascii="Times New Roman" w:hAnsi="Times New Roman" w:cs="Times New Roman"/>
          <w:sz w:val="24"/>
          <w:szCs w:val="24"/>
        </w:rPr>
        <w:t xml:space="preserve"> Both of these are statistically significant at the 1% level after correcting for multiple hypothesis testing. </w:t>
      </w:r>
      <w:r w:rsidR="009F41A5">
        <w:rPr>
          <w:rFonts w:ascii="Times New Roman" w:hAnsi="Times New Roman" w:cs="Times New Roman"/>
          <w:sz w:val="24"/>
          <w:szCs w:val="24"/>
        </w:rPr>
        <w:t>Though the point estimates are similar for girls and boys, the effect is larger relative to the mean for girls. The average dropout rate for 11</w:t>
      </w:r>
      <w:r w:rsidR="009F41A5" w:rsidRPr="009F41A5">
        <w:rPr>
          <w:rFonts w:ascii="Times New Roman" w:hAnsi="Times New Roman" w:cs="Times New Roman"/>
          <w:sz w:val="24"/>
          <w:szCs w:val="24"/>
          <w:vertAlign w:val="superscript"/>
        </w:rPr>
        <w:t>th</w:t>
      </w:r>
      <w:r w:rsidR="009F41A5">
        <w:rPr>
          <w:rFonts w:ascii="Times New Roman" w:hAnsi="Times New Roman" w:cs="Times New Roman"/>
          <w:sz w:val="24"/>
          <w:szCs w:val="24"/>
        </w:rPr>
        <w:t xml:space="preserve">-grade girls before legalization was 2.1%, meaning that the dropout rate </w:t>
      </w:r>
      <w:r w:rsidR="002E0A33">
        <w:rPr>
          <w:rFonts w:ascii="Times New Roman" w:hAnsi="Times New Roman" w:cs="Times New Roman"/>
          <w:sz w:val="24"/>
          <w:szCs w:val="24"/>
        </w:rPr>
        <w:t xml:space="preserve">increases by about half </w:t>
      </w:r>
      <w:r w:rsidR="009F41A5">
        <w:rPr>
          <w:rFonts w:ascii="Times New Roman" w:hAnsi="Times New Roman" w:cs="Times New Roman"/>
          <w:sz w:val="24"/>
          <w:szCs w:val="24"/>
        </w:rPr>
        <w:t>after legalization. For boys, the average pre-legalization dropout rate was higher, at 2.9%. The 1.1 percentage point increase</w:t>
      </w:r>
      <w:r w:rsidR="00A05F8C">
        <w:rPr>
          <w:rFonts w:ascii="Times New Roman" w:hAnsi="Times New Roman" w:cs="Times New Roman"/>
          <w:sz w:val="24"/>
          <w:szCs w:val="24"/>
        </w:rPr>
        <w:t xml:space="preserve"> thus</w:t>
      </w:r>
      <w:r w:rsidR="009F41A5">
        <w:rPr>
          <w:rFonts w:ascii="Times New Roman" w:hAnsi="Times New Roman" w:cs="Times New Roman"/>
          <w:sz w:val="24"/>
          <w:szCs w:val="24"/>
        </w:rPr>
        <w:t xml:space="preserve"> translates </w:t>
      </w:r>
      <w:r w:rsidR="00A05F8C">
        <w:rPr>
          <w:rFonts w:ascii="Times New Roman" w:hAnsi="Times New Roman" w:cs="Times New Roman"/>
          <w:sz w:val="24"/>
          <w:szCs w:val="24"/>
        </w:rPr>
        <w:t>to</w:t>
      </w:r>
      <w:r w:rsidR="009F41A5">
        <w:rPr>
          <w:rFonts w:ascii="Times New Roman" w:hAnsi="Times New Roman" w:cs="Times New Roman"/>
          <w:sz w:val="24"/>
          <w:szCs w:val="24"/>
        </w:rPr>
        <w:t xml:space="preserve"> a 40% increase in </w:t>
      </w:r>
      <w:r w:rsidR="002E0A33">
        <w:rPr>
          <w:rFonts w:ascii="Times New Roman" w:hAnsi="Times New Roman" w:cs="Times New Roman"/>
          <w:sz w:val="24"/>
          <w:szCs w:val="24"/>
        </w:rPr>
        <w:t>the dropout rate for 11</w:t>
      </w:r>
      <w:r w:rsidR="002E0A33" w:rsidRPr="002E0A33">
        <w:rPr>
          <w:rFonts w:ascii="Times New Roman" w:hAnsi="Times New Roman" w:cs="Times New Roman"/>
          <w:sz w:val="24"/>
          <w:szCs w:val="24"/>
          <w:vertAlign w:val="superscript"/>
        </w:rPr>
        <w:t>th</w:t>
      </w:r>
      <w:r w:rsidR="002E0A33">
        <w:rPr>
          <w:rFonts w:ascii="Times New Roman" w:hAnsi="Times New Roman" w:cs="Times New Roman"/>
          <w:sz w:val="24"/>
          <w:szCs w:val="24"/>
        </w:rPr>
        <w:t xml:space="preserve">-grade boys. </w:t>
      </w:r>
      <w:r w:rsidR="009F41A5">
        <w:rPr>
          <w:rFonts w:ascii="Times New Roman" w:hAnsi="Times New Roman" w:cs="Times New Roman"/>
          <w:sz w:val="24"/>
          <w:szCs w:val="24"/>
        </w:rPr>
        <w:t xml:space="preserve"> </w:t>
      </w:r>
    </w:p>
    <w:p w14:paraId="20E38AD3" w14:textId="65B225C7" w:rsidR="007A1752" w:rsidRDefault="007A1752"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C5BA2">
        <w:rPr>
          <w:rFonts w:ascii="Times New Roman" w:hAnsi="Times New Roman" w:cs="Times New Roman"/>
          <w:sz w:val="24"/>
          <w:szCs w:val="24"/>
        </w:rPr>
        <w:t xml:space="preserve">Panel B of </w:t>
      </w:r>
      <w:r>
        <w:rPr>
          <w:rFonts w:ascii="Times New Roman" w:hAnsi="Times New Roman" w:cs="Times New Roman"/>
          <w:sz w:val="24"/>
          <w:szCs w:val="24"/>
        </w:rPr>
        <w:t>Table</w:t>
      </w:r>
      <w:r w:rsidR="00E83019">
        <w:rPr>
          <w:rFonts w:ascii="Times New Roman" w:hAnsi="Times New Roman" w:cs="Times New Roman"/>
          <w:sz w:val="24"/>
          <w:szCs w:val="24"/>
        </w:rPr>
        <w:t xml:space="preserve"> </w:t>
      </w:r>
      <w:r w:rsidR="002C5BA2">
        <w:rPr>
          <w:rFonts w:ascii="Times New Roman" w:hAnsi="Times New Roman" w:cs="Times New Roman"/>
          <w:sz w:val="24"/>
          <w:szCs w:val="24"/>
        </w:rPr>
        <w:t xml:space="preserve">2 </w:t>
      </w:r>
      <w:r>
        <w:rPr>
          <w:rFonts w:ascii="Times New Roman" w:hAnsi="Times New Roman" w:cs="Times New Roman"/>
          <w:sz w:val="24"/>
          <w:szCs w:val="24"/>
        </w:rPr>
        <w:t>shows that 12</w:t>
      </w:r>
      <w:r w:rsidRPr="007A1752">
        <w:rPr>
          <w:rFonts w:ascii="Times New Roman" w:hAnsi="Times New Roman" w:cs="Times New Roman"/>
          <w:sz w:val="24"/>
          <w:szCs w:val="24"/>
          <w:vertAlign w:val="superscript"/>
        </w:rPr>
        <w:t>th</w:t>
      </w:r>
      <w:r>
        <w:rPr>
          <w:rFonts w:ascii="Times New Roman" w:hAnsi="Times New Roman" w:cs="Times New Roman"/>
          <w:sz w:val="24"/>
          <w:szCs w:val="24"/>
        </w:rPr>
        <w:t>-grade dropout rates</w:t>
      </w:r>
      <w:r w:rsidR="002C5BA2">
        <w:rPr>
          <w:rFonts w:ascii="Times New Roman" w:hAnsi="Times New Roman" w:cs="Times New Roman"/>
          <w:sz w:val="24"/>
          <w:szCs w:val="24"/>
        </w:rPr>
        <w:t xml:space="preserve"> also</w:t>
      </w:r>
      <w:r>
        <w:rPr>
          <w:rFonts w:ascii="Times New Roman" w:hAnsi="Times New Roman" w:cs="Times New Roman"/>
          <w:sz w:val="24"/>
          <w:szCs w:val="24"/>
        </w:rPr>
        <w:t xml:space="preserve"> increase for both girls and boys. </w:t>
      </w:r>
      <w:r w:rsidR="00B322BE">
        <w:rPr>
          <w:rFonts w:ascii="Times New Roman" w:hAnsi="Times New Roman" w:cs="Times New Roman"/>
          <w:sz w:val="24"/>
          <w:szCs w:val="24"/>
        </w:rPr>
        <w:t>The</w:t>
      </w:r>
      <w:r w:rsidR="0070687D">
        <w:rPr>
          <w:rFonts w:ascii="Times New Roman" w:hAnsi="Times New Roman" w:cs="Times New Roman"/>
          <w:sz w:val="24"/>
          <w:szCs w:val="24"/>
        </w:rPr>
        <w:t xml:space="preserve"> effect of being within 10 minutes of a lottery winner on girls’ dropout rates is 0.009 (0.0053), as shown in column (4), which is statistically significant at the 5% level</w:t>
      </w:r>
      <w:r w:rsidR="00E83B6B">
        <w:rPr>
          <w:rFonts w:ascii="Times New Roman" w:hAnsi="Times New Roman" w:cs="Times New Roman"/>
          <w:sz w:val="24"/>
          <w:szCs w:val="24"/>
        </w:rPr>
        <w:t xml:space="preserve"> after correcting for multiple hypothesis testing. </w:t>
      </w:r>
      <w:r w:rsidR="00D705D4">
        <w:rPr>
          <w:rFonts w:ascii="Times New Roman" w:hAnsi="Times New Roman" w:cs="Times New Roman"/>
          <w:sz w:val="24"/>
          <w:szCs w:val="24"/>
        </w:rPr>
        <w:t>For boys, the effect on dropout rates is 0.017 (0.0067)</w:t>
      </w:r>
      <w:r w:rsidR="00601BC1">
        <w:rPr>
          <w:rFonts w:ascii="Times New Roman" w:hAnsi="Times New Roman" w:cs="Times New Roman"/>
          <w:sz w:val="24"/>
          <w:szCs w:val="24"/>
        </w:rPr>
        <w:t>, which is statistically significant at the 1% level (column (8)). Unlike 11</w:t>
      </w:r>
      <w:r w:rsidR="00601BC1" w:rsidRPr="00601BC1">
        <w:rPr>
          <w:rFonts w:ascii="Times New Roman" w:hAnsi="Times New Roman" w:cs="Times New Roman"/>
          <w:sz w:val="24"/>
          <w:szCs w:val="24"/>
          <w:vertAlign w:val="superscript"/>
        </w:rPr>
        <w:t>th</w:t>
      </w:r>
      <w:r w:rsidR="00601BC1">
        <w:rPr>
          <w:rFonts w:ascii="Times New Roman" w:hAnsi="Times New Roman" w:cs="Times New Roman"/>
          <w:sz w:val="24"/>
          <w:szCs w:val="24"/>
        </w:rPr>
        <w:t xml:space="preserve"> graders, the effects on dropout rates for 12</w:t>
      </w:r>
      <w:r w:rsidR="00601BC1" w:rsidRPr="00601BC1">
        <w:rPr>
          <w:rFonts w:ascii="Times New Roman" w:hAnsi="Times New Roman" w:cs="Times New Roman"/>
          <w:sz w:val="24"/>
          <w:szCs w:val="24"/>
          <w:vertAlign w:val="superscript"/>
        </w:rPr>
        <w:t>th</w:t>
      </w:r>
      <w:r w:rsidR="00601BC1">
        <w:rPr>
          <w:rFonts w:ascii="Times New Roman" w:hAnsi="Times New Roman" w:cs="Times New Roman"/>
          <w:sz w:val="24"/>
          <w:szCs w:val="24"/>
        </w:rPr>
        <w:t xml:space="preserve"> graders are larger for boys than girls relative to the mean. Before legalization, the </w:t>
      </w:r>
      <w:r w:rsidR="00601BC1">
        <w:rPr>
          <w:rFonts w:ascii="Times New Roman" w:hAnsi="Times New Roman" w:cs="Times New Roman"/>
          <w:sz w:val="24"/>
          <w:szCs w:val="24"/>
        </w:rPr>
        <w:lastRenderedPageBreak/>
        <w:t>dropout rate for 12</w:t>
      </w:r>
      <w:r w:rsidR="00601BC1" w:rsidRPr="00601BC1">
        <w:rPr>
          <w:rFonts w:ascii="Times New Roman" w:hAnsi="Times New Roman" w:cs="Times New Roman"/>
          <w:sz w:val="24"/>
          <w:szCs w:val="24"/>
          <w:vertAlign w:val="superscript"/>
        </w:rPr>
        <w:t>th</w:t>
      </w:r>
      <w:r w:rsidR="00161096">
        <w:rPr>
          <w:rFonts w:ascii="Times New Roman" w:hAnsi="Times New Roman" w:cs="Times New Roman"/>
          <w:sz w:val="24"/>
          <w:szCs w:val="24"/>
          <w:vertAlign w:val="superscript"/>
        </w:rPr>
        <w:t xml:space="preserve"> </w:t>
      </w:r>
      <w:r w:rsidR="00601BC1">
        <w:rPr>
          <w:rFonts w:ascii="Times New Roman" w:hAnsi="Times New Roman" w:cs="Times New Roman"/>
          <w:sz w:val="24"/>
          <w:szCs w:val="24"/>
        </w:rPr>
        <w:t xml:space="preserve">graders was 4.1% for girls and 5.9% for boys, meaning that dropout rates increased by about 22% and 29% for girls and boys, respectively. </w:t>
      </w:r>
    </w:p>
    <w:p w14:paraId="12C0D5AD" w14:textId="2E406992" w:rsidR="003C1B80" w:rsidRDefault="00161096"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Chronic absenteeism also increases for both 11</w:t>
      </w:r>
      <w:r w:rsidRPr="00161096">
        <w:rPr>
          <w:rFonts w:ascii="Times New Roman" w:hAnsi="Times New Roman" w:cs="Times New Roman"/>
          <w:sz w:val="24"/>
          <w:szCs w:val="24"/>
          <w:vertAlign w:val="superscript"/>
        </w:rPr>
        <w:t>th</w:t>
      </w:r>
      <w:r>
        <w:rPr>
          <w:rFonts w:ascii="Times New Roman" w:hAnsi="Times New Roman" w:cs="Times New Roman"/>
          <w:sz w:val="24"/>
          <w:szCs w:val="24"/>
        </w:rPr>
        <w:t>- and 12</w:t>
      </w:r>
      <w:r w:rsidRPr="00161096">
        <w:rPr>
          <w:rFonts w:ascii="Times New Roman" w:hAnsi="Times New Roman" w:cs="Times New Roman"/>
          <w:sz w:val="24"/>
          <w:szCs w:val="24"/>
          <w:vertAlign w:val="superscript"/>
        </w:rPr>
        <w:t>th</w:t>
      </w:r>
      <w:r>
        <w:rPr>
          <w:rFonts w:ascii="Times New Roman" w:hAnsi="Times New Roman" w:cs="Times New Roman"/>
          <w:sz w:val="24"/>
          <w:szCs w:val="24"/>
        </w:rPr>
        <w:t>-grade girls and boys after recreational marijuana legalization</w:t>
      </w:r>
      <w:r w:rsidR="00413DFD">
        <w:rPr>
          <w:rFonts w:ascii="Times New Roman" w:hAnsi="Times New Roman" w:cs="Times New Roman"/>
          <w:sz w:val="24"/>
          <w:szCs w:val="24"/>
        </w:rPr>
        <w:t xml:space="preserve">. </w:t>
      </w:r>
      <w:r w:rsidR="002C5BA2">
        <w:rPr>
          <w:rFonts w:ascii="Times New Roman" w:hAnsi="Times New Roman" w:cs="Times New Roman"/>
          <w:sz w:val="24"/>
          <w:szCs w:val="24"/>
        </w:rPr>
        <w:t xml:space="preserve">Panel A of </w:t>
      </w:r>
      <w:r w:rsidR="00413DFD">
        <w:rPr>
          <w:rFonts w:ascii="Times New Roman" w:hAnsi="Times New Roman" w:cs="Times New Roman"/>
          <w:sz w:val="24"/>
          <w:szCs w:val="24"/>
        </w:rPr>
        <w:t>Table 3 shows that, f</w:t>
      </w:r>
      <w:r w:rsidR="002A38E0">
        <w:rPr>
          <w:rFonts w:ascii="Times New Roman" w:hAnsi="Times New Roman" w:cs="Times New Roman"/>
          <w:sz w:val="24"/>
          <w:szCs w:val="24"/>
        </w:rPr>
        <w:t>or 11</w:t>
      </w:r>
      <w:r w:rsidR="002A38E0" w:rsidRPr="002A38E0">
        <w:rPr>
          <w:rFonts w:ascii="Times New Roman" w:hAnsi="Times New Roman" w:cs="Times New Roman"/>
          <w:sz w:val="24"/>
          <w:szCs w:val="24"/>
          <w:vertAlign w:val="superscript"/>
        </w:rPr>
        <w:t>th</w:t>
      </w:r>
      <w:r w:rsidR="002A38E0">
        <w:rPr>
          <w:rFonts w:ascii="Times New Roman" w:hAnsi="Times New Roman" w:cs="Times New Roman"/>
          <w:sz w:val="24"/>
          <w:szCs w:val="24"/>
        </w:rPr>
        <w:t xml:space="preserve">-grade girls, chronic absenteeism increases by 0.04 (0.0177) </w:t>
      </w:r>
      <w:r w:rsidR="00F90099">
        <w:rPr>
          <w:rFonts w:ascii="Times New Roman" w:hAnsi="Times New Roman" w:cs="Times New Roman"/>
          <w:sz w:val="24"/>
          <w:szCs w:val="24"/>
        </w:rPr>
        <w:t>as a result of the lottery, which is a 17% increase from the state average of 24% for high school girls in 2014</w:t>
      </w:r>
      <w:r w:rsidR="00413DFD">
        <w:rPr>
          <w:rFonts w:ascii="Times New Roman" w:hAnsi="Times New Roman" w:cs="Times New Roman"/>
          <w:sz w:val="24"/>
          <w:szCs w:val="24"/>
        </w:rPr>
        <w:t xml:space="preserve"> (</w:t>
      </w:r>
      <w:r w:rsidR="00F90099">
        <w:rPr>
          <w:rFonts w:ascii="Times New Roman" w:hAnsi="Times New Roman" w:cs="Times New Roman"/>
          <w:sz w:val="24"/>
          <w:szCs w:val="24"/>
        </w:rPr>
        <w:t>column (4)</w:t>
      </w:r>
      <w:r w:rsidR="00413DFD">
        <w:rPr>
          <w:rFonts w:ascii="Times New Roman" w:hAnsi="Times New Roman" w:cs="Times New Roman"/>
          <w:sz w:val="24"/>
          <w:szCs w:val="24"/>
        </w:rPr>
        <w:t>)</w:t>
      </w:r>
      <w:r w:rsidR="00F90099">
        <w:rPr>
          <w:rFonts w:ascii="Times New Roman" w:hAnsi="Times New Roman" w:cs="Times New Roman"/>
          <w:sz w:val="24"/>
          <w:szCs w:val="24"/>
        </w:rPr>
        <w:t>. This effect is statistically significant at the 1% level. The increase is smaller for boys, and statistically significant at the 5% level. Column (8) shows that the effect of the lottery on 11</w:t>
      </w:r>
      <w:r w:rsidR="00F90099" w:rsidRPr="00F90099">
        <w:rPr>
          <w:rFonts w:ascii="Times New Roman" w:hAnsi="Times New Roman" w:cs="Times New Roman"/>
          <w:sz w:val="24"/>
          <w:szCs w:val="24"/>
          <w:vertAlign w:val="superscript"/>
        </w:rPr>
        <w:t>th</w:t>
      </w:r>
      <w:r w:rsidR="00F90099">
        <w:rPr>
          <w:rFonts w:ascii="Times New Roman" w:hAnsi="Times New Roman" w:cs="Times New Roman"/>
          <w:sz w:val="24"/>
          <w:szCs w:val="24"/>
        </w:rPr>
        <w:t xml:space="preserve">-grade boys is 0.026 (0.0164), which is a 12% increase from the state average of 21% for high school boys in 2014. I use state average chronic absenteeism </w:t>
      </w:r>
      <w:r w:rsidR="002277E3">
        <w:rPr>
          <w:rFonts w:ascii="Times New Roman" w:hAnsi="Times New Roman" w:cs="Times New Roman"/>
          <w:sz w:val="24"/>
          <w:szCs w:val="24"/>
        </w:rPr>
        <w:t xml:space="preserve">in 2014 </w:t>
      </w:r>
      <w:r w:rsidR="00F90099">
        <w:rPr>
          <w:rFonts w:ascii="Times New Roman" w:hAnsi="Times New Roman" w:cs="Times New Roman"/>
          <w:sz w:val="24"/>
          <w:szCs w:val="24"/>
        </w:rPr>
        <w:t xml:space="preserve">as </w:t>
      </w:r>
      <w:r w:rsidR="002277E3">
        <w:rPr>
          <w:rFonts w:ascii="Times New Roman" w:hAnsi="Times New Roman" w:cs="Times New Roman"/>
          <w:sz w:val="24"/>
          <w:szCs w:val="24"/>
        </w:rPr>
        <w:t>the base</w:t>
      </w:r>
      <w:r w:rsidR="00F90099">
        <w:rPr>
          <w:rFonts w:ascii="Times New Roman" w:hAnsi="Times New Roman" w:cs="Times New Roman"/>
          <w:sz w:val="24"/>
          <w:szCs w:val="24"/>
        </w:rPr>
        <w:t xml:space="preserve"> because the school-level data is not available until 2015. </w:t>
      </w:r>
    </w:p>
    <w:p w14:paraId="2F3AB0C3" w14:textId="0422B952" w:rsidR="00161096" w:rsidRDefault="002C5BA2" w:rsidP="003C1B80">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Panel B of </w:t>
      </w:r>
      <w:r w:rsidR="00846B87">
        <w:rPr>
          <w:rFonts w:ascii="Times New Roman" w:hAnsi="Times New Roman" w:cs="Times New Roman"/>
          <w:sz w:val="24"/>
          <w:szCs w:val="24"/>
        </w:rPr>
        <w:t>Table 3</w:t>
      </w:r>
      <w:r w:rsidR="00F336BD">
        <w:rPr>
          <w:rFonts w:ascii="Times New Roman" w:hAnsi="Times New Roman" w:cs="Times New Roman"/>
          <w:sz w:val="24"/>
          <w:szCs w:val="24"/>
        </w:rPr>
        <w:t xml:space="preserve"> shows th</w:t>
      </w:r>
      <w:r w:rsidR="003741D4">
        <w:rPr>
          <w:rFonts w:ascii="Times New Roman" w:hAnsi="Times New Roman" w:cs="Times New Roman"/>
          <w:sz w:val="24"/>
          <w:szCs w:val="24"/>
        </w:rPr>
        <w:t>at</w:t>
      </w:r>
      <w:r w:rsidR="00F336BD">
        <w:rPr>
          <w:rFonts w:ascii="Times New Roman" w:hAnsi="Times New Roman" w:cs="Times New Roman"/>
          <w:sz w:val="24"/>
          <w:szCs w:val="24"/>
        </w:rPr>
        <w:t xml:space="preserve"> chronic absenteeism increases a bit more for 12</w:t>
      </w:r>
      <w:r w:rsidR="00F336BD" w:rsidRPr="00F336BD">
        <w:rPr>
          <w:rFonts w:ascii="Times New Roman" w:hAnsi="Times New Roman" w:cs="Times New Roman"/>
          <w:sz w:val="24"/>
          <w:szCs w:val="24"/>
          <w:vertAlign w:val="superscript"/>
        </w:rPr>
        <w:t>th</w:t>
      </w:r>
      <w:r w:rsidR="00F336BD">
        <w:rPr>
          <w:rFonts w:ascii="Times New Roman" w:hAnsi="Times New Roman" w:cs="Times New Roman"/>
          <w:sz w:val="24"/>
          <w:szCs w:val="24"/>
        </w:rPr>
        <w:t xml:space="preserve"> than 11</w:t>
      </w:r>
      <w:r w:rsidR="00F336BD" w:rsidRPr="00F336BD">
        <w:rPr>
          <w:rFonts w:ascii="Times New Roman" w:hAnsi="Times New Roman" w:cs="Times New Roman"/>
          <w:sz w:val="24"/>
          <w:szCs w:val="24"/>
          <w:vertAlign w:val="superscript"/>
        </w:rPr>
        <w:t>th</w:t>
      </w:r>
      <w:r w:rsidR="00F336BD">
        <w:rPr>
          <w:rFonts w:ascii="Times New Roman" w:hAnsi="Times New Roman" w:cs="Times New Roman"/>
          <w:sz w:val="24"/>
          <w:szCs w:val="24"/>
        </w:rPr>
        <w:t xml:space="preserve"> graders. In column (4), the effect of the lottery on girls is 0.047 (0.019), or 20% from the same 24% base for high school girls before legalization. The effect on 12</w:t>
      </w:r>
      <w:r w:rsidR="00F336BD" w:rsidRPr="00F336BD">
        <w:rPr>
          <w:rFonts w:ascii="Times New Roman" w:hAnsi="Times New Roman" w:cs="Times New Roman"/>
          <w:sz w:val="24"/>
          <w:szCs w:val="24"/>
          <w:vertAlign w:val="superscript"/>
        </w:rPr>
        <w:t>th</w:t>
      </w:r>
      <w:r w:rsidR="00F336BD">
        <w:rPr>
          <w:rFonts w:ascii="Times New Roman" w:hAnsi="Times New Roman" w:cs="Times New Roman"/>
          <w:sz w:val="24"/>
          <w:szCs w:val="24"/>
        </w:rPr>
        <w:t xml:space="preserve">-grade boys is 0.032 (0.0182), or a 15% increase from the 21% average (column (8)). Again, the effect on girls is statistically significant at the 1% level after correcting for multiple hypothesis testing, while the effect on boys is statistically significant at the 5% level. </w:t>
      </w:r>
    </w:p>
    <w:p w14:paraId="07F270C2" w14:textId="39B9EEA1" w:rsidR="00F336BD" w:rsidRDefault="00F336BD"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3208F">
        <w:rPr>
          <w:rFonts w:ascii="Times New Roman" w:hAnsi="Times New Roman" w:cs="Times New Roman"/>
          <w:sz w:val="24"/>
          <w:szCs w:val="24"/>
        </w:rPr>
        <w:t>In addition to dropout and chronic absenteeism rates, I also look at how legalization affects discipline rates for 11</w:t>
      </w:r>
      <w:r w:rsidR="00A3208F" w:rsidRPr="00A3208F">
        <w:rPr>
          <w:rFonts w:ascii="Times New Roman" w:hAnsi="Times New Roman" w:cs="Times New Roman"/>
          <w:sz w:val="24"/>
          <w:szCs w:val="24"/>
          <w:vertAlign w:val="superscript"/>
        </w:rPr>
        <w:t>th</w:t>
      </w:r>
      <w:r w:rsidR="00A3208F">
        <w:rPr>
          <w:rFonts w:ascii="Times New Roman" w:hAnsi="Times New Roman" w:cs="Times New Roman"/>
          <w:sz w:val="24"/>
          <w:szCs w:val="24"/>
        </w:rPr>
        <w:t xml:space="preserve"> and 12</w:t>
      </w:r>
      <w:r w:rsidR="00A3208F" w:rsidRPr="00A3208F">
        <w:rPr>
          <w:rFonts w:ascii="Times New Roman" w:hAnsi="Times New Roman" w:cs="Times New Roman"/>
          <w:sz w:val="24"/>
          <w:szCs w:val="24"/>
          <w:vertAlign w:val="superscript"/>
        </w:rPr>
        <w:t>th</w:t>
      </w:r>
      <w:r w:rsidR="00A3208F">
        <w:rPr>
          <w:rFonts w:ascii="Times New Roman" w:hAnsi="Times New Roman" w:cs="Times New Roman"/>
          <w:sz w:val="24"/>
          <w:szCs w:val="24"/>
        </w:rPr>
        <w:t xml:space="preserve"> graders. The results are presented in Table</w:t>
      </w:r>
      <w:r w:rsidR="00846B87">
        <w:rPr>
          <w:rFonts w:ascii="Times New Roman" w:hAnsi="Times New Roman" w:cs="Times New Roman"/>
          <w:sz w:val="24"/>
          <w:szCs w:val="24"/>
        </w:rPr>
        <w:t xml:space="preserve"> 4</w:t>
      </w:r>
      <w:r w:rsidR="00A3208F">
        <w:rPr>
          <w:rFonts w:ascii="Times New Roman" w:hAnsi="Times New Roman" w:cs="Times New Roman"/>
          <w:sz w:val="24"/>
          <w:szCs w:val="24"/>
        </w:rPr>
        <w:t>. There is no statistically significant effect on 11</w:t>
      </w:r>
      <w:r w:rsidR="00A3208F" w:rsidRPr="00A3208F">
        <w:rPr>
          <w:rFonts w:ascii="Times New Roman" w:hAnsi="Times New Roman" w:cs="Times New Roman"/>
          <w:sz w:val="24"/>
          <w:szCs w:val="24"/>
          <w:vertAlign w:val="superscript"/>
        </w:rPr>
        <w:t>th</w:t>
      </w:r>
      <w:r w:rsidR="00A3208F">
        <w:rPr>
          <w:rFonts w:ascii="Times New Roman" w:hAnsi="Times New Roman" w:cs="Times New Roman"/>
          <w:sz w:val="24"/>
          <w:szCs w:val="24"/>
        </w:rPr>
        <w:t>-grade discipline rates for girls or boys, or 12</w:t>
      </w:r>
      <w:r w:rsidR="00A3208F" w:rsidRPr="00A3208F">
        <w:rPr>
          <w:rFonts w:ascii="Times New Roman" w:hAnsi="Times New Roman" w:cs="Times New Roman"/>
          <w:sz w:val="24"/>
          <w:szCs w:val="24"/>
          <w:vertAlign w:val="superscript"/>
        </w:rPr>
        <w:t>th</w:t>
      </w:r>
      <w:r w:rsidR="00A3208F">
        <w:rPr>
          <w:rFonts w:ascii="Times New Roman" w:hAnsi="Times New Roman" w:cs="Times New Roman"/>
          <w:sz w:val="24"/>
          <w:szCs w:val="24"/>
        </w:rPr>
        <w:t>-grade girls, but there is an increase in discipline rates for 12</w:t>
      </w:r>
      <w:r w:rsidR="00A3208F" w:rsidRPr="00A3208F">
        <w:rPr>
          <w:rFonts w:ascii="Times New Roman" w:hAnsi="Times New Roman" w:cs="Times New Roman"/>
          <w:sz w:val="24"/>
          <w:szCs w:val="24"/>
          <w:vertAlign w:val="superscript"/>
        </w:rPr>
        <w:t>th</w:t>
      </w:r>
      <w:r w:rsidR="00A3208F">
        <w:rPr>
          <w:rFonts w:ascii="Times New Roman" w:hAnsi="Times New Roman" w:cs="Times New Roman"/>
          <w:sz w:val="24"/>
          <w:szCs w:val="24"/>
        </w:rPr>
        <w:t xml:space="preserve">-grade boys. </w:t>
      </w:r>
      <w:r w:rsidR="002C5BA2">
        <w:rPr>
          <w:rFonts w:ascii="Times New Roman" w:hAnsi="Times New Roman" w:cs="Times New Roman"/>
          <w:sz w:val="24"/>
          <w:szCs w:val="24"/>
        </w:rPr>
        <w:t>Panel B, column (8)</w:t>
      </w:r>
      <w:r w:rsidR="00A3208F">
        <w:rPr>
          <w:rFonts w:ascii="Times New Roman" w:hAnsi="Times New Roman" w:cs="Times New Roman"/>
          <w:sz w:val="24"/>
          <w:szCs w:val="24"/>
        </w:rPr>
        <w:t xml:space="preserve"> shows that the discipline rate for 12</w:t>
      </w:r>
      <w:r w:rsidR="00A3208F" w:rsidRPr="00A3208F">
        <w:rPr>
          <w:rFonts w:ascii="Times New Roman" w:hAnsi="Times New Roman" w:cs="Times New Roman"/>
          <w:sz w:val="24"/>
          <w:szCs w:val="24"/>
          <w:vertAlign w:val="superscript"/>
        </w:rPr>
        <w:t>th</w:t>
      </w:r>
      <w:r w:rsidR="007C1BEB">
        <w:rPr>
          <w:rFonts w:ascii="Times New Roman" w:hAnsi="Times New Roman" w:cs="Times New Roman"/>
          <w:sz w:val="24"/>
          <w:szCs w:val="24"/>
        </w:rPr>
        <w:t>-</w:t>
      </w:r>
      <w:r w:rsidR="00A3208F">
        <w:rPr>
          <w:rFonts w:ascii="Times New Roman" w:hAnsi="Times New Roman" w:cs="Times New Roman"/>
          <w:sz w:val="24"/>
          <w:szCs w:val="24"/>
        </w:rPr>
        <w:t>grade boys increases</w:t>
      </w:r>
      <w:r w:rsidR="00523D06">
        <w:rPr>
          <w:rFonts w:ascii="Times New Roman" w:hAnsi="Times New Roman" w:cs="Times New Roman"/>
          <w:sz w:val="24"/>
          <w:szCs w:val="24"/>
        </w:rPr>
        <w:t xml:space="preserve"> by</w:t>
      </w:r>
      <w:r w:rsidR="00A3208F">
        <w:rPr>
          <w:rFonts w:ascii="Times New Roman" w:hAnsi="Times New Roman" w:cs="Times New Roman"/>
          <w:sz w:val="24"/>
          <w:szCs w:val="24"/>
        </w:rPr>
        <w:t xml:space="preserve"> </w:t>
      </w:r>
      <w:r w:rsidR="00F947C0">
        <w:rPr>
          <w:rFonts w:ascii="Times New Roman" w:hAnsi="Times New Roman" w:cs="Times New Roman"/>
          <w:sz w:val="24"/>
          <w:szCs w:val="24"/>
        </w:rPr>
        <w:t>0.007</w:t>
      </w:r>
      <w:r w:rsidR="00AE23C2">
        <w:rPr>
          <w:rFonts w:ascii="Times New Roman" w:hAnsi="Times New Roman" w:cs="Times New Roman"/>
          <w:sz w:val="24"/>
          <w:szCs w:val="24"/>
        </w:rPr>
        <w:t xml:space="preserve"> (</w:t>
      </w:r>
      <w:r w:rsidR="009449F9">
        <w:rPr>
          <w:rFonts w:ascii="Times New Roman" w:hAnsi="Times New Roman" w:cs="Times New Roman"/>
          <w:sz w:val="24"/>
          <w:szCs w:val="24"/>
        </w:rPr>
        <w:t>0.0045</w:t>
      </w:r>
      <w:r w:rsidR="00AE23C2">
        <w:rPr>
          <w:rFonts w:ascii="Times New Roman" w:hAnsi="Times New Roman" w:cs="Times New Roman"/>
          <w:sz w:val="24"/>
          <w:szCs w:val="24"/>
        </w:rPr>
        <w:t>)</w:t>
      </w:r>
      <w:r w:rsidR="00F947C0">
        <w:rPr>
          <w:rFonts w:ascii="Times New Roman" w:hAnsi="Times New Roman" w:cs="Times New Roman"/>
          <w:sz w:val="24"/>
          <w:szCs w:val="24"/>
        </w:rPr>
        <w:t xml:space="preserve"> </w:t>
      </w:r>
      <w:r w:rsidR="00523D06">
        <w:rPr>
          <w:rFonts w:ascii="Times New Roman" w:hAnsi="Times New Roman" w:cs="Times New Roman"/>
          <w:sz w:val="24"/>
          <w:szCs w:val="24"/>
        </w:rPr>
        <w:t>and is</w:t>
      </w:r>
      <w:r w:rsidR="00F947C0">
        <w:rPr>
          <w:rFonts w:ascii="Times New Roman" w:hAnsi="Times New Roman" w:cs="Times New Roman"/>
          <w:sz w:val="24"/>
          <w:szCs w:val="24"/>
        </w:rPr>
        <w:t xml:space="preserve"> statistically significant at the 5% level. </w:t>
      </w:r>
    </w:p>
    <w:p w14:paraId="50645DE4" w14:textId="77D76454" w:rsidR="006E4301" w:rsidRDefault="006E4301"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To determine whether academic performance, not just behavior, changes after recreational marijuana legalization, I estimate equation (3) for the share of 11</w:t>
      </w:r>
      <w:r w:rsidRPr="006E4301">
        <w:rPr>
          <w:rFonts w:ascii="Times New Roman" w:hAnsi="Times New Roman" w:cs="Times New Roman"/>
          <w:sz w:val="24"/>
          <w:szCs w:val="24"/>
          <w:vertAlign w:val="superscript"/>
        </w:rPr>
        <w:t>th</w:t>
      </w:r>
      <w:r>
        <w:rPr>
          <w:rFonts w:ascii="Times New Roman" w:hAnsi="Times New Roman" w:cs="Times New Roman"/>
          <w:sz w:val="24"/>
          <w:szCs w:val="24"/>
        </w:rPr>
        <w:t xml:space="preserve">-grade students who are not proficient in math or ELA. </w:t>
      </w:r>
      <w:r w:rsidR="00CB2FC1">
        <w:rPr>
          <w:rFonts w:ascii="Times New Roman" w:hAnsi="Times New Roman" w:cs="Times New Roman"/>
          <w:sz w:val="24"/>
          <w:szCs w:val="24"/>
        </w:rPr>
        <w:t>Table</w:t>
      </w:r>
      <w:r w:rsidR="00A96527">
        <w:rPr>
          <w:rFonts w:ascii="Times New Roman" w:hAnsi="Times New Roman" w:cs="Times New Roman"/>
          <w:sz w:val="24"/>
          <w:szCs w:val="24"/>
        </w:rPr>
        <w:t xml:space="preserve"> 5</w:t>
      </w:r>
      <w:r w:rsidR="00CB2FC1">
        <w:rPr>
          <w:rFonts w:ascii="Times New Roman" w:hAnsi="Times New Roman" w:cs="Times New Roman"/>
          <w:sz w:val="24"/>
          <w:szCs w:val="24"/>
        </w:rPr>
        <w:t xml:space="preserve"> show</w:t>
      </w:r>
      <w:r w:rsidR="00A96527">
        <w:rPr>
          <w:rFonts w:ascii="Times New Roman" w:hAnsi="Times New Roman" w:cs="Times New Roman"/>
          <w:sz w:val="24"/>
          <w:szCs w:val="24"/>
        </w:rPr>
        <w:t>s</w:t>
      </w:r>
      <w:r w:rsidR="00CB2FC1">
        <w:rPr>
          <w:rFonts w:ascii="Times New Roman" w:hAnsi="Times New Roman" w:cs="Times New Roman"/>
          <w:sz w:val="24"/>
          <w:szCs w:val="24"/>
        </w:rPr>
        <w:t xml:space="preserve"> that neither the proportion of students not proficient math, nor the proportion not proficient in ELA, </w:t>
      </w:r>
      <w:r w:rsidR="003741D4">
        <w:rPr>
          <w:rFonts w:ascii="Times New Roman" w:hAnsi="Times New Roman" w:cs="Times New Roman"/>
          <w:sz w:val="24"/>
          <w:szCs w:val="24"/>
        </w:rPr>
        <w:t xml:space="preserve">for both girls and boys, </w:t>
      </w:r>
      <w:r w:rsidR="00CB2FC1">
        <w:rPr>
          <w:rFonts w:ascii="Times New Roman" w:hAnsi="Times New Roman" w:cs="Times New Roman"/>
          <w:sz w:val="24"/>
          <w:szCs w:val="24"/>
        </w:rPr>
        <w:t xml:space="preserve">changes </w:t>
      </w:r>
      <w:r w:rsidR="004D06F0">
        <w:rPr>
          <w:rFonts w:ascii="Times New Roman" w:hAnsi="Times New Roman" w:cs="Times New Roman"/>
          <w:sz w:val="24"/>
          <w:szCs w:val="24"/>
        </w:rPr>
        <w:t xml:space="preserve">in a statistically significant way </w:t>
      </w:r>
      <w:r w:rsidR="00CB2FC1">
        <w:rPr>
          <w:rFonts w:ascii="Times New Roman" w:hAnsi="Times New Roman" w:cs="Times New Roman"/>
          <w:sz w:val="24"/>
          <w:szCs w:val="24"/>
        </w:rPr>
        <w:t xml:space="preserve">as a result of the dispensary lottery. </w:t>
      </w:r>
      <w:r>
        <w:rPr>
          <w:rFonts w:ascii="Times New Roman" w:hAnsi="Times New Roman" w:cs="Times New Roman"/>
          <w:sz w:val="24"/>
          <w:szCs w:val="24"/>
        </w:rPr>
        <w:t xml:space="preserve">  </w:t>
      </w:r>
    </w:p>
    <w:p w14:paraId="6A8EFD26" w14:textId="77777777" w:rsidR="0001202B" w:rsidRPr="0001202B" w:rsidRDefault="0001202B" w:rsidP="005638C9">
      <w:pPr>
        <w:rPr>
          <w:rFonts w:ascii="Times New Roman" w:hAnsi="Times New Roman" w:cs="Times New Roman"/>
          <w:sz w:val="12"/>
          <w:szCs w:val="12"/>
        </w:rPr>
      </w:pPr>
    </w:p>
    <w:p w14:paraId="42964A89" w14:textId="4CAC85F4" w:rsidR="005638C9" w:rsidRDefault="00CA5F95" w:rsidP="005638C9">
      <w:pPr>
        <w:rPr>
          <w:rFonts w:ascii="Times New Roman" w:hAnsi="Times New Roman" w:cs="Times New Roman"/>
          <w:b/>
          <w:bCs/>
          <w:sz w:val="28"/>
          <w:szCs w:val="28"/>
        </w:rPr>
      </w:pPr>
      <w:r>
        <w:rPr>
          <w:rFonts w:ascii="Times New Roman" w:hAnsi="Times New Roman" w:cs="Times New Roman"/>
          <w:b/>
          <w:bCs/>
          <w:sz w:val="28"/>
          <w:szCs w:val="28"/>
        </w:rPr>
        <w:t>5</w:t>
      </w:r>
      <w:r w:rsidR="005638C9" w:rsidRPr="005638C9">
        <w:rPr>
          <w:rFonts w:ascii="Times New Roman" w:hAnsi="Times New Roman" w:cs="Times New Roman"/>
          <w:b/>
          <w:bCs/>
          <w:sz w:val="28"/>
          <w:szCs w:val="28"/>
        </w:rPr>
        <w:t>.2</w:t>
      </w:r>
      <w:r w:rsidR="005638C9" w:rsidRPr="005638C9">
        <w:rPr>
          <w:rFonts w:ascii="Times New Roman" w:hAnsi="Times New Roman" w:cs="Times New Roman"/>
          <w:b/>
          <w:bCs/>
          <w:sz w:val="28"/>
          <w:szCs w:val="28"/>
        </w:rPr>
        <w:tab/>
      </w:r>
      <w:r w:rsidR="007A50BC">
        <w:rPr>
          <w:rFonts w:ascii="Times New Roman" w:hAnsi="Times New Roman" w:cs="Times New Roman"/>
          <w:b/>
          <w:bCs/>
          <w:sz w:val="28"/>
          <w:szCs w:val="28"/>
        </w:rPr>
        <w:t xml:space="preserve">IV Estimates of the </w:t>
      </w:r>
      <w:r w:rsidR="005638C9" w:rsidRPr="005638C9">
        <w:rPr>
          <w:rFonts w:ascii="Times New Roman" w:hAnsi="Times New Roman" w:cs="Times New Roman"/>
          <w:b/>
          <w:bCs/>
          <w:sz w:val="28"/>
          <w:szCs w:val="28"/>
        </w:rPr>
        <w:t>Average Treatment Effect</w:t>
      </w:r>
    </w:p>
    <w:p w14:paraId="54335F21" w14:textId="1B07D6A8" w:rsidR="004665BC" w:rsidRDefault="00E11529"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E0EAA">
        <w:rPr>
          <w:rFonts w:ascii="Times New Roman" w:hAnsi="Times New Roman" w:cs="Times New Roman"/>
          <w:sz w:val="24"/>
          <w:szCs w:val="24"/>
        </w:rPr>
        <w:t xml:space="preserve">Tables </w:t>
      </w:r>
      <w:r w:rsidR="00F719ED">
        <w:rPr>
          <w:rFonts w:ascii="Times New Roman" w:hAnsi="Times New Roman" w:cs="Times New Roman"/>
          <w:sz w:val="24"/>
          <w:szCs w:val="24"/>
        </w:rPr>
        <w:t>7-10</w:t>
      </w:r>
      <w:r w:rsidR="003E0EAA">
        <w:rPr>
          <w:rFonts w:ascii="Times New Roman" w:hAnsi="Times New Roman" w:cs="Times New Roman"/>
          <w:sz w:val="24"/>
          <w:szCs w:val="24"/>
        </w:rPr>
        <w:t xml:space="preserve"> show OLS and IV estimates of equation (4)</w:t>
      </w:r>
      <w:r w:rsidR="00FB05F6">
        <w:rPr>
          <w:rFonts w:ascii="Times New Roman" w:hAnsi="Times New Roman" w:cs="Times New Roman"/>
          <w:sz w:val="24"/>
          <w:szCs w:val="24"/>
        </w:rPr>
        <w:t>.</w:t>
      </w:r>
      <w:r w:rsidR="001545F7">
        <w:rPr>
          <w:rFonts w:ascii="Times New Roman" w:hAnsi="Times New Roman" w:cs="Times New Roman"/>
          <w:sz w:val="24"/>
          <w:szCs w:val="24"/>
        </w:rPr>
        <w:t xml:space="preserve"> </w:t>
      </w:r>
      <w:r w:rsidR="00E7406D">
        <w:rPr>
          <w:rFonts w:ascii="Times New Roman" w:hAnsi="Times New Roman" w:cs="Times New Roman"/>
          <w:sz w:val="24"/>
          <w:szCs w:val="24"/>
        </w:rPr>
        <w:t>Like the reduced form estimates, I cluster standard errors at the school level and present Romano-Wolf one-sided p-values that correct for multiple hypothesis testing.</w:t>
      </w:r>
      <w:r w:rsidR="00E7406D">
        <w:rPr>
          <w:rStyle w:val="FootnoteReference"/>
          <w:rFonts w:ascii="Times New Roman" w:hAnsi="Times New Roman" w:cs="Times New Roman"/>
          <w:sz w:val="24"/>
          <w:szCs w:val="24"/>
        </w:rPr>
        <w:footnoteReference w:id="19"/>
      </w:r>
      <w:r w:rsidR="00E7406D">
        <w:rPr>
          <w:rFonts w:ascii="Times New Roman" w:hAnsi="Times New Roman" w:cs="Times New Roman"/>
          <w:sz w:val="24"/>
          <w:szCs w:val="24"/>
        </w:rPr>
        <w:t xml:space="preserve"> </w:t>
      </w:r>
    </w:p>
    <w:p w14:paraId="66ECC58B" w14:textId="595AD469" w:rsidR="00E11529" w:rsidRDefault="004665BC"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Table </w:t>
      </w:r>
      <w:r w:rsidR="00B91948">
        <w:rPr>
          <w:rFonts w:ascii="Times New Roman" w:hAnsi="Times New Roman" w:cs="Times New Roman"/>
          <w:sz w:val="24"/>
          <w:szCs w:val="24"/>
        </w:rPr>
        <w:t>7</w:t>
      </w:r>
      <w:r>
        <w:rPr>
          <w:rFonts w:ascii="Times New Roman" w:hAnsi="Times New Roman" w:cs="Times New Roman"/>
          <w:sz w:val="24"/>
          <w:szCs w:val="24"/>
        </w:rPr>
        <w:t xml:space="preserve"> shows the effects of legalization on dropout rates. The OLS estimate of equation (4) </w:t>
      </w:r>
      <w:r w:rsidR="00186CD5">
        <w:rPr>
          <w:rFonts w:ascii="Times New Roman" w:hAnsi="Times New Roman" w:cs="Times New Roman"/>
          <w:sz w:val="24"/>
          <w:szCs w:val="24"/>
        </w:rPr>
        <w:t>for 11</w:t>
      </w:r>
      <w:r w:rsidR="00186CD5" w:rsidRPr="00186CD5">
        <w:rPr>
          <w:rFonts w:ascii="Times New Roman" w:hAnsi="Times New Roman" w:cs="Times New Roman"/>
          <w:sz w:val="24"/>
          <w:szCs w:val="24"/>
          <w:vertAlign w:val="superscript"/>
        </w:rPr>
        <w:t>th</w:t>
      </w:r>
      <w:r w:rsidR="00186CD5">
        <w:rPr>
          <w:rFonts w:ascii="Times New Roman" w:hAnsi="Times New Roman" w:cs="Times New Roman"/>
          <w:sz w:val="24"/>
          <w:szCs w:val="24"/>
        </w:rPr>
        <w:t xml:space="preserve">-grade girls </w:t>
      </w:r>
      <w:r w:rsidR="006B6528">
        <w:rPr>
          <w:rFonts w:ascii="Times New Roman" w:hAnsi="Times New Roman" w:cs="Times New Roman"/>
          <w:sz w:val="24"/>
          <w:szCs w:val="24"/>
        </w:rPr>
        <w:t>i</w:t>
      </w:r>
      <w:r>
        <w:rPr>
          <w:rFonts w:ascii="Times New Roman" w:hAnsi="Times New Roman" w:cs="Times New Roman"/>
          <w:sz w:val="24"/>
          <w:szCs w:val="24"/>
        </w:rPr>
        <w:t>s 0.005, as shown in column (1)</w:t>
      </w:r>
      <w:r w:rsidR="006B6528">
        <w:rPr>
          <w:rFonts w:ascii="Times New Roman" w:hAnsi="Times New Roman" w:cs="Times New Roman"/>
          <w:sz w:val="24"/>
          <w:szCs w:val="24"/>
        </w:rPr>
        <w:t>.</w:t>
      </w:r>
      <w:r>
        <w:rPr>
          <w:rFonts w:ascii="Times New Roman" w:hAnsi="Times New Roman" w:cs="Times New Roman"/>
          <w:sz w:val="24"/>
          <w:szCs w:val="24"/>
        </w:rPr>
        <w:t xml:space="preserve"> Like I discussed in the methodology section, th</w:t>
      </w:r>
      <w:r w:rsidR="00593CA1">
        <w:rPr>
          <w:rFonts w:ascii="Times New Roman" w:hAnsi="Times New Roman" w:cs="Times New Roman"/>
          <w:sz w:val="24"/>
          <w:szCs w:val="24"/>
        </w:rPr>
        <w:t>e OLS estimate of being within 10 minutes of an open marijuana dispensary is likely biased because which dispensaries open (and where and when) is likely endogenous to unobserved demand for marijuana. Thus, I instrument for a school being within 10 minutes of an open dispensary with an indicator for whether it is within 10 minutes of a lottery</w:t>
      </w:r>
      <w:r w:rsidR="00A05F8C">
        <w:rPr>
          <w:rFonts w:ascii="Times New Roman" w:hAnsi="Times New Roman" w:cs="Times New Roman"/>
          <w:sz w:val="24"/>
          <w:szCs w:val="24"/>
        </w:rPr>
        <w:t>-</w:t>
      </w:r>
      <w:r w:rsidR="00593CA1">
        <w:rPr>
          <w:rFonts w:ascii="Times New Roman" w:hAnsi="Times New Roman" w:cs="Times New Roman"/>
          <w:sz w:val="24"/>
          <w:szCs w:val="24"/>
        </w:rPr>
        <w:t xml:space="preserve">winning dispensary. </w:t>
      </w:r>
      <w:r w:rsidR="00D134C8">
        <w:rPr>
          <w:rFonts w:ascii="Times New Roman" w:hAnsi="Times New Roman" w:cs="Times New Roman"/>
          <w:sz w:val="24"/>
          <w:szCs w:val="24"/>
        </w:rPr>
        <w:t>Column (2) shows that the</w:t>
      </w:r>
      <w:r w:rsidR="00593CA1">
        <w:rPr>
          <w:rFonts w:ascii="Times New Roman" w:hAnsi="Times New Roman" w:cs="Times New Roman"/>
          <w:sz w:val="24"/>
          <w:szCs w:val="24"/>
        </w:rPr>
        <w:t xml:space="preserve"> IV estimate </w:t>
      </w:r>
      <w:r w:rsidR="0083671D">
        <w:rPr>
          <w:rFonts w:ascii="Times New Roman" w:hAnsi="Times New Roman" w:cs="Times New Roman"/>
          <w:sz w:val="24"/>
          <w:szCs w:val="24"/>
        </w:rPr>
        <w:t>for 11</w:t>
      </w:r>
      <w:r w:rsidR="0083671D" w:rsidRPr="0083671D">
        <w:rPr>
          <w:rFonts w:ascii="Times New Roman" w:hAnsi="Times New Roman" w:cs="Times New Roman"/>
          <w:sz w:val="24"/>
          <w:szCs w:val="24"/>
          <w:vertAlign w:val="superscript"/>
        </w:rPr>
        <w:t>th</w:t>
      </w:r>
      <w:r w:rsidR="0083671D">
        <w:rPr>
          <w:rFonts w:ascii="Times New Roman" w:hAnsi="Times New Roman" w:cs="Times New Roman"/>
          <w:sz w:val="24"/>
          <w:szCs w:val="24"/>
        </w:rPr>
        <w:t>-gr</w:t>
      </w:r>
      <w:r w:rsidR="00FE47D0">
        <w:rPr>
          <w:rFonts w:ascii="Times New Roman" w:hAnsi="Times New Roman" w:cs="Times New Roman"/>
          <w:sz w:val="24"/>
          <w:szCs w:val="24"/>
        </w:rPr>
        <w:t>a</w:t>
      </w:r>
      <w:r w:rsidR="0083671D">
        <w:rPr>
          <w:rFonts w:ascii="Times New Roman" w:hAnsi="Times New Roman" w:cs="Times New Roman"/>
          <w:sz w:val="24"/>
          <w:szCs w:val="24"/>
        </w:rPr>
        <w:t xml:space="preserve">de girls is </w:t>
      </w:r>
      <w:r w:rsidR="00593CA1">
        <w:rPr>
          <w:rFonts w:ascii="Times New Roman" w:hAnsi="Times New Roman" w:cs="Times New Roman"/>
          <w:sz w:val="24"/>
          <w:szCs w:val="24"/>
        </w:rPr>
        <w:t>0.029 (0.0133), which is statistically significant at the 5% level after correcting for multiple hypothesis testing. This means that, relative to the pre-legalization average of 2.1%, 11</w:t>
      </w:r>
      <w:r w:rsidR="00593CA1" w:rsidRPr="00593CA1">
        <w:rPr>
          <w:rFonts w:ascii="Times New Roman" w:hAnsi="Times New Roman" w:cs="Times New Roman"/>
          <w:sz w:val="24"/>
          <w:szCs w:val="24"/>
          <w:vertAlign w:val="superscript"/>
        </w:rPr>
        <w:t>th</w:t>
      </w:r>
      <w:r w:rsidR="00593CA1">
        <w:rPr>
          <w:rFonts w:ascii="Times New Roman" w:hAnsi="Times New Roman" w:cs="Times New Roman"/>
          <w:sz w:val="24"/>
          <w:szCs w:val="24"/>
        </w:rPr>
        <w:t xml:space="preserve">-grade girls’ dropout </w:t>
      </w:r>
      <w:r w:rsidR="008E72A0">
        <w:rPr>
          <w:rFonts w:ascii="Times New Roman" w:hAnsi="Times New Roman" w:cs="Times New Roman"/>
          <w:sz w:val="24"/>
          <w:szCs w:val="24"/>
        </w:rPr>
        <w:t>rates increase by 1</w:t>
      </w:r>
      <w:r w:rsidR="00F7487E">
        <w:rPr>
          <w:rFonts w:ascii="Times New Roman" w:hAnsi="Times New Roman" w:cs="Times New Roman"/>
          <w:sz w:val="24"/>
          <w:szCs w:val="24"/>
        </w:rPr>
        <w:t>4</w:t>
      </w:r>
      <w:r w:rsidR="008E72A0">
        <w:rPr>
          <w:rFonts w:ascii="Times New Roman" w:hAnsi="Times New Roman" w:cs="Times New Roman"/>
          <w:sz w:val="24"/>
          <w:szCs w:val="24"/>
        </w:rPr>
        <w:t>0%.</w:t>
      </w:r>
      <w:r w:rsidR="007B3668">
        <w:rPr>
          <w:rFonts w:ascii="Times New Roman" w:hAnsi="Times New Roman" w:cs="Times New Roman"/>
          <w:sz w:val="24"/>
          <w:szCs w:val="24"/>
        </w:rPr>
        <w:t xml:space="preserve"> I perform a Hausman specification test and can conclude that</w:t>
      </w:r>
      <w:r w:rsidR="00A05F8C">
        <w:rPr>
          <w:rFonts w:ascii="Times New Roman" w:hAnsi="Times New Roman" w:cs="Times New Roman"/>
          <w:sz w:val="24"/>
          <w:szCs w:val="24"/>
        </w:rPr>
        <w:t xml:space="preserve"> the</w:t>
      </w:r>
      <w:r w:rsidR="007B3668">
        <w:rPr>
          <w:rFonts w:ascii="Times New Roman" w:hAnsi="Times New Roman" w:cs="Times New Roman"/>
          <w:sz w:val="24"/>
          <w:szCs w:val="24"/>
        </w:rPr>
        <w:t xml:space="preserve"> OLS and IV estimates are different at the 0.3% level. </w:t>
      </w:r>
      <w:r w:rsidR="00F7487E">
        <w:rPr>
          <w:rFonts w:ascii="Times New Roman" w:hAnsi="Times New Roman" w:cs="Times New Roman"/>
          <w:sz w:val="24"/>
          <w:szCs w:val="24"/>
        </w:rPr>
        <w:t>Like the reduced form effects, the IV estimates for 11</w:t>
      </w:r>
      <w:r w:rsidR="00F7487E" w:rsidRPr="00F7487E">
        <w:rPr>
          <w:rFonts w:ascii="Times New Roman" w:hAnsi="Times New Roman" w:cs="Times New Roman"/>
          <w:sz w:val="24"/>
          <w:szCs w:val="24"/>
          <w:vertAlign w:val="superscript"/>
        </w:rPr>
        <w:t>th</w:t>
      </w:r>
      <w:r w:rsidR="00F7487E">
        <w:rPr>
          <w:rFonts w:ascii="Times New Roman" w:hAnsi="Times New Roman" w:cs="Times New Roman"/>
          <w:sz w:val="24"/>
          <w:szCs w:val="24"/>
        </w:rPr>
        <w:t xml:space="preserve">-grade girls’ dropout rates are </w:t>
      </w:r>
      <w:r w:rsidR="00F7487E">
        <w:rPr>
          <w:rFonts w:ascii="Times New Roman" w:hAnsi="Times New Roman" w:cs="Times New Roman"/>
          <w:sz w:val="24"/>
          <w:szCs w:val="24"/>
        </w:rPr>
        <w:lastRenderedPageBreak/>
        <w:t>larger than those for 11</w:t>
      </w:r>
      <w:r w:rsidR="00F7487E" w:rsidRPr="00F7487E">
        <w:rPr>
          <w:rFonts w:ascii="Times New Roman" w:hAnsi="Times New Roman" w:cs="Times New Roman"/>
          <w:sz w:val="24"/>
          <w:szCs w:val="24"/>
          <w:vertAlign w:val="superscript"/>
        </w:rPr>
        <w:t>th</w:t>
      </w:r>
      <w:r w:rsidR="00F7487E">
        <w:rPr>
          <w:rFonts w:ascii="Times New Roman" w:hAnsi="Times New Roman" w:cs="Times New Roman"/>
          <w:sz w:val="24"/>
          <w:szCs w:val="24"/>
        </w:rPr>
        <w:t xml:space="preserve">-grade boys. </w:t>
      </w:r>
      <w:r w:rsidR="00E8168C">
        <w:rPr>
          <w:rFonts w:ascii="Times New Roman" w:hAnsi="Times New Roman" w:cs="Times New Roman"/>
          <w:sz w:val="24"/>
          <w:szCs w:val="24"/>
        </w:rPr>
        <w:t>Column (</w:t>
      </w:r>
      <w:r w:rsidR="00FC62F0">
        <w:rPr>
          <w:rFonts w:ascii="Times New Roman" w:hAnsi="Times New Roman" w:cs="Times New Roman"/>
          <w:sz w:val="24"/>
          <w:szCs w:val="24"/>
        </w:rPr>
        <w:t>4</w:t>
      </w:r>
      <w:r w:rsidR="00E8168C">
        <w:rPr>
          <w:rFonts w:ascii="Times New Roman" w:hAnsi="Times New Roman" w:cs="Times New Roman"/>
          <w:sz w:val="24"/>
          <w:szCs w:val="24"/>
        </w:rPr>
        <w:t>) shows that the IV estimate of a dispensary opening within 10 minutes of a school is 0.033 (0.0179), which is statistically significant at the 10% level. Relative to the average dropout rate before legalization, 2</w:t>
      </w:r>
      <w:r w:rsidR="00A05F8C">
        <w:rPr>
          <w:rFonts w:ascii="Times New Roman" w:hAnsi="Times New Roman" w:cs="Times New Roman"/>
          <w:sz w:val="24"/>
          <w:szCs w:val="24"/>
        </w:rPr>
        <w:t>.</w:t>
      </w:r>
      <w:r w:rsidR="00E8168C">
        <w:rPr>
          <w:rFonts w:ascii="Times New Roman" w:hAnsi="Times New Roman" w:cs="Times New Roman"/>
          <w:sz w:val="24"/>
          <w:szCs w:val="24"/>
        </w:rPr>
        <w:t>9%, the dropout rate for 11</w:t>
      </w:r>
      <w:r w:rsidR="00E8168C" w:rsidRPr="00E8168C">
        <w:rPr>
          <w:rFonts w:ascii="Times New Roman" w:hAnsi="Times New Roman" w:cs="Times New Roman"/>
          <w:sz w:val="24"/>
          <w:szCs w:val="24"/>
          <w:vertAlign w:val="superscript"/>
        </w:rPr>
        <w:t>th</w:t>
      </w:r>
      <w:r w:rsidR="00E8168C">
        <w:rPr>
          <w:rFonts w:ascii="Times New Roman" w:hAnsi="Times New Roman" w:cs="Times New Roman"/>
          <w:sz w:val="24"/>
          <w:szCs w:val="24"/>
        </w:rPr>
        <w:t xml:space="preserve">-grade boys increases by 114%. Again, I perform a Hausman specification test and can reject the null that the OLS and IV estimates are equal at the 3% level. </w:t>
      </w:r>
    </w:p>
    <w:p w14:paraId="17CA065A" w14:textId="749F617D" w:rsidR="007E0B83" w:rsidRDefault="007E0B83"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Dropout rates for 12</w:t>
      </w:r>
      <w:r w:rsidRPr="007E0B83">
        <w:rPr>
          <w:rFonts w:ascii="Times New Roman" w:hAnsi="Times New Roman" w:cs="Times New Roman"/>
          <w:sz w:val="24"/>
          <w:szCs w:val="24"/>
          <w:vertAlign w:val="superscript"/>
        </w:rPr>
        <w:t>th</w:t>
      </w:r>
      <w:r>
        <w:rPr>
          <w:rFonts w:ascii="Times New Roman" w:hAnsi="Times New Roman" w:cs="Times New Roman"/>
          <w:sz w:val="24"/>
          <w:szCs w:val="24"/>
        </w:rPr>
        <w:t xml:space="preserve"> graders, both girls and boys, also increase </w:t>
      </w:r>
      <w:r w:rsidR="00EE212E">
        <w:rPr>
          <w:rFonts w:ascii="Times New Roman" w:hAnsi="Times New Roman" w:cs="Times New Roman"/>
          <w:sz w:val="24"/>
          <w:szCs w:val="24"/>
        </w:rPr>
        <w:t>because</w:t>
      </w:r>
      <w:r>
        <w:rPr>
          <w:rFonts w:ascii="Times New Roman" w:hAnsi="Times New Roman" w:cs="Times New Roman"/>
          <w:sz w:val="24"/>
          <w:szCs w:val="24"/>
        </w:rPr>
        <w:t xml:space="preserve"> of dispensaries opening within 10 minutes of their schools</w:t>
      </w:r>
      <w:r w:rsidR="00EE3040">
        <w:rPr>
          <w:rFonts w:ascii="Times New Roman" w:hAnsi="Times New Roman" w:cs="Times New Roman"/>
          <w:sz w:val="24"/>
          <w:szCs w:val="24"/>
        </w:rPr>
        <w:t>, though less than for 11</w:t>
      </w:r>
      <w:r w:rsidR="00EE3040" w:rsidRPr="00EE3040">
        <w:rPr>
          <w:rFonts w:ascii="Times New Roman" w:hAnsi="Times New Roman" w:cs="Times New Roman"/>
          <w:sz w:val="24"/>
          <w:szCs w:val="24"/>
          <w:vertAlign w:val="superscript"/>
        </w:rPr>
        <w:t>th</w:t>
      </w:r>
      <w:r w:rsidR="00A05F8C">
        <w:rPr>
          <w:rFonts w:ascii="Times New Roman" w:hAnsi="Times New Roman" w:cs="Times New Roman"/>
          <w:sz w:val="24"/>
          <w:szCs w:val="24"/>
        </w:rPr>
        <w:t xml:space="preserve"> </w:t>
      </w:r>
      <w:r w:rsidR="00EE3040">
        <w:rPr>
          <w:rFonts w:ascii="Times New Roman" w:hAnsi="Times New Roman" w:cs="Times New Roman"/>
          <w:sz w:val="24"/>
          <w:szCs w:val="24"/>
        </w:rPr>
        <w:t>graders.</w:t>
      </w:r>
      <w:r>
        <w:rPr>
          <w:rFonts w:ascii="Times New Roman" w:hAnsi="Times New Roman" w:cs="Times New Roman"/>
          <w:sz w:val="24"/>
          <w:szCs w:val="24"/>
        </w:rPr>
        <w:t xml:space="preserve"> </w:t>
      </w:r>
      <w:r w:rsidR="00EE212E">
        <w:rPr>
          <w:rFonts w:ascii="Times New Roman" w:hAnsi="Times New Roman" w:cs="Times New Roman"/>
          <w:sz w:val="24"/>
          <w:szCs w:val="24"/>
        </w:rPr>
        <w:t>The OLS estimate of equation (4) for 12</w:t>
      </w:r>
      <w:r w:rsidR="00EE212E" w:rsidRPr="00EE212E">
        <w:rPr>
          <w:rFonts w:ascii="Times New Roman" w:hAnsi="Times New Roman" w:cs="Times New Roman"/>
          <w:sz w:val="24"/>
          <w:szCs w:val="24"/>
          <w:vertAlign w:val="superscript"/>
        </w:rPr>
        <w:t>th</w:t>
      </w:r>
      <w:r w:rsidR="00EE212E">
        <w:rPr>
          <w:rFonts w:ascii="Times New Roman" w:hAnsi="Times New Roman" w:cs="Times New Roman"/>
          <w:sz w:val="24"/>
          <w:szCs w:val="24"/>
        </w:rPr>
        <w:t>-grade girls is 0.005 (column (</w:t>
      </w:r>
      <w:r w:rsidR="00905714">
        <w:rPr>
          <w:rFonts w:ascii="Times New Roman" w:hAnsi="Times New Roman" w:cs="Times New Roman"/>
          <w:sz w:val="24"/>
          <w:szCs w:val="24"/>
        </w:rPr>
        <w:t>5)</w:t>
      </w:r>
      <w:r w:rsidR="00EE212E">
        <w:rPr>
          <w:rFonts w:ascii="Times New Roman" w:hAnsi="Times New Roman" w:cs="Times New Roman"/>
          <w:sz w:val="24"/>
          <w:szCs w:val="24"/>
        </w:rPr>
        <w:t>), while the IV estimate is 0.028 (column (</w:t>
      </w:r>
      <w:r w:rsidR="00905714">
        <w:rPr>
          <w:rFonts w:ascii="Times New Roman" w:hAnsi="Times New Roman" w:cs="Times New Roman"/>
          <w:sz w:val="24"/>
          <w:szCs w:val="24"/>
        </w:rPr>
        <w:t>6)</w:t>
      </w:r>
      <w:r w:rsidR="00EE212E">
        <w:rPr>
          <w:rFonts w:ascii="Times New Roman" w:hAnsi="Times New Roman" w:cs="Times New Roman"/>
          <w:sz w:val="24"/>
          <w:szCs w:val="24"/>
        </w:rPr>
        <w:t>). The IV estimate is statistically significant at the 10% level and is roughly a 70% increase relative to the mean</w:t>
      </w:r>
      <w:r w:rsidR="00A05F8C">
        <w:rPr>
          <w:rFonts w:ascii="Times New Roman" w:hAnsi="Times New Roman" w:cs="Times New Roman"/>
          <w:sz w:val="24"/>
          <w:szCs w:val="24"/>
        </w:rPr>
        <w:t xml:space="preserve"> of</w:t>
      </w:r>
      <w:r w:rsidR="00EE212E">
        <w:rPr>
          <w:rFonts w:ascii="Times New Roman" w:hAnsi="Times New Roman" w:cs="Times New Roman"/>
          <w:sz w:val="24"/>
          <w:szCs w:val="24"/>
        </w:rPr>
        <w:t xml:space="preserve"> 4.1%. For boys, the effect is even larger. </w:t>
      </w:r>
      <w:r w:rsidR="00905714">
        <w:rPr>
          <w:rFonts w:ascii="Times New Roman" w:hAnsi="Times New Roman" w:cs="Times New Roman"/>
          <w:sz w:val="24"/>
          <w:szCs w:val="24"/>
        </w:rPr>
        <w:t>Column</w:t>
      </w:r>
      <w:r w:rsidR="00245044">
        <w:rPr>
          <w:rFonts w:ascii="Times New Roman" w:hAnsi="Times New Roman" w:cs="Times New Roman"/>
          <w:sz w:val="24"/>
          <w:szCs w:val="24"/>
        </w:rPr>
        <w:t xml:space="preserve"> (7) s</w:t>
      </w:r>
      <w:r w:rsidR="00EE212E">
        <w:rPr>
          <w:rFonts w:ascii="Times New Roman" w:hAnsi="Times New Roman" w:cs="Times New Roman"/>
          <w:sz w:val="24"/>
          <w:szCs w:val="24"/>
        </w:rPr>
        <w:t>hows</w:t>
      </w:r>
      <w:r w:rsidR="00245044">
        <w:rPr>
          <w:rFonts w:ascii="Times New Roman" w:hAnsi="Times New Roman" w:cs="Times New Roman"/>
          <w:sz w:val="24"/>
          <w:szCs w:val="24"/>
        </w:rPr>
        <w:t xml:space="preserve"> that</w:t>
      </w:r>
      <w:r w:rsidR="00EE212E">
        <w:rPr>
          <w:rFonts w:ascii="Times New Roman" w:hAnsi="Times New Roman" w:cs="Times New Roman"/>
          <w:sz w:val="24"/>
          <w:szCs w:val="24"/>
        </w:rPr>
        <w:t xml:space="preserve"> the OLS estimate </w:t>
      </w:r>
      <w:r w:rsidR="00245044">
        <w:rPr>
          <w:rFonts w:ascii="Times New Roman" w:hAnsi="Times New Roman" w:cs="Times New Roman"/>
          <w:sz w:val="24"/>
          <w:szCs w:val="24"/>
        </w:rPr>
        <w:t>is</w:t>
      </w:r>
      <w:r w:rsidR="00EE212E">
        <w:rPr>
          <w:rFonts w:ascii="Times New Roman" w:hAnsi="Times New Roman" w:cs="Times New Roman"/>
          <w:sz w:val="24"/>
          <w:szCs w:val="24"/>
        </w:rPr>
        <w:t xml:space="preserve"> 0.01</w:t>
      </w:r>
      <w:r w:rsidR="00245044">
        <w:rPr>
          <w:rFonts w:ascii="Times New Roman" w:hAnsi="Times New Roman" w:cs="Times New Roman"/>
          <w:sz w:val="24"/>
          <w:szCs w:val="24"/>
        </w:rPr>
        <w:t xml:space="preserve"> and column (8) shows that </w:t>
      </w:r>
      <w:r w:rsidR="00EE212E">
        <w:rPr>
          <w:rFonts w:ascii="Times New Roman" w:hAnsi="Times New Roman" w:cs="Times New Roman"/>
          <w:sz w:val="24"/>
          <w:szCs w:val="24"/>
        </w:rPr>
        <w:t>the IV estimate</w:t>
      </w:r>
      <w:r w:rsidR="00245044">
        <w:rPr>
          <w:rFonts w:ascii="Times New Roman" w:hAnsi="Times New Roman" w:cs="Times New Roman"/>
          <w:sz w:val="24"/>
          <w:szCs w:val="24"/>
        </w:rPr>
        <w:t xml:space="preserve"> is</w:t>
      </w:r>
      <w:r w:rsidR="00EE212E">
        <w:rPr>
          <w:rFonts w:ascii="Times New Roman" w:hAnsi="Times New Roman" w:cs="Times New Roman"/>
          <w:sz w:val="24"/>
          <w:szCs w:val="24"/>
        </w:rPr>
        <w:t xml:space="preserve"> 0.058.</w:t>
      </w:r>
      <w:r w:rsidR="006A6234">
        <w:rPr>
          <w:rFonts w:ascii="Times New Roman" w:hAnsi="Times New Roman" w:cs="Times New Roman"/>
          <w:sz w:val="24"/>
          <w:szCs w:val="24"/>
        </w:rPr>
        <w:t xml:space="preserve"> The average dropout rate for 12</w:t>
      </w:r>
      <w:r w:rsidR="006A6234" w:rsidRPr="006A6234">
        <w:rPr>
          <w:rFonts w:ascii="Times New Roman" w:hAnsi="Times New Roman" w:cs="Times New Roman"/>
          <w:sz w:val="24"/>
          <w:szCs w:val="24"/>
          <w:vertAlign w:val="superscript"/>
        </w:rPr>
        <w:t>th</w:t>
      </w:r>
      <w:r w:rsidR="006A6234">
        <w:rPr>
          <w:rFonts w:ascii="Times New Roman" w:hAnsi="Times New Roman" w:cs="Times New Roman"/>
          <w:sz w:val="24"/>
          <w:szCs w:val="24"/>
        </w:rPr>
        <w:t xml:space="preserve">-grade boys before legalization was 5.9%, which means that it doubles after dispensaries open. The IV estimate is statistically significant at the 5% level. The p-value from the Hausman test is 0.18 for girls and 0.03 for boys.  </w:t>
      </w:r>
    </w:p>
    <w:p w14:paraId="5150B474" w14:textId="209D0E65" w:rsidR="007B3668" w:rsidRDefault="006B683F"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Table</w:t>
      </w:r>
      <w:r w:rsidR="00B31ECA">
        <w:rPr>
          <w:rFonts w:ascii="Times New Roman" w:hAnsi="Times New Roman" w:cs="Times New Roman"/>
          <w:sz w:val="24"/>
          <w:szCs w:val="24"/>
        </w:rPr>
        <w:t xml:space="preserve"> 8 </w:t>
      </w:r>
      <w:r>
        <w:rPr>
          <w:rFonts w:ascii="Times New Roman" w:hAnsi="Times New Roman" w:cs="Times New Roman"/>
          <w:sz w:val="24"/>
          <w:szCs w:val="24"/>
        </w:rPr>
        <w:t>present</w:t>
      </w:r>
      <w:r w:rsidR="00B31ECA">
        <w:rPr>
          <w:rFonts w:ascii="Times New Roman" w:hAnsi="Times New Roman" w:cs="Times New Roman"/>
          <w:sz w:val="24"/>
          <w:szCs w:val="24"/>
        </w:rPr>
        <w:t>s</w:t>
      </w:r>
      <w:r>
        <w:rPr>
          <w:rFonts w:ascii="Times New Roman" w:hAnsi="Times New Roman" w:cs="Times New Roman"/>
          <w:sz w:val="24"/>
          <w:szCs w:val="24"/>
        </w:rPr>
        <w:t xml:space="preserve"> estimates of dispensary openings on chronic absenteeism. </w:t>
      </w:r>
      <w:r w:rsidR="003E3ECB">
        <w:rPr>
          <w:rFonts w:ascii="Times New Roman" w:hAnsi="Times New Roman" w:cs="Times New Roman"/>
          <w:sz w:val="24"/>
          <w:szCs w:val="24"/>
        </w:rPr>
        <w:t xml:space="preserve">The OLS estimate of equation (4) is 0.006 for </w:t>
      </w:r>
      <w:r w:rsidR="00B67435">
        <w:rPr>
          <w:rFonts w:ascii="Times New Roman" w:hAnsi="Times New Roman" w:cs="Times New Roman"/>
          <w:sz w:val="24"/>
          <w:szCs w:val="24"/>
        </w:rPr>
        <w:t>11</w:t>
      </w:r>
      <w:r w:rsidR="00B67435" w:rsidRPr="00B67435">
        <w:rPr>
          <w:rFonts w:ascii="Times New Roman" w:hAnsi="Times New Roman" w:cs="Times New Roman"/>
          <w:sz w:val="24"/>
          <w:szCs w:val="24"/>
          <w:vertAlign w:val="superscript"/>
        </w:rPr>
        <w:t>th</w:t>
      </w:r>
      <w:r w:rsidR="00B67435">
        <w:rPr>
          <w:rFonts w:ascii="Times New Roman" w:hAnsi="Times New Roman" w:cs="Times New Roman"/>
          <w:sz w:val="24"/>
          <w:szCs w:val="24"/>
        </w:rPr>
        <w:t xml:space="preserve">-grade </w:t>
      </w:r>
      <w:r w:rsidR="003E3ECB">
        <w:rPr>
          <w:rFonts w:ascii="Times New Roman" w:hAnsi="Times New Roman" w:cs="Times New Roman"/>
          <w:sz w:val="24"/>
          <w:szCs w:val="24"/>
        </w:rPr>
        <w:t>girls, as shown in</w:t>
      </w:r>
      <w:r w:rsidR="00B67435">
        <w:rPr>
          <w:rFonts w:ascii="Times New Roman" w:hAnsi="Times New Roman" w:cs="Times New Roman"/>
          <w:sz w:val="24"/>
          <w:szCs w:val="24"/>
        </w:rPr>
        <w:t xml:space="preserve"> </w:t>
      </w:r>
      <w:r w:rsidR="003E3ECB">
        <w:rPr>
          <w:rFonts w:ascii="Times New Roman" w:hAnsi="Times New Roman" w:cs="Times New Roman"/>
          <w:sz w:val="24"/>
          <w:szCs w:val="24"/>
        </w:rPr>
        <w:t>column (</w:t>
      </w:r>
      <w:r w:rsidR="00B67435">
        <w:rPr>
          <w:rFonts w:ascii="Times New Roman" w:hAnsi="Times New Roman" w:cs="Times New Roman"/>
          <w:sz w:val="24"/>
          <w:szCs w:val="24"/>
        </w:rPr>
        <w:t>1</w:t>
      </w:r>
      <w:r w:rsidR="003E3ECB">
        <w:rPr>
          <w:rFonts w:ascii="Times New Roman" w:hAnsi="Times New Roman" w:cs="Times New Roman"/>
          <w:sz w:val="24"/>
          <w:szCs w:val="24"/>
        </w:rPr>
        <w:t>). When I instrument with the indicator for whether a school is within 10 minutes of a lottery winner, the effect increases substantially to 0.109 (0.0553) in column (</w:t>
      </w:r>
      <w:r w:rsidR="00B67435">
        <w:rPr>
          <w:rFonts w:ascii="Times New Roman" w:hAnsi="Times New Roman" w:cs="Times New Roman"/>
          <w:sz w:val="24"/>
          <w:szCs w:val="24"/>
        </w:rPr>
        <w:t>2</w:t>
      </w:r>
      <w:r w:rsidR="003E3ECB">
        <w:rPr>
          <w:rFonts w:ascii="Times New Roman" w:hAnsi="Times New Roman" w:cs="Times New Roman"/>
          <w:sz w:val="24"/>
          <w:szCs w:val="24"/>
        </w:rPr>
        <w:t xml:space="preserve">). This effect is statistically significant at the 5% level after correcting for multiple hypothesis testing. Like the reduced form effects on chronic absenteeism, I compare the IV effects to the state average of chronic absenteeism across high schools in 2014. For girls, this is 24%, which means that dispensary openings increase </w:t>
      </w:r>
      <w:r w:rsidR="0051111D">
        <w:rPr>
          <w:rFonts w:ascii="Times New Roman" w:hAnsi="Times New Roman" w:cs="Times New Roman"/>
          <w:sz w:val="24"/>
          <w:szCs w:val="24"/>
        </w:rPr>
        <w:t>11</w:t>
      </w:r>
      <w:r w:rsidR="0051111D" w:rsidRPr="0051111D">
        <w:rPr>
          <w:rFonts w:ascii="Times New Roman" w:hAnsi="Times New Roman" w:cs="Times New Roman"/>
          <w:sz w:val="24"/>
          <w:szCs w:val="24"/>
          <w:vertAlign w:val="superscript"/>
        </w:rPr>
        <w:t>th</w:t>
      </w:r>
      <w:r w:rsidR="0051111D">
        <w:rPr>
          <w:rFonts w:ascii="Times New Roman" w:hAnsi="Times New Roman" w:cs="Times New Roman"/>
          <w:sz w:val="24"/>
          <w:szCs w:val="24"/>
        </w:rPr>
        <w:t>-grade girls’ chronic absenteeism rates by almost 50%</w:t>
      </w:r>
      <w:r w:rsidR="00713346">
        <w:rPr>
          <w:rFonts w:ascii="Times New Roman" w:hAnsi="Times New Roman" w:cs="Times New Roman"/>
          <w:sz w:val="24"/>
          <w:szCs w:val="24"/>
        </w:rPr>
        <w:t xml:space="preserve"> on average. </w:t>
      </w:r>
      <w:r w:rsidR="009F2A2F">
        <w:rPr>
          <w:rFonts w:ascii="Times New Roman" w:hAnsi="Times New Roman" w:cs="Times New Roman"/>
          <w:sz w:val="24"/>
          <w:szCs w:val="24"/>
        </w:rPr>
        <w:t>I do a Hausman specification test and can conclude that the OLS and IV estimates differ at the 2% significance leve</w:t>
      </w:r>
      <w:r w:rsidR="00366696">
        <w:rPr>
          <w:rFonts w:ascii="Times New Roman" w:hAnsi="Times New Roman" w:cs="Times New Roman"/>
          <w:sz w:val="24"/>
          <w:szCs w:val="24"/>
        </w:rPr>
        <w:t xml:space="preserve">l. </w:t>
      </w:r>
      <w:r w:rsidR="00A60653">
        <w:rPr>
          <w:rFonts w:ascii="Times New Roman" w:hAnsi="Times New Roman" w:cs="Times New Roman"/>
          <w:sz w:val="24"/>
          <w:szCs w:val="24"/>
        </w:rPr>
        <w:t>The effect for 11</w:t>
      </w:r>
      <w:r w:rsidR="00A60653" w:rsidRPr="00A60653">
        <w:rPr>
          <w:rFonts w:ascii="Times New Roman" w:hAnsi="Times New Roman" w:cs="Times New Roman"/>
          <w:sz w:val="24"/>
          <w:szCs w:val="24"/>
          <w:vertAlign w:val="superscript"/>
        </w:rPr>
        <w:t>th</w:t>
      </w:r>
      <w:r w:rsidR="00A60653">
        <w:rPr>
          <w:rFonts w:ascii="Times New Roman" w:hAnsi="Times New Roman" w:cs="Times New Roman"/>
          <w:sz w:val="24"/>
          <w:szCs w:val="24"/>
        </w:rPr>
        <w:t>-</w:t>
      </w:r>
      <w:r w:rsidR="00A60653">
        <w:rPr>
          <w:rFonts w:ascii="Times New Roman" w:hAnsi="Times New Roman" w:cs="Times New Roman"/>
          <w:sz w:val="24"/>
          <w:szCs w:val="24"/>
        </w:rPr>
        <w:lastRenderedPageBreak/>
        <w:t xml:space="preserve">grade boys is smaller. </w:t>
      </w:r>
      <w:r w:rsidR="00B67435">
        <w:rPr>
          <w:rFonts w:ascii="Times New Roman" w:hAnsi="Times New Roman" w:cs="Times New Roman"/>
          <w:sz w:val="24"/>
          <w:szCs w:val="24"/>
        </w:rPr>
        <w:t xml:space="preserve">Column (4) </w:t>
      </w:r>
      <w:r w:rsidR="00A60653">
        <w:rPr>
          <w:rFonts w:ascii="Times New Roman" w:hAnsi="Times New Roman" w:cs="Times New Roman"/>
          <w:sz w:val="24"/>
          <w:szCs w:val="24"/>
        </w:rPr>
        <w:t xml:space="preserve">shows the IV estimate from equation (4). The effect of dispensary openings is 0.07 (0.0488), which is about a one-third increase from the state average of 21% in 2014. I can reject the null hypothesis that the effect is less than </w:t>
      </w:r>
      <w:r w:rsidR="003462CD">
        <w:rPr>
          <w:rFonts w:ascii="Times New Roman" w:hAnsi="Times New Roman" w:cs="Times New Roman"/>
          <w:sz w:val="24"/>
          <w:szCs w:val="24"/>
        </w:rPr>
        <w:t>zero at the 10% level and the null hypothesis that the OLS and IV estimates are the same at the 13% level.</w:t>
      </w:r>
      <w:r w:rsidR="00E459E5">
        <w:rPr>
          <w:rFonts w:ascii="Times New Roman" w:hAnsi="Times New Roman" w:cs="Times New Roman"/>
          <w:sz w:val="24"/>
          <w:szCs w:val="24"/>
        </w:rPr>
        <w:t xml:space="preserve"> The effects on 12</w:t>
      </w:r>
      <w:r w:rsidR="00E459E5" w:rsidRPr="00E459E5">
        <w:rPr>
          <w:rFonts w:ascii="Times New Roman" w:hAnsi="Times New Roman" w:cs="Times New Roman"/>
          <w:sz w:val="24"/>
          <w:szCs w:val="24"/>
          <w:vertAlign w:val="superscript"/>
        </w:rPr>
        <w:t>th</w:t>
      </w:r>
      <w:r w:rsidR="00E459E5">
        <w:rPr>
          <w:rFonts w:ascii="Times New Roman" w:hAnsi="Times New Roman" w:cs="Times New Roman"/>
          <w:sz w:val="24"/>
          <w:szCs w:val="24"/>
        </w:rPr>
        <w:t>-grade chronic absenteeism are slightly larger relative to the mean for both girls and boys compared to the effects on 11</w:t>
      </w:r>
      <w:r w:rsidR="00E459E5" w:rsidRPr="00E459E5">
        <w:rPr>
          <w:rFonts w:ascii="Times New Roman" w:hAnsi="Times New Roman" w:cs="Times New Roman"/>
          <w:sz w:val="24"/>
          <w:szCs w:val="24"/>
          <w:vertAlign w:val="superscript"/>
        </w:rPr>
        <w:t>th</w:t>
      </w:r>
      <w:r w:rsidR="00E459E5">
        <w:rPr>
          <w:rFonts w:ascii="Times New Roman" w:hAnsi="Times New Roman" w:cs="Times New Roman"/>
          <w:sz w:val="24"/>
          <w:szCs w:val="24"/>
        </w:rPr>
        <w:t>-grade chronic absenteeism</w:t>
      </w:r>
      <w:r w:rsidR="00FE4E85">
        <w:rPr>
          <w:rFonts w:ascii="Times New Roman" w:hAnsi="Times New Roman" w:cs="Times New Roman"/>
          <w:sz w:val="24"/>
          <w:szCs w:val="24"/>
        </w:rPr>
        <w:t>, as shown in columns (5)-(8).</w:t>
      </w:r>
      <w:r w:rsidR="00E459E5">
        <w:rPr>
          <w:rFonts w:ascii="Times New Roman" w:hAnsi="Times New Roman" w:cs="Times New Roman"/>
          <w:sz w:val="24"/>
          <w:szCs w:val="24"/>
        </w:rPr>
        <w:t xml:space="preserve"> </w:t>
      </w:r>
    </w:p>
    <w:p w14:paraId="0028F4C6" w14:textId="0A45A43B" w:rsidR="00E719ED" w:rsidRDefault="00E719ED"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Like the reduced form estimates suggest, discipline rates for 11</w:t>
      </w:r>
      <w:r w:rsidRPr="00E719ED">
        <w:rPr>
          <w:rFonts w:ascii="Times New Roman" w:hAnsi="Times New Roman" w:cs="Times New Roman"/>
          <w:sz w:val="24"/>
          <w:szCs w:val="24"/>
          <w:vertAlign w:val="superscript"/>
        </w:rPr>
        <w:t>th</w:t>
      </w:r>
      <w:r>
        <w:rPr>
          <w:rFonts w:ascii="Times New Roman" w:hAnsi="Times New Roman" w:cs="Times New Roman"/>
          <w:sz w:val="24"/>
          <w:szCs w:val="24"/>
        </w:rPr>
        <w:t>- and 12</w:t>
      </w:r>
      <w:r w:rsidRPr="00E719ED">
        <w:rPr>
          <w:rFonts w:ascii="Times New Roman" w:hAnsi="Times New Roman" w:cs="Times New Roman"/>
          <w:sz w:val="24"/>
          <w:szCs w:val="24"/>
          <w:vertAlign w:val="superscript"/>
        </w:rPr>
        <w:t>th</w:t>
      </w:r>
      <w:r>
        <w:rPr>
          <w:rFonts w:ascii="Times New Roman" w:hAnsi="Times New Roman" w:cs="Times New Roman"/>
          <w:sz w:val="24"/>
          <w:szCs w:val="24"/>
        </w:rPr>
        <w:t xml:space="preserve">-grade girls do not change in a statistically significant way when dispensaries open. However, unlike </w:t>
      </w:r>
      <w:r w:rsidR="00C83908">
        <w:rPr>
          <w:rFonts w:ascii="Times New Roman" w:hAnsi="Times New Roman" w:cs="Times New Roman"/>
          <w:sz w:val="24"/>
          <w:szCs w:val="24"/>
        </w:rPr>
        <w:t xml:space="preserve">the reduced form estimates, </w:t>
      </w:r>
      <w:r>
        <w:rPr>
          <w:rFonts w:ascii="Times New Roman" w:hAnsi="Times New Roman" w:cs="Times New Roman"/>
          <w:sz w:val="24"/>
          <w:szCs w:val="24"/>
        </w:rPr>
        <w:t xml:space="preserve">discipline rates increase for </w:t>
      </w:r>
      <w:r>
        <w:rPr>
          <w:rFonts w:ascii="Times New Roman" w:hAnsi="Times New Roman" w:cs="Times New Roman"/>
          <w:i/>
          <w:iCs/>
          <w:sz w:val="24"/>
          <w:szCs w:val="24"/>
        </w:rPr>
        <w:t xml:space="preserve">both </w:t>
      </w:r>
      <w:r>
        <w:rPr>
          <w:rFonts w:ascii="Times New Roman" w:hAnsi="Times New Roman" w:cs="Times New Roman"/>
          <w:sz w:val="24"/>
          <w:szCs w:val="24"/>
        </w:rPr>
        <w:t>11</w:t>
      </w:r>
      <w:r w:rsidRPr="00E719ED">
        <w:rPr>
          <w:rFonts w:ascii="Times New Roman" w:hAnsi="Times New Roman" w:cs="Times New Roman"/>
          <w:sz w:val="24"/>
          <w:szCs w:val="24"/>
          <w:vertAlign w:val="superscript"/>
        </w:rPr>
        <w:t>th</w:t>
      </w:r>
      <w:r>
        <w:rPr>
          <w:rFonts w:ascii="Times New Roman" w:hAnsi="Times New Roman" w:cs="Times New Roman"/>
          <w:sz w:val="24"/>
          <w:szCs w:val="24"/>
        </w:rPr>
        <w:t>- and 12</w:t>
      </w:r>
      <w:r w:rsidRPr="00E719ED">
        <w:rPr>
          <w:rFonts w:ascii="Times New Roman" w:hAnsi="Times New Roman" w:cs="Times New Roman"/>
          <w:sz w:val="24"/>
          <w:szCs w:val="24"/>
          <w:vertAlign w:val="superscript"/>
        </w:rPr>
        <w:t>th</w:t>
      </w:r>
      <w:r>
        <w:rPr>
          <w:rFonts w:ascii="Times New Roman" w:hAnsi="Times New Roman" w:cs="Times New Roman"/>
          <w:sz w:val="24"/>
          <w:szCs w:val="24"/>
        </w:rPr>
        <w:t>-grade boys</w:t>
      </w:r>
      <w:r w:rsidR="00C83908">
        <w:rPr>
          <w:rFonts w:ascii="Times New Roman" w:hAnsi="Times New Roman" w:cs="Times New Roman"/>
          <w:sz w:val="24"/>
          <w:szCs w:val="24"/>
        </w:rPr>
        <w:t>, not just 12</w:t>
      </w:r>
      <w:r w:rsidR="00C83908" w:rsidRPr="00C83908">
        <w:rPr>
          <w:rFonts w:ascii="Times New Roman" w:hAnsi="Times New Roman" w:cs="Times New Roman"/>
          <w:sz w:val="24"/>
          <w:szCs w:val="24"/>
          <w:vertAlign w:val="superscript"/>
        </w:rPr>
        <w:t>th</w:t>
      </w:r>
      <w:r w:rsidR="00C83908">
        <w:rPr>
          <w:rFonts w:ascii="Times New Roman" w:hAnsi="Times New Roman" w:cs="Times New Roman"/>
          <w:sz w:val="24"/>
          <w:szCs w:val="24"/>
        </w:rPr>
        <w:t xml:space="preserve"> graders, </w:t>
      </w:r>
      <w:r>
        <w:rPr>
          <w:rFonts w:ascii="Times New Roman" w:hAnsi="Times New Roman" w:cs="Times New Roman"/>
          <w:sz w:val="24"/>
          <w:szCs w:val="24"/>
        </w:rPr>
        <w:t>because of dispensary openings</w:t>
      </w:r>
      <w:r w:rsidR="002E5563">
        <w:rPr>
          <w:rFonts w:ascii="Times New Roman" w:hAnsi="Times New Roman" w:cs="Times New Roman"/>
          <w:sz w:val="24"/>
          <w:szCs w:val="24"/>
        </w:rPr>
        <w:t>. As shown in Table 9, t</w:t>
      </w:r>
      <w:r w:rsidR="009F63A3">
        <w:rPr>
          <w:rFonts w:ascii="Times New Roman" w:hAnsi="Times New Roman" w:cs="Times New Roman"/>
          <w:sz w:val="24"/>
          <w:szCs w:val="24"/>
        </w:rPr>
        <w:t>he OLS estimate for 11</w:t>
      </w:r>
      <w:r w:rsidR="009F63A3" w:rsidRPr="009F63A3">
        <w:rPr>
          <w:rFonts w:ascii="Times New Roman" w:hAnsi="Times New Roman" w:cs="Times New Roman"/>
          <w:sz w:val="24"/>
          <w:szCs w:val="24"/>
          <w:vertAlign w:val="superscript"/>
        </w:rPr>
        <w:t>th</w:t>
      </w:r>
      <w:r w:rsidR="009F63A3">
        <w:rPr>
          <w:rFonts w:ascii="Times New Roman" w:hAnsi="Times New Roman" w:cs="Times New Roman"/>
          <w:sz w:val="24"/>
          <w:szCs w:val="24"/>
        </w:rPr>
        <w:t>-grade boys is 0.006 (column (3)), while the IV estimate is 0.017 (column (4)). The latter is statistically significant at the 10% level. The IV point-estimate is the same for 12</w:t>
      </w:r>
      <w:r w:rsidR="009F63A3" w:rsidRPr="009F63A3">
        <w:rPr>
          <w:rFonts w:ascii="Times New Roman" w:hAnsi="Times New Roman" w:cs="Times New Roman"/>
          <w:sz w:val="24"/>
          <w:szCs w:val="24"/>
          <w:vertAlign w:val="superscript"/>
        </w:rPr>
        <w:t>th</w:t>
      </w:r>
      <w:r w:rsidR="009F63A3">
        <w:rPr>
          <w:rFonts w:ascii="Times New Roman" w:hAnsi="Times New Roman" w:cs="Times New Roman"/>
          <w:sz w:val="24"/>
          <w:szCs w:val="24"/>
        </w:rPr>
        <w:t>-grade boys, as shown in column (8)</w:t>
      </w:r>
      <w:r w:rsidR="00A05F8C">
        <w:rPr>
          <w:rFonts w:ascii="Times New Roman" w:hAnsi="Times New Roman" w:cs="Times New Roman"/>
          <w:sz w:val="24"/>
          <w:szCs w:val="24"/>
        </w:rPr>
        <w:t xml:space="preserve"> and</w:t>
      </w:r>
      <w:r w:rsidR="009F63A3">
        <w:rPr>
          <w:rFonts w:ascii="Times New Roman" w:hAnsi="Times New Roman" w:cs="Times New Roman"/>
          <w:sz w:val="24"/>
          <w:szCs w:val="24"/>
        </w:rPr>
        <w:t xml:space="preserve"> is statistically significant at the 5% level after correcting for multiple hypothesis testing. The p-value for the Hausman specification test </w:t>
      </w:r>
      <w:r w:rsidR="00D122CD">
        <w:rPr>
          <w:rFonts w:ascii="Times New Roman" w:hAnsi="Times New Roman" w:cs="Times New Roman"/>
          <w:sz w:val="24"/>
          <w:szCs w:val="24"/>
        </w:rPr>
        <w:t>for 11</w:t>
      </w:r>
      <w:r w:rsidR="00D122CD" w:rsidRPr="00D122CD">
        <w:rPr>
          <w:rFonts w:ascii="Times New Roman" w:hAnsi="Times New Roman" w:cs="Times New Roman"/>
          <w:sz w:val="24"/>
          <w:szCs w:val="24"/>
          <w:vertAlign w:val="superscript"/>
        </w:rPr>
        <w:t>th</w:t>
      </w:r>
      <w:r w:rsidR="00D122CD">
        <w:rPr>
          <w:rFonts w:ascii="Times New Roman" w:hAnsi="Times New Roman" w:cs="Times New Roman"/>
          <w:sz w:val="24"/>
          <w:szCs w:val="24"/>
        </w:rPr>
        <w:t>-grade boys is 0.42 and 0.32 for 12</w:t>
      </w:r>
      <w:r w:rsidR="00D122CD" w:rsidRPr="00D122CD">
        <w:rPr>
          <w:rFonts w:ascii="Times New Roman" w:hAnsi="Times New Roman" w:cs="Times New Roman"/>
          <w:sz w:val="24"/>
          <w:szCs w:val="24"/>
          <w:vertAlign w:val="superscript"/>
        </w:rPr>
        <w:t>th</w:t>
      </w:r>
      <w:r w:rsidR="00D122CD">
        <w:rPr>
          <w:rFonts w:ascii="Times New Roman" w:hAnsi="Times New Roman" w:cs="Times New Roman"/>
          <w:sz w:val="24"/>
          <w:szCs w:val="24"/>
        </w:rPr>
        <w:t xml:space="preserve">-grade boys. </w:t>
      </w:r>
    </w:p>
    <w:p w14:paraId="3646DE38" w14:textId="43D200DA" w:rsidR="002E7F75" w:rsidRDefault="002E7F75"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The shares of 11</w:t>
      </w:r>
      <w:r w:rsidRPr="002E7F75">
        <w:rPr>
          <w:rFonts w:ascii="Times New Roman" w:hAnsi="Times New Roman" w:cs="Times New Roman"/>
          <w:sz w:val="24"/>
          <w:szCs w:val="24"/>
          <w:vertAlign w:val="superscript"/>
        </w:rPr>
        <w:t>th</w:t>
      </w:r>
      <w:r>
        <w:rPr>
          <w:rFonts w:ascii="Times New Roman" w:hAnsi="Times New Roman" w:cs="Times New Roman"/>
          <w:sz w:val="24"/>
          <w:szCs w:val="24"/>
        </w:rPr>
        <w:t>-grade girls who are not proficient in math or ELA, as well as the share of 11</w:t>
      </w:r>
      <w:r w:rsidRPr="002E7F75">
        <w:rPr>
          <w:rFonts w:ascii="Times New Roman" w:hAnsi="Times New Roman" w:cs="Times New Roman"/>
          <w:sz w:val="24"/>
          <w:szCs w:val="24"/>
          <w:vertAlign w:val="superscript"/>
        </w:rPr>
        <w:t>th</w:t>
      </w:r>
      <w:r>
        <w:rPr>
          <w:rFonts w:ascii="Times New Roman" w:hAnsi="Times New Roman" w:cs="Times New Roman"/>
          <w:sz w:val="24"/>
          <w:szCs w:val="24"/>
        </w:rPr>
        <w:t>-grade boys who are not proficient in ELA, do not change in a statistically significant way when dispensaries open. The share of 11</w:t>
      </w:r>
      <w:r w:rsidRPr="002E7F75">
        <w:rPr>
          <w:rFonts w:ascii="Times New Roman" w:hAnsi="Times New Roman" w:cs="Times New Roman"/>
          <w:sz w:val="24"/>
          <w:szCs w:val="24"/>
          <w:vertAlign w:val="superscript"/>
        </w:rPr>
        <w:t>th</w:t>
      </w:r>
      <w:r>
        <w:rPr>
          <w:rFonts w:ascii="Times New Roman" w:hAnsi="Times New Roman" w:cs="Times New Roman"/>
          <w:sz w:val="24"/>
          <w:szCs w:val="24"/>
        </w:rPr>
        <w:t xml:space="preserve">-grade boys not proficient in math, however, appears to </w:t>
      </w:r>
      <w:r w:rsidRPr="00D07969">
        <w:rPr>
          <w:rFonts w:ascii="Times New Roman" w:hAnsi="Times New Roman" w:cs="Times New Roman"/>
          <w:i/>
          <w:iCs/>
          <w:sz w:val="24"/>
          <w:szCs w:val="24"/>
        </w:rPr>
        <w:t>decline</w:t>
      </w:r>
      <w:r>
        <w:rPr>
          <w:rFonts w:ascii="Times New Roman" w:hAnsi="Times New Roman" w:cs="Times New Roman"/>
          <w:sz w:val="24"/>
          <w:szCs w:val="24"/>
        </w:rPr>
        <w:t xml:space="preserve"> by 7 percentage points, as shown in Table</w:t>
      </w:r>
      <w:r w:rsidR="00855765">
        <w:rPr>
          <w:rFonts w:ascii="Times New Roman" w:hAnsi="Times New Roman" w:cs="Times New Roman"/>
          <w:sz w:val="24"/>
          <w:szCs w:val="24"/>
        </w:rPr>
        <w:t xml:space="preserve"> 10</w:t>
      </w:r>
      <w:r>
        <w:rPr>
          <w:rFonts w:ascii="Times New Roman" w:hAnsi="Times New Roman" w:cs="Times New Roman"/>
          <w:sz w:val="24"/>
          <w:szCs w:val="24"/>
        </w:rPr>
        <w:t>, column (4)</w:t>
      </w:r>
      <w:r w:rsidR="006947DE">
        <w:rPr>
          <w:rFonts w:ascii="Times New Roman" w:hAnsi="Times New Roman" w:cs="Times New Roman"/>
          <w:sz w:val="24"/>
          <w:szCs w:val="24"/>
        </w:rPr>
        <w:t xml:space="preserve">, which means math scores actually increase as a result of dispensary openings. </w:t>
      </w:r>
      <w:r>
        <w:rPr>
          <w:rFonts w:ascii="Times New Roman" w:hAnsi="Times New Roman" w:cs="Times New Roman"/>
          <w:sz w:val="24"/>
          <w:szCs w:val="24"/>
        </w:rPr>
        <w:t>This effect is statistically significant at the 10% level</w:t>
      </w:r>
      <w:r w:rsidR="004A0F8E">
        <w:rPr>
          <w:rFonts w:ascii="Times New Roman" w:hAnsi="Times New Roman" w:cs="Times New Roman"/>
          <w:sz w:val="24"/>
          <w:szCs w:val="24"/>
        </w:rPr>
        <w:t>. T</w:t>
      </w:r>
      <w:r>
        <w:rPr>
          <w:rFonts w:ascii="Times New Roman" w:hAnsi="Times New Roman" w:cs="Times New Roman"/>
          <w:sz w:val="24"/>
          <w:szCs w:val="24"/>
        </w:rPr>
        <w:t>he Hausman specification test yields a particularly high p-value of 0.71.</w:t>
      </w:r>
      <w:r w:rsidR="00D07969">
        <w:rPr>
          <w:rFonts w:ascii="Times New Roman" w:hAnsi="Times New Roman" w:cs="Times New Roman"/>
          <w:sz w:val="24"/>
          <w:szCs w:val="24"/>
        </w:rPr>
        <w:t xml:space="preserve"> I cannot say how large this effect is relative to the average prior to recreational marijuana legalization because </w:t>
      </w:r>
      <w:r w:rsidR="00D07969">
        <w:rPr>
          <w:rFonts w:ascii="Times New Roman" w:hAnsi="Times New Roman" w:cs="Times New Roman"/>
          <w:sz w:val="24"/>
          <w:szCs w:val="24"/>
        </w:rPr>
        <w:lastRenderedPageBreak/>
        <w:t>high schoolers were not tested in math at the end of 11</w:t>
      </w:r>
      <w:r w:rsidR="00D07969" w:rsidRPr="00D07969">
        <w:rPr>
          <w:rFonts w:ascii="Times New Roman" w:hAnsi="Times New Roman" w:cs="Times New Roman"/>
          <w:sz w:val="24"/>
          <w:szCs w:val="24"/>
          <w:vertAlign w:val="superscript"/>
        </w:rPr>
        <w:t>th</w:t>
      </w:r>
      <w:r w:rsidR="00D07969">
        <w:rPr>
          <w:rFonts w:ascii="Times New Roman" w:hAnsi="Times New Roman" w:cs="Times New Roman"/>
          <w:sz w:val="24"/>
          <w:szCs w:val="24"/>
        </w:rPr>
        <w:t xml:space="preserve"> grade until the 2014-15 school year, which is the first year </w:t>
      </w:r>
      <w:r w:rsidR="006947DE">
        <w:rPr>
          <w:rFonts w:ascii="Times New Roman" w:hAnsi="Times New Roman" w:cs="Times New Roman"/>
          <w:sz w:val="24"/>
          <w:szCs w:val="24"/>
        </w:rPr>
        <w:t xml:space="preserve">that </w:t>
      </w:r>
      <w:r w:rsidR="00D07969">
        <w:rPr>
          <w:rFonts w:ascii="Times New Roman" w:hAnsi="Times New Roman" w:cs="Times New Roman"/>
          <w:sz w:val="24"/>
          <w:szCs w:val="24"/>
        </w:rPr>
        <w:t>dispensaries open.</w:t>
      </w:r>
      <w:r w:rsidR="00D07969">
        <w:rPr>
          <w:rStyle w:val="FootnoteReference"/>
          <w:rFonts w:ascii="Times New Roman" w:hAnsi="Times New Roman" w:cs="Times New Roman"/>
          <w:sz w:val="24"/>
          <w:szCs w:val="24"/>
        </w:rPr>
        <w:footnoteReference w:id="20"/>
      </w:r>
      <w:r w:rsidR="00D0796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F73C788" w14:textId="399F0D32" w:rsidR="00E459E5" w:rsidRDefault="00E459E5" w:rsidP="00285A7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677D8F">
        <w:rPr>
          <w:rFonts w:ascii="Times New Roman" w:hAnsi="Times New Roman" w:cs="Times New Roman"/>
          <w:sz w:val="24"/>
          <w:szCs w:val="24"/>
        </w:rPr>
        <w:t xml:space="preserve">For each outcome, the OLS estimate of being within 10 minutes of an open dispensary is smaller than the IV estimate. This means that the OLS estimates are biased down. I interpret this as dispensaries choosing to open around schools where students are already using marijuana. Thus, their educational outcomes </w:t>
      </w:r>
      <w:r w:rsidR="00FB48C7">
        <w:rPr>
          <w:rFonts w:ascii="Times New Roman" w:hAnsi="Times New Roman" w:cs="Times New Roman"/>
          <w:sz w:val="24"/>
          <w:szCs w:val="24"/>
        </w:rPr>
        <w:t>are already</w:t>
      </w:r>
      <w:r w:rsidR="00DC1FB9">
        <w:rPr>
          <w:rFonts w:ascii="Times New Roman" w:hAnsi="Times New Roman" w:cs="Times New Roman"/>
          <w:sz w:val="24"/>
          <w:szCs w:val="24"/>
        </w:rPr>
        <w:t xml:space="preserve"> </w:t>
      </w:r>
      <w:r w:rsidR="00FB48C7">
        <w:rPr>
          <w:rFonts w:ascii="Times New Roman" w:hAnsi="Times New Roman" w:cs="Times New Roman"/>
          <w:sz w:val="24"/>
          <w:szCs w:val="24"/>
        </w:rPr>
        <w:t xml:space="preserve">lower </w:t>
      </w:r>
      <w:r w:rsidR="00DC1FB9">
        <w:rPr>
          <w:rFonts w:ascii="Times New Roman" w:hAnsi="Times New Roman" w:cs="Times New Roman"/>
          <w:sz w:val="24"/>
          <w:szCs w:val="24"/>
        </w:rPr>
        <w:t xml:space="preserve">at </w:t>
      </w:r>
      <w:r w:rsidR="00FB48C7">
        <w:rPr>
          <w:rFonts w:ascii="Times New Roman" w:hAnsi="Times New Roman" w:cs="Times New Roman"/>
          <w:sz w:val="24"/>
          <w:szCs w:val="24"/>
        </w:rPr>
        <w:t xml:space="preserve">baseline and </w:t>
      </w:r>
      <w:r w:rsidR="00677D8F">
        <w:rPr>
          <w:rFonts w:ascii="Times New Roman" w:hAnsi="Times New Roman" w:cs="Times New Roman"/>
          <w:sz w:val="24"/>
          <w:szCs w:val="24"/>
        </w:rPr>
        <w:t>would not change much as a result of a dispensary opening in close proximity to</w:t>
      </w:r>
      <w:r w:rsidR="00FB48C7">
        <w:rPr>
          <w:rFonts w:ascii="Times New Roman" w:hAnsi="Times New Roman" w:cs="Times New Roman"/>
          <w:sz w:val="24"/>
          <w:szCs w:val="24"/>
        </w:rPr>
        <w:t xml:space="preserve"> their</w:t>
      </w:r>
      <w:r w:rsidR="00677D8F">
        <w:rPr>
          <w:rFonts w:ascii="Times New Roman" w:hAnsi="Times New Roman" w:cs="Times New Roman"/>
          <w:sz w:val="24"/>
          <w:szCs w:val="24"/>
        </w:rPr>
        <w:t xml:space="preserve"> school.</w:t>
      </w:r>
    </w:p>
    <w:p w14:paraId="1AF0D290" w14:textId="77777777" w:rsidR="004E3FA6" w:rsidRPr="004E3FA6" w:rsidRDefault="004E3FA6" w:rsidP="005638C9">
      <w:pPr>
        <w:rPr>
          <w:rFonts w:ascii="Times New Roman" w:hAnsi="Times New Roman" w:cs="Times New Roman"/>
          <w:sz w:val="12"/>
          <w:szCs w:val="12"/>
        </w:rPr>
      </w:pPr>
    </w:p>
    <w:p w14:paraId="2701A84B" w14:textId="654BD7C8" w:rsidR="00D750E1" w:rsidRDefault="00D750E1" w:rsidP="00E146D1">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Robustness</w:t>
      </w:r>
      <w:r w:rsidR="000D3A39">
        <w:rPr>
          <w:rFonts w:ascii="Times New Roman" w:hAnsi="Times New Roman" w:cs="Times New Roman"/>
          <w:b/>
          <w:bCs/>
          <w:sz w:val="32"/>
          <w:szCs w:val="32"/>
        </w:rPr>
        <w:t xml:space="preserve"> and Extensions</w:t>
      </w:r>
    </w:p>
    <w:p w14:paraId="5DB4D547" w14:textId="1F93A26D" w:rsidR="005638C9" w:rsidRDefault="00CA5F95" w:rsidP="005638C9">
      <w:pPr>
        <w:rPr>
          <w:rFonts w:ascii="Times New Roman" w:hAnsi="Times New Roman" w:cs="Times New Roman"/>
          <w:b/>
          <w:bCs/>
          <w:sz w:val="28"/>
          <w:szCs w:val="28"/>
        </w:rPr>
      </w:pPr>
      <w:r>
        <w:rPr>
          <w:rFonts w:ascii="Times New Roman" w:hAnsi="Times New Roman" w:cs="Times New Roman"/>
          <w:b/>
          <w:bCs/>
          <w:sz w:val="28"/>
          <w:szCs w:val="28"/>
        </w:rPr>
        <w:t>6</w:t>
      </w:r>
      <w:r w:rsidR="005638C9" w:rsidRPr="005638C9">
        <w:rPr>
          <w:rFonts w:ascii="Times New Roman" w:hAnsi="Times New Roman" w:cs="Times New Roman"/>
          <w:b/>
          <w:bCs/>
          <w:sz w:val="28"/>
          <w:szCs w:val="28"/>
        </w:rPr>
        <w:t>.1</w:t>
      </w:r>
      <w:r w:rsidR="005638C9" w:rsidRPr="005638C9">
        <w:rPr>
          <w:rFonts w:ascii="Times New Roman" w:hAnsi="Times New Roman" w:cs="Times New Roman"/>
          <w:b/>
          <w:bCs/>
          <w:sz w:val="28"/>
          <w:szCs w:val="28"/>
        </w:rPr>
        <w:tab/>
      </w:r>
      <w:r w:rsidR="002B2E1B">
        <w:rPr>
          <w:rFonts w:ascii="Times New Roman" w:hAnsi="Times New Roman" w:cs="Times New Roman"/>
          <w:b/>
          <w:bCs/>
          <w:sz w:val="28"/>
          <w:szCs w:val="28"/>
        </w:rPr>
        <w:t>Accounting for Differences in Dispensary Opening Dates</w:t>
      </w:r>
    </w:p>
    <w:p w14:paraId="52216F14" w14:textId="76DE7D32" w:rsidR="00FD4025" w:rsidRDefault="00AA3171" w:rsidP="001209FC">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Not all dispensaries opened at the same time.</w:t>
      </w:r>
      <w:r w:rsidR="00DC1FB9">
        <w:rPr>
          <w:rFonts w:ascii="Times New Roman" w:hAnsi="Times New Roman" w:cs="Times New Roman"/>
          <w:sz w:val="24"/>
          <w:szCs w:val="24"/>
        </w:rPr>
        <w:t xml:space="preserve"> O</w:t>
      </w:r>
      <w:r w:rsidR="003D402D">
        <w:rPr>
          <w:rFonts w:ascii="Times New Roman" w:hAnsi="Times New Roman" w:cs="Times New Roman"/>
          <w:sz w:val="24"/>
          <w:szCs w:val="24"/>
        </w:rPr>
        <w:t>nly 14 of the 177 of the lottery winners that eventually open during my sample period did so</w:t>
      </w:r>
      <w:r w:rsidR="00DC1FB9">
        <w:rPr>
          <w:rFonts w:ascii="Times New Roman" w:hAnsi="Times New Roman" w:cs="Times New Roman"/>
          <w:sz w:val="24"/>
          <w:szCs w:val="24"/>
        </w:rPr>
        <w:t xml:space="preserve"> immediately after dispensaries could open in July 2014</w:t>
      </w:r>
      <w:r w:rsidR="00980818">
        <w:rPr>
          <w:rFonts w:ascii="Times New Roman" w:hAnsi="Times New Roman" w:cs="Times New Roman"/>
          <w:sz w:val="24"/>
          <w:szCs w:val="24"/>
        </w:rPr>
        <w:t xml:space="preserve">. There were </w:t>
      </w:r>
      <w:r w:rsidR="003D402D">
        <w:rPr>
          <w:rFonts w:ascii="Times New Roman" w:hAnsi="Times New Roman" w:cs="Times New Roman"/>
          <w:sz w:val="24"/>
          <w:szCs w:val="24"/>
        </w:rPr>
        <w:t>73</w:t>
      </w:r>
      <w:r w:rsidR="00980818">
        <w:rPr>
          <w:rFonts w:ascii="Times New Roman" w:hAnsi="Times New Roman" w:cs="Times New Roman"/>
          <w:sz w:val="24"/>
          <w:szCs w:val="24"/>
        </w:rPr>
        <w:t xml:space="preserve"> open by the end of 2014 and </w:t>
      </w:r>
      <w:r w:rsidR="003D402D">
        <w:rPr>
          <w:rFonts w:ascii="Times New Roman" w:hAnsi="Times New Roman" w:cs="Times New Roman"/>
          <w:sz w:val="24"/>
          <w:szCs w:val="24"/>
        </w:rPr>
        <w:t>123</w:t>
      </w:r>
      <w:r w:rsidR="00980818">
        <w:rPr>
          <w:rFonts w:ascii="Times New Roman" w:hAnsi="Times New Roman" w:cs="Times New Roman"/>
          <w:sz w:val="24"/>
          <w:szCs w:val="24"/>
        </w:rPr>
        <w:t xml:space="preserve"> by the summer of 2015. </w:t>
      </w:r>
      <w:r w:rsidR="003D402D">
        <w:rPr>
          <w:rFonts w:ascii="Times New Roman" w:hAnsi="Times New Roman" w:cs="Times New Roman"/>
          <w:sz w:val="24"/>
          <w:szCs w:val="24"/>
        </w:rPr>
        <w:t>The remaining 54 o</w:t>
      </w:r>
      <w:r w:rsidR="00980818">
        <w:rPr>
          <w:rFonts w:ascii="Times New Roman" w:hAnsi="Times New Roman" w:cs="Times New Roman"/>
          <w:sz w:val="24"/>
          <w:szCs w:val="24"/>
        </w:rPr>
        <w:t xml:space="preserve">pened up during the 2015-16 school year. </w:t>
      </w:r>
      <w:r w:rsidR="00DC1FB9">
        <w:rPr>
          <w:rFonts w:ascii="Times New Roman" w:hAnsi="Times New Roman" w:cs="Times New Roman"/>
          <w:sz w:val="24"/>
          <w:szCs w:val="24"/>
        </w:rPr>
        <w:t xml:space="preserve">This variation is likely due to the following three reasons. </w:t>
      </w:r>
      <w:r w:rsidR="007430C8">
        <w:rPr>
          <w:rFonts w:ascii="Times New Roman" w:hAnsi="Times New Roman" w:cs="Times New Roman"/>
          <w:sz w:val="24"/>
          <w:szCs w:val="24"/>
        </w:rPr>
        <w:t xml:space="preserve">First, </w:t>
      </w:r>
      <w:r w:rsidR="00DC1FB9">
        <w:rPr>
          <w:rFonts w:ascii="Times New Roman" w:hAnsi="Times New Roman" w:cs="Times New Roman"/>
          <w:sz w:val="24"/>
          <w:szCs w:val="24"/>
        </w:rPr>
        <w:t>it</w:t>
      </w:r>
      <w:r w:rsidR="00980818">
        <w:rPr>
          <w:rFonts w:ascii="Times New Roman" w:hAnsi="Times New Roman" w:cs="Times New Roman"/>
          <w:sz w:val="24"/>
          <w:szCs w:val="24"/>
        </w:rPr>
        <w:t xml:space="preserve"> took longer to approve</w:t>
      </w:r>
      <w:r w:rsidR="00DC1FB9">
        <w:rPr>
          <w:rFonts w:ascii="Times New Roman" w:hAnsi="Times New Roman" w:cs="Times New Roman"/>
          <w:sz w:val="24"/>
          <w:szCs w:val="24"/>
        </w:rPr>
        <w:t xml:space="preserve"> some licenses</w:t>
      </w:r>
      <w:r w:rsidR="00980818">
        <w:rPr>
          <w:rFonts w:ascii="Times New Roman" w:hAnsi="Times New Roman" w:cs="Times New Roman"/>
          <w:sz w:val="24"/>
          <w:szCs w:val="24"/>
        </w:rPr>
        <w:t xml:space="preserve"> than others</w:t>
      </w:r>
      <w:r w:rsidR="007430C8">
        <w:rPr>
          <w:rFonts w:ascii="Times New Roman" w:hAnsi="Times New Roman" w:cs="Times New Roman"/>
          <w:sz w:val="24"/>
          <w:szCs w:val="24"/>
        </w:rPr>
        <w:t xml:space="preserve"> </w:t>
      </w:r>
      <w:r w:rsidR="00A62FB1">
        <w:rPr>
          <w:rFonts w:ascii="Times New Roman" w:hAnsi="Times New Roman" w:cs="Times New Roman"/>
          <w:sz w:val="24"/>
          <w:szCs w:val="24"/>
        </w:rPr>
        <w:t xml:space="preserve">simply </w:t>
      </w:r>
      <w:r w:rsidR="007430C8">
        <w:rPr>
          <w:rFonts w:ascii="Times New Roman" w:hAnsi="Times New Roman" w:cs="Times New Roman"/>
          <w:sz w:val="24"/>
          <w:szCs w:val="24"/>
        </w:rPr>
        <w:t xml:space="preserve">because retailers took longer to submit their necessary paperwork and complete background checks. Second, it took time for lottery winners who had to find a new location to do so. Finally, some localities placed a moratorium on when dispensaries could operate, so businesses had to wait </w:t>
      </w:r>
      <w:r w:rsidR="004D6445">
        <w:rPr>
          <w:rFonts w:ascii="Times New Roman" w:hAnsi="Times New Roman" w:cs="Times New Roman"/>
          <w:sz w:val="24"/>
          <w:szCs w:val="24"/>
        </w:rPr>
        <w:t>to open</w:t>
      </w:r>
      <w:r w:rsidR="007430C8">
        <w:rPr>
          <w:rFonts w:ascii="Times New Roman" w:hAnsi="Times New Roman" w:cs="Times New Roman"/>
          <w:sz w:val="24"/>
          <w:szCs w:val="24"/>
        </w:rPr>
        <w:t xml:space="preserve">. </w:t>
      </w:r>
    </w:p>
    <w:p w14:paraId="21F5D28D" w14:textId="17C7A798" w:rsidR="000E137C" w:rsidRDefault="000252C2" w:rsidP="001209FC">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Ideally, I would use this variation in when dispensaries became active to help identify the effects of legalization. However, while I do have the monthly data on when dispensaries opened, the educational outcomes I am interested in are at the annual level. Thus, in my analysis, whether a school is within 10 minutes of an open dispensary (</w:t>
      </w:r>
      <w:r>
        <w:rPr>
          <w:rFonts w:ascii="Times New Roman" w:hAnsi="Times New Roman" w:cs="Times New Roman"/>
          <w:i/>
          <w:iCs/>
          <w:sz w:val="24"/>
          <w:szCs w:val="24"/>
        </w:rPr>
        <w:t>10MinsOpen</w:t>
      </w:r>
      <w:r w:rsidRPr="00BC04B0">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is defined at the school-year </w:t>
      </w:r>
      <w:r>
        <w:rPr>
          <w:rFonts w:ascii="Times New Roman" w:hAnsi="Times New Roman" w:cs="Times New Roman"/>
          <w:sz w:val="24"/>
          <w:szCs w:val="24"/>
        </w:rPr>
        <w:lastRenderedPageBreak/>
        <w:t>level</w:t>
      </w:r>
      <w:r w:rsidR="002F4C07">
        <w:rPr>
          <w:rFonts w:ascii="Times New Roman" w:hAnsi="Times New Roman" w:cs="Times New Roman"/>
          <w:sz w:val="24"/>
          <w:szCs w:val="24"/>
        </w:rPr>
        <w:t xml:space="preserve">. A school is considered treated if it is within 10 minutes of an open dispensary at some point during the year, regardless of how long that dispensary is </w:t>
      </w:r>
      <w:r w:rsidR="00AA4C32">
        <w:rPr>
          <w:rFonts w:ascii="Times New Roman" w:hAnsi="Times New Roman" w:cs="Times New Roman"/>
          <w:sz w:val="24"/>
          <w:szCs w:val="24"/>
        </w:rPr>
        <w:t xml:space="preserve">actually </w:t>
      </w:r>
      <w:r w:rsidR="002F4C07">
        <w:rPr>
          <w:rFonts w:ascii="Times New Roman" w:hAnsi="Times New Roman" w:cs="Times New Roman"/>
          <w:sz w:val="24"/>
          <w:szCs w:val="24"/>
        </w:rPr>
        <w:t>open.</w:t>
      </w:r>
      <w:r w:rsidR="000E137C">
        <w:rPr>
          <w:rFonts w:ascii="Times New Roman" w:hAnsi="Times New Roman" w:cs="Times New Roman"/>
          <w:sz w:val="24"/>
          <w:szCs w:val="24"/>
        </w:rPr>
        <w:t xml:space="preserve"> </w:t>
      </w:r>
      <w:r w:rsidR="00BC04B0">
        <w:rPr>
          <w:rFonts w:ascii="Times New Roman" w:hAnsi="Times New Roman" w:cs="Times New Roman"/>
          <w:sz w:val="24"/>
          <w:szCs w:val="24"/>
        </w:rPr>
        <w:t>If students are exposed to dispensaries for different amounts of time</w:t>
      </w:r>
      <w:r w:rsidR="009E1FE8">
        <w:rPr>
          <w:rFonts w:ascii="Times New Roman" w:hAnsi="Times New Roman" w:cs="Times New Roman"/>
          <w:sz w:val="24"/>
          <w:szCs w:val="24"/>
        </w:rPr>
        <w:t xml:space="preserve">, then my </w:t>
      </w:r>
      <w:r w:rsidR="00161D11">
        <w:rPr>
          <w:rFonts w:ascii="Times New Roman" w:hAnsi="Times New Roman" w:cs="Times New Roman"/>
          <w:sz w:val="24"/>
          <w:szCs w:val="24"/>
        </w:rPr>
        <w:t xml:space="preserve">results </w:t>
      </w:r>
      <w:r w:rsidR="009E1FE8">
        <w:rPr>
          <w:rFonts w:ascii="Times New Roman" w:hAnsi="Times New Roman" w:cs="Times New Roman"/>
          <w:sz w:val="24"/>
          <w:szCs w:val="24"/>
        </w:rPr>
        <w:t>would be an upper bound on the effects of dispensary openings.</w:t>
      </w:r>
      <w:r w:rsidR="00910637">
        <w:rPr>
          <w:rFonts w:ascii="Times New Roman" w:hAnsi="Times New Roman" w:cs="Times New Roman"/>
          <w:sz w:val="24"/>
          <w:szCs w:val="24"/>
        </w:rPr>
        <w:t xml:space="preserve"> </w:t>
      </w:r>
      <w:r w:rsidR="009E1FE8">
        <w:rPr>
          <w:rFonts w:ascii="Times New Roman" w:hAnsi="Times New Roman" w:cs="Times New Roman"/>
          <w:sz w:val="24"/>
          <w:szCs w:val="24"/>
        </w:rPr>
        <w:t xml:space="preserve">I calculate that </w:t>
      </w:r>
      <w:r w:rsidR="00EF2B86">
        <w:rPr>
          <w:rFonts w:ascii="Times New Roman" w:hAnsi="Times New Roman" w:cs="Times New Roman"/>
          <w:sz w:val="24"/>
          <w:szCs w:val="24"/>
        </w:rPr>
        <w:t xml:space="preserve">each school within 10 minutes of an open dispensary is exposed to at least one open dispensary for nine months, or the entire school year (September-May). Thus, </w:t>
      </w:r>
      <w:r w:rsidR="00910637">
        <w:rPr>
          <w:rFonts w:ascii="Times New Roman" w:hAnsi="Times New Roman" w:cs="Times New Roman"/>
          <w:sz w:val="24"/>
          <w:szCs w:val="24"/>
        </w:rPr>
        <w:t xml:space="preserve">I do not need to worry about differential exposure to dispensaries for the schools in my analysis. </w:t>
      </w:r>
      <w:r w:rsidR="00161D11">
        <w:rPr>
          <w:rFonts w:ascii="Times New Roman" w:hAnsi="Times New Roman" w:cs="Times New Roman"/>
          <w:sz w:val="24"/>
          <w:szCs w:val="24"/>
        </w:rPr>
        <w:t xml:space="preserve"> </w:t>
      </w:r>
    </w:p>
    <w:p w14:paraId="3CD21A27" w14:textId="4C0EF3A6" w:rsidR="00F9733C" w:rsidRDefault="000E137C" w:rsidP="001209FC">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addition, there are</w:t>
      </w:r>
      <w:r w:rsidR="00992DCB">
        <w:rPr>
          <w:rFonts w:ascii="Times New Roman" w:hAnsi="Times New Roman" w:cs="Times New Roman"/>
          <w:sz w:val="24"/>
          <w:szCs w:val="24"/>
        </w:rPr>
        <w:t xml:space="preserve"> 54</w:t>
      </w:r>
      <w:r>
        <w:rPr>
          <w:rFonts w:ascii="Times New Roman" w:hAnsi="Times New Roman" w:cs="Times New Roman"/>
          <w:sz w:val="24"/>
          <w:szCs w:val="24"/>
        </w:rPr>
        <w:t xml:space="preserve"> dispensaries that </w:t>
      </w:r>
      <w:r w:rsidR="00456CC0">
        <w:rPr>
          <w:rFonts w:ascii="Times New Roman" w:hAnsi="Times New Roman" w:cs="Times New Roman"/>
          <w:sz w:val="24"/>
          <w:szCs w:val="24"/>
        </w:rPr>
        <w:t xml:space="preserve">open </w:t>
      </w:r>
      <w:r>
        <w:rPr>
          <w:rFonts w:ascii="Times New Roman" w:hAnsi="Times New Roman" w:cs="Times New Roman"/>
          <w:sz w:val="24"/>
          <w:szCs w:val="24"/>
        </w:rPr>
        <w:t>during the 2015-16 school year</w:t>
      </w:r>
      <w:r w:rsidR="00456CC0">
        <w:rPr>
          <w:rFonts w:ascii="Times New Roman" w:hAnsi="Times New Roman" w:cs="Times New Roman"/>
          <w:sz w:val="24"/>
          <w:szCs w:val="24"/>
        </w:rPr>
        <w:t xml:space="preserve"> and 2 that close after the 2014-15 school year</w:t>
      </w:r>
      <w:r>
        <w:rPr>
          <w:rFonts w:ascii="Times New Roman" w:hAnsi="Times New Roman" w:cs="Times New Roman"/>
          <w:sz w:val="24"/>
          <w:szCs w:val="24"/>
        </w:rPr>
        <w:t>,</w:t>
      </w:r>
      <w:r w:rsidR="00161D11">
        <w:rPr>
          <w:rFonts w:ascii="Times New Roman" w:hAnsi="Times New Roman" w:cs="Times New Roman"/>
          <w:sz w:val="24"/>
          <w:szCs w:val="24"/>
        </w:rPr>
        <w:t xml:space="preserve"> meaning that </w:t>
      </w:r>
      <w:r>
        <w:rPr>
          <w:rFonts w:ascii="Times New Roman" w:hAnsi="Times New Roman" w:cs="Times New Roman"/>
          <w:sz w:val="24"/>
          <w:szCs w:val="24"/>
        </w:rPr>
        <w:t>a school’s treatment status can change over time.</w:t>
      </w:r>
      <w:r w:rsidR="00161D11">
        <w:rPr>
          <w:rFonts w:ascii="Times New Roman" w:hAnsi="Times New Roman" w:cs="Times New Roman"/>
          <w:sz w:val="24"/>
          <w:szCs w:val="24"/>
        </w:rPr>
        <w:t xml:space="preserve"> </w:t>
      </w:r>
      <w:r w:rsidR="000A6A51">
        <w:rPr>
          <w:rFonts w:ascii="Times New Roman" w:hAnsi="Times New Roman" w:cs="Times New Roman"/>
          <w:sz w:val="24"/>
          <w:szCs w:val="24"/>
        </w:rPr>
        <w:t xml:space="preserve">Table </w:t>
      </w:r>
      <w:r w:rsidR="0050529E">
        <w:rPr>
          <w:rFonts w:ascii="Times New Roman" w:hAnsi="Times New Roman" w:cs="Times New Roman"/>
          <w:sz w:val="24"/>
          <w:szCs w:val="24"/>
        </w:rPr>
        <w:t>1</w:t>
      </w:r>
      <w:r w:rsidR="00512E2D">
        <w:rPr>
          <w:rFonts w:ascii="Times New Roman" w:hAnsi="Times New Roman" w:cs="Times New Roman"/>
          <w:sz w:val="24"/>
          <w:szCs w:val="24"/>
        </w:rPr>
        <w:t>1</w:t>
      </w:r>
      <w:r w:rsidR="000A6A51">
        <w:rPr>
          <w:rFonts w:ascii="Times New Roman" w:hAnsi="Times New Roman" w:cs="Times New Roman"/>
          <w:sz w:val="24"/>
          <w:szCs w:val="24"/>
        </w:rPr>
        <w:t xml:space="preserve"> shows </w:t>
      </w:r>
      <w:r w:rsidR="00AA4C32">
        <w:rPr>
          <w:rFonts w:ascii="Times New Roman" w:hAnsi="Times New Roman" w:cs="Times New Roman"/>
          <w:sz w:val="24"/>
          <w:szCs w:val="24"/>
        </w:rPr>
        <w:t xml:space="preserve">that the IV estimates of equation (4) </w:t>
      </w:r>
      <w:r w:rsidR="00652304">
        <w:rPr>
          <w:rFonts w:ascii="Times New Roman" w:hAnsi="Times New Roman" w:cs="Times New Roman"/>
          <w:sz w:val="24"/>
          <w:szCs w:val="24"/>
        </w:rPr>
        <w:t>change very little</w:t>
      </w:r>
      <w:r w:rsidR="00AA4C32">
        <w:rPr>
          <w:rFonts w:ascii="Times New Roman" w:hAnsi="Times New Roman" w:cs="Times New Roman"/>
          <w:sz w:val="24"/>
          <w:szCs w:val="24"/>
        </w:rPr>
        <w:t xml:space="preserve"> </w:t>
      </w:r>
      <w:r w:rsidR="000A6A51">
        <w:rPr>
          <w:rFonts w:ascii="Times New Roman" w:hAnsi="Times New Roman" w:cs="Times New Roman"/>
          <w:sz w:val="24"/>
          <w:szCs w:val="24"/>
        </w:rPr>
        <w:t xml:space="preserve">when I include only dispensaries that are open during both the 2014-15 and 2015-16 school years in my analysis. </w:t>
      </w:r>
    </w:p>
    <w:p w14:paraId="1013C70C" w14:textId="0AD231ED" w:rsidR="000252C2" w:rsidRPr="00F9733C" w:rsidRDefault="00161D11" w:rsidP="000E137C">
      <w:pPr>
        <w:ind w:firstLine="720"/>
        <w:rPr>
          <w:rFonts w:ascii="Times New Roman" w:hAnsi="Times New Roman" w:cs="Times New Roman"/>
          <w:sz w:val="12"/>
          <w:szCs w:val="12"/>
        </w:rPr>
      </w:pPr>
      <w:r w:rsidRPr="00F9733C">
        <w:rPr>
          <w:rFonts w:ascii="Times New Roman" w:hAnsi="Times New Roman" w:cs="Times New Roman"/>
          <w:sz w:val="12"/>
          <w:szCs w:val="12"/>
        </w:rPr>
        <w:t xml:space="preserve"> </w:t>
      </w:r>
      <w:r w:rsidR="000E137C" w:rsidRPr="00F9733C">
        <w:rPr>
          <w:rFonts w:ascii="Times New Roman" w:hAnsi="Times New Roman" w:cs="Times New Roman"/>
          <w:sz w:val="12"/>
          <w:szCs w:val="12"/>
        </w:rPr>
        <w:t xml:space="preserve"> </w:t>
      </w:r>
      <w:r w:rsidR="002F4C07" w:rsidRPr="00F9733C">
        <w:rPr>
          <w:rFonts w:ascii="Times New Roman" w:hAnsi="Times New Roman" w:cs="Times New Roman"/>
          <w:sz w:val="12"/>
          <w:szCs w:val="12"/>
        </w:rPr>
        <w:t xml:space="preserve"> </w:t>
      </w:r>
    </w:p>
    <w:p w14:paraId="35884A5E" w14:textId="6CE05147" w:rsidR="002B27AA" w:rsidRDefault="00CA5F95" w:rsidP="000D3A39">
      <w:pPr>
        <w:rPr>
          <w:rFonts w:ascii="Times New Roman" w:hAnsi="Times New Roman" w:cs="Times New Roman"/>
          <w:b/>
          <w:bCs/>
          <w:sz w:val="28"/>
          <w:szCs w:val="28"/>
        </w:rPr>
      </w:pPr>
      <w:r>
        <w:rPr>
          <w:rFonts w:ascii="Times New Roman" w:hAnsi="Times New Roman" w:cs="Times New Roman"/>
          <w:b/>
          <w:bCs/>
          <w:sz w:val="28"/>
          <w:szCs w:val="28"/>
        </w:rPr>
        <w:t>6</w:t>
      </w:r>
      <w:r w:rsidR="002B27AA">
        <w:rPr>
          <w:rFonts w:ascii="Times New Roman" w:hAnsi="Times New Roman" w:cs="Times New Roman"/>
          <w:b/>
          <w:bCs/>
          <w:sz w:val="28"/>
          <w:szCs w:val="28"/>
        </w:rPr>
        <w:t>.2</w:t>
      </w:r>
      <w:r w:rsidR="002B27AA">
        <w:rPr>
          <w:rFonts w:ascii="Times New Roman" w:hAnsi="Times New Roman" w:cs="Times New Roman"/>
          <w:b/>
          <w:bCs/>
          <w:sz w:val="28"/>
          <w:szCs w:val="28"/>
        </w:rPr>
        <w:tab/>
        <w:t>Schools Near Multiple Dispensaries</w:t>
      </w:r>
    </w:p>
    <w:p w14:paraId="08FD5431" w14:textId="22F092CD" w:rsidR="002B27AA" w:rsidRDefault="002B27AA" w:rsidP="00F72737">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In my main analysis, </w:t>
      </w:r>
      <w:r w:rsidR="004D6445">
        <w:rPr>
          <w:rFonts w:ascii="Times New Roman" w:hAnsi="Times New Roman" w:cs="Times New Roman"/>
          <w:sz w:val="24"/>
          <w:szCs w:val="24"/>
        </w:rPr>
        <w:t>a</w:t>
      </w:r>
      <w:r>
        <w:rPr>
          <w:rFonts w:ascii="Times New Roman" w:hAnsi="Times New Roman" w:cs="Times New Roman"/>
          <w:sz w:val="24"/>
          <w:szCs w:val="24"/>
        </w:rPr>
        <w:t xml:space="preserve"> school close to multiple dispensaries is assigned the same treatment as a school close to a single dispensary</w:t>
      </w:r>
      <w:r w:rsidR="004D6445">
        <w:rPr>
          <w:rFonts w:ascii="Times New Roman" w:hAnsi="Times New Roman" w:cs="Times New Roman"/>
          <w:sz w:val="24"/>
          <w:szCs w:val="24"/>
        </w:rPr>
        <w:t xml:space="preserve">. However, </w:t>
      </w:r>
      <w:r w:rsidR="00AD4BE0">
        <w:rPr>
          <w:rFonts w:ascii="Times New Roman" w:hAnsi="Times New Roman" w:cs="Times New Roman"/>
          <w:sz w:val="24"/>
          <w:szCs w:val="24"/>
        </w:rPr>
        <w:t xml:space="preserve">access to marijuana, and thus marijuana use, is likely greater around schools </w:t>
      </w:r>
      <w:r w:rsidR="004D6445">
        <w:rPr>
          <w:rFonts w:ascii="Times New Roman" w:hAnsi="Times New Roman" w:cs="Times New Roman"/>
          <w:sz w:val="24"/>
          <w:szCs w:val="24"/>
        </w:rPr>
        <w:t xml:space="preserve">near </w:t>
      </w:r>
      <w:r w:rsidR="00AD4BE0">
        <w:rPr>
          <w:rFonts w:ascii="Times New Roman" w:hAnsi="Times New Roman" w:cs="Times New Roman"/>
          <w:sz w:val="24"/>
          <w:szCs w:val="24"/>
        </w:rPr>
        <w:t>several dispensaries</w:t>
      </w:r>
      <w:r>
        <w:rPr>
          <w:rFonts w:ascii="Times New Roman" w:hAnsi="Times New Roman" w:cs="Times New Roman"/>
          <w:sz w:val="24"/>
          <w:szCs w:val="24"/>
        </w:rPr>
        <w:t xml:space="preserve"> </w:t>
      </w:r>
      <w:r w:rsidR="00AD4BE0">
        <w:rPr>
          <w:rFonts w:ascii="Times New Roman" w:hAnsi="Times New Roman" w:cs="Times New Roman"/>
          <w:sz w:val="24"/>
          <w:szCs w:val="24"/>
        </w:rPr>
        <w:t>compared to schools around only one. I determine whether this impacts my results by r</w:t>
      </w:r>
      <w:r>
        <w:rPr>
          <w:rFonts w:ascii="Times New Roman" w:hAnsi="Times New Roman" w:cs="Times New Roman"/>
          <w:sz w:val="24"/>
          <w:szCs w:val="24"/>
        </w:rPr>
        <w:t xml:space="preserve">edefining treatment as </w:t>
      </w:r>
      <w:r w:rsidR="00F72737">
        <w:rPr>
          <w:rFonts w:ascii="Times New Roman" w:hAnsi="Times New Roman" w:cs="Times New Roman"/>
          <w:sz w:val="24"/>
          <w:szCs w:val="24"/>
        </w:rPr>
        <w:t>a</w:t>
      </w:r>
      <w:r>
        <w:rPr>
          <w:rFonts w:ascii="Times New Roman" w:hAnsi="Times New Roman" w:cs="Times New Roman"/>
          <w:sz w:val="24"/>
          <w:szCs w:val="24"/>
        </w:rPr>
        <w:t xml:space="preserve"> continuous measure: the number of dispensaries within 10 minutes of a school.</w:t>
      </w:r>
      <w:r w:rsidR="00AD4BE0">
        <w:rPr>
          <w:rFonts w:ascii="Times New Roman" w:hAnsi="Times New Roman" w:cs="Times New Roman"/>
          <w:sz w:val="24"/>
          <w:szCs w:val="24"/>
        </w:rPr>
        <w:t xml:space="preserve"> I re-estimate equations (3) and (4) using this new treatment measure and present the results in Table</w:t>
      </w:r>
      <w:r w:rsidR="008171B9">
        <w:rPr>
          <w:rFonts w:ascii="Times New Roman" w:hAnsi="Times New Roman" w:cs="Times New Roman"/>
          <w:sz w:val="24"/>
          <w:szCs w:val="24"/>
        </w:rPr>
        <w:t xml:space="preserve"> </w:t>
      </w:r>
      <w:r w:rsidR="0050529E">
        <w:rPr>
          <w:rFonts w:ascii="Times New Roman" w:hAnsi="Times New Roman" w:cs="Times New Roman"/>
          <w:sz w:val="24"/>
          <w:szCs w:val="24"/>
        </w:rPr>
        <w:t>1</w:t>
      </w:r>
      <w:r w:rsidR="00512E2D">
        <w:rPr>
          <w:rFonts w:ascii="Times New Roman" w:hAnsi="Times New Roman" w:cs="Times New Roman"/>
          <w:sz w:val="24"/>
          <w:szCs w:val="24"/>
        </w:rPr>
        <w:t>2</w:t>
      </w:r>
      <w:r w:rsidR="008171B9">
        <w:rPr>
          <w:rFonts w:ascii="Times New Roman" w:hAnsi="Times New Roman" w:cs="Times New Roman"/>
          <w:sz w:val="24"/>
          <w:szCs w:val="24"/>
        </w:rPr>
        <w:t>.</w:t>
      </w:r>
    </w:p>
    <w:p w14:paraId="65743B7B" w14:textId="7284B964" w:rsidR="007705F3" w:rsidRDefault="007705F3" w:rsidP="00F72737">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11</w:t>
      </w:r>
      <w:r w:rsidRPr="007705F3">
        <w:rPr>
          <w:rFonts w:ascii="Times New Roman" w:hAnsi="Times New Roman" w:cs="Times New Roman"/>
          <w:sz w:val="24"/>
          <w:szCs w:val="24"/>
          <w:vertAlign w:val="superscript"/>
        </w:rPr>
        <w:t>th</w:t>
      </w:r>
      <w:r>
        <w:rPr>
          <w:rFonts w:ascii="Times New Roman" w:hAnsi="Times New Roman" w:cs="Times New Roman"/>
          <w:sz w:val="24"/>
          <w:szCs w:val="24"/>
        </w:rPr>
        <w:t xml:space="preserve">-grade girls’ and boys’ dropout rates increase when the number of </w:t>
      </w:r>
      <w:r w:rsidR="001D399B">
        <w:rPr>
          <w:rFonts w:ascii="Times New Roman" w:hAnsi="Times New Roman" w:cs="Times New Roman"/>
          <w:sz w:val="24"/>
          <w:szCs w:val="24"/>
        </w:rPr>
        <w:t xml:space="preserve">lottery winners or open dispensaries within 10 minutes of their school goes up by one. Columns (2) and (4) show that being within 10 minutes of another open dispensary leads to an increase in dropout rates of 0.0046 (0.0023) and 0.0048 (0.0023) for girls and boys, respectively. Both effects are statistically </w:t>
      </w:r>
      <w:r w:rsidR="001D399B">
        <w:rPr>
          <w:rFonts w:ascii="Times New Roman" w:hAnsi="Times New Roman" w:cs="Times New Roman"/>
          <w:sz w:val="24"/>
          <w:szCs w:val="24"/>
        </w:rPr>
        <w:lastRenderedPageBreak/>
        <w:t xml:space="preserve">significant at the 5% level. </w:t>
      </w:r>
      <w:r w:rsidR="00205E18">
        <w:rPr>
          <w:rFonts w:ascii="Times New Roman" w:hAnsi="Times New Roman" w:cs="Times New Roman"/>
          <w:sz w:val="24"/>
          <w:szCs w:val="24"/>
        </w:rPr>
        <w:t>Unlike the main analysis, I do not find a statistically significant change in 12</w:t>
      </w:r>
      <w:r w:rsidR="00205E18" w:rsidRPr="00205E18">
        <w:rPr>
          <w:rFonts w:ascii="Times New Roman" w:hAnsi="Times New Roman" w:cs="Times New Roman"/>
          <w:sz w:val="24"/>
          <w:szCs w:val="24"/>
          <w:vertAlign w:val="superscript"/>
        </w:rPr>
        <w:t>th</w:t>
      </w:r>
      <w:r w:rsidR="00205E18">
        <w:rPr>
          <w:rFonts w:ascii="Times New Roman" w:hAnsi="Times New Roman" w:cs="Times New Roman"/>
          <w:sz w:val="24"/>
          <w:szCs w:val="24"/>
        </w:rPr>
        <w:t>-grade dropout rates.</w:t>
      </w:r>
    </w:p>
    <w:p w14:paraId="68C9241E" w14:textId="0D2CEA84" w:rsidR="00205E18" w:rsidRDefault="00205E18" w:rsidP="00F72737">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Chronic absenteeism, however, increases for both 11</w:t>
      </w:r>
      <w:r w:rsidRPr="00205E18">
        <w:rPr>
          <w:rFonts w:ascii="Times New Roman" w:hAnsi="Times New Roman" w:cs="Times New Roman"/>
          <w:sz w:val="24"/>
          <w:szCs w:val="24"/>
          <w:vertAlign w:val="superscript"/>
        </w:rPr>
        <w:t>th</w:t>
      </w:r>
      <w:r>
        <w:rPr>
          <w:rFonts w:ascii="Times New Roman" w:hAnsi="Times New Roman" w:cs="Times New Roman"/>
          <w:sz w:val="24"/>
          <w:szCs w:val="24"/>
        </w:rPr>
        <w:t xml:space="preserve"> and 12</w:t>
      </w:r>
      <w:r w:rsidRPr="00205E18">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with larger effects for </w:t>
      </w:r>
      <w:r w:rsidR="004D6445">
        <w:rPr>
          <w:rFonts w:ascii="Times New Roman" w:hAnsi="Times New Roman" w:cs="Times New Roman"/>
          <w:sz w:val="24"/>
          <w:szCs w:val="24"/>
        </w:rPr>
        <w:t>the latter</w:t>
      </w:r>
      <w:r>
        <w:rPr>
          <w:rFonts w:ascii="Times New Roman" w:hAnsi="Times New Roman" w:cs="Times New Roman"/>
          <w:sz w:val="24"/>
          <w:szCs w:val="24"/>
        </w:rPr>
        <w:t>. Column (2) shows that chronic absenteeism increases by 0.0098 and 0.0132 for 11</w:t>
      </w:r>
      <w:r w:rsidRPr="00205E18">
        <w:rPr>
          <w:rFonts w:ascii="Times New Roman" w:hAnsi="Times New Roman" w:cs="Times New Roman"/>
          <w:sz w:val="24"/>
          <w:szCs w:val="24"/>
          <w:vertAlign w:val="superscript"/>
        </w:rPr>
        <w:t>th</w:t>
      </w:r>
      <w:r>
        <w:rPr>
          <w:rFonts w:ascii="Times New Roman" w:hAnsi="Times New Roman" w:cs="Times New Roman"/>
          <w:sz w:val="24"/>
          <w:szCs w:val="24"/>
        </w:rPr>
        <w:t>- and 12</w:t>
      </w:r>
      <w:r w:rsidRPr="00205E18">
        <w:rPr>
          <w:rFonts w:ascii="Times New Roman" w:hAnsi="Times New Roman" w:cs="Times New Roman"/>
          <w:sz w:val="24"/>
          <w:szCs w:val="24"/>
          <w:vertAlign w:val="superscript"/>
        </w:rPr>
        <w:t>th</w:t>
      </w:r>
      <w:r>
        <w:rPr>
          <w:rFonts w:ascii="Times New Roman" w:hAnsi="Times New Roman" w:cs="Times New Roman"/>
          <w:sz w:val="24"/>
          <w:szCs w:val="24"/>
        </w:rPr>
        <w:t>-grade girls</w:t>
      </w:r>
      <w:r w:rsidR="00BC33F5">
        <w:rPr>
          <w:rFonts w:ascii="Times New Roman" w:hAnsi="Times New Roman" w:cs="Times New Roman"/>
          <w:sz w:val="24"/>
          <w:szCs w:val="24"/>
        </w:rPr>
        <w:t xml:space="preserve"> when the number of open dispensaries within 10 minutes increases by one</w:t>
      </w:r>
      <w:r>
        <w:rPr>
          <w:rFonts w:ascii="Times New Roman" w:hAnsi="Times New Roman" w:cs="Times New Roman"/>
          <w:sz w:val="24"/>
          <w:szCs w:val="24"/>
        </w:rPr>
        <w:t>, respectively. The former is statistically significant at the 10% level, while the latter is significant at the 5% level.</w:t>
      </w:r>
      <w:r w:rsidR="00BC33F5">
        <w:rPr>
          <w:rFonts w:ascii="Times New Roman" w:hAnsi="Times New Roman" w:cs="Times New Roman"/>
          <w:sz w:val="24"/>
          <w:szCs w:val="24"/>
        </w:rPr>
        <w:t xml:space="preserve"> </w:t>
      </w:r>
      <w:r w:rsidR="001A10E3">
        <w:rPr>
          <w:rFonts w:ascii="Times New Roman" w:hAnsi="Times New Roman" w:cs="Times New Roman"/>
          <w:sz w:val="24"/>
          <w:szCs w:val="24"/>
        </w:rPr>
        <w:t>The effects are smaller for boys. The effects of one more open dispensary are 0.0068 and 0.0073 for 11</w:t>
      </w:r>
      <w:r w:rsidR="001A10E3" w:rsidRPr="001A10E3">
        <w:rPr>
          <w:rFonts w:ascii="Times New Roman" w:hAnsi="Times New Roman" w:cs="Times New Roman"/>
          <w:sz w:val="24"/>
          <w:szCs w:val="24"/>
          <w:vertAlign w:val="superscript"/>
        </w:rPr>
        <w:t>th</w:t>
      </w:r>
      <w:r w:rsidR="001A10E3">
        <w:rPr>
          <w:rFonts w:ascii="Times New Roman" w:hAnsi="Times New Roman" w:cs="Times New Roman"/>
          <w:sz w:val="24"/>
          <w:szCs w:val="24"/>
        </w:rPr>
        <w:t>- and 12</w:t>
      </w:r>
      <w:r w:rsidR="001A10E3" w:rsidRPr="001A10E3">
        <w:rPr>
          <w:rFonts w:ascii="Times New Roman" w:hAnsi="Times New Roman" w:cs="Times New Roman"/>
          <w:sz w:val="24"/>
          <w:szCs w:val="24"/>
          <w:vertAlign w:val="superscript"/>
        </w:rPr>
        <w:t>th</w:t>
      </w:r>
      <w:r w:rsidR="001A10E3">
        <w:rPr>
          <w:rFonts w:ascii="Times New Roman" w:hAnsi="Times New Roman" w:cs="Times New Roman"/>
          <w:sz w:val="24"/>
          <w:szCs w:val="24"/>
        </w:rPr>
        <w:t xml:space="preserve">-grade boys, respectively. Both are statistically significant at the 10% level. </w:t>
      </w:r>
      <w:r>
        <w:rPr>
          <w:rFonts w:ascii="Times New Roman" w:hAnsi="Times New Roman" w:cs="Times New Roman"/>
          <w:sz w:val="24"/>
          <w:szCs w:val="24"/>
        </w:rPr>
        <w:t xml:space="preserve"> </w:t>
      </w:r>
    </w:p>
    <w:p w14:paraId="78F1559D" w14:textId="0F7CB755" w:rsidR="00746767" w:rsidRDefault="00DC14E0" w:rsidP="00F72737">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D6445">
        <w:rPr>
          <w:rFonts w:ascii="Times New Roman" w:hAnsi="Times New Roman" w:cs="Times New Roman"/>
          <w:sz w:val="24"/>
          <w:szCs w:val="24"/>
        </w:rPr>
        <w:t>In addition, d</w:t>
      </w:r>
      <w:r>
        <w:rPr>
          <w:rFonts w:ascii="Times New Roman" w:hAnsi="Times New Roman" w:cs="Times New Roman"/>
          <w:sz w:val="24"/>
          <w:szCs w:val="24"/>
        </w:rPr>
        <w:t>iscipline rates increase, but only for 12</w:t>
      </w:r>
      <w:r w:rsidRPr="00DC14E0">
        <w:rPr>
          <w:rFonts w:ascii="Times New Roman" w:hAnsi="Times New Roman" w:cs="Times New Roman"/>
          <w:sz w:val="24"/>
          <w:szCs w:val="24"/>
          <w:vertAlign w:val="superscript"/>
        </w:rPr>
        <w:t>th</w:t>
      </w:r>
      <w:r>
        <w:rPr>
          <w:rFonts w:ascii="Times New Roman" w:hAnsi="Times New Roman" w:cs="Times New Roman"/>
          <w:sz w:val="24"/>
          <w:szCs w:val="24"/>
        </w:rPr>
        <w:t>-grade boys</w:t>
      </w:r>
      <w:r w:rsidR="00F72737">
        <w:rPr>
          <w:rFonts w:ascii="Times New Roman" w:hAnsi="Times New Roman" w:cs="Times New Roman"/>
          <w:sz w:val="24"/>
          <w:szCs w:val="24"/>
        </w:rPr>
        <w:t xml:space="preserve">. </w:t>
      </w:r>
      <w:r>
        <w:rPr>
          <w:rFonts w:ascii="Times New Roman" w:hAnsi="Times New Roman" w:cs="Times New Roman"/>
          <w:sz w:val="24"/>
          <w:szCs w:val="24"/>
        </w:rPr>
        <w:t>The effect of one more dispensary opening within 10 minutes of a school on 12</w:t>
      </w:r>
      <w:r w:rsidRPr="00DC14E0">
        <w:rPr>
          <w:rFonts w:ascii="Times New Roman" w:hAnsi="Times New Roman" w:cs="Times New Roman"/>
          <w:sz w:val="24"/>
          <w:szCs w:val="24"/>
          <w:vertAlign w:val="superscript"/>
        </w:rPr>
        <w:t>th</w:t>
      </w:r>
      <w:r>
        <w:rPr>
          <w:rFonts w:ascii="Times New Roman" w:hAnsi="Times New Roman" w:cs="Times New Roman"/>
          <w:sz w:val="24"/>
          <w:szCs w:val="24"/>
        </w:rPr>
        <w:t>-grade boys’ discipline rates is 0.0026 (0.0017) and is statistically significant at the 10% level</w:t>
      </w:r>
      <w:r w:rsidR="0060611D">
        <w:rPr>
          <w:rFonts w:ascii="Times New Roman" w:hAnsi="Times New Roman" w:cs="Times New Roman"/>
          <w:sz w:val="24"/>
          <w:szCs w:val="24"/>
        </w:rPr>
        <w:t>, as shown in column (4).</w:t>
      </w:r>
      <w:r w:rsidR="00F72737">
        <w:rPr>
          <w:rFonts w:ascii="Times New Roman" w:hAnsi="Times New Roman" w:cs="Times New Roman"/>
          <w:sz w:val="24"/>
          <w:szCs w:val="24"/>
        </w:rPr>
        <w:t xml:space="preserve"> </w:t>
      </w:r>
      <w:r w:rsidR="004D6445">
        <w:rPr>
          <w:rFonts w:ascii="Times New Roman" w:hAnsi="Times New Roman" w:cs="Times New Roman"/>
          <w:sz w:val="24"/>
          <w:szCs w:val="24"/>
        </w:rPr>
        <w:t>The</w:t>
      </w:r>
      <w:r w:rsidR="00746767">
        <w:rPr>
          <w:rFonts w:ascii="Times New Roman" w:hAnsi="Times New Roman" w:cs="Times New Roman"/>
          <w:sz w:val="24"/>
          <w:szCs w:val="24"/>
        </w:rPr>
        <w:t xml:space="preserve"> share of students who are not proficient in math or ELA does not change as a result of the lottery or when dispensaries open. </w:t>
      </w:r>
    </w:p>
    <w:p w14:paraId="0B5CD8B4" w14:textId="77777777" w:rsidR="008171B9" w:rsidRPr="008171B9" w:rsidRDefault="008171B9" w:rsidP="000D3A39">
      <w:pPr>
        <w:rPr>
          <w:rFonts w:ascii="Times New Roman" w:hAnsi="Times New Roman" w:cs="Times New Roman"/>
          <w:sz w:val="12"/>
          <w:szCs w:val="12"/>
        </w:rPr>
      </w:pPr>
    </w:p>
    <w:p w14:paraId="703303A7" w14:textId="78C2FC97" w:rsidR="00F65911" w:rsidRDefault="00CA5F95" w:rsidP="000D3A39">
      <w:pPr>
        <w:rPr>
          <w:rFonts w:ascii="Times New Roman" w:hAnsi="Times New Roman" w:cs="Times New Roman"/>
          <w:b/>
          <w:bCs/>
          <w:sz w:val="28"/>
          <w:szCs w:val="28"/>
        </w:rPr>
      </w:pPr>
      <w:r>
        <w:rPr>
          <w:rFonts w:ascii="Times New Roman" w:hAnsi="Times New Roman" w:cs="Times New Roman"/>
          <w:b/>
          <w:bCs/>
          <w:sz w:val="28"/>
          <w:szCs w:val="28"/>
        </w:rPr>
        <w:t>6</w:t>
      </w:r>
      <w:r w:rsidR="00946BD4">
        <w:rPr>
          <w:rFonts w:ascii="Times New Roman" w:hAnsi="Times New Roman" w:cs="Times New Roman"/>
          <w:b/>
          <w:bCs/>
          <w:sz w:val="28"/>
          <w:szCs w:val="28"/>
        </w:rPr>
        <w:t>.</w:t>
      </w:r>
      <w:r w:rsidR="002B27AA">
        <w:rPr>
          <w:rFonts w:ascii="Times New Roman" w:hAnsi="Times New Roman" w:cs="Times New Roman"/>
          <w:b/>
          <w:bCs/>
          <w:sz w:val="28"/>
          <w:szCs w:val="28"/>
        </w:rPr>
        <w:t>3</w:t>
      </w:r>
      <w:r w:rsidR="00946BD4">
        <w:rPr>
          <w:rFonts w:ascii="Times New Roman" w:hAnsi="Times New Roman" w:cs="Times New Roman"/>
          <w:b/>
          <w:bCs/>
          <w:sz w:val="28"/>
          <w:szCs w:val="28"/>
        </w:rPr>
        <w:tab/>
      </w:r>
      <w:r w:rsidR="000D3A39">
        <w:rPr>
          <w:rFonts w:ascii="Times New Roman" w:hAnsi="Times New Roman" w:cs="Times New Roman"/>
          <w:b/>
          <w:bCs/>
          <w:sz w:val="28"/>
          <w:szCs w:val="28"/>
        </w:rPr>
        <w:t>Heterogeneity of Effects by School Locality</w:t>
      </w:r>
    </w:p>
    <w:p w14:paraId="02D3857C" w14:textId="667426B4" w:rsidR="00E716FD" w:rsidRDefault="00F65911" w:rsidP="003F3F69">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Given that schools in cities and suburbs are more likely to be near a dispensary than schools in towns </w:t>
      </w:r>
      <w:r w:rsidR="004D6445">
        <w:rPr>
          <w:rFonts w:ascii="Times New Roman" w:hAnsi="Times New Roman" w:cs="Times New Roman"/>
          <w:sz w:val="24"/>
          <w:szCs w:val="24"/>
        </w:rPr>
        <w:t>and</w:t>
      </w:r>
      <w:r>
        <w:rPr>
          <w:rFonts w:ascii="Times New Roman" w:hAnsi="Times New Roman" w:cs="Times New Roman"/>
          <w:sz w:val="24"/>
          <w:szCs w:val="24"/>
        </w:rPr>
        <w:t xml:space="preserve"> rural areas, I look for whether there are heterogenous effects of legalization across localities. I </w:t>
      </w:r>
      <w:r w:rsidR="00F40F57">
        <w:rPr>
          <w:rFonts w:ascii="Times New Roman" w:hAnsi="Times New Roman" w:cs="Times New Roman"/>
          <w:sz w:val="24"/>
          <w:szCs w:val="24"/>
        </w:rPr>
        <w:t xml:space="preserve">remove the school locale controls and </w:t>
      </w:r>
      <w:r>
        <w:rPr>
          <w:rFonts w:ascii="Times New Roman" w:hAnsi="Times New Roman" w:cs="Times New Roman"/>
          <w:sz w:val="24"/>
          <w:szCs w:val="24"/>
        </w:rPr>
        <w:t>re-estimate equation (4) for city, suburban, and town</w:t>
      </w:r>
      <w:r w:rsidR="004D6445">
        <w:rPr>
          <w:rFonts w:ascii="Times New Roman" w:hAnsi="Times New Roman" w:cs="Times New Roman"/>
          <w:sz w:val="24"/>
          <w:szCs w:val="24"/>
        </w:rPr>
        <w:t xml:space="preserve"> and </w:t>
      </w:r>
      <w:r>
        <w:rPr>
          <w:rFonts w:ascii="Times New Roman" w:hAnsi="Times New Roman" w:cs="Times New Roman"/>
          <w:sz w:val="24"/>
          <w:szCs w:val="24"/>
        </w:rPr>
        <w:t xml:space="preserve">rural schools separately. I group the town and rural schools together for sample size reasons. </w:t>
      </w:r>
      <w:r w:rsidR="00C31E1F">
        <w:rPr>
          <w:rFonts w:ascii="Times New Roman" w:hAnsi="Times New Roman" w:cs="Times New Roman"/>
          <w:sz w:val="24"/>
          <w:szCs w:val="24"/>
        </w:rPr>
        <w:t>The results are shown in Table</w:t>
      </w:r>
      <w:r w:rsidR="00285F0D">
        <w:rPr>
          <w:rFonts w:ascii="Times New Roman" w:hAnsi="Times New Roman" w:cs="Times New Roman"/>
          <w:sz w:val="24"/>
          <w:szCs w:val="24"/>
        </w:rPr>
        <w:t xml:space="preserve"> </w:t>
      </w:r>
      <w:r w:rsidR="0050529E">
        <w:rPr>
          <w:rFonts w:ascii="Times New Roman" w:hAnsi="Times New Roman" w:cs="Times New Roman"/>
          <w:sz w:val="24"/>
          <w:szCs w:val="24"/>
        </w:rPr>
        <w:t>1</w:t>
      </w:r>
      <w:r w:rsidR="00512E2D">
        <w:rPr>
          <w:rFonts w:ascii="Times New Roman" w:hAnsi="Times New Roman" w:cs="Times New Roman"/>
          <w:sz w:val="24"/>
          <w:szCs w:val="24"/>
        </w:rPr>
        <w:t>3</w:t>
      </w:r>
      <w:r w:rsidR="00C31E1F">
        <w:rPr>
          <w:rFonts w:ascii="Times New Roman" w:hAnsi="Times New Roman" w:cs="Times New Roman"/>
          <w:sz w:val="24"/>
          <w:szCs w:val="24"/>
        </w:rPr>
        <w:t>.</w:t>
      </w:r>
    </w:p>
    <w:p w14:paraId="59A51E1C" w14:textId="34D00C40" w:rsidR="002075FC" w:rsidRDefault="00E716FD" w:rsidP="003F3F69">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15990">
        <w:rPr>
          <w:rFonts w:ascii="Times New Roman" w:hAnsi="Times New Roman" w:cs="Times New Roman"/>
          <w:sz w:val="24"/>
          <w:szCs w:val="24"/>
        </w:rPr>
        <w:t>It appears that a lot of the effects are being driven by schools in suburbs and town</w:t>
      </w:r>
      <w:r w:rsidR="004D6445">
        <w:rPr>
          <w:rFonts w:ascii="Times New Roman" w:hAnsi="Times New Roman" w:cs="Times New Roman"/>
          <w:sz w:val="24"/>
          <w:szCs w:val="24"/>
        </w:rPr>
        <w:t xml:space="preserve"> and </w:t>
      </w:r>
      <w:r w:rsidR="00A15990">
        <w:rPr>
          <w:rFonts w:ascii="Times New Roman" w:hAnsi="Times New Roman" w:cs="Times New Roman"/>
          <w:sz w:val="24"/>
          <w:szCs w:val="24"/>
        </w:rPr>
        <w:t>rural areas.</w:t>
      </w:r>
      <w:r w:rsidR="004B3928">
        <w:rPr>
          <w:rFonts w:ascii="Times New Roman" w:hAnsi="Times New Roman" w:cs="Times New Roman"/>
          <w:sz w:val="24"/>
          <w:szCs w:val="24"/>
        </w:rPr>
        <w:t xml:space="preserve"> </w:t>
      </w:r>
      <w:r w:rsidR="00943F60">
        <w:rPr>
          <w:rFonts w:ascii="Times New Roman" w:hAnsi="Times New Roman" w:cs="Times New Roman"/>
          <w:sz w:val="24"/>
          <w:szCs w:val="24"/>
        </w:rPr>
        <w:t>The effect</w:t>
      </w:r>
      <w:r w:rsidR="004B3928">
        <w:rPr>
          <w:rFonts w:ascii="Times New Roman" w:hAnsi="Times New Roman" w:cs="Times New Roman"/>
          <w:sz w:val="24"/>
          <w:szCs w:val="24"/>
        </w:rPr>
        <w:t>s</w:t>
      </w:r>
      <w:r w:rsidR="00943F60">
        <w:rPr>
          <w:rFonts w:ascii="Times New Roman" w:hAnsi="Times New Roman" w:cs="Times New Roman"/>
          <w:sz w:val="24"/>
          <w:szCs w:val="24"/>
        </w:rPr>
        <w:t xml:space="preserve"> of dispensary openings on 11</w:t>
      </w:r>
      <w:r w:rsidR="00943F60" w:rsidRPr="00943F60">
        <w:rPr>
          <w:rFonts w:ascii="Times New Roman" w:hAnsi="Times New Roman" w:cs="Times New Roman"/>
          <w:sz w:val="24"/>
          <w:szCs w:val="24"/>
          <w:vertAlign w:val="superscript"/>
        </w:rPr>
        <w:t>th</w:t>
      </w:r>
      <w:r w:rsidR="00943F60">
        <w:rPr>
          <w:rFonts w:ascii="Times New Roman" w:hAnsi="Times New Roman" w:cs="Times New Roman"/>
          <w:sz w:val="24"/>
          <w:szCs w:val="24"/>
        </w:rPr>
        <w:t>- and 12</w:t>
      </w:r>
      <w:r w:rsidR="00943F60" w:rsidRPr="00943F60">
        <w:rPr>
          <w:rFonts w:ascii="Times New Roman" w:hAnsi="Times New Roman" w:cs="Times New Roman"/>
          <w:sz w:val="24"/>
          <w:szCs w:val="24"/>
          <w:vertAlign w:val="superscript"/>
        </w:rPr>
        <w:t>th</w:t>
      </w:r>
      <w:r w:rsidR="00943F60">
        <w:rPr>
          <w:rFonts w:ascii="Times New Roman" w:hAnsi="Times New Roman" w:cs="Times New Roman"/>
          <w:sz w:val="24"/>
          <w:szCs w:val="24"/>
        </w:rPr>
        <w:t xml:space="preserve">-grade chronic absenteeism for both girls and boys </w:t>
      </w:r>
      <w:r w:rsidR="004B3928">
        <w:rPr>
          <w:rFonts w:ascii="Times New Roman" w:hAnsi="Times New Roman" w:cs="Times New Roman"/>
          <w:sz w:val="24"/>
          <w:szCs w:val="24"/>
        </w:rPr>
        <w:t>are</w:t>
      </w:r>
      <w:r w:rsidR="00943F60">
        <w:rPr>
          <w:rFonts w:ascii="Times New Roman" w:hAnsi="Times New Roman" w:cs="Times New Roman"/>
          <w:sz w:val="24"/>
          <w:szCs w:val="24"/>
        </w:rPr>
        <w:t xml:space="preserve"> concentrated in suburban schools, as shown in columns (2) and (5)</w:t>
      </w:r>
      <w:r w:rsidR="004B3928">
        <w:rPr>
          <w:rFonts w:ascii="Times New Roman" w:hAnsi="Times New Roman" w:cs="Times New Roman"/>
          <w:sz w:val="24"/>
          <w:szCs w:val="24"/>
        </w:rPr>
        <w:t xml:space="preserve">. Discipline </w:t>
      </w:r>
      <w:r w:rsidR="004B3928">
        <w:rPr>
          <w:rFonts w:ascii="Times New Roman" w:hAnsi="Times New Roman" w:cs="Times New Roman"/>
          <w:sz w:val="24"/>
          <w:szCs w:val="24"/>
        </w:rPr>
        <w:lastRenderedPageBreak/>
        <w:t>rates for 11</w:t>
      </w:r>
      <w:r w:rsidR="004B3928" w:rsidRPr="004B3928">
        <w:rPr>
          <w:rFonts w:ascii="Times New Roman" w:hAnsi="Times New Roman" w:cs="Times New Roman"/>
          <w:sz w:val="24"/>
          <w:szCs w:val="24"/>
          <w:vertAlign w:val="superscript"/>
        </w:rPr>
        <w:t>th</w:t>
      </w:r>
      <w:r w:rsidR="004B3928">
        <w:rPr>
          <w:rFonts w:ascii="Times New Roman" w:hAnsi="Times New Roman" w:cs="Times New Roman"/>
          <w:sz w:val="24"/>
          <w:szCs w:val="24"/>
        </w:rPr>
        <w:t>- and 12</w:t>
      </w:r>
      <w:r w:rsidR="004B3928" w:rsidRPr="004B3928">
        <w:rPr>
          <w:rFonts w:ascii="Times New Roman" w:hAnsi="Times New Roman" w:cs="Times New Roman"/>
          <w:sz w:val="24"/>
          <w:szCs w:val="24"/>
          <w:vertAlign w:val="superscript"/>
        </w:rPr>
        <w:t>th</w:t>
      </w:r>
      <w:r w:rsidR="004B3928">
        <w:rPr>
          <w:rFonts w:ascii="Times New Roman" w:hAnsi="Times New Roman" w:cs="Times New Roman"/>
          <w:sz w:val="24"/>
          <w:szCs w:val="24"/>
        </w:rPr>
        <w:t xml:space="preserve">-grade girls are largest in suburban schools, while they are higher for boys in </w:t>
      </w:r>
      <w:r w:rsidR="006A5C47">
        <w:rPr>
          <w:rFonts w:ascii="Times New Roman" w:hAnsi="Times New Roman" w:cs="Times New Roman"/>
          <w:sz w:val="24"/>
          <w:szCs w:val="24"/>
        </w:rPr>
        <w:t>town</w:t>
      </w:r>
      <w:r w:rsidR="004D6445">
        <w:rPr>
          <w:rFonts w:ascii="Times New Roman" w:hAnsi="Times New Roman" w:cs="Times New Roman"/>
          <w:sz w:val="24"/>
          <w:szCs w:val="24"/>
        </w:rPr>
        <w:t xml:space="preserve"> and </w:t>
      </w:r>
      <w:r w:rsidR="006A5C47">
        <w:rPr>
          <w:rFonts w:ascii="Times New Roman" w:hAnsi="Times New Roman" w:cs="Times New Roman"/>
          <w:sz w:val="24"/>
          <w:szCs w:val="24"/>
        </w:rPr>
        <w:t>rural schools</w:t>
      </w:r>
      <w:r w:rsidR="00F71F6D">
        <w:rPr>
          <w:rFonts w:ascii="Times New Roman" w:hAnsi="Times New Roman" w:cs="Times New Roman"/>
          <w:sz w:val="24"/>
          <w:szCs w:val="24"/>
        </w:rPr>
        <w:t xml:space="preserve"> (columns (2) and (6)). </w:t>
      </w:r>
      <w:r w:rsidR="002075FC">
        <w:rPr>
          <w:rFonts w:ascii="Times New Roman" w:hAnsi="Times New Roman" w:cs="Times New Roman"/>
          <w:sz w:val="24"/>
          <w:szCs w:val="24"/>
        </w:rPr>
        <w:t>It is less clear, however, whether certain schools are driving the effects on dropout rates.</w:t>
      </w:r>
    </w:p>
    <w:p w14:paraId="5B2AA4B1" w14:textId="1E7F3A44" w:rsidR="001209FC" w:rsidRDefault="00F71F6D" w:rsidP="003F3F69">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Interestingly, the effects on the share of girls and boys who are not proficient in math is large and negative in town</w:t>
      </w:r>
      <w:r w:rsidR="004D6445">
        <w:rPr>
          <w:rFonts w:ascii="Times New Roman" w:hAnsi="Times New Roman" w:cs="Times New Roman"/>
          <w:sz w:val="24"/>
          <w:szCs w:val="24"/>
        </w:rPr>
        <w:t xml:space="preserve"> and </w:t>
      </w:r>
      <w:r>
        <w:rPr>
          <w:rFonts w:ascii="Times New Roman" w:hAnsi="Times New Roman" w:cs="Times New Roman"/>
          <w:sz w:val="24"/>
          <w:szCs w:val="24"/>
        </w:rPr>
        <w:t>rural schools. This indicates that math proficiency is actually increasing in those schools when dispensaries open. Similarly, ELA proficiency, particularly for girls, gets better after legalization (column (3)).</w:t>
      </w:r>
      <w:r w:rsidR="007C6B14">
        <w:rPr>
          <w:rFonts w:ascii="Times New Roman" w:hAnsi="Times New Roman" w:cs="Times New Roman"/>
          <w:sz w:val="24"/>
          <w:szCs w:val="24"/>
        </w:rPr>
        <w:t xml:space="preserve"> Since fewer dispensaries open around schools in rural areas, and if legalization drives illegal sellers out of business, then it could be the case that students in these</w:t>
      </w:r>
      <w:r w:rsidR="003F3F69">
        <w:rPr>
          <w:rFonts w:ascii="Times New Roman" w:hAnsi="Times New Roman" w:cs="Times New Roman"/>
          <w:sz w:val="24"/>
          <w:szCs w:val="24"/>
        </w:rPr>
        <w:t xml:space="preserve"> areas</w:t>
      </w:r>
      <w:r w:rsidR="007C6B14">
        <w:rPr>
          <w:rFonts w:ascii="Times New Roman" w:hAnsi="Times New Roman" w:cs="Times New Roman"/>
          <w:sz w:val="24"/>
          <w:szCs w:val="24"/>
        </w:rPr>
        <w:t xml:space="preserve"> are exposed to less marijuana overall and thus benefit from legalization.</w:t>
      </w:r>
      <w:r w:rsidR="00924BD5">
        <w:rPr>
          <w:rFonts w:ascii="Times New Roman" w:hAnsi="Times New Roman" w:cs="Times New Roman"/>
          <w:sz w:val="24"/>
          <w:szCs w:val="24"/>
        </w:rPr>
        <w:t xml:space="preserve"> </w:t>
      </w:r>
    </w:p>
    <w:p w14:paraId="42B8B9DD" w14:textId="2573810D" w:rsidR="0099413F" w:rsidRPr="001209FC" w:rsidRDefault="003241FB" w:rsidP="001209FC">
      <w:pPr>
        <w:jc w:val="both"/>
        <w:rPr>
          <w:rFonts w:ascii="Times New Roman" w:hAnsi="Times New Roman" w:cs="Times New Roman"/>
          <w:sz w:val="12"/>
          <w:szCs w:val="12"/>
        </w:rPr>
      </w:pPr>
      <w:r w:rsidRPr="001209FC">
        <w:rPr>
          <w:rFonts w:ascii="Times New Roman" w:hAnsi="Times New Roman" w:cs="Times New Roman"/>
          <w:b/>
          <w:bCs/>
          <w:sz w:val="12"/>
          <w:szCs w:val="12"/>
        </w:rPr>
        <w:tab/>
      </w:r>
    </w:p>
    <w:p w14:paraId="0A821220" w14:textId="3253494E" w:rsidR="009B7687" w:rsidRDefault="00D750E1" w:rsidP="00320794">
      <w:pPr>
        <w:pStyle w:val="ListParagraph"/>
        <w:numPr>
          <w:ilvl w:val="0"/>
          <w:numId w:val="1"/>
        </w:numPr>
        <w:rPr>
          <w:rFonts w:ascii="Times New Roman" w:hAnsi="Times New Roman" w:cs="Times New Roman"/>
          <w:b/>
          <w:bCs/>
          <w:sz w:val="32"/>
          <w:szCs w:val="32"/>
        </w:rPr>
      </w:pPr>
      <w:r w:rsidRPr="00320794">
        <w:rPr>
          <w:rFonts w:ascii="Times New Roman" w:hAnsi="Times New Roman" w:cs="Times New Roman"/>
          <w:b/>
          <w:bCs/>
          <w:sz w:val="32"/>
          <w:szCs w:val="32"/>
        </w:rPr>
        <w:t>Conclusion</w:t>
      </w:r>
      <w:r w:rsidR="0099413F" w:rsidRPr="00320794">
        <w:rPr>
          <w:rFonts w:ascii="Times New Roman" w:hAnsi="Times New Roman" w:cs="Times New Roman"/>
          <w:b/>
          <w:bCs/>
          <w:sz w:val="32"/>
          <w:szCs w:val="32"/>
        </w:rPr>
        <w:t xml:space="preserve"> </w:t>
      </w:r>
    </w:p>
    <w:p w14:paraId="59248725" w14:textId="0D525818" w:rsidR="009036B0" w:rsidRDefault="009036B0" w:rsidP="00A2359E">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This paper examines the effects of recreational marijuana legalization on educational outcomes in Washington. Overall, the results suggest that legalization has a negative effect on 11</w:t>
      </w:r>
      <w:r w:rsidRPr="009036B0">
        <w:rPr>
          <w:rFonts w:ascii="Times New Roman" w:hAnsi="Times New Roman" w:cs="Times New Roman"/>
          <w:sz w:val="24"/>
          <w:szCs w:val="24"/>
          <w:vertAlign w:val="superscript"/>
        </w:rPr>
        <w:t>th</w:t>
      </w:r>
      <w:r>
        <w:rPr>
          <w:rFonts w:ascii="Times New Roman" w:hAnsi="Times New Roman" w:cs="Times New Roman"/>
          <w:sz w:val="24"/>
          <w:szCs w:val="24"/>
        </w:rPr>
        <w:t>- and 12</w:t>
      </w:r>
      <w:r w:rsidRPr="009036B0">
        <w:rPr>
          <w:rFonts w:ascii="Times New Roman" w:hAnsi="Times New Roman" w:cs="Times New Roman"/>
          <w:sz w:val="24"/>
          <w:szCs w:val="24"/>
          <w:vertAlign w:val="superscript"/>
        </w:rPr>
        <w:t>th</w:t>
      </w:r>
      <w:r>
        <w:rPr>
          <w:rFonts w:ascii="Times New Roman" w:hAnsi="Times New Roman" w:cs="Times New Roman"/>
          <w:sz w:val="24"/>
          <w:szCs w:val="24"/>
        </w:rPr>
        <w:t xml:space="preserve">-grade students, particularly on their behavioral outcomes. </w:t>
      </w:r>
      <w:r w:rsidRPr="008B0C80">
        <w:rPr>
          <w:rFonts w:ascii="Times New Roman" w:hAnsi="Times New Roman" w:cs="Times New Roman"/>
          <w:sz w:val="24"/>
          <w:szCs w:val="24"/>
        </w:rPr>
        <w:t>There are larger effects on dropout and chronic absenteeism rates for girls than boys, while discipline rates increase for boys but not girls.</w:t>
      </w:r>
    </w:p>
    <w:p w14:paraId="1A3516FE" w14:textId="16033278" w:rsidR="008660A0" w:rsidRDefault="00395F52" w:rsidP="004B7455">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Labor economists </w:t>
      </w:r>
      <w:r w:rsidR="006210E0">
        <w:rPr>
          <w:rFonts w:ascii="Times New Roman" w:hAnsi="Times New Roman" w:cs="Times New Roman"/>
          <w:sz w:val="24"/>
          <w:szCs w:val="24"/>
        </w:rPr>
        <w:t xml:space="preserve">have consistently estimated that an additional year of schooling </w:t>
      </w:r>
      <w:r w:rsidR="00E4455F">
        <w:rPr>
          <w:rFonts w:ascii="Times New Roman" w:hAnsi="Times New Roman" w:cs="Times New Roman"/>
          <w:sz w:val="24"/>
          <w:szCs w:val="24"/>
        </w:rPr>
        <w:t>leads to about a 10% increase in</w:t>
      </w:r>
      <w:r w:rsidR="002057A3">
        <w:rPr>
          <w:rFonts w:ascii="Times New Roman" w:hAnsi="Times New Roman" w:cs="Times New Roman"/>
          <w:sz w:val="24"/>
          <w:szCs w:val="24"/>
        </w:rPr>
        <w:t xml:space="preserve"> average earnings</w:t>
      </w:r>
      <w:r w:rsidR="00654C45">
        <w:rPr>
          <w:rFonts w:ascii="Times New Roman" w:hAnsi="Times New Roman" w:cs="Times New Roman"/>
          <w:sz w:val="24"/>
          <w:szCs w:val="24"/>
        </w:rPr>
        <w:t xml:space="preserve"> (Gunderson &amp; </w:t>
      </w:r>
      <w:proofErr w:type="spellStart"/>
      <w:r w:rsidR="00654C45">
        <w:rPr>
          <w:rFonts w:ascii="Times New Roman" w:hAnsi="Times New Roman" w:cs="Times New Roman"/>
          <w:sz w:val="24"/>
          <w:szCs w:val="24"/>
        </w:rPr>
        <w:t>Oreopolous</w:t>
      </w:r>
      <w:proofErr w:type="spellEnd"/>
      <w:r w:rsidR="00654C45">
        <w:rPr>
          <w:rFonts w:ascii="Times New Roman" w:hAnsi="Times New Roman" w:cs="Times New Roman"/>
          <w:sz w:val="24"/>
          <w:szCs w:val="24"/>
        </w:rPr>
        <w:t>, 2020)</w:t>
      </w:r>
      <w:r w:rsidR="002057A3">
        <w:rPr>
          <w:rFonts w:ascii="Times New Roman" w:hAnsi="Times New Roman" w:cs="Times New Roman"/>
          <w:sz w:val="24"/>
          <w:szCs w:val="24"/>
        </w:rPr>
        <w:t>.</w:t>
      </w:r>
      <w:r w:rsidR="00654C45">
        <w:rPr>
          <w:rFonts w:ascii="Times New Roman" w:hAnsi="Times New Roman" w:cs="Times New Roman"/>
          <w:sz w:val="24"/>
          <w:szCs w:val="24"/>
        </w:rPr>
        <w:t xml:space="preserve"> </w:t>
      </w:r>
      <w:r w:rsidR="008A1DBC">
        <w:rPr>
          <w:rFonts w:ascii="Times New Roman" w:hAnsi="Times New Roman" w:cs="Times New Roman"/>
          <w:sz w:val="24"/>
          <w:szCs w:val="24"/>
        </w:rPr>
        <w:t>Given this</w:t>
      </w:r>
      <w:r w:rsidR="0006448D">
        <w:rPr>
          <w:rFonts w:ascii="Times New Roman" w:hAnsi="Times New Roman" w:cs="Times New Roman"/>
          <w:sz w:val="24"/>
          <w:szCs w:val="24"/>
        </w:rPr>
        <w:t xml:space="preserve">, </w:t>
      </w:r>
      <w:r w:rsidR="00C7775E">
        <w:rPr>
          <w:rFonts w:ascii="Times New Roman" w:hAnsi="Times New Roman" w:cs="Times New Roman"/>
          <w:sz w:val="24"/>
          <w:szCs w:val="24"/>
        </w:rPr>
        <w:t xml:space="preserve">my </w:t>
      </w:r>
      <w:r w:rsidR="005B71CA">
        <w:rPr>
          <w:rFonts w:ascii="Times New Roman" w:hAnsi="Times New Roman" w:cs="Times New Roman"/>
          <w:sz w:val="24"/>
          <w:szCs w:val="24"/>
        </w:rPr>
        <w:t>estimated effects on</w:t>
      </w:r>
      <w:r w:rsidR="00C7775E">
        <w:rPr>
          <w:rFonts w:ascii="Times New Roman" w:hAnsi="Times New Roman" w:cs="Times New Roman"/>
          <w:sz w:val="24"/>
          <w:szCs w:val="24"/>
        </w:rPr>
        <w:t xml:space="preserve"> dropout rates, and </w:t>
      </w:r>
      <w:r w:rsidR="0046505A">
        <w:rPr>
          <w:rFonts w:ascii="Times New Roman" w:hAnsi="Times New Roman" w:cs="Times New Roman"/>
          <w:sz w:val="24"/>
          <w:szCs w:val="24"/>
        </w:rPr>
        <w:t>an estimate of</w:t>
      </w:r>
      <w:r w:rsidR="005B71CA">
        <w:rPr>
          <w:rFonts w:ascii="Times New Roman" w:hAnsi="Times New Roman" w:cs="Times New Roman"/>
          <w:sz w:val="24"/>
          <w:szCs w:val="24"/>
        </w:rPr>
        <w:t xml:space="preserve"> earnings for high school graduates in Washington,</w:t>
      </w:r>
      <w:r w:rsidR="005B71CA">
        <w:rPr>
          <w:rStyle w:val="FootnoteReference"/>
          <w:rFonts w:ascii="Times New Roman" w:hAnsi="Times New Roman" w:cs="Times New Roman"/>
          <w:sz w:val="24"/>
          <w:szCs w:val="24"/>
        </w:rPr>
        <w:footnoteReference w:id="21"/>
      </w:r>
      <w:r w:rsidR="005B71CA">
        <w:rPr>
          <w:rFonts w:ascii="Times New Roman" w:hAnsi="Times New Roman" w:cs="Times New Roman"/>
          <w:sz w:val="24"/>
          <w:szCs w:val="24"/>
        </w:rPr>
        <w:t xml:space="preserve"> I calculate </w:t>
      </w:r>
      <w:r w:rsidR="00A81AE1">
        <w:rPr>
          <w:rFonts w:ascii="Times New Roman" w:hAnsi="Times New Roman" w:cs="Times New Roman"/>
          <w:sz w:val="24"/>
          <w:szCs w:val="24"/>
        </w:rPr>
        <w:t xml:space="preserve">that, </w:t>
      </w:r>
      <w:r w:rsidR="002A74A5">
        <w:rPr>
          <w:rFonts w:ascii="Times New Roman" w:hAnsi="Times New Roman" w:cs="Times New Roman"/>
          <w:sz w:val="24"/>
          <w:szCs w:val="24"/>
        </w:rPr>
        <w:t>for a single year</w:t>
      </w:r>
      <w:r w:rsidR="00A81AE1">
        <w:rPr>
          <w:rFonts w:ascii="Times New Roman" w:hAnsi="Times New Roman" w:cs="Times New Roman"/>
          <w:sz w:val="24"/>
          <w:szCs w:val="24"/>
        </w:rPr>
        <w:t xml:space="preserve">, </w:t>
      </w:r>
      <w:r w:rsidR="003023EA">
        <w:rPr>
          <w:rFonts w:ascii="Times New Roman" w:hAnsi="Times New Roman" w:cs="Times New Roman"/>
          <w:sz w:val="24"/>
          <w:szCs w:val="24"/>
        </w:rPr>
        <w:t xml:space="preserve">the earnings lost because students drop out of school </w:t>
      </w:r>
      <w:r w:rsidR="004E435E">
        <w:rPr>
          <w:rFonts w:ascii="Times New Roman" w:hAnsi="Times New Roman" w:cs="Times New Roman"/>
          <w:sz w:val="24"/>
          <w:szCs w:val="24"/>
        </w:rPr>
        <w:t>doubled</w:t>
      </w:r>
      <w:r w:rsidR="002A74A5">
        <w:rPr>
          <w:rFonts w:ascii="Times New Roman" w:hAnsi="Times New Roman" w:cs="Times New Roman"/>
          <w:sz w:val="24"/>
          <w:szCs w:val="24"/>
        </w:rPr>
        <w:t xml:space="preserve"> </w:t>
      </w:r>
      <w:r w:rsidR="00443045">
        <w:rPr>
          <w:rFonts w:ascii="Times New Roman" w:hAnsi="Times New Roman" w:cs="Times New Roman"/>
          <w:sz w:val="24"/>
          <w:szCs w:val="24"/>
        </w:rPr>
        <w:t>to $160,268.8</w:t>
      </w:r>
      <w:r w:rsidR="004E435E">
        <w:rPr>
          <w:rFonts w:ascii="Times New Roman" w:hAnsi="Times New Roman" w:cs="Times New Roman"/>
          <w:sz w:val="24"/>
          <w:szCs w:val="24"/>
        </w:rPr>
        <w:t>0</w:t>
      </w:r>
      <w:r w:rsidR="002A74A5">
        <w:rPr>
          <w:rFonts w:ascii="Times New Roman" w:hAnsi="Times New Roman" w:cs="Times New Roman"/>
          <w:sz w:val="24"/>
          <w:szCs w:val="24"/>
        </w:rPr>
        <w:t xml:space="preserve"> post-legalization</w:t>
      </w:r>
      <w:r w:rsidR="004E435E">
        <w:rPr>
          <w:rFonts w:ascii="Times New Roman" w:hAnsi="Times New Roman" w:cs="Times New Roman"/>
          <w:sz w:val="24"/>
          <w:szCs w:val="24"/>
        </w:rPr>
        <w:t>.</w:t>
      </w:r>
      <w:r w:rsidR="002A74A5">
        <w:rPr>
          <w:rFonts w:ascii="Times New Roman" w:hAnsi="Times New Roman" w:cs="Times New Roman"/>
          <w:sz w:val="24"/>
          <w:szCs w:val="24"/>
        </w:rPr>
        <w:t xml:space="preserve"> Relative to how much the state made in marijuana taxes</w:t>
      </w:r>
      <w:r w:rsidR="000615E8">
        <w:rPr>
          <w:rFonts w:ascii="Times New Roman" w:hAnsi="Times New Roman" w:cs="Times New Roman"/>
          <w:sz w:val="24"/>
          <w:szCs w:val="24"/>
        </w:rPr>
        <w:t xml:space="preserve"> and fees</w:t>
      </w:r>
      <w:r w:rsidR="002A74A5">
        <w:rPr>
          <w:rFonts w:ascii="Times New Roman" w:hAnsi="Times New Roman" w:cs="Times New Roman"/>
          <w:sz w:val="24"/>
          <w:szCs w:val="24"/>
        </w:rPr>
        <w:t xml:space="preserve">, </w:t>
      </w:r>
      <w:r w:rsidR="0055091E">
        <w:rPr>
          <w:rFonts w:ascii="Times New Roman" w:hAnsi="Times New Roman" w:cs="Times New Roman"/>
          <w:sz w:val="24"/>
          <w:szCs w:val="24"/>
        </w:rPr>
        <w:t>which</w:t>
      </w:r>
      <w:r w:rsidR="002A74A5">
        <w:rPr>
          <w:rFonts w:ascii="Times New Roman" w:hAnsi="Times New Roman" w:cs="Times New Roman"/>
          <w:sz w:val="24"/>
          <w:szCs w:val="24"/>
        </w:rPr>
        <w:t xml:space="preserve"> was </w:t>
      </w:r>
      <w:r w:rsidR="00FA6B7B">
        <w:rPr>
          <w:rFonts w:ascii="Times New Roman" w:hAnsi="Times New Roman" w:cs="Times New Roman"/>
          <w:sz w:val="24"/>
          <w:szCs w:val="24"/>
        </w:rPr>
        <w:t>over $51</w:t>
      </w:r>
      <w:r w:rsidR="000615E8">
        <w:rPr>
          <w:rFonts w:ascii="Times New Roman" w:hAnsi="Times New Roman" w:cs="Times New Roman"/>
          <w:sz w:val="24"/>
          <w:szCs w:val="24"/>
        </w:rPr>
        <w:t>5</w:t>
      </w:r>
      <w:r w:rsidR="00FA6B7B">
        <w:rPr>
          <w:rFonts w:ascii="Times New Roman" w:hAnsi="Times New Roman" w:cs="Times New Roman"/>
          <w:sz w:val="24"/>
          <w:szCs w:val="24"/>
        </w:rPr>
        <w:t xml:space="preserve"> million in FY 2022 </w:t>
      </w:r>
      <w:r w:rsidR="00A2448D">
        <w:rPr>
          <w:rFonts w:ascii="Times New Roman" w:hAnsi="Times New Roman" w:cs="Times New Roman"/>
          <w:sz w:val="24"/>
          <w:szCs w:val="24"/>
        </w:rPr>
        <w:t>(</w:t>
      </w:r>
      <w:r w:rsidR="0047395D">
        <w:rPr>
          <w:rFonts w:ascii="Times New Roman" w:hAnsi="Times New Roman" w:cs="Times New Roman"/>
          <w:sz w:val="24"/>
          <w:szCs w:val="24"/>
        </w:rPr>
        <w:t>Annual Report, 2022)</w:t>
      </w:r>
      <w:r w:rsidR="002A74A5">
        <w:rPr>
          <w:rFonts w:ascii="Times New Roman" w:hAnsi="Times New Roman" w:cs="Times New Roman"/>
          <w:sz w:val="24"/>
          <w:szCs w:val="24"/>
        </w:rPr>
        <w:t xml:space="preserve">, this </w:t>
      </w:r>
      <w:r w:rsidR="002A74A5">
        <w:rPr>
          <w:rFonts w:ascii="Times New Roman" w:hAnsi="Times New Roman" w:cs="Times New Roman"/>
          <w:sz w:val="24"/>
          <w:szCs w:val="24"/>
        </w:rPr>
        <w:lastRenderedPageBreak/>
        <w:t xml:space="preserve">value of harm </w:t>
      </w:r>
      <w:r w:rsidR="00A35AB1">
        <w:rPr>
          <w:rFonts w:ascii="Times New Roman" w:hAnsi="Times New Roman" w:cs="Times New Roman"/>
          <w:sz w:val="24"/>
          <w:szCs w:val="24"/>
        </w:rPr>
        <w:t>is quite</w:t>
      </w:r>
      <w:r w:rsidR="002A74A5">
        <w:rPr>
          <w:rFonts w:ascii="Times New Roman" w:hAnsi="Times New Roman" w:cs="Times New Roman"/>
          <w:sz w:val="24"/>
          <w:szCs w:val="24"/>
        </w:rPr>
        <w:t xml:space="preserve"> small.</w:t>
      </w:r>
      <w:r w:rsidR="00FA6B7B">
        <w:rPr>
          <w:rFonts w:ascii="Times New Roman" w:hAnsi="Times New Roman" w:cs="Times New Roman"/>
          <w:sz w:val="24"/>
          <w:szCs w:val="24"/>
        </w:rPr>
        <w:t xml:space="preserve"> However, </w:t>
      </w:r>
      <w:r w:rsidR="00E66DC1">
        <w:rPr>
          <w:rFonts w:ascii="Times New Roman" w:hAnsi="Times New Roman" w:cs="Times New Roman"/>
          <w:sz w:val="24"/>
          <w:szCs w:val="24"/>
        </w:rPr>
        <w:t xml:space="preserve">it is hard to </w:t>
      </w:r>
      <w:r w:rsidR="009C0A90">
        <w:rPr>
          <w:rFonts w:ascii="Times New Roman" w:hAnsi="Times New Roman" w:cs="Times New Roman"/>
          <w:sz w:val="24"/>
          <w:szCs w:val="24"/>
        </w:rPr>
        <w:t>kno</w:t>
      </w:r>
      <w:r w:rsidR="0078512C">
        <w:rPr>
          <w:rFonts w:ascii="Times New Roman" w:hAnsi="Times New Roman" w:cs="Times New Roman"/>
          <w:sz w:val="24"/>
          <w:szCs w:val="24"/>
        </w:rPr>
        <w:t xml:space="preserve">w how much </w:t>
      </w:r>
      <w:r w:rsidR="00C2192D">
        <w:rPr>
          <w:rFonts w:ascii="Times New Roman" w:hAnsi="Times New Roman" w:cs="Times New Roman"/>
          <w:sz w:val="24"/>
          <w:szCs w:val="24"/>
        </w:rPr>
        <w:t xml:space="preserve">of this </w:t>
      </w:r>
      <w:r w:rsidR="0078512C">
        <w:rPr>
          <w:rFonts w:ascii="Times New Roman" w:hAnsi="Times New Roman" w:cs="Times New Roman"/>
          <w:sz w:val="24"/>
          <w:szCs w:val="24"/>
        </w:rPr>
        <w:t>revenue</w:t>
      </w:r>
      <w:r w:rsidR="002818AB">
        <w:rPr>
          <w:rFonts w:ascii="Times New Roman" w:hAnsi="Times New Roman" w:cs="Times New Roman"/>
          <w:sz w:val="24"/>
          <w:szCs w:val="24"/>
        </w:rPr>
        <w:t xml:space="preserve"> </w:t>
      </w:r>
      <w:r w:rsidR="00FB4528">
        <w:rPr>
          <w:rFonts w:ascii="Times New Roman" w:hAnsi="Times New Roman" w:cs="Times New Roman"/>
          <w:sz w:val="24"/>
          <w:szCs w:val="24"/>
        </w:rPr>
        <w:t>funds</w:t>
      </w:r>
      <w:r w:rsidR="002818AB">
        <w:rPr>
          <w:rFonts w:ascii="Times New Roman" w:hAnsi="Times New Roman" w:cs="Times New Roman"/>
          <w:sz w:val="24"/>
          <w:szCs w:val="24"/>
        </w:rPr>
        <w:t xml:space="preserve"> </w:t>
      </w:r>
      <w:r w:rsidR="004614CD">
        <w:rPr>
          <w:rFonts w:ascii="Times New Roman" w:hAnsi="Times New Roman" w:cs="Times New Roman"/>
          <w:sz w:val="24"/>
          <w:szCs w:val="24"/>
        </w:rPr>
        <w:t>programs</w:t>
      </w:r>
      <w:r w:rsidR="002818AB">
        <w:rPr>
          <w:rFonts w:ascii="Times New Roman" w:hAnsi="Times New Roman" w:cs="Times New Roman"/>
          <w:sz w:val="24"/>
          <w:szCs w:val="24"/>
        </w:rPr>
        <w:t xml:space="preserve"> </w:t>
      </w:r>
      <w:r w:rsidR="004614CD">
        <w:rPr>
          <w:rFonts w:ascii="Times New Roman" w:hAnsi="Times New Roman" w:cs="Times New Roman"/>
          <w:sz w:val="24"/>
          <w:szCs w:val="24"/>
        </w:rPr>
        <w:t xml:space="preserve">that </w:t>
      </w:r>
      <w:r w:rsidR="002818AB">
        <w:rPr>
          <w:rFonts w:ascii="Times New Roman" w:hAnsi="Times New Roman" w:cs="Times New Roman"/>
          <w:sz w:val="24"/>
          <w:szCs w:val="24"/>
        </w:rPr>
        <w:t>could impact students’ dropout decisions</w:t>
      </w:r>
      <w:r w:rsidR="004614CD">
        <w:rPr>
          <w:rFonts w:ascii="Times New Roman" w:hAnsi="Times New Roman" w:cs="Times New Roman"/>
          <w:sz w:val="24"/>
          <w:szCs w:val="24"/>
        </w:rPr>
        <w:t xml:space="preserve"> (directly or indirectly)</w:t>
      </w:r>
      <w:r w:rsidR="008976FC">
        <w:rPr>
          <w:rFonts w:ascii="Times New Roman" w:hAnsi="Times New Roman" w:cs="Times New Roman"/>
          <w:sz w:val="24"/>
          <w:szCs w:val="24"/>
        </w:rPr>
        <w:t xml:space="preserve"> and </w:t>
      </w:r>
      <w:r w:rsidR="005B71CA">
        <w:rPr>
          <w:rFonts w:ascii="Times New Roman" w:hAnsi="Times New Roman" w:cs="Times New Roman"/>
          <w:sz w:val="24"/>
          <w:szCs w:val="24"/>
        </w:rPr>
        <w:t xml:space="preserve">the effectiveness of those programs. </w:t>
      </w:r>
      <w:r w:rsidR="004614CD">
        <w:rPr>
          <w:rFonts w:ascii="Times New Roman" w:hAnsi="Times New Roman" w:cs="Times New Roman"/>
          <w:sz w:val="24"/>
          <w:szCs w:val="24"/>
        </w:rPr>
        <w:t xml:space="preserve">There is one program that specifically works to prevent high schoolers from dropping out, called the Building Bridges program, that receives a small fraction of tax revenues. </w:t>
      </w:r>
      <w:r w:rsidR="00C2192D">
        <w:rPr>
          <w:rFonts w:ascii="Times New Roman" w:hAnsi="Times New Roman" w:cs="Times New Roman"/>
          <w:sz w:val="24"/>
          <w:szCs w:val="24"/>
        </w:rPr>
        <w:t xml:space="preserve">I calculate that </w:t>
      </w:r>
      <w:r w:rsidR="004614CD">
        <w:rPr>
          <w:rFonts w:ascii="Times New Roman" w:hAnsi="Times New Roman" w:cs="Times New Roman"/>
          <w:sz w:val="24"/>
          <w:szCs w:val="24"/>
        </w:rPr>
        <w:t>Building Bridges</w:t>
      </w:r>
      <w:r w:rsidR="00C2192D">
        <w:rPr>
          <w:rFonts w:ascii="Times New Roman" w:hAnsi="Times New Roman" w:cs="Times New Roman"/>
          <w:sz w:val="24"/>
          <w:szCs w:val="24"/>
        </w:rPr>
        <w:t xml:space="preserve"> likely received around $1.5 million in FY 2022</w:t>
      </w:r>
      <w:r w:rsidR="004614CD">
        <w:rPr>
          <w:rFonts w:ascii="Times New Roman" w:hAnsi="Times New Roman" w:cs="Times New Roman"/>
          <w:sz w:val="24"/>
          <w:szCs w:val="24"/>
        </w:rPr>
        <w:t>, again, substantially larger than the estimated earnings losses</w:t>
      </w:r>
      <w:r w:rsidR="00C2192D">
        <w:rPr>
          <w:rFonts w:ascii="Times New Roman" w:hAnsi="Times New Roman" w:cs="Times New Roman"/>
          <w:sz w:val="24"/>
          <w:szCs w:val="24"/>
        </w:rPr>
        <w:t>.</w:t>
      </w:r>
      <w:r w:rsidR="00A35AB1">
        <w:rPr>
          <w:rStyle w:val="FootnoteReference"/>
          <w:rFonts w:ascii="Times New Roman" w:hAnsi="Times New Roman" w:cs="Times New Roman"/>
          <w:sz w:val="24"/>
          <w:szCs w:val="24"/>
        </w:rPr>
        <w:footnoteReference w:id="22"/>
      </w:r>
      <w:r w:rsidR="00FB4528">
        <w:rPr>
          <w:rFonts w:ascii="Times New Roman" w:hAnsi="Times New Roman" w:cs="Times New Roman"/>
          <w:sz w:val="24"/>
          <w:szCs w:val="24"/>
        </w:rPr>
        <w:t xml:space="preserve"> </w:t>
      </w:r>
      <w:r w:rsidR="004614CD">
        <w:rPr>
          <w:rFonts w:ascii="Times New Roman" w:hAnsi="Times New Roman" w:cs="Times New Roman"/>
          <w:sz w:val="24"/>
          <w:szCs w:val="24"/>
        </w:rPr>
        <w:t>However, m</w:t>
      </w:r>
      <w:r w:rsidR="00FB4528">
        <w:rPr>
          <w:rFonts w:ascii="Times New Roman" w:hAnsi="Times New Roman" w:cs="Times New Roman"/>
          <w:sz w:val="24"/>
          <w:szCs w:val="24"/>
        </w:rPr>
        <w:t xml:space="preserve">y estimates are net of any potential positive effect of this funding increase. In other words, even if this program </w:t>
      </w:r>
      <w:r w:rsidR="004B7455">
        <w:rPr>
          <w:rFonts w:ascii="Times New Roman" w:hAnsi="Times New Roman" w:cs="Times New Roman"/>
          <w:sz w:val="24"/>
          <w:szCs w:val="24"/>
        </w:rPr>
        <w:t>decreases the dropout rate as a result of more funding after legalization</w:t>
      </w:r>
      <w:r w:rsidR="00FB4528">
        <w:rPr>
          <w:rFonts w:ascii="Times New Roman" w:hAnsi="Times New Roman" w:cs="Times New Roman"/>
          <w:sz w:val="24"/>
          <w:szCs w:val="24"/>
        </w:rPr>
        <w:t xml:space="preserve">, </w:t>
      </w:r>
      <w:r w:rsidR="004B7455">
        <w:rPr>
          <w:rFonts w:ascii="Times New Roman" w:hAnsi="Times New Roman" w:cs="Times New Roman"/>
          <w:sz w:val="24"/>
          <w:szCs w:val="24"/>
        </w:rPr>
        <w:t>the dropout rate still increases overall</w:t>
      </w:r>
      <w:r w:rsidR="004614CD">
        <w:rPr>
          <w:rFonts w:ascii="Times New Roman" w:hAnsi="Times New Roman" w:cs="Times New Roman"/>
          <w:sz w:val="24"/>
          <w:szCs w:val="24"/>
        </w:rPr>
        <w:t xml:space="preserve">, leading to </w:t>
      </w:r>
      <w:r w:rsidR="008E5BAC">
        <w:rPr>
          <w:rFonts w:ascii="Times New Roman" w:hAnsi="Times New Roman" w:cs="Times New Roman"/>
          <w:sz w:val="24"/>
          <w:szCs w:val="24"/>
        </w:rPr>
        <w:t xml:space="preserve">decreased </w:t>
      </w:r>
      <w:r w:rsidR="004614CD">
        <w:rPr>
          <w:rFonts w:ascii="Times New Roman" w:hAnsi="Times New Roman" w:cs="Times New Roman"/>
          <w:sz w:val="24"/>
          <w:szCs w:val="24"/>
        </w:rPr>
        <w:t>earnings</w:t>
      </w:r>
      <w:r w:rsidR="004B7455">
        <w:rPr>
          <w:rFonts w:ascii="Times New Roman" w:hAnsi="Times New Roman" w:cs="Times New Roman"/>
          <w:sz w:val="24"/>
          <w:szCs w:val="24"/>
        </w:rPr>
        <w:t>.</w:t>
      </w:r>
      <w:r w:rsidR="004614CD">
        <w:rPr>
          <w:rFonts w:ascii="Times New Roman" w:hAnsi="Times New Roman" w:cs="Times New Roman"/>
          <w:sz w:val="24"/>
          <w:szCs w:val="24"/>
        </w:rPr>
        <w:t xml:space="preserve"> </w:t>
      </w:r>
    </w:p>
    <w:p w14:paraId="31C8767D" w14:textId="302AC0C8" w:rsidR="00B10901" w:rsidRDefault="009036B0" w:rsidP="00A2359E">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results </w:t>
      </w:r>
      <w:r w:rsidR="00BE61EA">
        <w:rPr>
          <w:rFonts w:ascii="Times New Roman" w:hAnsi="Times New Roman" w:cs="Times New Roman"/>
          <w:sz w:val="24"/>
          <w:szCs w:val="24"/>
        </w:rPr>
        <w:t xml:space="preserve">in this paper </w:t>
      </w:r>
      <w:r>
        <w:rPr>
          <w:rFonts w:ascii="Times New Roman" w:hAnsi="Times New Roman" w:cs="Times New Roman"/>
          <w:sz w:val="24"/>
          <w:szCs w:val="24"/>
        </w:rPr>
        <w:t xml:space="preserve">are tempered by the following </w:t>
      </w:r>
      <w:r w:rsidR="002E7377">
        <w:rPr>
          <w:rFonts w:ascii="Times New Roman" w:hAnsi="Times New Roman" w:cs="Times New Roman"/>
          <w:sz w:val="24"/>
          <w:szCs w:val="24"/>
        </w:rPr>
        <w:t>three caveats</w:t>
      </w:r>
      <w:r>
        <w:rPr>
          <w:rFonts w:ascii="Times New Roman" w:hAnsi="Times New Roman" w:cs="Times New Roman"/>
          <w:sz w:val="24"/>
          <w:szCs w:val="24"/>
        </w:rPr>
        <w:t xml:space="preserve">. </w:t>
      </w:r>
      <w:r w:rsidR="00DF39D0">
        <w:rPr>
          <w:rFonts w:ascii="Times New Roman" w:hAnsi="Times New Roman" w:cs="Times New Roman"/>
          <w:sz w:val="24"/>
          <w:szCs w:val="24"/>
        </w:rPr>
        <w:t>First, the</w:t>
      </w:r>
      <w:r w:rsidR="00E170CC">
        <w:rPr>
          <w:rFonts w:ascii="Times New Roman" w:hAnsi="Times New Roman" w:cs="Times New Roman"/>
          <w:sz w:val="24"/>
          <w:szCs w:val="24"/>
        </w:rPr>
        <w:t xml:space="preserve"> estimates </w:t>
      </w:r>
      <w:r w:rsidR="00DF39D0">
        <w:rPr>
          <w:rFonts w:ascii="Times New Roman" w:hAnsi="Times New Roman" w:cs="Times New Roman"/>
          <w:sz w:val="24"/>
          <w:szCs w:val="24"/>
        </w:rPr>
        <w:t xml:space="preserve">may not be indicative of the effects of legalization over time. Washington increased the number of dispensaries allowed in the </w:t>
      </w:r>
      <w:r w:rsidR="00E170CC">
        <w:rPr>
          <w:rFonts w:ascii="Times New Roman" w:hAnsi="Times New Roman" w:cs="Times New Roman"/>
          <w:sz w:val="24"/>
          <w:szCs w:val="24"/>
        </w:rPr>
        <w:t>st</w:t>
      </w:r>
      <w:r w:rsidR="00DF39D0">
        <w:rPr>
          <w:rFonts w:ascii="Times New Roman" w:hAnsi="Times New Roman" w:cs="Times New Roman"/>
          <w:sz w:val="24"/>
          <w:szCs w:val="24"/>
        </w:rPr>
        <w:t xml:space="preserve">ate to 556 </w:t>
      </w:r>
      <w:r w:rsidR="00E170CC">
        <w:rPr>
          <w:rFonts w:ascii="Times New Roman" w:hAnsi="Times New Roman" w:cs="Times New Roman"/>
          <w:sz w:val="24"/>
          <w:szCs w:val="24"/>
        </w:rPr>
        <w:t>i</w:t>
      </w:r>
      <w:r w:rsidR="00DF39D0">
        <w:rPr>
          <w:rFonts w:ascii="Times New Roman" w:hAnsi="Times New Roman" w:cs="Times New Roman"/>
          <w:sz w:val="24"/>
          <w:szCs w:val="24"/>
        </w:rPr>
        <w:t>n January 2016 so medical marijuana users could have better access to dispensaries</w:t>
      </w:r>
      <w:r w:rsidR="00E170CC">
        <w:rPr>
          <w:rFonts w:ascii="Times New Roman" w:hAnsi="Times New Roman" w:cs="Times New Roman"/>
          <w:sz w:val="24"/>
          <w:szCs w:val="24"/>
        </w:rPr>
        <w:t xml:space="preserve">. While the WSLCB prioritized previous applicants when distributing licenses, there was no stipulation that </w:t>
      </w:r>
      <w:r w:rsidR="00D27BEB">
        <w:rPr>
          <w:rFonts w:ascii="Times New Roman" w:hAnsi="Times New Roman" w:cs="Times New Roman"/>
          <w:sz w:val="24"/>
          <w:szCs w:val="24"/>
        </w:rPr>
        <w:t xml:space="preserve">these additional dispensary licenses had to be </w:t>
      </w:r>
      <w:r w:rsidR="00F21055">
        <w:rPr>
          <w:rFonts w:ascii="Times New Roman" w:hAnsi="Times New Roman" w:cs="Times New Roman"/>
          <w:sz w:val="24"/>
          <w:szCs w:val="24"/>
        </w:rPr>
        <w:t>chosen from the original pool of applicants</w:t>
      </w:r>
      <w:r w:rsidR="00A73A97">
        <w:rPr>
          <w:rFonts w:ascii="Times New Roman" w:hAnsi="Times New Roman" w:cs="Times New Roman"/>
          <w:sz w:val="24"/>
          <w:szCs w:val="24"/>
        </w:rPr>
        <w:t xml:space="preserve">, making the lottery a weaker instrument. </w:t>
      </w:r>
      <w:r w:rsidR="00C631C7">
        <w:rPr>
          <w:rFonts w:ascii="Times New Roman" w:hAnsi="Times New Roman" w:cs="Times New Roman"/>
          <w:sz w:val="24"/>
          <w:szCs w:val="24"/>
        </w:rPr>
        <w:t xml:space="preserve">Additionally, new dispensary licenses were issued on a first-come first-served basis; there was no secondary lottery to exploit. </w:t>
      </w:r>
      <w:r w:rsidR="008337B9">
        <w:rPr>
          <w:rFonts w:ascii="Times New Roman" w:hAnsi="Times New Roman" w:cs="Times New Roman"/>
          <w:sz w:val="24"/>
          <w:szCs w:val="24"/>
        </w:rPr>
        <w:t>A few things could happen as more dispensaries open. Accessibility could increase, driving educational outcomes down further over time, or outcomes could reach a new baseline and plateau as dispensaries become less novel.</w:t>
      </w:r>
      <w:r w:rsidR="00B717B9">
        <w:rPr>
          <w:rFonts w:ascii="Times New Roman" w:hAnsi="Times New Roman" w:cs="Times New Roman"/>
          <w:sz w:val="24"/>
          <w:szCs w:val="24"/>
        </w:rPr>
        <w:t xml:space="preserve"> It could also be the case that outcomes start to climb back up over time</w:t>
      </w:r>
      <w:r w:rsidR="00BE0E1C">
        <w:rPr>
          <w:rFonts w:ascii="Times New Roman" w:hAnsi="Times New Roman" w:cs="Times New Roman"/>
          <w:sz w:val="24"/>
          <w:szCs w:val="24"/>
        </w:rPr>
        <w:t xml:space="preserve"> if </w:t>
      </w:r>
      <w:r w:rsidR="00B00F76">
        <w:rPr>
          <w:rFonts w:ascii="Times New Roman" w:hAnsi="Times New Roman" w:cs="Times New Roman"/>
          <w:sz w:val="24"/>
          <w:szCs w:val="24"/>
        </w:rPr>
        <w:t xml:space="preserve">there are any </w:t>
      </w:r>
      <w:r w:rsidR="00BE0E1C">
        <w:rPr>
          <w:rFonts w:ascii="Times New Roman" w:hAnsi="Times New Roman" w:cs="Times New Roman"/>
          <w:sz w:val="24"/>
          <w:szCs w:val="24"/>
        </w:rPr>
        <w:t xml:space="preserve">programs implemented to combat teen marijuana use after legalization </w:t>
      </w:r>
      <w:r w:rsidR="00B00F76">
        <w:rPr>
          <w:rFonts w:ascii="Times New Roman" w:hAnsi="Times New Roman" w:cs="Times New Roman"/>
          <w:sz w:val="24"/>
          <w:szCs w:val="24"/>
        </w:rPr>
        <w:t xml:space="preserve">that </w:t>
      </w:r>
      <w:r w:rsidR="00BE0E1C">
        <w:rPr>
          <w:rFonts w:ascii="Times New Roman" w:hAnsi="Times New Roman" w:cs="Times New Roman"/>
          <w:sz w:val="24"/>
          <w:szCs w:val="24"/>
        </w:rPr>
        <w:t xml:space="preserve">offset the negative effects </w:t>
      </w:r>
      <w:r w:rsidR="0055090B">
        <w:rPr>
          <w:rFonts w:ascii="Times New Roman" w:hAnsi="Times New Roman" w:cs="Times New Roman"/>
          <w:sz w:val="24"/>
          <w:szCs w:val="24"/>
        </w:rPr>
        <w:t>o</w:t>
      </w:r>
      <w:r w:rsidR="00BE0E1C">
        <w:rPr>
          <w:rFonts w:ascii="Times New Roman" w:hAnsi="Times New Roman" w:cs="Times New Roman"/>
          <w:sz w:val="24"/>
          <w:szCs w:val="24"/>
        </w:rPr>
        <w:t xml:space="preserve">f dispensaries. </w:t>
      </w:r>
      <w:r w:rsidR="008337B9">
        <w:rPr>
          <w:rFonts w:ascii="Times New Roman" w:hAnsi="Times New Roman" w:cs="Times New Roman"/>
          <w:sz w:val="24"/>
          <w:szCs w:val="24"/>
        </w:rPr>
        <w:t xml:space="preserve">  </w:t>
      </w:r>
    </w:p>
    <w:p w14:paraId="6018355E" w14:textId="39F4DE6C" w:rsidR="00DE2B5F" w:rsidRDefault="00DE2B5F" w:rsidP="00A2359E">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Second,</w:t>
      </w:r>
      <w:r w:rsidR="00861748">
        <w:rPr>
          <w:rFonts w:ascii="Times New Roman" w:hAnsi="Times New Roman" w:cs="Times New Roman"/>
          <w:sz w:val="24"/>
          <w:szCs w:val="24"/>
        </w:rPr>
        <w:t xml:space="preserve"> </w:t>
      </w:r>
      <w:r w:rsidR="00765C5F">
        <w:rPr>
          <w:rFonts w:ascii="Times New Roman" w:hAnsi="Times New Roman" w:cs="Times New Roman"/>
          <w:sz w:val="24"/>
          <w:szCs w:val="24"/>
        </w:rPr>
        <w:t xml:space="preserve">there are </w:t>
      </w:r>
      <w:r w:rsidR="009F66DD" w:rsidRPr="00F530C3">
        <w:rPr>
          <w:rFonts w:ascii="Times New Roman" w:hAnsi="Times New Roman" w:cs="Times New Roman"/>
          <w:sz w:val="24"/>
          <w:szCs w:val="24"/>
        </w:rPr>
        <w:t>several reasons why legalization could affect access to marijuana, underage use, and ultimately student outcomes</w:t>
      </w:r>
      <w:r w:rsidR="00765C5F">
        <w:rPr>
          <w:rFonts w:ascii="Times New Roman" w:hAnsi="Times New Roman" w:cs="Times New Roman"/>
          <w:sz w:val="24"/>
          <w:szCs w:val="24"/>
        </w:rPr>
        <w:t>, but I am unable to distinguish which are at play in this context</w:t>
      </w:r>
      <w:r w:rsidR="009F66DD" w:rsidRPr="00F530C3">
        <w:rPr>
          <w:rFonts w:ascii="Times New Roman" w:hAnsi="Times New Roman" w:cs="Times New Roman"/>
          <w:sz w:val="24"/>
          <w:szCs w:val="24"/>
        </w:rPr>
        <w:t>. While only adults over 21 are allowed to purchase marijuana from dispensaries, it is possible that teens make purchases using fake IDs. It could also be the case that teens are able to get marijuana more easily from older friends and family members who purchase it legally, or that they are able to get it more easily from the illegal market because sellers have better access after legalization. If marijuana is easier for teens to get, then it is plausible that more of them would use it (extensive margin effect) and/or previous users would use it more (intensive margin effect). I would expect the kids who decide to try marijuana after legalization to be in the middle of the performance distribution in school. Legalization could bump them to the lower end of the distribution or decrease their attendance, but I would not expect more of them to drop out. Teens already using marijuana are likely already performing poorly in school, as previous literature suggests. I would expect that these are the kids on the margin of dropping out, and that legalization pushes them to do so.</w:t>
      </w:r>
    </w:p>
    <w:p w14:paraId="31C04556" w14:textId="2D3607DC" w:rsidR="0014658F" w:rsidRDefault="008660A0" w:rsidP="001177FC">
      <w:pPr>
        <w:spacing w:after="12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Finally,</w:t>
      </w:r>
      <w:r w:rsidR="00135AE2">
        <w:rPr>
          <w:rFonts w:ascii="Times New Roman" w:hAnsi="Times New Roman" w:cs="Times New Roman"/>
          <w:sz w:val="24"/>
          <w:szCs w:val="24"/>
        </w:rPr>
        <w:t xml:space="preserve"> t</w:t>
      </w:r>
      <w:r w:rsidR="0068104B">
        <w:rPr>
          <w:rFonts w:ascii="Times New Roman" w:hAnsi="Times New Roman" w:cs="Times New Roman"/>
          <w:sz w:val="24"/>
          <w:szCs w:val="24"/>
        </w:rPr>
        <w:t xml:space="preserve">here are external validity concerns. The way that Washington implemented I-502 </w:t>
      </w:r>
      <w:r w:rsidR="00F013B1">
        <w:rPr>
          <w:rFonts w:ascii="Times New Roman" w:hAnsi="Times New Roman" w:cs="Times New Roman"/>
          <w:sz w:val="24"/>
          <w:szCs w:val="24"/>
        </w:rPr>
        <w:t>and distributed marijuana dispensaries is different than how a lot of other states implemented their recreational marijuana laws. Lotteries for dispensary licenses were only held in t</w:t>
      </w:r>
      <w:r w:rsidR="00C91964">
        <w:rPr>
          <w:rFonts w:ascii="Times New Roman" w:hAnsi="Times New Roman" w:cs="Times New Roman"/>
          <w:sz w:val="24"/>
          <w:szCs w:val="24"/>
        </w:rPr>
        <w:t>hree</w:t>
      </w:r>
      <w:r w:rsidR="00F013B1">
        <w:rPr>
          <w:rFonts w:ascii="Times New Roman" w:hAnsi="Times New Roman" w:cs="Times New Roman"/>
          <w:sz w:val="24"/>
          <w:szCs w:val="24"/>
        </w:rPr>
        <w:t xml:space="preserve"> of the other </w:t>
      </w:r>
      <w:r w:rsidR="00C91964">
        <w:rPr>
          <w:rFonts w:ascii="Times New Roman" w:hAnsi="Times New Roman" w:cs="Times New Roman"/>
          <w:sz w:val="24"/>
          <w:szCs w:val="24"/>
        </w:rPr>
        <w:t xml:space="preserve">21 </w:t>
      </w:r>
      <w:r w:rsidR="00F013B1">
        <w:rPr>
          <w:rFonts w:ascii="Times New Roman" w:hAnsi="Times New Roman" w:cs="Times New Roman"/>
          <w:sz w:val="24"/>
          <w:szCs w:val="24"/>
        </w:rPr>
        <w:t>states that have legalized: Arizona</w:t>
      </w:r>
      <w:r w:rsidR="00C91964">
        <w:rPr>
          <w:rFonts w:ascii="Times New Roman" w:hAnsi="Times New Roman" w:cs="Times New Roman"/>
          <w:sz w:val="24"/>
          <w:szCs w:val="24"/>
        </w:rPr>
        <w:t>,</w:t>
      </w:r>
      <w:r w:rsidR="00F013B1">
        <w:rPr>
          <w:rFonts w:ascii="Times New Roman" w:hAnsi="Times New Roman" w:cs="Times New Roman"/>
          <w:sz w:val="24"/>
          <w:szCs w:val="24"/>
        </w:rPr>
        <w:t xml:space="preserve"> Illinois</w:t>
      </w:r>
      <w:r w:rsidR="00C91964">
        <w:rPr>
          <w:rFonts w:ascii="Times New Roman" w:hAnsi="Times New Roman" w:cs="Times New Roman"/>
          <w:sz w:val="24"/>
          <w:szCs w:val="24"/>
        </w:rPr>
        <w:t>, and Connecticut</w:t>
      </w:r>
      <w:r w:rsidR="00F013B1">
        <w:rPr>
          <w:rFonts w:ascii="Times New Roman" w:hAnsi="Times New Roman" w:cs="Times New Roman"/>
          <w:sz w:val="24"/>
          <w:szCs w:val="24"/>
        </w:rPr>
        <w:t xml:space="preserve">. </w:t>
      </w:r>
      <w:r w:rsidR="002F3097">
        <w:rPr>
          <w:rFonts w:ascii="Times New Roman" w:hAnsi="Times New Roman" w:cs="Times New Roman"/>
          <w:sz w:val="24"/>
          <w:szCs w:val="24"/>
        </w:rPr>
        <w:t>In addition, Washington has the highest tax on marijuana sales, set at 37%, but</w:t>
      </w:r>
      <w:r w:rsidR="002117CB">
        <w:rPr>
          <w:rFonts w:ascii="Times New Roman" w:hAnsi="Times New Roman" w:cs="Times New Roman"/>
          <w:sz w:val="24"/>
          <w:szCs w:val="24"/>
        </w:rPr>
        <w:t xml:space="preserve"> does not </w:t>
      </w:r>
      <w:r w:rsidR="00E2407F">
        <w:rPr>
          <w:rFonts w:ascii="Times New Roman" w:hAnsi="Times New Roman" w:cs="Times New Roman"/>
          <w:sz w:val="24"/>
          <w:szCs w:val="24"/>
        </w:rPr>
        <w:t>allocate much of the revenue</w:t>
      </w:r>
      <w:r w:rsidR="002117CB">
        <w:rPr>
          <w:rFonts w:ascii="Times New Roman" w:hAnsi="Times New Roman" w:cs="Times New Roman"/>
          <w:sz w:val="24"/>
          <w:szCs w:val="24"/>
        </w:rPr>
        <w:t xml:space="preserve"> to </w:t>
      </w:r>
      <w:r w:rsidR="002F3097">
        <w:rPr>
          <w:rFonts w:ascii="Times New Roman" w:hAnsi="Times New Roman" w:cs="Times New Roman"/>
          <w:sz w:val="24"/>
          <w:szCs w:val="24"/>
        </w:rPr>
        <w:t>schools like other states do.</w:t>
      </w:r>
      <w:r w:rsidR="0087434C">
        <w:rPr>
          <w:rFonts w:ascii="Times New Roman" w:hAnsi="Times New Roman" w:cs="Times New Roman"/>
          <w:sz w:val="24"/>
          <w:szCs w:val="24"/>
        </w:rPr>
        <w:t xml:space="preserve"> </w:t>
      </w:r>
    </w:p>
    <w:p w14:paraId="2548DE90" w14:textId="6825FB5F" w:rsidR="009B7687" w:rsidRDefault="001B5DE9" w:rsidP="00166F0F">
      <w:pPr>
        <w:spacing w:after="12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Jarrold-Grapes (2023), I </w:t>
      </w:r>
      <w:r w:rsidR="006328D6">
        <w:rPr>
          <w:rFonts w:ascii="Times New Roman" w:hAnsi="Times New Roman" w:cs="Times New Roman"/>
          <w:sz w:val="24"/>
          <w:szCs w:val="24"/>
        </w:rPr>
        <w:t>ex</w:t>
      </w:r>
      <w:r w:rsidR="00ED3CF8">
        <w:rPr>
          <w:rFonts w:ascii="Times New Roman" w:hAnsi="Times New Roman" w:cs="Times New Roman"/>
          <w:sz w:val="24"/>
          <w:szCs w:val="24"/>
        </w:rPr>
        <w:t xml:space="preserve">amine </w:t>
      </w:r>
      <w:r w:rsidR="004A008D">
        <w:rPr>
          <w:rFonts w:ascii="Times New Roman" w:hAnsi="Times New Roman" w:cs="Times New Roman"/>
          <w:sz w:val="24"/>
          <w:szCs w:val="24"/>
        </w:rPr>
        <w:t>Oregon’s legalization of marijuana</w:t>
      </w:r>
      <w:r w:rsidR="00D214D9">
        <w:rPr>
          <w:rFonts w:ascii="Times New Roman" w:hAnsi="Times New Roman" w:cs="Times New Roman"/>
          <w:sz w:val="24"/>
          <w:szCs w:val="24"/>
        </w:rPr>
        <w:t xml:space="preserve">. </w:t>
      </w:r>
      <w:r w:rsidR="00443059">
        <w:rPr>
          <w:rFonts w:ascii="Times New Roman" w:hAnsi="Times New Roman" w:cs="Times New Roman"/>
          <w:sz w:val="24"/>
          <w:szCs w:val="24"/>
        </w:rPr>
        <w:t>Unlike Washington, Oregon did not have a lot</w:t>
      </w:r>
      <w:r w:rsidR="00C361FF">
        <w:rPr>
          <w:rFonts w:ascii="Times New Roman" w:hAnsi="Times New Roman" w:cs="Times New Roman"/>
          <w:sz w:val="24"/>
          <w:szCs w:val="24"/>
        </w:rPr>
        <w:t xml:space="preserve">tery, but instead allowed counties </w:t>
      </w:r>
      <w:r w:rsidR="00076F18">
        <w:rPr>
          <w:rFonts w:ascii="Times New Roman" w:hAnsi="Times New Roman" w:cs="Times New Roman"/>
          <w:sz w:val="24"/>
          <w:szCs w:val="24"/>
        </w:rPr>
        <w:t xml:space="preserve">to ban marijuana businesses if their vote-share </w:t>
      </w:r>
      <w:r w:rsidR="00105B85">
        <w:rPr>
          <w:rFonts w:ascii="Times New Roman" w:hAnsi="Times New Roman" w:cs="Times New Roman"/>
          <w:sz w:val="24"/>
          <w:szCs w:val="24"/>
        </w:rPr>
        <w:t>against</w:t>
      </w:r>
      <w:r w:rsidR="009B0BF6">
        <w:rPr>
          <w:rFonts w:ascii="Times New Roman" w:hAnsi="Times New Roman" w:cs="Times New Roman"/>
          <w:sz w:val="24"/>
          <w:szCs w:val="24"/>
        </w:rPr>
        <w:t xml:space="preserve"> </w:t>
      </w:r>
      <w:r w:rsidR="00076F18">
        <w:rPr>
          <w:rFonts w:ascii="Times New Roman" w:hAnsi="Times New Roman" w:cs="Times New Roman"/>
          <w:sz w:val="24"/>
          <w:szCs w:val="24"/>
        </w:rPr>
        <w:t xml:space="preserve">legalization was </w:t>
      </w:r>
      <w:r w:rsidR="009B0BF6">
        <w:rPr>
          <w:rFonts w:ascii="Times New Roman" w:hAnsi="Times New Roman" w:cs="Times New Roman"/>
          <w:sz w:val="24"/>
          <w:szCs w:val="24"/>
        </w:rPr>
        <w:t>at least</w:t>
      </w:r>
      <w:r w:rsidR="00076F18">
        <w:rPr>
          <w:rFonts w:ascii="Times New Roman" w:hAnsi="Times New Roman" w:cs="Times New Roman"/>
          <w:sz w:val="24"/>
          <w:szCs w:val="24"/>
        </w:rPr>
        <w:t xml:space="preserve"> 55%. </w:t>
      </w:r>
      <w:r w:rsidR="00C15C02">
        <w:rPr>
          <w:rFonts w:ascii="Times New Roman" w:hAnsi="Times New Roman" w:cs="Times New Roman"/>
          <w:sz w:val="24"/>
          <w:szCs w:val="24"/>
        </w:rPr>
        <w:t xml:space="preserve">I use this spatial variation </w:t>
      </w:r>
      <w:r w:rsidR="00B2666C">
        <w:rPr>
          <w:rFonts w:ascii="Times New Roman" w:hAnsi="Times New Roman" w:cs="Times New Roman"/>
          <w:sz w:val="24"/>
          <w:szCs w:val="24"/>
        </w:rPr>
        <w:t xml:space="preserve">to </w:t>
      </w:r>
      <w:r w:rsidR="00B2666C">
        <w:rPr>
          <w:rFonts w:ascii="Times New Roman" w:hAnsi="Times New Roman" w:cs="Times New Roman"/>
          <w:sz w:val="24"/>
          <w:szCs w:val="24"/>
        </w:rPr>
        <w:lastRenderedPageBreak/>
        <w:t>estimate effects on teen marijuana use, something I cannot do in this paper</w:t>
      </w:r>
      <w:r w:rsidR="001242E4">
        <w:rPr>
          <w:rFonts w:ascii="Times New Roman" w:hAnsi="Times New Roman" w:cs="Times New Roman"/>
          <w:sz w:val="24"/>
          <w:szCs w:val="24"/>
        </w:rPr>
        <w:t>, and then I estimate effects on high school student outcomes.</w:t>
      </w:r>
      <w:r w:rsidR="00414CA5">
        <w:rPr>
          <w:rFonts w:ascii="Times New Roman" w:hAnsi="Times New Roman" w:cs="Times New Roman"/>
          <w:sz w:val="24"/>
          <w:szCs w:val="24"/>
        </w:rPr>
        <w:t xml:space="preserve"> </w:t>
      </w:r>
      <w:r w:rsidR="00634B07">
        <w:rPr>
          <w:rFonts w:ascii="Times New Roman" w:hAnsi="Times New Roman" w:cs="Times New Roman"/>
          <w:sz w:val="24"/>
          <w:szCs w:val="24"/>
        </w:rPr>
        <w:t xml:space="preserve">I find that </w:t>
      </w:r>
      <w:r w:rsidR="000A520C">
        <w:rPr>
          <w:rFonts w:ascii="Times New Roman" w:hAnsi="Times New Roman" w:cs="Times New Roman"/>
          <w:sz w:val="24"/>
          <w:szCs w:val="24"/>
        </w:rPr>
        <w:t xml:space="preserve">marijuana use increases and </w:t>
      </w:r>
      <w:r w:rsidR="00414CA5">
        <w:rPr>
          <w:rFonts w:ascii="Times New Roman" w:hAnsi="Times New Roman" w:cs="Times New Roman"/>
          <w:sz w:val="24"/>
          <w:szCs w:val="24"/>
        </w:rPr>
        <w:t>educational outcomes get worse</w:t>
      </w:r>
      <w:r w:rsidR="000A520C">
        <w:rPr>
          <w:rFonts w:ascii="Times New Roman" w:hAnsi="Times New Roman" w:cs="Times New Roman"/>
          <w:sz w:val="24"/>
          <w:szCs w:val="24"/>
        </w:rPr>
        <w:t>, specifically for high school girls.</w:t>
      </w:r>
      <w:r w:rsidR="00414CA5">
        <w:rPr>
          <w:rFonts w:ascii="Times New Roman" w:hAnsi="Times New Roman" w:cs="Times New Roman"/>
          <w:sz w:val="24"/>
          <w:szCs w:val="24"/>
        </w:rPr>
        <w:t xml:space="preserve"> However, the effects </w:t>
      </w:r>
      <w:r w:rsidR="00FA544B">
        <w:rPr>
          <w:rFonts w:ascii="Times New Roman" w:hAnsi="Times New Roman" w:cs="Times New Roman"/>
          <w:sz w:val="24"/>
          <w:szCs w:val="24"/>
        </w:rPr>
        <w:t xml:space="preserve">on student outcomes are smaller than in Washington. </w:t>
      </w:r>
      <w:r w:rsidR="00C64B6A">
        <w:rPr>
          <w:rFonts w:ascii="Times New Roman" w:hAnsi="Times New Roman" w:cs="Times New Roman"/>
          <w:sz w:val="24"/>
          <w:szCs w:val="24"/>
        </w:rPr>
        <w:t xml:space="preserve">This could be explained by the differences in marijuana tax rates </w:t>
      </w:r>
      <w:r w:rsidR="00615C93">
        <w:rPr>
          <w:rFonts w:ascii="Times New Roman" w:hAnsi="Times New Roman" w:cs="Times New Roman"/>
          <w:sz w:val="24"/>
          <w:szCs w:val="24"/>
        </w:rPr>
        <w:t>and revenue distribution. Oregon’s tax is much smaller than Washington’s</w:t>
      </w:r>
      <w:r w:rsidR="00D73062">
        <w:rPr>
          <w:rFonts w:ascii="Times New Roman" w:hAnsi="Times New Roman" w:cs="Times New Roman"/>
          <w:sz w:val="24"/>
          <w:szCs w:val="24"/>
        </w:rPr>
        <w:t xml:space="preserve"> (17 versus 37%)</w:t>
      </w:r>
      <w:r w:rsidR="00615C93">
        <w:rPr>
          <w:rFonts w:ascii="Times New Roman" w:hAnsi="Times New Roman" w:cs="Times New Roman"/>
          <w:sz w:val="24"/>
          <w:szCs w:val="24"/>
        </w:rPr>
        <w:t xml:space="preserve"> </w:t>
      </w:r>
      <w:r w:rsidR="00C73484">
        <w:rPr>
          <w:rFonts w:ascii="Times New Roman" w:hAnsi="Times New Roman" w:cs="Times New Roman"/>
          <w:sz w:val="24"/>
          <w:szCs w:val="24"/>
        </w:rPr>
        <w:t xml:space="preserve">and 40% </w:t>
      </w:r>
      <w:r w:rsidR="00E565B6">
        <w:rPr>
          <w:rFonts w:ascii="Times New Roman" w:hAnsi="Times New Roman" w:cs="Times New Roman"/>
          <w:sz w:val="24"/>
          <w:szCs w:val="24"/>
        </w:rPr>
        <w:t xml:space="preserve">of the revenues are </w:t>
      </w:r>
      <w:r w:rsidR="00A26E4B">
        <w:rPr>
          <w:rFonts w:ascii="Times New Roman" w:hAnsi="Times New Roman" w:cs="Times New Roman"/>
          <w:sz w:val="24"/>
          <w:szCs w:val="24"/>
        </w:rPr>
        <w:t>allocated</w:t>
      </w:r>
      <w:r w:rsidR="00E565B6">
        <w:rPr>
          <w:rFonts w:ascii="Times New Roman" w:hAnsi="Times New Roman" w:cs="Times New Roman"/>
          <w:sz w:val="24"/>
          <w:szCs w:val="24"/>
        </w:rPr>
        <w:t xml:space="preserve"> to schools. </w:t>
      </w:r>
      <w:r w:rsidR="00813859">
        <w:rPr>
          <w:rFonts w:ascii="Times New Roman" w:hAnsi="Times New Roman" w:cs="Times New Roman"/>
          <w:sz w:val="24"/>
          <w:szCs w:val="24"/>
        </w:rPr>
        <w:t>I find that school district spending in Oregon increased</w:t>
      </w:r>
      <w:r w:rsidR="00A02F13">
        <w:rPr>
          <w:rFonts w:ascii="Times New Roman" w:hAnsi="Times New Roman" w:cs="Times New Roman"/>
          <w:sz w:val="24"/>
          <w:szCs w:val="24"/>
        </w:rPr>
        <w:t xml:space="preserve"> after legalization</w:t>
      </w:r>
      <w:r w:rsidR="00E31D0B">
        <w:rPr>
          <w:rFonts w:ascii="Times New Roman" w:hAnsi="Times New Roman" w:cs="Times New Roman"/>
          <w:sz w:val="24"/>
          <w:szCs w:val="24"/>
        </w:rPr>
        <w:t>, which could be offsetting some of the negative effects I find</w:t>
      </w:r>
      <w:r w:rsidR="007642E5">
        <w:rPr>
          <w:rFonts w:ascii="Times New Roman" w:hAnsi="Times New Roman" w:cs="Times New Roman"/>
          <w:sz w:val="24"/>
          <w:szCs w:val="24"/>
        </w:rPr>
        <w:t>, making the net effects smaller than</w:t>
      </w:r>
      <w:r w:rsidR="009B2B55">
        <w:rPr>
          <w:rFonts w:ascii="Times New Roman" w:hAnsi="Times New Roman" w:cs="Times New Roman"/>
          <w:sz w:val="24"/>
          <w:szCs w:val="24"/>
        </w:rPr>
        <w:t xml:space="preserve"> those</w:t>
      </w:r>
      <w:r w:rsidR="007642E5">
        <w:rPr>
          <w:rFonts w:ascii="Times New Roman" w:hAnsi="Times New Roman" w:cs="Times New Roman"/>
          <w:sz w:val="24"/>
          <w:szCs w:val="24"/>
        </w:rPr>
        <w:t xml:space="preserve"> in Washington.</w:t>
      </w:r>
      <w:r w:rsidR="00813859">
        <w:rPr>
          <w:rFonts w:ascii="Times New Roman" w:hAnsi="Times New Roman" w:cs="Times New Roman"/>
          <w:sz w:val="24"/>
          <w:szCs w:val="24"/>
        </w:rPr>
        <w:t xml:space="preserve"> </w:t>
      </w:r>
      <w:r w:rsidR="00071802">
        <w:rPr>
          <w:rFonts w:ascii="Times New Roman" w:hAnsi="Times New Roman" w:cs="Times New Roman"/>
          <w:sz w:val="24"/>
          <w:szCs w:val="24"/>
        </w:rPr>
        <w:t xml:space="preserve">The bottom line is that </w:t>
      </w:r>
      <w:r w:rsidR="00117FB2">
        <w:rPr>
          <w:rFonts w:ascii="Times New Roman" w:hAnsi="Times New Roman" w:cs="Times New Roman"/>
          <w:sz w:val="24"/>
          <w:szCs w:val="24"/>
        </w:rPr>
        <w:t>context is important and that it is valuable to</w:t>
      </w:r>
      <w:r w:rsidR="009B2B55">
        <w:rPr>
          <w:rFonts w:ascii="Times New Roman" w:hAnsi="Times New Roman" w:cs="Times New Roman"/>
          <w:sz w:val="24"/>
          <w:szCs w:val="24"/>
        </w:rPr>
        <w:t xml:space="preserve"> understand </w:t>
      </w:r>
      <w:r w:rsidR="007738BE">
        <w:rPr>
          <w:rFonts w:ascii="Times New Roman" w:hAnsi="Times New Roman" w:cs="Times New Roman"/>
          <w:sz w:val="24"/>
          <w:szCs w:val="24"/>
        </w:rPr>
        <w:t xml:space="preserve">the differences in </w:t>
      </w:r>
      <w:r w:rsidR="00CF431D">
        <w:rPr>
          <w:rFonts w:ascii="Times New Roman" w:hAnsi="Times New Roman" w:cs="Times New Roman"/>
          <w:sz w:val="24"/>
          <w:szCs w:val="24"/>
        </w:rPr>
        <w:t xml:space="preserve">state </w:t>
      </w:r>
      <w:r w:rsidR="007738BE">
        <w:rPr>
          <w:rFonts w:ascii="Times New Roman" w:hAnsi="Times New Roman" w:cs="Times New Roman"/>
          <w:sz w:val="24"/>
          <w:szCs w:val="24"/>
        </w:rPr>
        <w:t>marijuana laws and</w:t>
      </w:r>
      <w:r w:rsidR="00D05013">
        <w:rPr>
          <w:rFonts w:ascii="Times New Roman" w:hAnsi="Times New Roman" w:cs="Times New Roman"/>
          <w:sz w:val="24"/>
          <w:szCs w:val="24"/>
        </w:rPr>
        <w:t xml:space="preserve"> </w:t>
      </w:r>
      <w:r w:rsidR="0014652C">
        <w:rPr>
          <w:rFonts w:ascii="Times New Roman" w:hAnsi="Times New Roman" w:cs="Times New Roman"/>
          <w:sz w:val="24"/>
          <w:szCs w:val="24"/>
        </w:rPr>
        <w:t>that they may lead to different effects across states.</w:t>
      </w:r>
      <w:r w:rsidR="00AA6236">
        <w:rPr>
          <w:rFonts w:ascii="Times New Roman" w:hAnsi="Times New Roman" w:cs="Times New Roman"/>
          <w:sz w:val="24"/>
          <w:szCs w:val="24"/>
        </w:rPr>
        <w:t xml:space="preserve"> We need to keep examining th</w:t>
      </w:r>
      <w:r w:rsidR="000A63FE">
        <w:rPr>
          <w:rFonts w:ascii="Times New Roman" w:hAnsi="Times New Roman" w:cs="Times New Roman"/>
          <w:sz w:val="24"/>
          <w:szCs w:val="24"/>
        </w:rPr>
        <w:t xml:space="preserve">ese laws to better understand </w:t>
      </w:r>
      <w:r w:rsidR="00DD5C23">
        <w:rPr>
          <w:rFonts w:ascii="Times New Roman" w:hAnsi="Times New Roman" w:cs="Times New Roman"/>
          <w:sz w:val="24"/>
          <w:szCs w:val="24"/>
        </w:rPr>
        <w:t xml:space="preserve">their implications for </w:t>
      </w:r>
      <w:r w:rsidR="00E46C2A">
        <w:rPr>
          <w:rFonts w:ascii="Times New Roman" w:hAnsi="Times New Roman" w:cs="Times New Roman"/>
          <w:sz w:val="24"/>
          <w:szCs w:val="24"/>
        </w:rPr>
        <w:t xml:space="preserve">our nation’s children. </w:t>
      </w:r>
    </w:p>
    <w:p w14:paraId="3257D696" w14:textId="7E45AE7D" w:rsidR="003B2338" w:rsidRDefault="003B2338" w:rsidP="00166F0F">
      <w:pPr>
        <w:spacing w:after="120" w:line="480" w:lineRule="auto"/>
        <w:ind w:firstLine="720"/>
        <w:contextualSpacing/>
        <w:jc w:val="both"/>
        <w:rPr>
          <w:rFonts w:ascii="Times New Roman" w:hAnsi="Times New Roman" w:cs="Times New Roman"/>
          <w:sz w:val="24"/>
          <w:szCs w:val="24"/>
        </w:rPr>
      </w:pPr>
    </w:p>
    <w:p w14:paraId="3C4D8971" w14:textId="363570CD" w:rsidR="006D1926" w:rsidRDefault="006D1926" w:rsidP="006D1926">
      <w:pPr>
        <w:spacing w:after="0" w:line="480" w:lineRule="auto"/>
        <w:ind w:firstLine="720"/>
        <w:contextualSpacing/>
        <w:jc w:val="both"/>
        <w:rPr>
          <w:rFonts w:ascii="Times New Roman" w:hAnsi="Times New Roman" w:cs="Times New Roman"/>
          <w:sz w:val="24"/>
          <w:szCs w:val="24"/>
        </w:rPr>
      </w:pPr>
    </w:p>
    <w:p w14:paraId="78EFF61C" w14:textId="063D1B67" w:rsidR="00E1597D" w:rsidRPr="00D62E97" w:rsidRDefault="00E1597D" w:rsidP="00D62E97">
      <w:pPr>
        <w:spacing w:after="0" w:line="480" w:lineRule="auto"/>
        <w:ind w:firstLine="720"/>
        <w:contextualSpacing/>
        <w:jc w:val="both"/>
        <w:rPr>
          <w:rFonts w:ascii="Times New Roman" w:hAnsi="Times New Roman" w:cs="Times New Roman"/>
          <w:color w:val="FF0000"/>
          <w:sz w:val="24"/>
          <w:szCs w:val="24"/>
        </w:rPr>
      </w:pPr>
    </w:p>
    <w:p w14:paraId="4D1B7661" w14:textId="011DD52D" w:rsidR="00D750E1" w:rsidRPr="009B7687" w:rsidRDefault="00D750E1" w:rsidP="008F0C91">
      <w:pPr>
        <w:spacing w:after="0" w:line="480" w:lineRule="auto"/>
        <w:ind w:firstLine="720"/>
        <w:contextualSpacing/>
        <w:jc w:val="both"/>
        <w:rPr>
          <w:rFonts w:ascii="Times New Roman" w:hAnsi="Times New Roman" w:cs="Times New Roman"/>
          <w:b/>
          <w:bCs/>
          <w:sz w:val="32"/>
          <w:szCs w:val="32"/>
        </w:rPr>
      </w:pPr>
      <w:r w:rsidRPr="009B7687">
        <w:rPr>
          <w:rFonts w:ascii="Times New Roman" w:hAnsi="Times New Roman" w:cs="Times New Roman"/>
          <w:b/>
          <w:bCs/>
          <w:sz w:val="32"/>
          <w:szCs w:val="32"/>
        </w:rPr>
        <w:br w:type="page"/>
      </w:r>
    </w:p>
    <w:p w14:paraId="175161D5" w14:textId="7372AF1D" w:rsidR="00D750E1" w:rsidRDefault="00D750E1" w:rsidP="00D750E1">
      <w:pP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1D6F0D32" w14:textId="77777777" w:rsidR="004E2745" w:rsidRDefault="004E2745" w:rsidP="004E2745">
      <w:pPr>
        <w:spacing w:after="0" w:line="240" w:lineRule="auto"/>
        <w:contextualSpacing/>
        <w:mirrorIndents/>
        <w:jc w:val="both"/>
        <w:rPr>
          <w:rFonts w:ascii="Times New Roman" w:hAnsi="Times New Roman" w:cs="Times New Roman"/>
          <w:sz w:val="24"/>
          <w:szCs w:val="24"/>
        </w:rPr>
      </w:pPr>
    </w:p>
    <w:p w14:paraId="003FAC6D" w14:textId="3529FA85" w:rsidR="00E1377C" w:rsidRDefault="00B07F4E" w:rsidP="004E2745">
      <w:pPr>
        <w:spacing w:after="0" w:line="240" w:lineRule="auto"/>
        <w:ind w:left="720" w:hanging="720"/>
        <w:contextualSpacing/>
        <w:mirrorIndents/>
        <w:jc w:val="both"/>
        <w:rPr>
          <w:rFonts w:ascii="Times New Roman" w:hAnsi="Times New Roman" w:cs="Times New Roman"/>
          <w:sz w:val="24"/>
          <w:szCs w:val="24"/>
        </w:rPr>
      </w:pPr>
      <w:r>
        <w:rPr>
          <w:rFonts w:ascii="Times New Roman" w:hAnsi="Times New Roman" w:cs="Times New Roman"/>
          <w:sz w:val="24"/>
          <w:szCs w:val="24"/>
        </w:rPr>
        <w:t>American Community Survey.</w:t>
      </w:r>
      <w:r w:rsidR="00F67C41">
        <w:rPr>
          <w:rFonts w:ascii="Times New Roman" w:hAnsi="Times New Roman" w:cs="Times New Roman"/>
          <w:sz w:val="24"/>
          <w:szCs w:val="24"/>
        </w:rPr>
        <w:t xml:space="preserve"> (2021).</w:t>
      </w:r>
      <w:r>
        <w:rPr>
          <w:rFonts w:ascii="Times New Roman" w:hAnsi="Times New Roman" w:cs="Times New Roman"/>
          <w:sz w:val="24"/>
          <w:szCs w:val="24"/>
        </w:rPr>
        <w:t xml:space="preserve"> </w:t>
      </w:r>
      <w:r w:rsidR="00F26370">
        <w:rPr>
          <w:rFonts w:ascii="Times New Roman" w:hAnsi="Times New Roman" w:cs="Times New Roman"/>
          <w:i/>
          <w:iCs/>
          <w:sz w:val="24"/>
          <w:szCs w:val="24"/>
        </w:rPr>
        <w:t xml:space="preserve">Median earnings in the past 12 months </w:t>
      </w:r>
      <w:r w:rsidR="00F2634D">
        <w:rPr>
          <w:rFonts w:ascii="Times New Roman" w:hAnsi="Times New Roman" w:cs="Times New Roman"/>
          <w:i/>
          <w:iCs/>
          <w:sz w:val="24"/>
          <w:szCs w:val="24"/>
        </w:rPr>
        <w:t>(in 2021 inflation-adjusted dollars) by sex and educational attainment for the population 25 years and over</w:t>
      </w:r>
      <w:r w:rsidR="00F2634D" w:rsidRPr="00F67C41">
        <w:rPr>
          <w:rFonts w:ascii="Times New Roman" w:hAnsi="Times New Roman" w:cs="Times New Roman"/>
          <w:sz w:val="24"/>
          <w:szCs w:val="24"/>
        </w:rPr>
        <w:t xml:space="preserve">. </w:t>
      </w:r>
      <w:r>
        <w:rPr>
          <w:rFonts w:ascii="Times New Roman" w:hAnsi="Times New Roman" w:cs="Times New Roman"/>
          <w:sz w:val="24"/>
          <w:szCs w:val="24"/>
        </w:rPr>
        <w:t xml:space="preserve">Retrieved from the United States Census Bureau: </w:t>
      </w:r>
      <w:hyperlink r:id="rId13" w:history="1">
        <w:r w:rsidRPr="00B07F4E">
          <w:rPr>
            <w:rStyle w:val="Hyperlink"/>
            <w:rFonts w:ascii="Times New Roman" w:hAnsi="Times New Roman" w:cs="Times New Roman"/>
            <w:color w:val="auto"/>
            <w:sz w:val="24"/>
            <w:szCs w:val="24"/>
          </w:rPr>
          <w:t>https://data.census.gov/table?t=Earnings+(Individuals):Educational+Attainment&amp;g=040XX00US53&amp;tid=ACSDT5Y2021.B20004</w:t>
        </w:r>
      </w:hyperlink>
      <w:r w:rsidRPr="00B07F4E">
        <w:rPr>
          <w:rFonts w:ascii="Times New Roman" w:hAnsi="Times New Roman" w:cs="Times New Roman"/>
          <w:sz w:val="24"/>
          <w:szCs w:val="24"/>
        </w:rPr>
        <w:t>.</w:t>
      </w:r>
    </w:p>
    <w:p w14:paraId="267C9C41" w14:textId="15833E96" w:rsidR="007F34A4" w:rsidRDefault="007F34A4" w:rsidP="004E2745">
      <w:pPr>
        <w:spacing w:after="0" w:line="240" w:lineRule="auto"/>
        <w:ind w:left="720" w:hanging="720"/>
        <w:contextualSpacing/>
        <w:mirrorIndents/>
        <w:jc w:val="both"/>
        <w:rPr>
          <w:rFonts w:ascii="Times New Roman" w:hAnsi="Times New Roman" w:cs="Times New Roman"/>
          <w:sz w:val="24"/>
          <w:szCs w:val="24"/>
        </w:rPr>
      </w:pPr>
    </w:p>
    <w:p w14:paraId="6704B337" w14:textId="7BE6FF84" w:rsidR="007F34A4" w:rsidRPr="00E1377C" w:rsidRDefault="007F34A4" w:rsidP="007F34A4">
      <w:pPr>
        <w:spacing w:after="0" w:line="240" w:lineRule="auto"/>
        <w:ind w:left="720" w:hanging="720"/>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Anderson, D. M., Hansen, B., &amp; Rees, D. (2015). Medical marijuana laws and teen marijuana use. </w:t>
      </w:r>
      <w:r>
        <w:rPr>
          <w:rFonts w:ascii="Times New Roman" w:hAnsi="Times New Roman" w:cs="Times New Roman"/>
          <w:i/>
          <w:iCs/>
          <w:sz w:val="24"/>
          <w:szCs w:val="24"/>
        </w:rPr>
        <w:t>American Law and Economics Review, 17</w:t>
      </w:r>
      <w:r>
        <w:rPr>
          <w:rFonts w:ascii="Times New Roman" w:hAnsi="Times New Roman" w:cs="Times New Roman"/>
          <w:sz w:val="24"/>
          <w:szCs w:val="24"/>
        </w:rPr>
        <w:t>(2), 495-528.</w:t>
      </w:r>
    </w:p>
    <w:p w14:paraId="4A39EF1B" w14:textId="77777777" w:rsidR="00E1377C" w:rsidRDefault="00E1377C" w:rsidP="004E2745">
      <w:pPr>
        <w:spacing w:after="0" w:line="240" w:lineRule="auto"/>
        <w:ind w:left="720" w:hanging="720"/>
        <w:contextualSpacing/>
        <w:mirrorIndents/>
        <w:jc w:val="both"/>
        <w:rPr>
          <w:rFonts w:ascii="Times New Roman" w:hAnsi="Times New Roman" w:cs="Times New Roman"/>
          <w:i/>
          <w:iCs/>
          <w:sz w:val="24"/>
          <w:szCs w:val="24"/>
        </w:rPr>
      </w:pPr>
    </w:p>
    <w:p w14:paraId="57C5E444" w14:textId="5881A264" w:rsidR="00C85501" w:rsidRDefault="00C85501" w:rsidP="004E2745">
      <w:pPr>
        <w:spacing w:after="0" w:line="240" w:lineRule="auto"/>
        <w:ind w:left="720" w:hanging="720"/>
        <w:contextualSpacing/>
        <w:mirrorIndents/>
        <w:jc w:val="both"/>
        <w:rPr>
          <w:rFonts w:ascii="Times New Roman" w:hAnsi="Times New Roman" w:cs="Times New Roman"/>
          <w:sz w:val="24"/>
          <w:szCs w:val="24"/>
        </w:rPr>
      </w:pPr>
      <w:r w:rsidRPr="00241234">
        <w:rPr>
          <w:rFonts w:ascii="Times New Roman" w:hAnsi="Times New Roman" w:cs="Times New Roman"/>
          <w:i/>
          <w:iCs/>
          <w:sz w:val="24"/>
          <w:szCs w:val="24"/>
        </w:rPr>
        <w:t>Annual Report</w:t>
      </w:r>
      <w:r w:rsidR="00241234" w:rsidRPr="00241234">
        <w:rPr>
          <w:rFonts w:ascii="Times New Roman" w:hAnsi="Times New Roman" w:cs="Times New Roman"/>
          <w:i/>
          <w:iCs/>
          <w:sz w:val="24"/>
          <w:szCs w:val="24"/>
        </w:rPr>
        <w:t xml:space="preserve"> Fiscal Year 2022.</w:t>
      </w:r>
      <w:r w:rsidR="00241234">
        <w:rPr>
          <w:rFonts w:ascii="Times New Roman" w:hAnsi="Times New Roman" w:cs="Times New Roman"/>
          <w:sz w:val="24"/>
          <w:szCs w:val="24"/>
        </w:rPr>
        <w:t xml:space="preserve"> (2022). Retrieved from the Washington Liquor and Cannabis Board: </w:t>
      </w:r>
      <w:hyperlink r:id="rId14" w:history="1">
        <w:r w:rsidR="00241234" w:rsidRPr="00241234">
          <w:rPr>
            <w:rStyle w:val="Hyperlink"/>
            <w:rFonts w:ascii="Times New Roman" w:hAnsi="Times New Roman" w:cs="Times New Roman"/>
            <w:color w:val="auto"/>
            <w:sz w:val="24"/>
            <w:szCs w:val="24"/>
          </w:rPr>
          <w:t>https://lcb.wa.gov/about/annual-report</w:t>
        </w:r>
      </w:hyperlink>
      <w:r w:rsidR="00241234" w:rsidRPr="00241234">
        <w:rPr>
          <w:rFonts w:ascii="Times New Roman" w:hAnsi="Times New Roman" w:cs="Times New Roman"/>
          <w:sz w:val="24"/>
          <w:szCs w:val="24"/>
        </w:rPr>
        <w:t xml:space="preserve">. </w:t>
      </w:r>
    </w:p>
    <w:p w14:paraId="7EC15FE1" w14:textId="77777777" w:rsidR="00C85501" w:rsidRDefault="00C85501" w:rsidP="004E2745">
      <w:pPr>
        <w:spacing w:after="0" w:line="240" w:lineRule="auto"/>
        <w:ind w:left="720" w:hanging="720"/>
        <w:contextualSpacing/>
        <w:mirrorIndents/>
        <w:jc w:val="both"/>
        <w:rPr>
          <w:rFonts w:ascii="Times New Roman" w:hAnsi="Times New Roman" w:cs="Times New Roman"/>
          <w:sz w:val="24"/>
          <w:szCs w:val="24"/>
        </w:rPr>
      </w:pPr>
    </w:p>
    <w:p w14:paraId="4859FB93" w14:textId="264EFCD9"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7C1E66">
        <w:rPr>
          <w:rFonts w:ascii="Times New Roman" w:hAnsi="Times New Roman" w:cs="Times New Roman"/>
          <w:sz w:val="24"/>
          <w:szCs w:val="24"/>
        </w:rPr>
        <w:t>Beverly, H</w:t>
      </w:r>
      <w:r w:rsidR="00FD0224">
        <w:rPr>
          <w:rFonts w:ascii="Times New Roman" w:hAnsi="Times New Roman" w:cs="Times New Roman"/>
          <w:sz w:val="24"/>
          <w:szCs w:val="24"/>
        </w:rPr>
        <w:t>.</w:t>
      </w:r>
      <w:r w:rsidRPr="007C1E66">
        <w:rPr>
          <w:rFonts w:ascii="Times New Roman" w:hAnsi="Times New Roman" w:cs="Times New Roman"/>
          <w:sz w:val="24"/>
          <w:szCs w:val="24"/>
        </w:rPr>
        <w:t xml:space="preserve">, Castro, Y., &amp; </w:t>
      </w:r>
      <w:proofErr w:type="spellStart"/>
      <w:r w:rsidRPr="007C1E66">
        <w:rPr>
          <w:rFonts w:ascii="Times New Roman" w:hAnsi="Times New Roman" w:cs="Times New Roman"/>
          <w:sz w:val="24"/>
          <w:szCs w:val="24"/>
        </w:rPr>
        <w:t>Opara</w:t>
      </w:r>
      <w:proofErr w:type="spellEnd"/>
      <w:r w:rsidRPr="007C1E66">
        <w:rPr>
          <w:rFonts w:ascii="Times New Roman" w:hAnsi="Times New Roman" w:cs="Times New Roman"/>
          <w:sz w:val="24"/>
          <w:szCs w:val="24"/>
        </w:rPr>
        <w:t xml:space="preserve">, I. </w:t>
      </w:r>
      <w:r>
        <w:rPr>
          <w:rFonts w:ascii="Times New Roman" w:hAnsi="Times New Roman" w:cs="Times New Roman"/>
          <w:sz w:val="24"/>
          <w:szCs w:val="24"/>
        </w:rPr>
        <w:t xml:space="preserve">(2019). </w:t>
      </w:r>
      <w:r w:rsidRPr="007C1E66">
        <w:rPr>
          <w:rFonts w:ascii="Times New Roman" w:hAnsi="Times New Roman" w:cs="Times New Roman"/>
          <w:sz w:val="24"/>
          <w:szCs w:val="24"/>
        </w:rPr>
        <w:t xml:space="preserve">Age of </w:t>
      </w:r>
      <w:r w:rsidR="009B5936">
        <w:rPr>
          <w:rFonts w:ascii="Times New Roman" w:hAnsi="Times New Roman" w:cs="Times New Roman"/>
          <w:sz w:val="24"/>
          <w:szCs w:val="24"/>
        </w:rPr>
        <w:t>f</w:t>
      </w:r>
      <w:r w:rsidRPr="007C1E66">
        <w:rPr>
          <w:rFonts w:ascii="Times New Roman" w:hAnsi="Times New Roman" w:cs="Times New Roman"/>
          <w:sz w:val="24"/>
          <w:szCs w:val="24"/>
        </w:rPr>
        <w:t xml:space="preserve">irst </w:t>
      </w:r>
      <w:r w:rsidR="009B5936">
        <w:rPr>
          <w:rFonts w:ascii="Times New Roman" w:hAnsi="Times New Roman" w:cs="Times New Roman"/>
          <w:sz w:val="24"/>
          <w:szCs w:val="24"/>
        </w:rPr>
        <w:t>m</w:t>
      </w:r>
      <w:r w:rsidRPr="007C1E66">
        <w:rPr>
          <w:rFonts w:ascii="Times New Roman" w:hAnsi="Times New Roman" w:cs="Times New Roman"/>
          <w:sz w:val="24"/>
          <w:szCs w:val="24"/>
        </w:rPr>
        <w:t xml:space="preserve">arijuana </w:t>
      </w:r>
      <w:r w:rsidR="009B5936">
        <w:rPr>
          <w:rFonts w:ascii="Times New Roman" w:hAnsi="Times New Roman" w:cs="Times New Roman"/>
          <w:sz w:val="24"/>
          <w:szCs w:val="24"/>
        </w:rPr>
        <w:t>u</w:t>
      </w:r>
      <w:r w:rsidRPr="007C1E66">
        <w:rPr>
          <w:rFonts w:ascii="Times New Roman" w:hAnsi="Times New Roman" w:cs="Times New Roman"/>
          <w:sz w:val="24"/>
          <w:szCs w:val="24"/>
        </w:rPr>
        <w:t xml:space="preserve">se and </w:t>
      </w:r>
      <w:r w:rsidR="009B5936">
        <w:rPr>
          <w:rFonts w:ascii="Times New Roman" w:hAnsi="Times New Roman" w:cs="Times New Roman"/>
          <w:sz w:val="24"/>
          <w:szCs w:val="24"/>
        </w:rPr>
        <w:t>i</w:t>
      </w:r>
      <w:r w:rsidRPr="007C1E66">
        <w:rPr>
          <w:rFonts w:ascii="Times New Roman" w:hAnsi="Times New Roman" w:cs="Times New Roman"/>
          <w:sz w:val="24"/>
          <w:szCs w:val="24"/>
        </w:rPr>
        <w:t xml:space="preserve">ts </w:t>
      </w:r>
      <w:r w:rsidR="009B5936">
        <w:rPr>
          <w:rFonts w:ascii="Times New Roman" w:hAnsi="Times New Roman" w:cs="Times New Roman"/>
          <w:sz w:val="24"/>
          <w:szCs w:val="24"/>
        </w:rPr>
        <w:t>i</w:t>
      </w:r>
      <w:r w:rsidRPr="007C1E66">
        <w:rPr>
          <w:rFonts w:ascii="Times New Roman" w:hAnsi="Times New Roman" w:cs="Times New Roman"/>
          <w:sz w:val="24"/>
          <w:szCs w:val="24"/>
        </w:rPr>
        <w:t xml:space="preserve">mpact on </w:t>
      </w:r>
      <w:r w:rsidR="009B5936">
        <w:rPr>
          <w:rFonts w:ascii="Times New Roman" w:hAnsi="Times New Roman" w:cs="Times New Roman"/>
          <w:sz w:val="24"/>
          <w:szCs w:val="24"/>
        </w:rPr>
        <w:t>e</w:t>
      </w:r>
      <w:r w:rsidRPr="007C1E66">
        <w:rPr>
          <w:rFonts w:ascii="Times New Roman" w:hAnsi="Times New Roman" w:cs="Times New Roman"/>
          <w:sz w:val="24"/>
          <w:szCs w:val="24"/>
        </w:rPr>
        <w:t xml:space="preserve">ducational </w:t>
      </w:r>
      <w:r w:rsidR="009B5936">
        <w:rPr>
          <w:rFonts w:ascii="Times New Roman" w:hAnsi="Times New Roman" w:cs="Times New Roman"/>
          <w:sz w:val="24"/>
          <w:szCs w:val="24"/>
        </w:rPr>
        <w:t>a</w:t>
      </w:r>
      <w:r w:rsidRPr="007C1E66">
        <w:rPr>
          <w:rFonts w:ascii="Times New Roman" w:hAnsi="Times New Roman" w:cs="Times New Roman"/>
          <w:sz w:val="24"/>
          <w:szCs w:val="24"/>
        </w:rPr>
        <w:t xml:space="preserve">ttainment and </w:t>
      </w:r>
      <w:r w:rsidR="009B5936">
        <w:rPr>
          <w:rFonts w:ascii="Times New Roman" w:hAnsi="Times New Roman" w:cs="Times New Roman"/>
          <w:sz w:val="24"/>
          <w:szCs w:val="24"/>
        </w:rPr>
        <w:t>e</w:t>
      </w:r>
      <w:r w:rsidRPr="007C1E66">
        <w:rPr>
          <w:rFonts w:ascii="Times New Roman" w:hAnsi="Times New Roman" w:cs="Times New Roman"/>
          <w:sz w:val="24"/>
          <w:szCs w:val="24"/>
        </w:rPr>
        <w:t xml:space="preserve">mployment </w:t>
      </w:r>
      <w:r w:rsidR="009B5936">
        <w:rPr>
          <w:rFonts w:ascii="Times New Roman" w:hAnsi="Times New Roman" w:cs="Times New Roman"/>
          <w:sz w:val="24"/>
          <w:szCs w:val="24"/>
        </w:rPr>
        <w:t>s</w:t>
      </w:r>
      <w:r w:rsidRPr="007C1E66">
        <w:rPr>
          <w:rFonts w:ascii="Times New Roman" w:hAnsi="Times New Roman" w:cs="Times New Roman"/>
          <w:sz w:val="24"/>
          <w:szCs w:val="24"/>
        </w:rPr>
        <w:t xml:space="preserve">tatus. </w:t>
      </w:r>
      <w:r w:rsidRPr="007C1E66">
        <w:rPr>
          <w:rFonts w:ascii="Times New Roman" w:hAnsi="Times New Roman" w:cs="Times New Roman"/>
          <w:i/>
          <w:iCs/>
          <w:sz w:val="24"/>
          <w:szCs w:val="24"/>
        </w:rPr>
        <w:t>Journal of Drug Issues</w:t>
      </w:r>
      <w:r w:rsidRPr="007C1E66">
        <w:rPr>
          <w:rFonts w:ascii="Times New Roman" w:hAnsi="Times New Roman" w:cs="Times New Roman"/>
          <w:sz w:val="24"/>
          <w:szCs w:val="24"/>
        </w:rPr>
        <w:t>, 1</w:t>
      </w:r>
      <w:r>
        <w:rPr>
          <w:rFonts w:ascii="Times New Roman" w:hAnsi="Times New Roman" w:cs="Times New Roman"/>
          <w:sz w:val="24"/>
          <w:szCs w:val="24"/>
        </w:rPr>
        <w:t>-</w:t>
      </w:r>
      <w:r w:rsidRPr="007C1E66">
        <w:rPr>
          <w:rFonts w:ascii="Times New Roman" w:hAnsi="Times New Roman" w:cs="Times New Roman"/>
          <w:sz w:val="24"/>
          <w:szCs w:val="24"/>
        </w:rPr>
        <w:t>10.</w:t>
      </w:r>
    </w:p>
    <w:p w14:paraId="3F150A06" w14:textId="77777777" w:rsidR="004E2745" w:rsidRPr="009857E6" w:rsidRDefault="004E2745" w:rsidP="004E2745">
      <w:pPr>
        <w:spacing w:after="0" w:line="240" w:lineRule="auto"/>
        <w:contextualSpacing/>
        <w:mirrorIndents/>
        <w:jc w:val="both"/>
        <w:rPr>
          <w:rFonts w:ascii="Times New Roman" w:hAnsi="Times New Roman" w:cs="Times New Roman"/>
          <w:sz w:val="24"/>
          <w:szCs w:val="24"/>
        </w:rPr>
      </w:pPr>
    </w:p>
    <w:p w14:paraId="252E56EE" w14:textId="4A6272A3" w:rsidR="004E2745" w:rsidRDefault="004E2745" w:rsidP="004E2745">
      <w:pPr>
        <w:spacing w:after="0" w:line="240" w:lineRule="auto"/>
        <w:ind w:left="720" w:hanging="720"/>
        <w:contextualSpacing/>
        <w:mirrorIndents/>
        <w:jc w:val="both"/>
        <w:rPr>
          <w:rFonts w:ascii="Times New Roman" w:hAnsi="Times New Roman" w:cs="Times New Roman"/>
          <w:color w:val="1C1D1E"/>
          <w:sz w:val="24"/>
          <w:szCs w:val="24"/>
          <w:shd w:val="clear" w:color="auto" w:fill="FFFFFF"/>
        </w:rPr>
      </w:pPr>
      <w:r w:rsidRPr="00F73C96">
        <w:rPr>
          <w:rFonts w:ascii="Times New Roman" w:hAnsi="Times New Roman" w:cs="Times New Roman"/>
          <w:color w:val="1C1D1E"/>
          <w:sz w:val="24"/>
          <w:szCs w:val="24"/>
          <w:shd w:val="clear" w:color="auto" w:fill="FFFFFF"/>
        </w:rPr>
        <w:t>Bray, J</w:t>
      </w:r>
      <w:r w:rsidR="00FD0224">
        <w:rPr>
          <w:rFonts w:ascii="Times New Roman" w:hAnsi="Times New Roman" w:cs="Times New Roman"/>
          <w:color w:val="1C1D1E"/>
          <w:sz w:val="24"/>
          <w:szCs w:val="24"/>
          <w:shd w:val="clear" w:color="auto" w:fill="FFFFFF"/>
        </w:rPr>
        <w:t>.</w:t>
      </w:r>
      <w:r w:rsidRPr="00F73C96">
        <w:rPr>
          <w:rFonts w:ascii="Times New Roman" w:hAnsi="Times New Roman" w:cs="Times New Roman"/>
          <w:color w:val="1C1D1E"/>
          <w:sz w:val="24"/>
          <w:szCs w:val="24"/>
          <w:shd w:val="clear" w:color="auto" w:fill="FFFFFF"/>
        </w:rPr>
        <w:t xml:space="preserve">, </w:t>
      </w:r>
      <w:proofErr w:type="spellStart"/>
      <w:r w:rsidRPr="00F73C96">
        <w:rPr>
          <w:rFonts w:ascii="Times New Roman" w:hAnsi="Times New Roman" w:cs="Times New Roman"/>
          <w:color w:val="1C1D1E"/>
          <w:sz w:val="24"/>
          <w:szCs w:val="24"/>
          <w:shd w:val="clear" w:color="auto" w:fill="FFFFFF"/>
        </w:rPr>
        <w:t>Zarkin</w:t>
      </w:r>
      <w:proofErr w:type="spellEnd"/>
      <w:r w:rsidRPr="00F73C96">
        <w:rPr>
          <w:rFonts w:ascii="Times New Roman" w:hAnsi="Times New Roman" w:cs="Times New Roman"/>
          <w:color w:val="1C1D1E"/>
          <w:sz w:val="24"/>
          <w:szCs w:val="24"/>
          <w:shd w:val="clear" w:color="auto" w:fill="FFFFFF"/>
        </w:rPr>
        <w:t xml:space="preserve">, G., </w:t>
      </w:r>
      <w:proofErr w:type="spellStart"/>
      <w:r w:rsidRPr="00F73C96">
        <w:rPr>
          <w:rFonts w:ascii="Times New Roman" w:hAnsi="Times New Roman" w:cs="Times New Roman"/>
          <w:color w:val="1C1D1E"/>
          <w:sz w:val="24"/>
          <w:szCs w:val="24"/>
          <w:shd w:val="clear" w:color="auto" w:fill="FFFFFF"/>
        </w:rPr>
        <w:t>Ringwalt</w:t>
      </w:r>
      <w:proofErr w:type="spellEnd"/>
      <w:r w:rsidRPr="00F73C96">
        <w:rPr>
          <w:rFonts w:ascii="Times New Roman" w:hAnsi="Times New Roman" w:cs="Times New Roman"/>
          <w:color w:val="1C1D1E"/>
          <w:sz w:val="24"/>
          <w:szCs w:val="24"/>
          <w:shd w:val="clear" w:color="auto" w:fill="FFFFFF"/>
        </w:rPr>
        <w:t>, C.</w:t>
      </w:r>
      <w:r w:rsidR="00FD0224">
        <w:rPr>
          <w:rFonts w:ascii="Times New Roman" w:hAnsi="Times New Roman" w:cs="Times New Roman"/>
          <w:color w:val="1C1D1E"/>
          <w:sz w:val="24"/>
          <w:szCs w:val="24"/>
          <w:shd w:val="clear" w:color="auto" w:fill="FFFFFF"/>
        </w:rPr>
        <w:t>,</w:t>
      </w:r>
      <w:r w:rsidRPr="00F73C96">
        <w:rPr>
          <w:rFonts w:ascii="Times New Roman" w:hAnsi="Times New Roman" w:cs="Times New Roman"/>
          <w:color w:val="1C1D1E"/>
          <w:sz w:val="24"/>
          <w:szCs w:val="24"/>
          <w:shd w:val="clear" w:color="auto" w:fill="FFFFFF"/>
        </w:rPr>
        <w:t xml:space="preserve"> </w:t>
      </w:r>
      <w:r>
        <w:rPr>
          <w:rFonts w:ascii="Times New Roman" w:hAnsi="Times New Roman" w:cs="Times New Roman"/>
          <w:color w:val="1C1D1E"/>
          <w:sz w:val="24"/>
          <w:szCs w:val="24"/>
          <w:shd w:val="clear" w:color="auto" w:fill="FFFFFF"/>
        </w:rPr>
        <w:t>&amp;</w:t>
      </w:r>
      <w:r w:rsidRPr="00F73C96">
        <w:rPr>
          <w:rFonts w:ascii="Times New Roman" w:hAnsi="Times New Roman" w:cs="Times New Roman"/>
          <w:color w:val="1C1D1E"/>
          <w:sz w:val="24"/>
          <w:szCs w:val="24"/>
          <w:shd w:val="clear" w:color="auto" w:fill="FFFFFF"/>
        </w:rPr>
        <w:t xml:space="preserve"> Qi, J. (2000)</w:t>
      </w:r>
      <w:r>
        <w:rPr>
          <w:rFonts w:ascii="Times New Roman" w:hAnsi="Times New Roman" w:cs="Times New Roman"/>
          <w:color w:val="1C1D1E"/>
          <w:sz w:val="24"/>
          <w:szCs w:val="24"/>
          <w:shd w:val="clear" w:color="auto" w:fill="FFFFFF"/>
        </w:rPr>
        <w:t xml:space="preserve">. </w:t>
      </w:r>
      <w:r w:rsidRPr="00F73C96">
        <w:rPr>
          <w:rFonts w:ascii="Times New Roman" w:hAnsi="Times New Roman" w:cs="Times New Roman"/>
          <w:color w:val="1C1D1E"/>
          <w:sz w:val="24"/>
          <w:szCs w:val="24"/>
          <w:shd w:val="clear" w:color="auto" w:fill="FFFFFF"/>
        </w:rPr>
        <w:t xml:space="preserve">The </w:t>
      </w:r>
      <w:r w:rsidR="009B5936">
        <w:rPr>
          <w:rFonts w:ascii="Times New Roman" w:hAnsi="Times New Roman" w:cs="Times New Roman"/>
          <w:color w:val="1C1D1E"/>
          <w:sz w:val="24"/>
          <w:szCs w:val="24"/>
          <w:shd w:val="clear" w:color="auto" w:fill="FFFFFF"/>
        </w:rPr>
        <w:t>r</w:t>
      </w:r>
      <w:r w:rsidRPr="00F73C96">
        <w:rPr>
          <w:rFonts w:ascii="Times New Roman" w:hAnsi="Times New Roman" w:cs="Times New Roman"/>
          <w:color w:val="1C1D1E"/>
          <w:sz w:val="24"/>
          <w:szCs w:val="24"/>
          <w:shd w:val="clear" w:color="auto" w:fill="FFFFFF"/>
        </w:rPr>
        <w:t xml:space="preserve">elationship </w:t>
      </w:r>
      <w:r w:rsidR="009B5936">
        <w:rPr>
          <w:rFonts w:ascii="Times New Roman" w:hAnsi="Times New Roman" w:cs="Times New Roman"/>
          <w:color w:val="1C1D1E"/>
          <w:sz w:val="24"/>
          <w:szCs w:val="24"/>
          <w:shd w:val="clear" w:color="auto" w:fill="FFFFFF"/>
        </w:rPr>
        <w:t>b</w:t>
      </w:r>
      <w:r w:rsidRPr="00F73C96">
        <w:rPr>
          <w:rFonts w:ascii="Times New Roman" w:hAnsi="Times New Roman" w:cs="Times New Roman"/>
          <w:color w:val="1C1D1E"/>
          <w:sz w:val="24"/>
          <w:szCs w:val="24"/>
          <w:shd w:val="clear" w:color="auto" w:fill="FFFFFF"/>
        </w:rPr>
        <w:t xml:space="preserve">etween </w:t>
      </w:r>
      <w:r w:rsidR="009B5936">
        <w:rPr>
          <w:rFonts w:ascii="Times New Roman" w:hAnsi="Times New Roman" w:cs="Times New Roman"/>
          <w:color w:val="1C1D1E"/>
          <w:sz w:val="24"/>
          <w:szCs w:val="24"/>
          <w:shd w:val="clear" w:color="auto" w:fill="FFFFFF"/>
        </w:rPr>
        <w:t>m</w:t>
      </w:r>
      <w:r w:rsidRPr="00F73C96">
        <w:rPr>
          <w:rFonts w:ascii="Times New Roman" w:hAnsi="Times New Roman" w:cs="Times New Roman"/>
          <w:color w:val="1C1D1E"/>
          <w:sz w:val="24"/>
          <w:szCs w:val="24"/>
          <w:shd w:val="clear" w:color="auto" w:fill="FFFFFF"/>
        </w:rPr>
        <w:t xml:space="preserve">arijuana </w:t>
      </w:r>
      <w:r w:rsidR="009B5936">
        <w:rPr>
          <w:rFonts w:ascii="Times New Roman" w:hAnsi="Times New Roman" w:cs="Times New Roman"/>
          <w:color w:val="1C1D1E"/>
          <w:sz w:val="24"/>
          <w:szCs w:val="24"/>
          <w:shd w:val="clear" w:color="auto" w:fill="FFFFFF"/>
        </w:rPr>
        <w:t>i</w:t>
      </w:r>
      <w:r w:rsidRPr="00F73C96">
        <w:rPr>
          <w:rFonts w:ascii="Times New Roman" w:hAnsi="Times New Roman" w:cs="Times New Roman"/>
          <w:color w:val="1C1D1E"/>
          <w:sz w:val="24"/>
          <w:szCs w:val="24"/>
          <w:shd w:val="clear" w:color="auto" w:fill="FFFFFF"/>
        </w:rPr>
        <w:t xml:space="preserve">nitiation and </w:t>
      </w:r>
      <w:r w:rsidR="009B5936">
        <w:rPr>
          <w:rFonts w:ascii="Times New Roman" w:hAnsi="Times New Roman" w:cs="Times New Roman"/>
          <w:color w:val="1C1D1E"/>
          <w:sz w:val="24"/>
          <w:szCs w:val="24"/>
          <w:shd w:val="clear" w:color="auto" w:fill="FFFFFF"/>
        </w:rPr>
        <w:t>d</w:t>
      </w:r>
      <w:r w:rsidRPr="00F73C96">
        <w:rPr>
          <w:rFonts w:ascii="Times New Roman" w:hAnsi="Times New Roman" w:cs="Times New Roman"/>
          <w:color w:val="1C1D1E"/>
          <w:sz w:val="24"/>
          <w:szCs w:val="24"/>
          <w:shd w:val="clear" w:color="auto" w:fill="FFFFFF"/>
        </w:rPr>
        <w:t xml:space="preserve">ropping </w:t>
      </w:r>
      <w:r w:rsidR="009B5936">
        <w:rPr>
          <w:rFonts w:ascii="Times New Roman" w:hAnsi="Times New Roman" w:cs="Times New Roman"/>
          <w:color w:val="1C1D1E"/>
          <w:sz w:val="24"/>
          <w:szCs w:val="24"/>
          <w:shd w:val="clear" w:color="auto" w:fill="FFFFFF"/>
        </w:rPr>
        <w:t>o</w:t>
      </w:r>
      <w:r w:rsidRPr="00F73C96">
        <w:rPr>
          <w:rFonts w:ascii="Times New Roman" w:hAnsi="Times New Roman" w:cs="Times New Roman"/>
          <w:color w:val="1C1D1E"/>
          <w:sz w:val="24"/>
          <w:szCs w:val="24"/>
          <w:shd w:val="clear" w:color="auto" w:fill="FFFFFF"/>
        </w:rPr>
        <w:t xml:space="preserve">ut of </w:t>
      </w:r>
      <w:r w:rsidR="009B5936">
        <w:rPr>
          <w:rFonts w:ascii="Times New Roman" w:hAnsi="Times New Roman" w:cs="Times New Roman"/>
          <w:color w:val="1C1D1E"/>
          <w:sz w:val="24"/>
          <w:szCs w:val="24"/>
          <w:shd w:val="clear" w:color="auto" w:fill="FFFFFF"/>
        </w:rPr>
        <w:t>h</w:t>
      </w:r>
      <w:r w:rsidRPr="00F73C96">
        <w:rPr>
          <w:rFonts w:ascii="Times New Roman" w:hAnsi="Times New Roman" w:cs="Times New Roman"/>
          <w:color w:val="1C1D1E"/>
          <w:sz w:val="24"/>
          <w:szCs w:val="24"/>
          <w:shd w:val="clear" w:color="auto" w:fill="FFFFFF"/>
        </w:rPr>
        <w:t xml:space="preserve">igh </w:t>
      </w:r>
      <w:r w:rsidR="009B5936">
        <w:rPr>
          <w:rFonts w:ascii="Times New Roman" w:hAnsi="Times New Roman" w:cs="Times New Roman"/>
          <w:color w:val="1C1D1E"/>
          <w:sz w:val="24"/>
          <w:szCs w:val="24"/>
          <w:shd w:val="clear" w:color="auto" w:fill="FFFFFF"/>
        </w:rPr>
        <w:t>s</w:t>
      </w:r>
      <w:r w:rsidRPr="00F73C96">
        <w:rPr>
          <w:rFonts w:ascii="Times New Roman" w:hAnsi="Times New Roman" w:cs="Times New Roman"/>
          <w:color w:val="1C1D1E"/>
          <w:sz w:val="24"/>
          <w:szCs w:val="24"/>
          <w:shd w:val="clear" w:color="auto" w:fill="FFFFFF"/>
        </w:rPr>
        <w:t xml:space="preserve">chool. </w:t>
      </w:r>
      <w:r w:rsidRPr="002F7A73">
        <w:rPr>
          <w:rFonts w:ascii="Times New Roman" w:hAnsi="Times New Roman" w:cs="Times New Roman"/>
          <w:i/>
          <w:iCs/>
          <w:color w:val="1C1D1E"/>
          <w:sz w:val="24"/>
          <w:szCs w:val="24"/>
          <w:shd w:val="clear" w:color="auto" w:fill="FFFFFF"/>
        </w:rPr>
        <w:t>Health Economics</w:t>
      </w:r>
      <w:r w:rsidRPr="009B5936">
        <w:rPr>
          <w:rFonts w:ascii="Times New Roman" w:hAnsi="Times New Roman" w:cs="Times New Roman"/>
          <w:color w:val="1C1D1E"/>
          <w:sz w:val="24"/>
          <w:szCs w:val="24"/>
          <w:shd w:val="clear" w:color="auto" w:fill="FFFFFF"/>
        </w:rPr>
        <w:t>,</w:t>
      </w:r>
      <w:r w:rsidRPr="002F7A73">
        <w:rPr>
          <w:rFonts w:ascii="Times New Roman" w:hAnsi="Times New Roman" w:cs="Times New Roman"/>
          <w:i/>
          <w:iCs/>
          <w:color w:val="1C1D1E"/>
          <w:sz w:val="24"/>
          <w:szCs w:val="24"/>
          <w:shd w:val="clear" w:color="auto" w:fill="FFFFFF"/>
        </w:rPr>
        <w:t xml:space="preserve"> 9</w:t>
      </w:r>
      <w:r>
        <w:rPr>
          <w:rFonts w:ascii="Times New Roman" w:hAnsi="Times New Roman" w:cs="Times New Roman"/>
          <w:color w:val="1C1D1E"/>
          <w:sz w:val="24"/>
          <w:szCs w:val="24"/>
          <w:shd w:val="clear" w:color="auto" w:fill="FFFFFF"/>
        </w:rPr>
        <w:t>,</w:t>
      </w:r>
      <w:r w:rsidRPr="00F73C96">
        <w:rPr>
          <w:rFonts w:ascii="Times New Roman" w:hAnsi="Times New Roman" w:cs="Times New Roman"/>
          <w:color w:val="1C1D1E"/>
          <w:sz w:val="24"/>
          <w:szCs w:val="24"/>
          <w:shd w:val="clear" w:color="auto" w:fill="FFFFFF"/>
        </w:rPr>
        <w:t xml:space="preserve"> 9-18.</w:t>
      </w:r>
    </w:p>
    <w:p w14:paraId="7DC9BEA0" w14:textId="77777777" w:rsidR="004E2745" w:rsidRDefault="004E2745" w:rsidP="004E2745">
      <w:pPr>
        <w:spacing w:after="0" w:line="240" w:lineRule="auto"/>
        <w:ind w:left="720" w:hanging="720"/>
        <w:contextualSpacing/>
        <w:mirrorIndents/>
        <w:rPr>
          <w:rFonts w:ascii="Times New Roman" w:hAnsi="Times New Roman" w:cs="Times New Roman"/>
          <w:color w:val="1C1D1E"/>
          <w:sz w:val="24"/>
          <w:szCs w:val="24"/>
          <w:shd w:val="clear" w:color="auto" w:fill="FFFFFF"/>
        </w:rPr>
      </w:pPr>
    </w:p>
    <w:p w14:paraId="3FA2FBFB" w14:textId="16C0E056" w:rsidR="004E2745" w:rsidRPr="009F0550" w:rsidRDefault="004E2745" w:rsidP="004E2745">
      <w:pPr>
        <w:spacing w:after="0" w:line="240" w:lineRule="auto"/>
        <w:ind w:left="720" w:hanging="720"/>
        <w:contextualSpacing/>
        <w:mirrorIndents/>
        <w:jc w:val="both"/>
        <w:rPr>
          <w:rFonts w:ascii="Times New Roman" w:hAnsi="Times New Roman" w:cs="Times New Roman"/>
          <w:sz w:val="24"/>
          <w:szCs w:val="24"/>
        </w:rPr>
      </w:pPr>
      <w:r w:rsidRPr="009F0550">
        <w:rPr>
          <w:rFonts w:ascii="Times New Roman" w:hAnsi="Times New Roman" w:cs="Times New Roman"/>
          <w:sz w:val="24"/>
          <w:szCs w:val="24"/>
        </w:rPr>
        <w:t xml:space="preserve">Brook, J., </w:t>
      </w:r>
      <w:proofErr w:type="spellStart"/>
      <w:r w:rsidRPr="009F0550">
        <w:rPr>
          <w:rFonts w:ascii="Times New Roman" w:hAnsi="Times New Roman" w:cs="Times New Roman"/>
          <w:sz w:val="24"/>
          <w:szCs w:val="24"/>
        </w:rPr>
        <w:t>Balka</w:t>
      </w:r>
      <w:proofErr w:type="spellEnd"/>
      <w:r w:rsidRPr="009F0550">
        <w:rPr>
          <w:rFonts w:ascii="Times New Roman" w:hAnsi="Times New Roman" w:cs="Times New Roman"/>
          <w:sz w:val="24"/>
          <w:szCs w:val="24"/>
        </w:rPr>
        <w:t xml:space="preserve">, E., &amp; Whiteman, M. (1999). The </w:t>
      </w:r>
      <w:r w:rsidR="009B5936" w:rsidRPr="009F0550">
        <w:rPr>
          <w:rFonts w:ascii="Times New Roman" w:hAnsi="Times New Roman" w:cs="Times New Roman"/>
          <w:sz w:val="24"/>
          <w:szCs w:val="24"/>
        </w:rPr>
        <w:t>r</w:t>
      </w:r>
      <w:r w:rsidRPr="009F0550">
        <w:rPr>
          <w:rFonts w:ascii="Times New Roman" w:hAnsi="Times New Roman" w:cs="Times New Roman"/>
          <w:sz w:val="24"/>
          <w:szCs w:val="24"/>
        </w:rPr>
        <w:t xml:space="preserve">isks for </w:t>
      </w:r>
      <w:r w:rsidR="009B5936" w:rsidRPr="009F0550">
        <w:rPr>
          <w:rFonts w:ascii="Times New Roman" w:hAnsi="Times New Roman" w:cs="Times New Roman"/>
          <w:sz w:val="24"/>
          <w:szCs w:val="24"/>
        </w:rPr>
        <w:t>l</w:t>
      </w:r>
      <w:r w:rsidRPr="009F0550">
        <w:rPr>
          <w:rFonts w:ascii="Times New Roman" w:hAnsi="Times New Roman" w:cs="Times New Roman"/>
          <w:sz w:val="24"/>
          <w:szCs w:val="24"/>
        </w:rPr>
        <w:t xml:space="preserve">ate </w:t>
      </w:r>
      <w:r w:rsidR="009B5936" w:rsidRPr="009F0550">
        <w:rPr>
          <w:rFonts w:ascii="Times New Roman" w:hAnsi="Times New Roman" w:cs="Times New Roman"/>
          <w:sz w:val="24"/>
          <w:szCs w:val="24"/>
        </w:rPr>
        <w:t>a</w:t>
      </w:r>
      <w:r w:rsidRPr="009F0550">
        <w:rPr>
          <w:rFonts w:ascii="Times New Roman" w:hAnsi="Times New Roman" w:cs="Times New Roman"/>
          <w:sz w:val="24"/>
          <w:szCs w:val="24"/>
        </w:rPr>
        <w:t xml:space="preserve">dolescence of </w:t>
      </w:r>
      <w:r w:rsidR="009B5936" w:rsidRPr="009F0550">
        <w:rPr>
          <w:rFonts w:ascii="Times New Roman" w:hAnsi="Times New Roman" w:cs="Times New Roman"/>
          <w:sz w:val="24"/>
          <w:szCs w:val="24"/>
        </w:rPr>
        <w:t>e</w:t>
      </w:r>
      <w:r w:rsidRPr="009F0550">
        <w:rPr>
          <w:rFonts w:ascii="Times New Roman" w:hAnsi="Times New Roman" w:cs="Times New Roman"/>
          <w:sz w:val="24"/>
          <w:szCs w:val="24"/>
        </w:rPr>
        <w:t xml:space="preserve">arly </w:t>
      </w:r>
      <w:r w:rsidR="009B5936" w:rsidRPr="009F0550">
        <w:rPr>
          <w:rFonts w:ascii="Times New Roman" w:hAnsi="Times New Roman" w:cs="Times New Roman"/>
          <w:sz w:val="24"/>
          <w:szCs w:val="24"/>
        </w:rPr>
        <w:t>a</w:t>
      </w:r>
      <w:r w:rsidRPr="009F0550">
        <w:rPr>
          <w:rFonts w:ascii="Times New Roman" w:hAnsi="Times New Roman" w:cs="Times New Roman"/>
          <w:sz w:val="24"/>
          <w:szCs w:val="24"/>
        </w:rPr>
        <w:t xml:space="preserve">dolescent </w:t>
      </w:r>
      <w:r w:rsidR="009B5936" w:rsidRPr="009F0550">
        <w:rPr>
          <w:rFonts w:ascii="Times New Roman" w:hAnsi="Times New Roman" w:cs="Times New Roman"/>
          <w:sz w:val="24"/>
          <w:szCs w:val="24"/>
        </w:rPr>
        <w:t>m</w:t>
      </w:r>
      <w:r w:rsidRPr="009F0550">
        <w:rPr>
          <w:rFonts w:ascii="Times New Roman" w:hAnsi="Times New Roman" w:cs="Times New Roman"/>
          <w:sz w:val="24"/>
          <w:szCs w:val="24"/>
        </w:rPr>
        <w:t xml:space="preserve">arijuana </w:t>
      </w:r>
      <w:r w:rsidR="009B5936" w:rsidRPr="009F0550">
        <w:rPr>
          <w:rFonts w:ascii="Times New Roman" w:hAnsi="Times New Roman" w:cs="Times New Roman"/>
          <w:sz w:val="24"/>
          <w:szCs w:val="24"/>
        </w:rPr>
        <w:t>u</w:t>
      </w:r>
      <w:r w:rsidRPr="009F0550">
        <w:rPr>
          <w:rFonts w:ascii="Times New Roman" w:hAnsi="Times New Roman" w:cs="Times New Roman"/>
          <w:sz w:val="24"/>
          <w:szCs w:val="24"/>
        </w:rPr>
        <w:t xml:space="preserve">se. </w:t>
      </w:r>
      <w:r w:rsidRPr="009F0550">
        <w:rPr>
          <w:rFonts w:ascii="Times New Roman" w:hAnsi="Times New Roman" w:cs="Times New Roman"/>
          <w:i/>
          <w:iCs/>
          <w:sz w:val="24"/>
          <w:szCs w:val="24"/>
        </w:rPr>
        <w:t>American Journal of Public Health</w:t>
      </w:r>
      <w:r w:rsidRPr="009F0550">
        <w:rPr>
          <w:rFonts w:ascii="Times New Roman" w:hAnsi="Times New Roman" w:cs="Times New Roman"/>
          <w:sz w:val="24"/>
          <w:szCs w:val="24"/>
        </w:rPr>
        <w:t>,</w:t>
      </w:r>
      <w:r w:rsidRPr="009F0550">
        <w:rPr>
          <w:rFonts w:ascii="Times New Roman" w:hAnsi="Times New Roman" w:cs="Times New Roman"/>
          <w:i/>
          <w:iCs/>
          <w:sz w:val="24"/>
          <w:szCs w:val="24"/>
        </w:rPr>
        <w:t xml:space="preserve"> 89</w:t>
      </w:r>
      <w:r w:rsidRPr="009F0550">
        <w:rPr>
          <w:rFonts w:ascii="Times New Roman" w:hAnsi="Times New Roman" w:cs="Times New Roman"/>
          <w:sz w:val="24"/>
          <w:szCs w:val="24"/>
        </w:rPr>
        <w:t>, 1549-1554.</w:t>
      </w:r>
    </w:p>
    <w:p w14:paraId="6AA9AFC3" w14:textId="77777777" w:rsidR="004E2745" w:rsidRPr="009F0550"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0AC8B50B" w14:textId="1A26509F" w:rsidR="004E2745" w:rsidRPr="009F0550" w:rsidRDefault="004E2745" w:rsidP="004E2745">
      <w:pPr>
        <w:spacing w:after="0" w:line="240" w:lineRule="auto"/>
        <w:ind w:left="720" w:hanging="720"/>
        <w:contextualSpacing/>
        <w:mirrorIndents/>
        <w:jc w:val="both"/>
        <w:rPr>
          <w:rFonts w:ascii="Times New Roman" w:hAnsi="Times New Roman" w:cs="Times New Roman"/>
          <w:sz w:val="24"/>
          <w:szCs w:val="24"/>
        </w:rPr>
      </w:pPr>
      <w:r w:rsidRPr="009F0550">
        <w:rPr>
          <w:rFonts w:ascii="Times New Roman" w:hAnsi="Times New Roman" w:cs="Times New Roman"/>
          <w:sz w:val="24"/>
          <w:szCs w:val="24"/>
        </w:rPr>
        <w:t xml:space="preserve">Brook, J., Lee, J., Brown, E., Finch, S., &amp; Brook, D. (2011). Developmental </w:t>
      </w:r>
      <w:r w:rsidR="009B5936" w:rsidRPr="009F0550">
        <w:rPr>
          <w:rFonts w:ascii="Times New Roman" w:hAnsi="Times New Roman" w:cs="Times New Roman"/>
          <w:sz w:val="24"/>
          <w:szCs w:val="24"/>
        </w:rPr>
        <w:t>t</w:t>
      </w:r>
      <w:r w:rsidRPr="009F0550">
        <w:rPr>
          <w:rFonts w:ascii="Times New Roman" w:hAnsi="Times New Roman" w:cs="Times New Roman"/>
          <w:sz w:val="24"/>
          <w:szCs w:val="24"/>
        </w:rPr>
        <w:t xml:space="preserve">rajectories of </w:t>
      </w:r>
      <w:r w:rsidR="009B5936" w:rsidRPr="009F0550">
        <w:rPr>
          <w:rFonts w:ascii="Times New Roman" w:hAnsi="Times New Roman" w:cs="Times New Roman"/>
          <w:sz w:val="24"/>
          <w:szCs w:val="24"/>
        </w:rPr>
        <w:t>m</w:t>
      </w:r>
      <w:r w:rsidRPr="009F0550">
        <w:rPr>
          <w:rFonts w:ascii="Times New Roman" w:hAnsi="Times New Roman" w:cs="Times New Roman"/>
          <w:sz w:val="24"/>
          <w:szCs w:val="24"/>
        </w:rPr>
        <w:t xml:space="preserve">arijuana </w:t>
      </w:r>
      <w:r w:rsidR="009B5936" w:rsidRPr="009F0550">
        <w:rPr>
          <w:rFonts w:ascii="Times New Roman" w:hAnsi="Times New Roman" w:cs="Times New Roman"/>
          <w:sz w:val="24"/>
          <w:szCs w:val="24"/>
        </w:rPr>
        <w:t>u</w:t>
      </w:r>
      <w:r w:rsidRPr="009F0550">
        <w:rPr>
          <w:rFonts w:ascii="Times New Roman" w:hAnsi="Times New Roman" w:cs="Times New Roman"/>
          <w:sz w:val="24"/>
          <w:szCs w:val="24"/>
        </w:rPr>
        <w:t xml:space="preserve">se from </w:t>
      </w:r>
      <w:r w:rsidR="009B5936" w:rsidRPr="009F0550">
        <w:rPr>
          <w:rFonts w:ascii="Times New Roman" w:hAnsi="Times New Roman" w:cs="Times New Roman"/>
          <w:sz w:val="24"/>
          <w:szCs w:val="24"/>
        </w:rPr>
        <w:t>a</w:t>
      </w:r>
      <w:r w:rsidRPr="009F0550">
        <w:rPr>
          <w:rFonts w:ascii="Times New Roman" w:hAnsi="Times New Roman" w:cs="Times New Roman"/>
          <w:sz w:val="24"/>
          <w:szCs w:val="24"/>
        </w:rPr>
        <w:t xml:space="preserve">dolescence to </w:t>
      </w:r>
      <w:r w:rsidR="009B5936" w:rsidRPr="009F0550">
        <w:rPr>
          <w:rFonts w:ascii="Times New Roman" w:hAnsi="Times New Roman" w:cs="Times New Roman"/>
          <w:sz w:val="24"/>
          <w:szCs w:val="24"/>
        </w:rPr>
        <w:t>a</w:t>
      </w:r>
      <w:r w:rsidRPr="009F0550">
        <w:rPr>
          <w:rFonts w:ascii="Times New Roman" w:hAnsi="Times New Roman" w:cs="Times New Roman"/>
          <w:sz w:val="24"/>
          <w:szCs w:val="24"/>
        </w:rPr>
        <w:t xml:space="preserve">dulthood: Personality and </w:t>
      </w:r>
      <w:r w:rsidR="009B5936" w:rsidRPr="009F0550">
        <w:rPr>
          <w:rFonts w:ascii="Times New Roman" w:hAnsi="Times New Roman" w:cs="Times New Roman"/>
          <w:sz w:val="24"/>
          <w:szCs w:val="24"/>
        </w:rPr>
        <w:t>s</w:t>
      </w:r>
      <w:r w:rsidRPr="009F0550">
        <w:rPr>
          <w:rFonts w:ascii="Times New Roman" w:hAnsi="Times New Roman" w:cs="Times New Roman"/>
          <w:sz w:val="24"/>
          <w:szCs w:val="24"/>
        </w:rPr>
        <w:t xml:space="preserve">ocial </w:t>
      </w:r>
      <w:r w:rsidR="009B5936" w:rsidRPr="009F0550">
        <w:rPr>
          <w:rFonts w:ascii="Times New Roman" w:hAnsi="Times New Roman" w:cs="Times New Roman"/>
          <w:sz w:val="24"/>
          <w:szCs w:val="24"/>
        </w:rPr>
        <w:t>r</w:t>
      </w:r>
      <w:r w:rsidRPr="009F0550">
        <w:rPr>
          <w:rFonts w:ascii="Times New Roman" w:hAnsi="Times New Roman" w:cs="Times New Roman"/>
          <w:sz w:val="24"/>
          <w:szCs w:val="24"/>
        </w:rPr>
        <w:t xml:space="preserve">ole </w:t>
      </w:r>
      <w:r w:rsidR="009B5936" w:rsidRPr="009F0550">
        <w:rPr>
          <w:rFonts w:ascii="Times New Roman" w:hAnsi="Times New Roman" w:cs="Times New Roman"/>
          <w:sz w:val="24"/>
          <w:szCs w:val="24"/>
        </w:rPr>
        <w:t>o</w:t>
      </w:r>
      <w:r w:rsidRPr="009F0550">
        <w:rPr>
          <w:rFonts w:ascii="Times New Roman" w:hAnsi="Times New Roman" w:cs="Times New Roman"/>
          <w:sz w:val="24"/>
          <w:szCs w:val="24"/>
        </w:rPr>
        <w:t xml:space="preserve">utcomes. </w:t>
      </w:r>
      <w:r w:rsidRPr="009F0550">
        <w:rPr>
          <w:rFonts w:ascii="Times New Roman" w:hAnsi="Times New Roman" w:cs="Times New Roman"/>
          <w:i/>
          <w:iCs/>
          <w:sz w:val="24"/>
          <w:szCs w:val="24"/>
        </w:rPr>
        <w:t>Psychological Reports</w:t>
      </w:r>
      <w:r w:rsidRPr="009F0550">
        <w:rPr>
          <w:rFonts w:ascii="Times New Roman" w:hAnsi="Times New Roman" w:cs="Times New Roman"/>
          <w:sz w:val="24"/>
          <w:szCs w:val="24"/>
        </w:rPr>
        <w:t>,</w:t>
      </w:r>
      <w:r w:rsidRPr="009F0550">
        <w:rPr>
          <w:rFonts w:ascii="Times New Roman" w:hAnsi="Times New Roman" w:cs="Times New Roman"/>
          <w:i/>
          <w:iCs/>
          <w:sz w:val="24"/>
          <w:szCs w:val="24"/>
        </w:rPr>
        <w:t xml:space="preserve"> 108</w:t>
      </w:r>
      <w:r w:rsidRPr="009F0550">
        <w:rPr>
          <w:rFonts w:ascii="Times New Roman" w:hAnsi="Times New Roman" w:cs="Times New Roman"/>
          <w:sz w:val="24"/>
          <w:szCs w:val="24"/>
        </w:rPr>
        <w:t>, 339-357.</w:t>
      </w:r>
    </w:p>
    <w:p w14:paraId="50D61B5F" w14:textId="77777777" w:rsidR="004E2745" w:rsidRPr="009F0550"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40E4E414" w14:textId="33CF84BD" w:rsidR="004E2745" w:rsidRPr="009F0550" w:rsidRDefault="004E2745" w:rsidP="004E2745">
      <w:pPr>
        <w:spacing w:after="0" w:line="240" w:lineRule="auto"/>
        <w:ind w:left="720" w:hanging="720"/>
        <w:contextualSpacing/>
        <w:mirrorIndents/>
        <w:jc w:val="both"/>
        <w:rPr>
          <w:rFonts w:ascii="Times New Roman" w:hAnsi="Times New Roman" w:cs="Times New Roman"/>
          <w:sz w:val="24"/>
          <w:szCs w:val="24"/>
        </w:rPr>
      </w:pPr>
      <w:r w:rsidRPr="009F0550">
        <w:rPr>
          <w:rFonts w:ascii="Times New Roman" w:hAnsi="Times New Roman" w:cs="Times New Roman"/>
          <w:sz w:val="24"/>
          <w:szCs w:val="24"/>
        </w:rPr>
        <w:t>Brook, J., Lee, J., Finch, S</w:t>
      </w:r>
      <w:r w:rsidR="00FD0224" w:rsidRPr="009F0550">
        <w:rPr>
          <w:rFonts w:ascii="Times New Roman" w:hAnsi="Times New Roman" w:cs="Times New Roman"/>
          <w:sz w:val="24"/>
          <w:szCs w:val="24"/>
        </w:rPr>
        <w:t>.</w:t>
      </w:r>
      <w:r w:rsidRPr="009F0550">
        <w:rPr>
          <w:rFonts w:ascii="Times New Roman" w:hAnsi="Times New Roman" w:cs="Times New Roman"/>
          <w:sz w:val="24"/>
          <w:szCs w:val="24"/>
        </w:rPr>
        <w:t>, Seltzer, N., &amp; Brook, D.</w:t>
      </w:r>
      <w:r w:rsidR="00FD0224" w:rsidRPr="009F0550">
        <w:rPr>
          <w:rFonts w:ascii="Times New Roman" w:hAnsi="Times New Roman" w:cs="Times New Roman"/>
          <w:sz w:val="24"/>
          <w:szCs w:val="24"/>
        </w:rPr>
        <w:t xml:space="preserve"> </w:t>
      </w:r>
      <w:r w:rsidRPr="009F0550">
        <w:rPr>
          <w:rFonts w:ascii="Times New Roman" w:hAnsi="Times New Roman" w:cs="Times New Roman"/>
          <w:sz w:val="24"/>
          <w:szCs w:val="24"/>
        </w:rPr>
        <w:t xml:space="preserve">(2013). Adult </w:t>
      </w:r>
      <w:r w:rsidR="009B5936" w:rsidRPr="009F0550">
        <w:rPr>
          <w:rFonts w:ascii="Times New Roman" w:hAnsi="Times New Roman" w:cs="Times New Roman"/>
          <w:sz w:val="24"/>
          <w:szCs w:val="24"/>
        </w:rPr>
        <w:t>w</w:t>
      </w:r>
      <w:r w:rsidRPr="009F0550">
        <w:rPr>
          <w:rFonts w:ascii="Times New Roman" w:hAnsi="Times New Roman" w:cs="Times New Roman"/>
          <w:sz w:val="24"/>
          <w:szCs w:val="24"/>
        </w:rPr>
        <w:t xml:space="preserve">ork </w:t>
      </w:r>
      <w:r w:rsidR="009B5936" w:rsidRPr="009F0550">
        <w:rPr>
          <w:rFonts w:ascii="Times New Roman" w:hAnsi="Times New Roman" w:cs="Times New Roman"/>
          <w:sz w:val="24"/>
          <w:szCs w:val="24"/>
        </w:rPr>
        <w:t>c</w:t>
      </w:r>
      <w:r w:rsidRPr="009F0550">
        <w:rPr>
          <w:rFonts w:ascii="Times New Roman" w:hAnsi="Times New Roman" w:cs="Times New Roman"/>
          <w:sz w:val="24"/>
          <w:szCs w:val="24"/>
        </w:rPr>
        <w:t xml:space="preserve">ommitment, </w:t>
      </w:r>
      <w:r w:rsidR="009B5936" w:rsidRPr="009F0550">
        <w:rPr>
          <w:rFonts w:ascii="Times New Roman" w:hAnsi="Times New Roman" w:cs="Times New Roman"/>
          <w:sz w:val="24"/>
          <w:szCs w:val="24"/>
        </w:rPr>
        <w:t>f</w:t>
      </w:r>
      <w:r w:rsidRPr="009F0550">
        <w:rPr>
          <w:rFonts w:ascii="Times New Roman" w:hAnsi="Times New Roman" w:cs="Times New Roman"/>
          <w:sz w:val="24"/>
          <w:szCs w:val="24"/>
        </w:rPr>
        <w:t xml:space="preserve">inancial </w:t>
      </w:r>
      <w:r w:rsidR="009B5936" w:rsidRPr="009F0550">
        <w:rPr>
          <w:rFonts w:ascii="Times New Roman" w:hAnsi="Times New Roman" w:cs="Times New Roman"/>
          <w:sz w:val="24"/>
          <w:szCs w:val="24"/>
        </w:rPr>
        <w:t>s</w:t>
      </w:r>
      <w:r w:rsidRPr="009F0550">
        <w:rPr>
          <w:rFonts w:ascii="Times New Roman" w:hAnsi="Times New Roman" w:cs="Times New Roman"/>
          <w:sz w:val="24"/>
          <w:szCs w:val="24"/>
        </w:rPr>
        <w:t xml:space="preserve">tability, and </w:t>
      </w:r>
      <w:r w:rsidR="009B5936" w:rsidRPr="009F0550">
        <w:rPr>
          <w:rFonts w:ascii="Times New Roman" w:hAnsi="Times New Roman" w:cs="Times New Roman"/>
          <w:sz w:val="24"/>
          <w:szCs w:val="24"/>
        </w:rPr>
        <w:t>s</w:t>
      </w:r>
      <w:r w:rsidRPr="009F0550">
        <w:rPr>
          <w:rFonts w:ascii="Times New Roman" w:hAnsi="Times New Roman" w:cs="Times New Roman"/>
          <w:sz w:val="24"/>
          <w:szCs w:val="24"/>
        </w:rPr>
        <w:t xml:space="preserve">ocial </w:t>
      </w:r>
      <w:r w:rsidR="009B5936" w:rsidRPr="009F0550">
        <w:rPr>
          <w:rFonts w:ascii="Times New Roman" w:hAnsi="Times New Roman" w:cs="Times New Roman"/>
          <w:sz w:val="24"/>
          <w:szCs w:val="24"/>
        </w:rPr>
        <w:t>e</w:t>
      </w:r>
      <w:r w:rsidRPr="009F0550">
        <w:rPr>
          <w:rFonts w:ascii="Times New Roman" w:hAnsi="Times New Roman" w:cs="Times New Roman"/>
          <w:sz w:val="24"/>
          <w:szCs w:val="24"/>
        </w:rPr>
        <w:t xml:space="preserve">nvironment as </w:t>
      </w:r>
      <w:r w:rsidR="009B5936" w:rsidRPr="009F0550">
        <w:rPr>
          <w:rFonts w:ascii="Times New Roman" w:hAnsi="Times New Roman" w:cs="Times New Roman"/>
          <w:sz w:val="24"/>
          <w:szCs w:val="24"/>
        </w:rPr>
        <w:t>r</w:t>
      </w:r>
      <w:r w:rsidRPr="009F0550">
        <w:rPr>
          <w:rFonts w:ascii="Times New Roman" w:hAnsi="Times New Roman" w:cs="Times New Roman"/>
          <w:sz w:val="24"/>
          <w:szCs w:val="24"/>
        </w:rPr>
        <w:t xml:space="preserve">elated to </w:t>
      </w:r>
      <w:r w:rsidR="009B5936" w:rsidRPr="009F0550">
        <w:rPr>
          <w:rFonts w:ascii="Times New Roman" w:hAnsi="Times New Roman" w:cs="Times New Roman"/>
          <w:sz w:val="24"/>
          <w:szCs w:val="24"/>
        </w:rPr>
        <w:t>t</w:t>
      </w:r>
      <w:r w:rsidRPr="009F0550">
        <w:rPr>
          <w:rFonts w:ascii="Times New Roman" w:hAnsi="Times New Roman" w:cs="Times New Roman"/>
          <w:sz w:val="24"/>
          <w:szCs w:val="24"/>
        </w:rPr>
        <w:t xml:space="preserve">rajectories of </w:t>
      </w:r>
      <w:r w:rsidR="009B5936" w:rsidRPr="009F0550">
        <w:rPr>
          <w:rFonts w:ascii="Times New Roman" w:hAnsi="Times New Roman" w:cs="Times New Roman"/>
          <w:sz w:val="24"/>
          <w:szCs w:val="24"/>
        </w:rPr>
        <w:t>m</w:t>
      </w:r>
      <w:r w:rsidRPr="009F0550">
        <w:rPr>
          <w:rFonts w:ascii="Times New Roman" w:hAnsi="Times New Roman" w:cs="Times New Roman"/>
          <w:sz w:val="24"/>
          <w:szCs w:val="24"/>
        </w:rPr>
        <w:t xml:space="preserve">arijuana </w:t>
      </w:r>
      <w:r w:rsidR="009B5936" w:rsidRPr="009F0550">
        <w:rPr>
          <w:rFonts w:ascii="Times New Roman" w:hAnsi="Times New Roman" w:cs="Times New Roman"/>
          <w:sz w:val="24"/>
          <w:szCs w:val="24"/>
        </w:rPr>
        <w:t>u</w:t>
      </w:r>
      <w:r w:rsidRPr="009F0550">
        <w:rPr>
          <w:rFonts w:ascii="Times New Roman" w:hAnsi="Times New Roman" w:cs="Times New Roman"/>
          <w:sz w:val="24"/>
          <w:szCs w:val="24"/>
        </w:rPr>
        <w:t xml:space="preserve">se </w:t>
      </w:r>
      <w:r w:rsidR="009B5936" w:rsidRPr="009F0550">
        <w:rPr>
          <w:rFonts w:ascii="Times New Roman" w:hAnsi="Times New Roman" w:cs="Times New Roman"/>
          <w:sz w:val="24"/>
          <w:szCs w:val="24"/>
        </w:rPr>
        <w:t>b</w:t>
      </w:r>
      <w:r w:rsidRPr="009F0550">
        <w:rPr>
          <w:rFonts w:ascii="Times New Roman" w:hAnsi="Times New Roman" w:cs="Times New Roman"/>
          <w:sz w:val="24"/>
          <w:szCs w:val="24"/>
        </w:rPr>
        <w:t xml:space="preserve">eginning in </w:t>
      </w:r>
      <w:r w:rsidR="009B5936" w:rsidRPr="009F0550">
        <w:rPr>
          <w:rFonts w:ascii="Times New Roman" w:hAnsi="Times New Roman" w:cs="Times New Roman"/>
          <w:sz w:val="24"/>
          <w:szCs w:val="24"/>
        </w:rPr>
        <w:t>a</w:t>
      </w:r>
      <w:r w:rsidRPr="009F0550">
        <w:rPr>
          <w:rFonts w:ascii="Times New Roman" w:hAnsi="Times New Roman" w:cs="Times New Roman"/>
          <w:sz w:val="24"/>
          <w:szCs w:val="24"/>
        </w:rPr>
        <w:t xml:space="preserve">dolescence. </w:t>
      </w:r>
      <w:r w:rsidRPr="009F0550">
        <w:rPr>
          <w:rFonts w:ascii="Times New Roman" w:hAnsi="Times New Roman" w:cs="Times New Roman"/>
          <w:i/>
          <w:iCs/>
          <w:sz w:val="24"/>
          <w:szCs w:val="24"/>
        </w:rPr>
        <w:t>Substance Abuse</w:t>
      </w:r>
      <w:r w:rsidRPr="009F0550">
        <w:rPr>
          <w:rFonts w:ascii="Times New Roman" w:hAnsi="Times New Roman" w:cs="Times New Roman"/>
          <w:sz w:val="24"/>
          <w:szCs w:val="24"/>
        </w:rPr>
        <w:t>,</w:t>
      </w:r>
      <w:r w:rsidRPr="009F0550">
        <w:rPr>
          <w:rFonts w:ascii="Times New Roman" w:hAnsi="Times New Roman" w:cs="Times New Roman"/>
          <w:i/>
          <w:iCs/>
          <w:sz w:val="24"/>
          <w:szCs w:val="24"/>
        </w:rPr>
        <w:t xml:space="preserve"> 34</w:t>
      </w:r>
      <w:r w:rsidRPr="009F0550">
        <w:rPr>
          <w:rFonts w:ascii="Times New Roman" w:hAnsi="Times New Roman" w:cs="Times New Roman"/>
          <w:sz w:val="24"/>
          <w:szCs w:val="24"/>
        </w:rPr>
        <w:t xml:space="preserve">, 298-305. </w:t>
      </w:r>
    </w:p>
    <w:p w14:paraId="280EA191" w14:textId="77777777" w:rsidR="004E2745" w:rsidRPr="009F0550"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0B0C75E8" w14:textId="62EC54FC" w:rsidR="004E2745" w:rsidRPr="009F0550" w:rsidRDefault="004E2745" w:rsidP="004E2745">
      <w:pPr>
        <w:pStyle w:val="FootnoteText"/>
        <w:ind w:left="720" w:hanging="720"/>
        <w:jc w:val="both"/>
        <w:rPr>
          <w:rFonts w:ascii="Times New Roman" w:hAnsi="Times New Roman" w:cs="Times New Roman"/>
          <w:sz w:val="24"/>
          <w:szCs w:val="24"/>
        </w:rPr>
      </w:pPr>
      <w:r w:rsidRPr="009F0550">
        <w:rPr>
          <w:rFonts w:ascii="Times New Roman" w:hAnsi="Times New Roman" w:cs="Times New Roman"/>
          <w:sz w:val="24"/>
          <w:szCs w:val="24"/>
        </w:rPr>
        <w:t xml:space="preserve">Byrnes, J., Miller, D., </w:t>
      </w:r>
      <w:r w:rsidR="009B5936" w:rsidRPr="009F0550">
        <w:rPr>
          <w:rFonts w:ascii="Times New Roman" w:hAnsi="Times New Roman" w:cs="Times New Roman"/>
          <w:sz w:val="24"/>
          <w:szCs w:val="24"/>
        </w:rPr>
        <w:t>&amp;</w:t>
      </w:r>
      <w:r w:rsidRPr="009F0550">
        <w:rPr>
          <w:rFonts w:ascii="Times New Roman" w:hAnsi="Times New Roman" w:cs="Times New Roman"/>
          <w:sz w:val="24"/>
          <w:szCs w:val="24"/>
        </w:rPr>
        <w:t xml:space="preserve"> Schafer, W. (1999). Gender </w:t>
      </w:r>
      <w:r w:rsidR="009B5936" w:rsidRPr="009F0550">
        <w:rPr>
          <w:rFonts w:ascii="Times New Roman" w:hAnsi="Times New Roman" w:cs="Times New Roman"/>
          <w:sz w:val="24"/>
          <w:szCs w:val="24"/>
        </w:rPr>
        <w:t>d</w:t>
      </w:r>
      <w:r w:rsidRPr="009F0550">
        <w:rPr>
          <w:rFonts w:ascii="Times New Roman" w:hAnsi="Times New Roman" w:cs="Times New Roman"/>
          <w:sz w:val="24"/>
          <w:szCs w:val="24"/>
        </w:rPr>
        <w:t xml:space="preserve">ifferences in </w:t>
      </w:r>
      <w:r w:rsidR="009B5936" w:rsidRPr="009F0550">
        <w:rPr>
          <w:rFonts w:ascii="Times New Roman" w:hAnsi="Times New Roman" w:cs="Times New Roman"/>
          <w:sz w:val="24"/>
          <w:szCs w:val="24"/>
        </w:rPr>
        <w:t>r</w:t>
      </w:r>
      <w:r w:rsidRPr="009F0550">
        <w:rPr>
          <w:rFonts w:ascii="Times New Roman" w:hAnsi="Times New Roman" w:cs="Times New Roman"/>
          <w:sz w:val="24"/>
          <w:szCs w:val="24"/>
        </w:rPr>
        <w:t xml:space="preserve">isk </w:t>
      </w:r>
      <w:r w:rsidR="009B5936" w:rsidRPr="009F0550">
        <w:rPr>
          <w:rFonts w:ascii="Times New Roman" w:hAnsi="Times New Roman" w:cs="Times New Roman"/>
          <w:sz w:val="24"/>
          <w:szCs w:val="24"/>
        </w:rPr>
        <w:t>t</w:t>
      </w:r>
      <w:r w:rsidRPr="009F0550">
        <w:rPr>
          <w:rFonts w:ascii="Times New Roman" w:hAnsi="Times New Roman" w:cs="Times New Roman"/>
          <w:sz w:val="24"/>
          <w:szCs w:val="24"/>
        </w:rPr>
        <w:t xml:space="preserve">aking: A </w:t>
      </w:r>
      <w:r w:rsidR="009B5936" w:rsidRPr="009F0550">
        <w:rPr>
          <w:rFonts w:ascii="Times New Roman" w:hAnsi="Times New Roman" w:cs="Times New Roman"/>
          <w:sz w:val="24"/>
          <w:szCs w:val="24"/>
        </w:rPr>
        <w:t>m</w:t>
      </w:r>
      <w:r w:rsidRPr="009F0550">
        <w:rPr>
          <w:rFonts w:ascii="Times New Roman" w:hAnsi="Times New Roman" w:cs="Times New Roman"/>
          <w:sz w:val="24"/>
          <w:szCs w:val="24"/>
        </w:rPr>
        <w:t>eta-</w:t>
      </w:r>
      <w:r w:rsidR="009B5936" w:rsidRPr="009F0550">
        <w:rPr>
          <w:rFonts w:ascii="Times New Roman" w:hAnsi="Times New Roman" w:cs="Times New Roman"/>
          <w:sz w:val="24"/>
          <w:szCs w:val="24"/>
        </w:rPr>
        <w:t>a</w:t>
      </w:r>
      <w:r w:rsidRPr="009F0550">
        <w:rPr>
          <w:rFonts w:ascii="Times New Roman" w:hAnsi="Times New Roman" w:cs="Times New Roman"/>
          <w:sz w:val="24"/>
          <w:szCs w:val="24"/>
        </w:rPr>
        <w:t xml:space="preserve">nalysis. </w:t>
      </w:r>
      <w:r w:rsidRPr="009F0550">
        <w:rPr>
          <w:rFonts w:ascii="Times New Roman" w:hAnsi="Times New Roman" w:cs="Times New Roman"/>
          <w:i/>
          <w:iCs/>
          <w:sz w:val="24"/>
          <w:szCs w:val="24"/>
        </w:rPr>
        <w:t>Psychological Bulletin</w:t>
      </w:r>
      <w:r w:rsidRPr="009F0550">
        <w:rPr>
          <w:rFonts w:ascii="Times New Roman" w:hAnsi="Times New Roman" w:cs="Times New Roman"/>
          <w:sz w:val="24"/>
          <w:szCs w:val="24"/>
        </w:rPr>
        <w:t xml:space="preserve">, </w:t>
      </w:r>
      <w:r w:rsidRPr="009F0550">
        <w:rPr>
          <w:rFonts w:ascii="Times New Roman" w:hAnsi="Times New Roman" w:cs="Times New Roman"/>
          <w:i/>
          <w:iCs/>
          <w:sz w:val="24"/>
          <w:szCs w:val="24"/>
        </w:rPr>
        <w:t>125</w:t>
      </w:r>
      <w:r w:rsidRPr="009F0550">
        <w:rPr>
          <w:rFonts w:ascii="Times New Roman" w:hAnsi="Times New Roman" w:cs="Times New Roman"/>
          <w:sz w:val="24"/>
          <w:szCs w:val="24"/>
        </w:rPr>
        <w:t>(3), 367-383.</w:t>
      </w:r>
    </w:p>
    <w:p w14:paraId="7813F010" w14:textId="7923016D" w:rsidR="004E2745" w:rsidRPr="009F0550" w:rsidRDefault="004E2745" w:rsidP="004E2745">
      <w:pPr>
        <w:spacing w:after="0" w:line="240" w:lineRule="auto"/>
        <w:ind w:left="720" w:hanging="720"/>
        <w:contextualSpacing/>
        <w:jc w:val="both"/>
        <w:rPr>
          <w:rFonts w:ascii="Times New Roman" w:hAnsi="Times New Roman" w:cs="Times New Roman"/>
          <w:sz w:val="24"/>
          <w:szCs w:val="24"/>
        </w:rPr>
      </w:pPr>
    </w:p>
    <w:p w14:paraId="59D39E23" w14:textId="12503163" w:rsidR="0048433B" w:rsidRPr="009F0550" w:rsidRDefault="0048433B" w:rsidP="004E2745">
      <w:pPr>
        <w:spacing w:after="0" w:line="240" w:lineRule="auto"/>
        <w:ind w:left="720" w:hanging="720"/>
        <w:contextualSpacing/>
        <w:jc w:val="both"/>
        <w:rPr>
          <w:rFonts w:ascii="Times New Roman" w:hAnsi="Times New Roman" w:cs="Times New Roman"/>
          <w:sz w:val="24"/>
          <w:szCs w:val="24"/>
        </w:rPr>
      </w:pPr>
      <w:r w:rsidRPr="009F0550">
        <w:rPr>
          <w:rFonts w:ascii="Times New Roman" w:hAnsi="Times New Roman" w:cs="Times New Roman"/>
          <w:i/>
          <w:iCs/>
          <w:sz w:val="24"/>
          <w:szCs w:val="24"/>
        </w:rPr>
        <w:t>Cannabis Sales.</w:t>
      </w:r>
      <w:r w:rsidRPr="009F0550">
        <w:rPr>
          <w:rFonts w:ascii="Times New Roman" w:hAnsi="Times New Roman" w:cs="Times New Roman"/>
          <w:sz w:val="24"/>
          <w:szCs w:val="24"/>
        </w:rPr>
        <w:t xml:space="preserve"> Retrieved from the Washington State Liquor and Cannabis Board: </w:t>
      </w:r>
      <w:hyperlink r:id="rId15" w:history="1">
        <w:r w:rsidRPr="009F0550">
          <w:rPr>
            <w:rStyle w:val="Hyperlink"/>
            <w:rFonts w:ascii="Times New Roman" w:hAnsi="Times New Roman" w:cs="Times New Roman"/>
            <w:color w:val="auto"/>
            <w:sz w:val="24"/>
            <w:szCs w:val="24"/>
          </w:rPr>
          <w:t>https://lcb.wa.gov/records/frequently-requested-lists</w:t>
        </w:r>
      </w:hyperlink>
      <w:r w:rsidRPr="009F0550">
        <w:rPr>
          <w:rFonts w:ascii="Times New Roman" w:hAnsi="Times New Roman" w:cs="Times New Roman"/>
          <w:sz w:val="24"/>
          <w:szCs w:val="24"/>
        </w:rPr>
        <w:t xml:space="preserve">. </w:t>
      </w:r>
    </w:p>
    <w:p w14:paraId="29835624" w14:textId="2E8C7F3E" w:rsidR="00043464" w:rsidRPr="009F0550" w:rsidRDefault="00043464" w:rsidP="004E2745">
      <w:pPr>
        <w:spacing w:after="0" w:line="240" w:lineRule="auto"/>
        <w:ind w:left="720" w:hanging="720"/>
        <w:contextualSpacing/>
        <w:jc w:val="both"/>
        <w:rPr>
          <w:rFonts w:ascii="Times New Roman" w:hAnsi="Times New Roman" w:cs="Times New Roman"/>
          <w:sz w:val="24"/>
          <w:szCs w:val="24"/>
        </w:rPr>
      </w:pPr>
    </w:p>
    <w:p w14:paraId="5EFA3108" w14:textId="4D896CA2" w:rsidR="00043464" w:rsidRPr="009F0550" w:rsidRDefault="00043464" w:rsidP="004E2745">
      <w:pPr>
        <w:spacing w:after="0" w:line="240" w:lineRule="auto"/>
        <w:ind w:left="720" w:hanging="720"/>
        <w:contextualSpacing/>
        <w:jc w:val="both"/>
        <w:rPr>
          <w:rFonts w:ascii="Times New Roman" w:hAnsi="Times New Roman" w:cs="Times New Roman"/>
          <w:sz w:val="24"/>
          <w:szCs w:val="24"/>
        </w:rPr>
      </w:pPr>
      <w:proofErr w:type="spellStart"/>
      <w:r w:rsidRPr="009F0550">
        <w:rPr>
          <w:rFonts w:ascii="Times New Roman" w:hAnsi="Times New Roman" w:cs="Times New Roman"/>
          <w:sz w:val="24"/>
          <w:szCs w:val="24"/>
        </w:rPr>
        <w:t>Caulkins</w:t>
      </w:r>
      <w:proofErr w:type="spellEnd"/>
      <w:r w:rsidRPr="009F0550">
        <w:rPr>
          <w:rFonts w:ascii="Times New Roman" w:hAnsi="Times New Roman" w:cs="Times New Roman"/>
          <w:sz w:val="24"/>
          <w:szCs w:val="24"/>
        </w:rPr>
        <w:t xml:space="preserve">, J. </w:t>
      </w:r>
      <w:r w:rsidR="00FD0224" w:rsidRPr="009F0550">
        <w:rPr>
          <w:rFonts w:ascii="Times New Roman" w:hAnsi="Times New Roman" w:cs="Times New Roman"/>
          <w:sz w:val="24"/>
          <w:szCs w:val="24"/>
        </w:rPr>
        <w:t>&amp;</w:t>
      </w:r>
      <w:r w:rsidRPr="009F0550">
        <w:rPr>
          <w:rFonts w:ascii="Times New Roman" w:hAnsi="Times New Roman" w:cs="Times New Roman"/>
          <w:sz w:val="24"/>
          <w:szCs w:val="24"/>
        </w:rPr>
        <w:t xml:space="preserve"> Dahlkemper, L. (2013). </w:t>
      </w:r>
      <w:r w:rsidR="002435F7" w:rsidRPr="009F0550">
        <w:rPr>
          <w:rFonts w:ascii="Times New Roman" w:hAnsi="Times New Roman" w:cs="Times New Roman"/>
          <w:sz w:val="24"/>
          <w:szCs w:val="24"/>
        </w:rPr>
        <w:t xml:space="preserve">Retail </w:t>
      </w:r>
      <w:r w:rsidR="009B5936" w:rsidRPr="009F0550">
        <w:rPr>
          <w:rFonts w:ascii="Times New Roman" w:hAnsi="Times New Roman" w:cs="Times New Roman"/>
          <w:sz w:val="24"/>
          <w:szCs w:val="24"/>
        </w:rPr>
        <w:t>s</w:t>
      </w:r>
      <w:r w:rsidR="002435F7" w:rsidRPr="009F0550">
        <w:rPr>
          <w:rFonts w:ascii="Times New Roman" w:hAnsi="Times New Roman" w:cs="Times New Roman"/>
          <w:sz w:val="24"/>
          <w:szCs w:val="24"/>
        </w:rPr>
        <w:t xml:space="preserve">tore </w:t>
      </w:r>
      <w:r w:rsidR="009B5936" w:rsidRPr="009F0550">
        <w:rPr>
          <w:rFonts w:ascii="Times New Roman" w:hAnsi="Times New Roman" w:cs="Times New Roman"/>
          <w:sz w:val="24"/>
          <w:szCs w:val="24"/>
        </w:rPr>
        <w:t>a</w:t>
      </w:r>
      <w:r w:rsidR="002435F7" w:rsidRPr="009F0550">
        <w:rPr>
          <w:rFonts w:ascii="Times New Roman" w:hAnsi="Times New Roman" w:cs="Times New Roman"/>
          <w:sz w:val="24"/>
          <w:szCs w:val="24"/>
        </w:rPr>
        <w:t xml:space="preserve">llocation. Back of the </w:t>
      </w:r>
      <w:r w:rsidR="009B5936" w:rsidRPr="009F0550">
        <w:rPr>
          <w:rFonts w:ascii="Times New Roman" w:hAnsi="Times New Roman" w:cs="Times New Roman"/>
          <w:sz w:val="24"/>
          <w:szCs w:val="24"/>
        </w:rPr>
        <w:t>e</w:t>
      </w:r>
      <w:r w:rsidR="002435F7" w:rsidRPr="009F0550">
        <w:rPr>
          <w:rFonts w:ascii="Times New Roman" w:hAnsi="Times New Roman" w:cs="Times New Roman"/>
          <w:sz w:val="24"/>
          <w:szCs w:val="24"/>
        </w:rPr>
        <w:t xml:space="preserve">nvelope </w:t>
      </w:r>
      <w:r w:rsidR="009B5936" w:rsidRPr="009F0550">
        <w:rPr>
          <w:rFonts w:ascii="Times New Roman" w:hAnsi="Times New Roman" w:cs="Times New Roman"/>
          <w:sz w:val="24"/>
          <w:szCs w:val="24"/>
        </w:rPr>
        <w:t>c</w:t>
      </w:r>
      <w:r w:rsidR="002435F7" w:rsidRPr="009F0550">
        <w:rPr>
          <w:rFonts w:ascii="Times New Roman" w:hAnsi="Times New Roman" w:cs="Times New Roman"/>
          <w:sz w:val="24"/>
          <w:szCs w:val="24"/>
        </w:rPr>
        <w:t>alculations</w:t>
      </w:r>
      <w:r w:rsidR="009B5936" w:rsidRPr="009F0550">
        <w:rPr>
          <w:rFonts w:ascii="Times New Roman" w:hAnsi="Times New Roman" w:cs="Times New Roman"/>
          <w:sz w:val="24"/>
          <w:szCs w:val="24"/>
        </w:rPr>
        <w:t>.</w:t>
      </w:r>
      <w:r w:rsidR="002435F7" w:rsidRPr="009F0550">
        <w:rPr>
          <w:rFonts w:ascii="Times New Roman" w:hAnsi="Times New Roman" w:cs="Times New Roman"/>
          <w:sz w:val="24"/>
          <w:szCs w:val="24"/>
        </w:rPr>
        <w:t xml:space="preserve"> Analysis Corporation. </w:t>
      </w:r>
    </w:p>
    <w:p w14:paraId="36A3B00F" w14:textId="28AA550E" w:rsidR="004E2745" w:rsidRPr="009F0550" w:rsidRDefault="0048433B" w:rsidP="00F435E4">
      <w:pPr>
        <w:spacing w:after="0" w:line="240" w:lineRule="auto"/>
        <w:ind w:left="720" w:hanging="720"/>
        <w:contextualSpacing/>
        <w:jc w:val="both"/>
        <w:rPr>
          <w:rFonts w:ascii="Times New Roman" w:hAnsi="Times New Roman" w:cs="Times New Roman"/>
          <w:sz w:val="24"/>
          <w:szCs w:val="24"/>
        </w:rPr>
      </w:pPr>
      <w:r w:rsidRPr="009F0550">
        <w:rPr>
          <w:rFonts w:ascii="Times New Roman" w:hAnsi="Times New Roman" w:cs="Times New Roman"/>
          <w:sz w:val="24"/>
          <w:szCs w:val="24"/>
        </w:rPr>
        <w:t xml:space="preserve"> </w:t>
      </w:r>
    </w:p>
    <w:p w14:paraId="40A607DD" w14:textId="63A8F404" w:rsidR="004E2745" w:rsidRPr="009F0550" w:rsidRDefault="004E2745" w:rsidP="004E2745">
      <w:pPr>
        <w:spacing w:after="0" w:line="240" w:lineRule="auto"/>
        <w:ind w:left="720" w:hanging="720"/>
        <w:contextualSpacing/>
        <w:mirrorIndents/>
        <w:jc w:val="both"/>
        <w:rPr>
          <w:rFonts w:ascii="Times New Roman" w:hAnsi="Times New Roman" w:cs="Times New Roman"/>
          <w:sz w:val="24"/>
          <w:szCs w:val="24"/>
        </w:rPr>
      </w:pPr>
      <w:r w:rsidRPr="009F0550">
        <w:rPr>
          <w:rFonts w:ascii="Times New Roman" w:hAnsi="Times New Roman" w:cs="Times New Roman"/>
          <w:sz w:val="24"/>
          <w:szCs w:val="24"/>
        </w:rPr>
        <w:t xml:space="preserve">Cerda, M., Wall, M., Feng, T., Keyes, K., </w:t>
      </w:r>
      <w:proofErr w:type="spellStart"/>
      <w:r w:rsidRPr="009F0550">
        <w:rPr>
          <w:rFonts w:ascii="Times New Roman" w:hAnsi="Times New Roman" w:cs="Times New Roman"/>
          <w:sz w:val="24"/>
          <w:szCs w:val="24"/>
        </w:rPr>
        <w:t>Sarvet</w:t>
      </w:r>
      <w:proofErr w:type="spellEnd"/>
      <w:r w:rsidRPr="009F0550">
        <w:rPr>
          <w:rFonts w:ascii="Times New Roman" w:hAnsi="Times New Roman" w:cs="Times New Roman"/>
          <w:sz w:val="24"/>
          <w:szCs w:val="24"/>
        </w:rPr>
        <w:t xml:space="preserve">, A., Schulenberg, J., &amp; </w:t>
      </w:r>
      <w:proofErr w:type="spellStart"/>
      <w:r w:rsidRPr="009F0550">
        <w:rPr>
          <w:rFonts w:ascii="Times New Roman" w:hAnsi="Times New Roman" w:cs="Times New Roman"/>
          <w:sz w:val="24"/>
          <w:szCs w:val="24"/>
        </w:rPr>
        <w:t>Hasin</w:t>
      </w:r>
      <w:proofErr w:type="spellEnd"/>
      <w:r w:rsidRPr="009F0550">
        <w:rPr>
          <w:rFonts w:ascii="Times New Roman" w:hAnsi="Times New Roman" w:cs="Times New Roman"/>
          <w:sz w:val="24"/>
          <w:szCs w:val="24"/>
        </w:rPr>
        <w:t xml:space="preserve">, D. (2017). Association of </w:t>
      </w:r>
      <w:r w:rsidR="009B5936" w:rsidRPr="009F0550">
        <w:rPr>
          <w:rFonts w:ascii="Times New Roman" w:hAnsi="Times New Roman" w:cs="Times New Roman"/>
          <w:sz w:val="24"/>
          <w:szCs w:val="24"/>
        </w:rPr>
        <w:t>s</w:t>
      </w:r>
      <w:r w:rsidRPr="009F0550">
        <w:rPr>
          <w:rFonts w:ascii="Times New Roman" w:hAnsi="Times New Roman" w:cs="Times New Roman"/>
          <w:sz w:val="24"/>
          <w:szCs w:val="24"/>
        </w:rPr>
        <w:t xml:space="preserve">tate </w:t>
      </w:r>
      <w:r w:rsidR="009B5936" w:rsidRPr="009F0550">
        <w:rPr>
          <w:rFonts w:ascii="Times New Roman" w:hAnsi="Times New Roman" w:cs="Times New Roman"/>
          <w:sz w:val="24"/>
          <w:szCs w:val="24"/>
        </w:rPr>
        <w:t>r</w:t>
      </w:r>
      <w:r w:rsidRPr="009F0550">
        <w:rPr>
          <w:rFonts w:ascii="Times New Roman" w:hAnsi="Times New Roman" w:cs="Times New Roman"/>
          <w:sz w:val="24"/>
          <w:szCs w:val="24"/>
        </w:rPr>
        <w:t xml:space="preserve">ecreational </w:t>
      </w:r>
      <w:r w:rsidR="009B5936" w:rsidRPr="009F0550">
        <w:rPr>
          <w:rFonts w:ascii="Times New Roman" w:hAnsi="Times New Roman" w:cs="Times New Roman"/>
          <w:sz w:val="24"/>
          <w:szCs w:val="24"/>
        </w:rPr>
        <w:t>m</w:t>
      </w:r>
      <w:r w:rsidRPr="009F0550">
        <w:rPr>
          <w:rFonts w:ascii="Times New Roman" w:hAnsi="Times New Roman" w:cs="Times New Roman"/>
          <w:sz w:val="24"/>
          <w:szCs w:val="24"/>
        </w:rPr>
        <w:t xml:space="preserve">arijuana </w:t>
      </w:r>
      <w:r w:rsidR="009B5936" w:rsidRPr="009F0550">
        <w:rPr>
          <w:rFonts w:ascii="Times New Roman" w:hAnsi="Times New Roman" w:cs="Times New Roman"/>
          <w:sz w:val="24"/>
          <w:szCs w:val="24"/>
        </w:rPr>
        <w:t>l</w:t>
      </w:r>
      <w:r w:rsidRPr="009F0550">
        <w:rPr>
          <w:rFonts w:ascii="Times New Roman" w:hAnsi="Times New Roman" w:cs="Times New Roman"/>
          <w:sz w:val="24"/>
          <w:szCs w:val="24"/>
        </w:rPr>
        <w:t xml:space="preserve">aws with </w:t>
      </w:r>
      <w:r w:rsidR="009B5936" w:rsidRPr="009F0550">
        <w:rPr>
          <w:rFonts w:ascii="Times New Roman" w:hAnsi="Times New Roman" w:cs="Times New Roman"/>
          <w:sz w:val="24"/>
          <w:szCs w:val="24"/>
        </w:rPr>
        <w:t>a</w:t>
      </w:r>
      <w:r w:rsidRPr="009F0550">
        <w:rPr>
          <w:rFonts w:ascii="Times New Roman" w:hAnsi="Times New Roman" w:cs="Times New Roman"/>
          <w:sz w:val="24"/>
          <w:szCs w:val="24"/>
        </w:rPr>
        <w:t xml:space="preserve">dolescent </w:t>
      </w:r>
      <w:r w:rsidR="009B5936" w:rsidRPr="009F0550">
        <w:rPr>
          <w:rFonts w:ascii="Times New Roman" w:hAnsi="Times New Roman" w:cs="Times New Roman"/>
          <w:sz w:val="24"/>
          <w:szCs w:val="24"/>
        </w:rPr>
        <w:t>m</w:t>
      </w:r>
      <w:r w:rsidRPr="009F0550">
        <w:rPr>
          <w:rFonts w:ascii="Times New Roman" w:hAnsi="Times New Roman" w:cs="Times New Roman"/>
          <w:sz w:val="24"/>
          <w:szCs w:val="24"/>
        </w:rPr>
        <w:t xml:space="preserve">arijuana </w:t>
      </w:r>
      <w:r w:rsidR="009B5936" w:rsidRPr="009F0550">
        <w:rPr>
          <w:rFonts w:ascii="Times New Roman" w:hAnsi="Times New Roman" w:cs="Times New Roman"/>
          <w:sz w:val="24"/>
          <w:szCs w:val="24"/>
        </w:rPr>
        <w:t>u</w:t>
      </w:r>
      <w:r w:rsidRPr="009F0550">
        <w:rPr>
          <w:rFonts w:ascii="Times New Roman" w:hAnsi="Times New Roman" w:cs="Times New Roman"/>
          <w:sz w:val="24"/>
          <w:szCs w:val="24"/>
        </w:rPr>
        <w:t xml:space="preserve">se. </w:t>
      </w:r>
      <w:r w:rsidRPr="009F0550">
        <w:rPr>
          <w:rFonts w:ascii="Times New Roman" w:hAnsi="Times New Roman" w:cs="Times New Roman"/>
          <w:i/>
          <w:iCs/>
          <w:sz w:val="24"/>
          <w:szCs w:val="24"/>
        </w:rPr>
        <w:t>JAMA Pediatrics</w:t>
      </w:r>
      <w:r w:rsidRPr="009F0550">
        <w:rPr>
          <w:rFonts w:ascii="Times New Roman" w:hAnsi="Times New Roman" w:cs="Times New Roman"/>
          <w:sz w:val="24"/>
          <w:szCs w:val="24"/>
        </w:rPr>
        <w:t>,</w:t>
      </w:r>
      <w:r w:rsidRPr="009F0550">
        <w:rPr>
          <w:rFonts w:ascii="Times New Roman" w:hAnsi="Times New Roman" w:cs="Times New Roman"/>
          <w:i/>
          <w:iCs/>
          <w:sz w:val="24"/>
          <w:szCs w:val="24"/>
        </w:rPr>
        <w:t xml:space="preserve"> 171</w:t>
      </w:r>
      <w:r w:rsidRPr="009F0550">
        <w:rPr>
          <w:rFonts w:ascii="Times New Roman" w:hAnsi="Times New Roman" w:cs="Times New Roman"/>
          <w:sz w:val="24"/>
          <w:szCs w:val="24"/>
        </w:rPr>
        <w:t>, 142-149.</w:t>
      </w:r>
    </w:p>
    <w:p w14:paraId="3C889003" w14:textId="77777777" w:rsidR="004E2745" w:rsidRPr="009F0550"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5E099E0D" w14:textId="38D336D1" w:rsidR="004E2745" w:rsidRPr="001646AB" w:rsidRDefault="004E2745" w:rsidP="004E2745">
      <w:pPr>
        <w:spacing w:after="0" w:line="240" w:lineRule="auto"/>
        <w:ind w:left="720" w:hanging="720"/>
        <w:contextualSpacing/>
        <w:mirrorIndents/>
        <w:jc w:val="both"/>
        <w:rPr>
          <w:rFonts w:ascii="Times New Roman" w:hAnsi="Times New Roman" w:cs="Times New Roman"/>
          <w:sz w:val="24"/>
          <w:szCs w:val="24"/>
        </w:rPr>
      </w:pPr>
      <w:r w:rsidRPr="009F0550">
        <w:rPr>
          <w:rFonts w:ascii="Times New Roman" w:hAnsi="Times New Roman" w:cs="Times New Roman"/>
          <w:color w:val="212121"/>
          <w:sz w:val="24"/>
          <w:szCs w:val="24"/>
          <w:shd w:val="clear" w:color="auto" w:fill="FFFFFF"/>
        </w:rPr>
        <w:lastRenderedPageBreak/>
        <w:t>Cerd</w:t>
      </w:r>
      <w:r w:rsidR="009B5936" w:rsidRPr="009F0550">
        <w:rPr>
          <w:rFonts w:ascii="Times New Roman" w:hAnsi="Times New Roman" w:cs="Times New Roman"/>
          <w:color w:val="212121"/>
          <w:sz w:val="24"/>
          <w:szCs w:val="24"/>
          <w:shd w:val="clear" w:color="auto" w:fill="FFFFFF"/>
        </w:rPr>
        <w:t>a</w:t>
      </w:r>
      <w:r w:rsidRPr="009F0550">
        <w:rPr>
          <w:rFonts w:ascii="Times New Roman" w:hAnsi="Times New Roman" w:cs="Times New Roman"/>
          <w:color w:val="212121"/>
          <w:sz w:val="24"/>
          <w:szCs w:val="24"/>
          <w:shd w:val="clear" w:color="auto" w:fill="FFFFFF"/>
        </w:rPr>
        <w:t xml:space="preserve"> M., </w:t>
      </w:r>
      <w:proofErr w:type="spellStart"/>
      <w:r w:rsidRPr="009F0550">
        <w:rPr>
          <w:rFonts w:ascii="Times New Roman" w:hAnsi="Times New Roman" w:cs="Times New Roman"/>
          <w:color w:val="212121"/>
          <w:sz w:val="24"/>
          <w:szCs w:val="24"/>
          <w:shd w:val="clear" w:color="auto" w:fill="FFFFFF"/>
        </w:rPr>
        <w:t>Sarvet</w:t>
      </w:r>
      <w:proofErr w:type="spellEnd"/>
      <w:r w:rsidRPr="009F0550">
        <w:rPr>
          <w:rFonts w:ascii="Times New Roman" w:hAnsi="Times New Roman" w:cs="Times New Roman"/>
          <w:color w:val="212121"/>
          <w:sz w:val="24"/>
          <w:szCs w:val="24"/>
          <w:shd w:val="clear" w:color="auto" w:fill="FFFFFF"/>
        </w:rPr>
        <w:t xml:space="preserve"> A., Wall M., Feng T., Keyes K., Galea S., </w:t>
      </w:r>
      <w:r w:rsidR="00FD0224" w:rsidRPr="009F0550">
        <w:rPr>
          <w:rFonts w:ascii="Times New Roman" w:hAnsi="Times New Roman" w:cs="Times New Roman"/>
          <w:color w:val="212121"/>
          <w:sz w:val="24"/>
          <w:szCs w:val="24"/>
          <w:shd w:val="clear" w:color="auto" w:fill="FFFFFF"/>
        </w:rPr>
        <w:t xml:space="preserve">&amp; </w:t>
      </w:r>
      <w:proofErr w:type="spellStart"/>
      <w:r w:rsidRPr="009F0550">
        <w:rPr>
          <w:rFonts w:ascii="Times New Roman" w:hAnsi="Times New Roman" w:cs="Times New Roman"/>
          <w:color w:val="212121"/>
          <w:sz w:val="24"/>
          <w:szCs w:val="24"/>
          <w:shd w:val="clear" w:color="auto" w:fill="FFFFFF"/>
        </w:rPr>
        <w:t>Hasin</w:t>
      </w:r>
      <w:proofErr w:type="spellEnd"/>
      <w:r w:rsidRPr="009F0550">
        <w:rPr>
          <w:rFonts w:ascii="Times New Roman" w:hAnsi="Times New Roman" w:cs="Times New Roman"/>
          <w:color w:val="212121"/>
          <w:sz w:val="24"/>
          <w:szCs w:val="24"/>
          <w:shd w:val="clear" w:color="auto" w:fill="FFFFFF"/>
        </w:rPr>
        <w:t xml:space="preserve"> D. (2018). Medical </w:t>
      </w:r>
      <w:r w:rsidR="009B5936" w:rsidRPr="009F0550">
        <w:rPr>
          <w:rFonts w:ascii="Times New Roman" w:hAnsi="Times New Roman" w:cs="Times New Roman"/>
          <w:color w:val="212121"/>
          <w:sz w:val="24"/>
          <w:szCs w:val="24"/>
          <w:shd w:val="clear" w:color="auto" w:fill="FFFFFF"/>
        </w:rPr>
        <w:t>m</w:t>
      </w:r>
      <w:r w:rsidRPr="009F0550">
        <w:rPr>
          <w:rFonts w:ascii="Times New Roman" w:hAnsi="Times New Roman" w:cs="Times New Roman"/>
          <w:color w:val="212121"/>
          <w:sz w:val="24"/>
          <w:szCs w:val="24"/>
          <w:shd w:val="clear" w:color="auto" w:fill="FFFFFF"/>
        </w:rPr>
        <w:t xml:space="preserve">arijuana </w:t>
      </w:r>
      <w:r w:rsidR="009B5936" w:rsidRPr="009F0550">
        <w:rPr>
          <w:rFonts w:ascii="Times New Roman" w:hAnsi="Times New Roman" w:cs="Times New Roman"/>
          <w:color w:val="212121"/>
          <w:sz w:val="24"/>
          <w:szCs w:val="24"/>
          <w:shd w:val="clear" w:color="auto" w:fill="FFFFFF"/>
        </w:rPr>
        <w:t>l</w:t>
      </w:r>
      <w:r w:rsidRPr="009F0550">
        <w:rPr>
          <w:rFonts w:ascii="Times New Roman" w:hAnsi="Times New Roman" w:cs="Times New Roman"/>
          <w:color w:val="212121"/>
          <w:sz w:val="24"/>
          <w:szCs w:val="24"/>
          <w:shd w:val="clear" w:color="auto" w:fill="FFFFFF"/>
        </w:rPr>
        <w:t xml:space="preserve">aws and </w:t>
      </w:r>
      <w:r w:rsidR="009B5936" w:rsidRPr="009F0550">
        <w:rPr>
          <w:rFonts w:ascii="Times New Roman" w:hAnsi="Times New Roman" w:cs="Times New Roman"/>
          <w:color w:val="212121"/>
          <w:sz w:val="24"/>
          <w:szCs w:val="24"/>
          <w:shd w:val="clear" w:color="auto" w:fill="FFFFFF"/>
        </w:rPr>
        <w:t>a</w:t>
      </w:r>
      <w:r w:rsidRPr="009F0550">
        <w:rPr>
          <w:rFonts w:ascii="Times New Roman" w:hAnsi="Times New Roman" w:cs="Times New Roman"/>
          <w:color w:val="212121"/>
          <w:sz w:val="24"/>
          <w:szCs w:val="24"/>
          <w:shd w:val="clear" w:color="auto" w:fill="FFFFFF"/>
        </w:rPr>
        <w:t xml:space="preserve">dolescent </w:t>
      </w:r>
      <w:r w:rsidR="009B5936" w:rsidRPr="009F0550">
        <w:rPr>
          <w:rFonts w:ascii="Times New Roman" w:hAnsi="Times New Roman" w:cs="Times New Roman"/>
          <w:color w:val="212121"/>
          <w:sz w:val="24"/>
          <w:szCs w:val="24"/>
          <w:shd w:val="clear" w:color="auto" w:fill="FFFFFF"/>
        </w:rPr>
        <w:t>u</w:t>
      </w:r>
      <w:r w:rsidRPr="009F0550">
        <w:rPr>
          <w:rFonts w:ascii="Times New Roman" w:hAnsi="Times New Roman" w:cs="Times New Roman"/>
          <w:color w:val="212121"/>
          <w:sz w:val="24"/>
          <w:szCs w:val="24"/>
          <w:shd w:val="clear" w:color="auto" w:fill="FFFFFF"/>
        </w:rPr>
        <w:t xml:space="preserve">se of </w:t>
      </w:r>
      <w:r w:rsidR="009B5936" w:rsidRPr="009F0550">
        <w:rPr>
          <w:rFonts w:ascii="Times New Roman" w:hAnsi="Times New Roman" w:cs="Times New Roman"/>
          <w:color w:val="212121"/>
          <w:sz w:val="24"/>
          <w:szCs w:val="24"/>
          <w:shd w:val="clear" w:color="auto" w:fill="FFFFFF"/>
        </w:rPr>
        <w:t>m</w:t>
      </w:r>
      <w:r w:rsidRPr="009F0550">
        <w:rPr>
          <w:rFonts w:ascii="Times New Roman" w:hAnsi="Times New Roman" w:cs="Times New Roman"/>
          <w:color w:val="212121"/>
          <w:sz w:val="24"/>
          <w:szCs w:val="24"/>
          <w:shd w:val="clear" w:color="auto" w:fill="FFFFFF"/>
        </w:rPr>
        <w:t xml:space="preserve">arijuana and </w:t>
      </w:r>
      <w:r w:rsidR="009B5936" w:rsidRPr="009F0550">
        <w:rPr>
          <w:rFonts w:ascii="Times New Roman" w:hAnsi="Times New Roman" w:cs="Times New Roman"/>
          <w:color w:val="212121"/>
          <w:sz w:val="24"/>
          <w:szCs w:val="24"/>
          <w:shd w:val="clear" w:color="auto" w:fill="FFFFFF"/>
        </w:rPr>
        <w:t>o</w:t>
      </w:r>
      <w:r w:rsidRPr="009F0550">
        <w:rPr>
          <w:rFonts w:ascii="Times New Roman" w:hAnsi="Times New Roman" w:cs="Times New Roman"/>
          <w:color w:val="212121"/>
          <w:sz w:val="24"/>
          <w:szCs w:val="24"/>
          <w:shd w:val="clear" w:color="auto" w:fill="FFFFFF"/>
        </w:rPr>
        <w:t xml:space="preserve">ther </w:t>
      </w:r>
      <w:r w:rsidR="009B5936" w:rsidRPr="009F0550">
        <w:rPr>
          <w:rFonts w:ascii="Times New Roman" w:hAnsi="Times New Roman" w:cs="Times New Roman"/>
          <w:color w:val="212121"/>
          <w:sz w:val="24"/>
          <w:szCs w:val="24"/>
          <w:shd w:val="clear" w:color="auto" w:fill="FFFFFF"/>
        </w:rPr>
        <w:t>s</w:t>
      </w:r>
      <w:r w:rsidRPr="009F0550">
        <w:rPr>
          <w:rFonts w:ascii="Times New Roman" w:hAnsi="Times New Roman" w:cs="Times New Roman"/>
          <w:color w:val="212121"/>
          <w:sz w:val="24"/>
          <w:szCs w:val="24"/>
          <w:shd w:val="clear" w:color="auto" w:fill="FFFFFF"/>
        </w:rPr>
        <w:t xml:space="preserve">ubstances: Alcohol, </w:t>
      </w:r>
      <w:r w:rsidR="009B5936" w:rsidRPr="009F0550">
        <w:rPr>
          <w:rFonts w:ascii="Times New Roman" w:hAnsi="Times New Roman" w:cs="Times New Roman"/>
          <w:color w:val="212121"/>
          <w:sz w:val="24"/>
          <w:szCs w:val="24"/>
          <w:shd w:val="clear" w:color="auto" w:fill="FFFFFF"/>
        </w:rPr>
        <w:t>c</w:t>
      </w:r>
      <w:r w:rsidRPr="009F0550">
        <w:rPr>
          <w:rFonts w:ascii="Times New Roman" w:hAnsi="Times New Roman" w:cs="Times New Roman"/>
          <w:color w:val="212121"/>
          <w:sz w:val="24"/>
          <w:szCs w:val="24"/>
          <w:shd w:val="clear" w:color="auto" w:fill="FFFFFF"/>
        </w:rPr>
        <w:t xml:space="preserve">igarettes, </w:t>
      </w:r>
      <w:r w:rsidR="009B5936" w:rsidRPr="009F0550">
        <w:rPr>
          <w:rFonts w:ascii="Times New Roman" w:hAnsi="Times New Roman" w:cs="Times New Roman"/>
          <w:color w:val="212121"/>
          <w:sz w:val="24"/>
          <w:szCs w:val="24"/>
          <w:shd w:val="clear" w:color="auto" w:fill="FFFFFF"/>
        </w:rPr>
        <w:t>p</w:t>
      </w:r>
      <w:r w:rsidRPr="009F0550">
        <w:rPr>
          <w:rFonts w:ascii="Times New Roman" w:hAnsi="Times New Roman" w:cs="Times New Roman"/>
          <w:color w:val="212121"/>
          <w:sz w:val="24"/>
          <w:szCs w:val="24"/>
          <w:shd w:val="clear" w:color="auto" w:fill="FFFFFF"/>
        </w:rPr>
        <w:t xml:space="preserve">rescription </w:t>
      </w:r>
      <w:r w:rsidR="009B5936" w:rsidRPr="009F0550">
        <w:rPr>
          <w:rFonts w:ascii="Times New Roman" w:hAnsi="Times New Roman" w:cs="Times New Roman"/>
          <w:color w:val="212121"/>
          <w:sz w:val="24"/>
          <w:szCs w:val="24"/>
          <w:shd w:val="clear" w:color="auto" w:fill="FFFFFF"/>
        </w:rPr>
        <w:t>d</w:t>
      </w:r>
      <w:r w:rsidRPr="009F0550">
        <w:rPr>
          <w:rFonts w:ascii="Times New Roman" w:hAnsi="Times New Roman" w:cs="Times New Roman"/>
          <w:color w:val="212121"/>
          <w:sz w:val="24"/>
          <w:szCs w:val="24"/>
          <w:shd w:val="clear" w:color="auto" w:fill="FFFFFF"/>
        </w:rPr>
        <w:t xml:space="preserve">rugs, and </w:t>
      </w:r>
      <w:r w:rsidR="009B5936" w:rsidRPr="009F0550">
        <w:rPr>
          <w:rFonts w:ascii="Times New Roman" w:hAnsi="Times New Roman" w:cs="Times New Roman"/>
          <w:color w:val="212121"/>
          <w:sz w:val="24"/>
          <w:szCs w:val="24"/>
          <w:shd w:val="clear" w:color="auto" w:fill="FFFFFF"/>
        </w:rPr>
        <w:t>o</w:t>
      </w:r>
      <w:r w:rsidRPr="009F0550">
        <w:rPr>
          <w:rFonts w:ascii="Times New Roman" w:hAnsi="Times New Roman" w:cs="Times New Roman"/>
          <w:color w:val="212121"/>
          <w:sz w:val="24"/>
          <w:szCs w:val="24"/>
          <w:shd w:val="clear" w:color="auto" w:fill="FFFFFF"/>
        </w:rPr>
        <w:t xml:space="preserve">ther </w:t>
      </w:r>
      <w:r w:rsidR="009B5936" w:rsidRPr="009F0550">
        <w:rPr>
          <w:rFonts w:ascii="Times New Roman" w:hAnsi="Times New Roman" w:cs="Times New Roman"/>
          <w:color w:val="212121"/>
          <w:sz w:val="24"/>
          <w:szCs w:val="24"/>
          <w:shd w:val="clear" w:color="auto" w:fill="FFFFFF"/>
        </w:rPr>
        <w:t>i</w:t>
      </w:r>
      <w:r w:rsidRPr="009F0550">
        <w:rPr>
          <w:rFonts w:ascii="Times New Roman" w:hAnsi="Times New Roman" w:cs="Times New Roman"/>
          <w:color w:val="212121"/>
          <w:sz w:val="24"/>
          <w:szCs w:val="24"/>
          <w:shd w:val="clear" w:color="auto" w:fill="FFFFFF"/>
        </w:rPr>
        <w:t xml:space="preserve">llicit </w:t>
      </w:r>
      <w:r w:rsidR="009B5936" w:rsidRPr="009F0550">
        <w:rPr>
          <w:rFonts w:ascii="Times New Roman" w:hAnsi="Times New Roman" w:cs="Times New Roman"/>
          <w:color w:val="212121"/>
          <w:sz w:val="24"/>
          <w:szCs w:val="24"/>
          <w:shd w:val="clear" w:color="auto" w:fill="FFFFFF"/>
        </w:rPr>
        <w:t>d</w:t>
      </w:r>
      <w:r w:rsidRPr="009F0550">
        <w:rPr>
          <w:rFonts w:ascii="Times New Roman" w:hAnsi="Times New Roman" w:cs="Times New Roman"/>
          <w:color w:val="212121"/>
          <w:sz w:val="24"/>
          <w:szCs w:val="24"/>
          <w:shd w:val="clear" w:color="auto" w:fill="FFFFFF"/>
        </w:rPr>
        <w:t xml:space="preserve">rugs. </w:t>
      </w:r>
      <w:r w:rsidRPr="009F0550">
        <w:rPr>
          <w:rFonts w:ascii="Times New Roman" w:hAnsi="Times New Roman" w:cs="Times New Roman"/>
          <w:i/>
          <w:iCs/>
          <w:color w:val="212121"/>
          <w:sz w:val="24"/>
          <w:szCs w:val="24"/>
          <w:shd w:val="clear" w:color="auto" w:fill="FFFFFF"/>
        </w:rPr>
        <w:t>Drug and Alcohol Dependence</w:t>
      </w:r>
      <w:r w:rsidRPr="009F0550">
        <w:rPr>
          <w:rFonts w:ascii="Times New Roman" w:hAnsi="Times New Roman" w:cs="Times New Roman"/>
          <w:color w:val="212121"/>
          <w:sz w:val="24"/>
          <w:szCs w:val="24"/>
          <w:shd w:val="clear" w:color="auto" w:fill="FFFFFF"/>
        </w:rPr>
        <w:t>,</w:t>
      </w:r>
      <w:r w:rsidRPr="009F0550">
        <w:rPr>
          <w:rFonts w:ascii="Times New Roman" w:hAnsi="Times New Roman" w:cs="Times New Roman"/>
          <w:i/>
          <w:iCs/>
          <w:color w:val="212121"/>
          <w:sz w:val="24"/>
          <w:szCs w:val="24"/>
          <w:shd w:val="clear" w:color="auto" w:fill="FFFFFF"/>
        </w:rPr>
        <w:t xml:space="preserve"> </w:t>
      </w:r>
      <w:r w:rsidRPr="009F0550">
        <w:rPr>
          <w:rFonts w:ascii="Times New Roman" w:hAnsi="Times New Roman" w:cs="Times New Roman"/>
          <w:i/>
          <w:iCs/>
          <w:sz w:val="24"/>
          <w:szCs w:val="24"/>
          <w:shd w:val="clear" w:color="auto" w:fill="FFFFFF"/>
        </w:rPr>
        <w:t>183</w:t>
      </w:r>
      <w:r w:rsidRPr="009F0550">
        <w:rPr>
          <w:rFonts w:ascii="Times New Roman" w:hAnsi="Times New Roman" w:cs="Times New Roman"/>
          <w:sz w:val="24"/>
          <w:szCs w:val="24"/>
          <w:shd w:val="clear" w:color="auto" w:fill="FFFFFF"/>
        </w:rPr>
        <w:t>, 62-68.</w:t>
      </w:r>
    </w:p>
    <w:p w14:paraId="32014632" w14:textId="77777777" w:rsidR="004E2745" w:rsidRPr="00257C5A"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75EEAE19" w14:textId="7EBF5819" w:rsidR="004E2745" w:rsidRDefault="004E2745" w:rsidP="004E2745">
      <w:pPr>
        <w:spacing w:after="0" w:line="240" w:lineRule="auto"/>
        <w:ind w:left="720" w:hanging="720"/>
        <w:contextualSpacing/>
        <w:mirrorIndents/>
        <w:jc w:val="both"/>
        <w:rPr>
          <w:rFonts w:ascii="Times New Roman" w:hAnsi="Times New Roman" w:cs="Times New Roman"/>
          <w:color w:val="1C1D1E"/>
          <w:sz w:val="24"/>
          <w:szCs w:val="24"/>
          <w:shd w:val="clear" w:color="auto" w:fill="FFFFFF"/>
        </w:rPr>
      </w:pPr>
      <w:proofErr w:type="spellStart"/>
      <w:r w:rsidRPr="00F73C96">
        <w:rPr>
          <w:rFonts w:ascii="Times New Roman" w:hAnsi="Times New Roman" w:cs="Times New Roman"/>
          <w:color w:val="1C1D1E"/>
          <w:sz w:val="24"/>
          <w:szCs w:val="24"/>
          <w:shd w:val="clear" w:color="auto" w:fill="FFFFFF"/>
        </w:rPr>
        <w:t>Chatterji</w:t>
      </w:r>
      <w:proofErr w:type="spellEnd"/>
      <w:r w:rsidRPr="00F73C96">
        <w:rPr>
          <w:rFonts w:ascii="Times New Roman" w:hAnsi="Times New Roman" w:cs="Times New Roman"/>
          <w:color w:val="1C1D1E"/>
          <w:sz w:val="24"/>
          <w:szCs w:val="24"/>
          <w:shd w:val="clear" w:color="auto" w:fill="FFFFFF"/>
        </w:rPr>
        <w:t>, P. (2006)</w:t>
      </w:r>
      <w:r>
        <w:rPr>
          <w:rFonts w:ascii="Times New Roman" w:hAnsi="Times New Roman" w:cs="Times New Roman"/>
          <w:color w:val="1C1D1E"/>
          <w:sz w:val="24"/>
          <w:szCs w:val="24"/>
          <w:shd w:val="clear" w:color="auto" w:fill="FFFFFF"/>
        </w:rPr>
        <w:t>.</w:t>
      </w:r>
      <w:r w:rsidRPr="00F73C96">
        <w:rPr>
          <w:rFonts w:ascii="Times New Roman" w:hAnsi="Times New Roman" w:cs="Times New Roman"/>
          <w:color w:val="1C1D1E"/>
          <w:sz w:val="24"/>
          <w:szCs w:val="24"/>
          <w:shd w:val="clear" w:color="auto" w:fill="FFFFFF"/>
        </w:rPr>
        <w:t xml:space="preserve"> Illicit </w:t>
      </w:r>
      <w:r w:rsidR="009B5936">
        <w:rPr>
          <w:rFonts w:ascii="Times New Roman" w:hAnsi="Times New Roman" w:cs="Times New Roman"/>
          <w:color w:val="1C1D1E"/>
          <w:sz w:val="24"/>
          <w:szCs w:val="24"/>
          <w:shd w:val="clear" w:color="auto" w:fill="FFFFFF"/>
        </w:rPr>
        <w:t>d</w:t>
      </w:r>
      <w:r w:rsidRPr="00F73C96">
        <w:rPr>
          <w:rFonts w:ascii="Times New Roman" w:hAnsi="Times New Roman" w:cs="Times New Roman"/>
          <w:color w:val="1C1D1E"/>
          <w:sz w:val="24"/>
          <w:szCs w:val="24"/>
          <w:shd w:val="clear" w:color="auto" w:fill="FFFFFF"/>
        </w:rPr>
        <w:t xml:space="preserve">rug </w:t>
      </w:r>
      <w:r w:rsidR="009B5936">
        <w:rPr>
          <w:rFonts w:ascii="Times New Roman" w:hAnsi="Times New Roman" w:cs="Times New Roman"/>
          <w:color w:val="1C1D1E"/>
          <w:sz w:val="24"/>
          <w:szCs w:val="24"/>
          <w:shd w:val="clear" w:color="auto" w:fill="FFFFFF"/>
        </w:rPr>
        <w:t>u</w:t>
      </w:r>
      <w:r w:rsidRPr="00F73C96">
        <w:rPr>
          <w:rFonts w:ascii="Times New Roman" w:hAnsi="Times New Roman" w:cs="Times New Roman"/>
          <w:color w:val="1C1D1E"/>
          <w:sz w:val="24"/>
          <w:szCs w:val="24"/>
          <w:shd w:val="clear" w:color="auto" w:fill="FFFFFF"/>
        </w:rPr>
        <w:t xml:space="preserve">se and </w:t>
      </w:r>
      <w:r w:rsidR="009B5936">
        <w:rPr>
          <w:rFonts w:ascii="Times New Roman" w:hAnsi="Times New Roman" w:cs="Times New Roman"/>
          <w:color w:val="1C1D1E"/>
          <w:sz w:val="24"/>
          <w:szCs w:val="24"/>
          <w:shd w:val="clear" w:color="auto" w:fill="FFFFFF"/>
        </w:rPr>
        <w:t>e</w:t>
      </w:r>
      <w:r w:rsidRPr="00F73C96">
        <w:rPr>
          <w:rFonts w:ascii="Times New Roman" w:hAnsi="Times New Roman" w:cs="Times New Roman"/>
          <w:color w:val="1C1D1E"/>
          <w:sz w:val="24"/>
          <w:szCs w:val="24"/>
          <w:shd w:val="clear" w:color="auto" w:fill="FFFFFF"/>
        </w:rPr>
        <w:t xml:space="preserve">ducational </w:t>
      </w:r>
      <w:r w:rsidR="009B5936">
        <w:rPr>
          <w:rFonts w:ascii="Times New Roman" w:hAnsi="Times New Roman" w:cs="Times New Roman"/>
          <w:color w:val="1C1D1E"/>
          <w:sz w:val="24"/>
          <w:szCs w:val="24"/>
          <w:shd w:val="clear" w:color="auto" w:fill="FFFFFF"/>
        </w:rPr>
        <w:t>a</w:t>
      </w:r>
      <w:r w:rsidRPr="00F73C96">
        <w:rPr>
          <w:rFonts w:ascii="Times New Roman" w:hAnsi="Times New Roman" w:cs="Times New Roman"/>
          <w:color w:val="1C1D1E"/>
          <w:sz w:val="24"/>
          <w:szCs w:val="24"/>
          <w:shd w:val="clear" w:color="auto" w:fill="FFFFFF"/>
        </w:rPr>
        <w:t xml:space="preserve">ttainment. </w:t>
      </w:r>
      <w:r w:rsidRPr="002F7A73">
        <w:rPr>
          <w:rFonts w:ascii="Times New Roman" w:hAnsi="Times New Roman" w:cs="Times New Roman"/>
          <w:i/>
          <w:iCs/>
          <w:color w:val="1C1D1E"/>
          <w:sz w:val="24"/>
          <w:szCs w:val="24"/>
          <w:shd w:val="clear" w:color="auto" w:fill="FFFFFF"/>
        </w:rPr>
        <w:t>Health Economics</w:t>
      </w:r>
      <w:r w:rsidRPr="009B5936">
        <w:rPr>
          <w:rFonts w:ascii="Times New Roman" w:hAnsi="Times New Roman" w:cs="Times New Roman"/>
          <w:color w:val="1C1D1E"/>
          <w:sz w:val="24"/>
          <w:szCs w:val="24"/>
          <w:shd w:val="clear" w:color="auto" w:fill="FFFFFF"/>
        </w:rPr>
        <w:t>,</w:t>
      </w:r>
      <w:r w:rsidRPr="002F7A73">
        <w:rPr>
          <w:rFonts w:ascii="Times New Roman" w:hAnsi="Times New Roman" w:cs="Times New Roman"/>
          <w:i/>
          <w:iCs/>
          <w:color w:val="1C1D1E"/>
          <w:sz w:val="24"/>
          <w:szCs w:val="24"/>
          <w:shd w:val="clear" w:color="auto" w:fill="FFFFFF"/>
        </w:rPr>
        <w:t xml:space="preserve"> 15</w:t>
      </w:r>
      <w:r>
        <w:rPr>
          <w:rFonts w:ascii="Times New Roman" w:hAnsi="Times New Roman" w:cs="Times New Roman"/>
          <w:color w:val="1C1D1E"/>
          <w:sz w:val="24"/>
          <w:szCs w:val="24"/>
          <w:shd w:val="clear" w:color="auto" w:fill="FFFFFF"/>
        </w:rPr>
        <w:t xml:space="preserve">, </w:t>
      </w:r>
      <w:r w:rsidRPr="00F73C96">
        <w:rPr>
          <w:rFonts w:ascii="Times New Roman" w:hAnsi="Times New Roman" w:cs="Times New Roman"/>
          <w:color w:val="1C1D1E"/>
          <w:sz w:val="24"/>
          <w:szCs w:val="24"/>
          <w:shd w:val="clear" w:color="auto" w:fill="FFFFFF"/>
        </w:rPr>
        <w:t>489-511.</w:t>
      </w:r>
    </w:p>
    <w:p w14:paraId="6099EF4A" w14:textId="77777777" w:rsidR="004E2745" w:rsidRDefault="004E2745" w:rsidP="004E2745">
      <w:pPr>
        <w:spacing w:after="0" w:line="240" w:lineRule="auto"/>
        <w:ind w:left="720" w:hanging="720"/>
        <w:contextualSpacing/>
        <w:mirrorIndents/>
        <w:jc w:val="both"/>
        <w:rPr>
          <w:rFonts w:ascii="Times New Roman" w:hAnsi="Times New Roman" w:cs="Times New Roman"/>
          <w:color w:val="1C1D1E"/>
          <w:sz w:val="24"/>
          <w:szCs w:val="24"/>
          <w:shd w:val="clear" w:color="auto" w:fill="FFFFFF"/>
        </w:rPr>
      </w:pPr>
    </w:p>
    <w:p w14:paraId="0C7DCD9E" w14:textId="6317D592"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C305A1">
        <w:rPr>
          <w:rFonts w:ascii="Times New Roman" w:hAnsi="Times New Roman" w:cs="Times New Roman"/>
          <w:sz w:val="24"/>
          <w:szCs w:val="24"/>
        </w:rPr>
        <w:t xml:space="preserve">Choo, E., Benz, M., </w:t>
      </w:r>
      <w:proofErr w:type="spellStart"/>
      <w:r w:rsidRPr="00C305A1">
        <w:rPr>
          <w:rFonts w:ascii="Times New Roman" w:hAnsi="Times New Roman" w:cs="Times New Roman"/>
          <w:sz w:val="24"/>
          <w:szCs w:val="24"/>
        </w:rPr>
        <w:t>Zaller</w:t>
      </w:r>
      <w:proofErr w:type="spellEnd"/>
      <w:r w:rsidRPr="00C305A1">
        <w:rPr>
          <w:rFonts w:ascii="Times New Roman" w:hAnsi="Times New Roman" w:cs="Times New Roman"/>
          <w:sz w:val="24"/>
          <w:szCs w:val="24"/>
        </w:rPr>
        <w:t>, N., Warren, O., Rising, K</w:t>
      </w:r>
      <w:r w:rsidR="00FD0224">
        <w:rPr>
          <w:rFonts w:ascii="Times New Roman" w:hAnsi="Times New Roman" w:cs="Times New Roman"/>
          <w:sz w:val="24"/>
          <w:szCs w:val="24"/>
        </w:rPr>
        <w:t>.,</w:t>
      </w:r>
      <w:r w:rsidRPr="00C305A1">
        <w:rPr>
          <w:rFonts w:ascii="Times New Roman" w:hAnsi="Times New Roman" w:cs="Times New Roman"/>
          <w:sz w:val="24"/>
          <w:szCs w:val="24"/>
        </w:rPr>
        <w:t xml:space="preserve"> &amp; McConnell, K.</w:t>
      </w:r>
      <w:r>
        <w:rPr>
          <w:rFonts w:ascii="Times New Roman" w:hAnsi="Times New Roman" w:cs="Times New Roman"/>
          <w:sz w:val="24"/>
          <w:szCs w:val="24"/>
        </w:rPr>
        <w:t xml:space="preserve"> </w:t>
      </w:r>
      <w:r w:rsidRPr="00C305A1">
        <w:rPr>
          <w:rFonts w:ascii="Times New Roman" w:hAnsi="Times New Roman" w:cs="Times New Roman"/>
          <w:sz w:val="24"/>
          <w:szCs w:val="24"/>
        </w:rPr>
        <w:t xml:space="preserve">(2014). The </w:t>
      </w:r>
      <w:r w:rsidR="009B5936">
        <w:rPr>
          <w:rFonts w:ascii="Times New Roman" w:hAnsi="Times New Roman" w:cs="Times New Roman"/>
          <w:sz w:val="24"/>
          <w:szCs w:val="24"/>
        </w:rPr>
        <w:t>i</w:t>
      </w:r>
      <w:r w:rsidRPr="00C305A1">
        <w:rPr>
          <w:rFonts w:ascii="Times New Roman" w:hAnsi="Times New Roman" w:cs="Times New Roman"/>
          <w:sz w:val="24"/>
          <w:szCs w:val="24"/>
        </w:rPr>
        <w:t xml:space="preserve">mpact of </w:t>
      </w:r>
      <w:r w:rsidR="009B5936">
        <w:rPr>
          <w:rFonts w:ascii="Times New Roman" w:hAnsi="Times New Roman" w:cs="Times New Roman"/>
          <w:sz w:val="24"/>
          <w:szCs w:val="24"/>
        </w:rPr>
        <w:t>s</w:t>
      </w:r>
      <w:r w:rsidRPr="00C305A1">
        <w:rPr>
          <w:rFonts w:ascii="Times New Roman" w:hAnsi="Times New Roman" w:cs="Times New Roman"/>
          <w:sz w:val="24"/>
          <w:szCs w:val="24"/>
        </w:rPr>
        <w:t xml:space="preserve">tate </w:t>
      </w:r>
      <w:r w:rsidR="009B5936">
        <w:rPr>
          <w:rFonts w:ascii="Times New Roman" w:hAnsi="Times New Roman" w:cs="Times New Roman"/>
          <w:sz w:val="24"/>
          <w:szCs w:val="24"/>
        </w:rPr>
        <w:t>m</w:t>
      </w:r>
      <w:r w:rsidRPr="00C305A1">
        <w:rPr>
          <w:rFonts w:ascii="Times New Roman" w:hAnsi="Times New Roman" w:cs="Times New Roman"/>
          <w:sz w:val="24"/>
          <w:szCs w:val="24"/>
        </w:rPr>
        <w:t xml:space="preserve">edical </w:t>
      </w:r>
      <w:r w:rsidR="009B5936">
        <w:rPr>
          <w:rFonts w:ascii="Times New Roman" w:hAnsi="Times New Roman" w:cs="Times New Roman"/>
          <w:sz w:val="24"/>
          <w:szCs w:val="24"/>
        </w:rPr>
        <w:t>m</w:t>
      </w:r>
      <w:r w:rsidRPr="00C305A1">
        <w:rPr>
          <w:rFonts w:ascii="Times New Roman" w:hAnsi="Times New Roman" w:cs="Times New Roman"/>
          <w:sz w:val="24"/>
          <w:szCs w:val="24"/>
        </w:rPr>
        <w:t xml:space="preserve">arijuana </w:t>
      </w:r>
      <w:r w:rsidR="009B5936">
        <w:rPr>
          <w:rFonts w:ascii="Times New Roman" w:hAnsi="Times New Roman" w:cs="Times New Roman"/>
          <w:sz w:val="24"/>
          <w:szCs w:val="24"/>
        </w:rPr>
        <w:t>l</w:t>
      </w:r>
      <w:r w:rsidRPr="00C305A1">
        <w:rPr>
          <w:rFonts w:ascii="Times New Roman" w:hAnsi="Times New Roman" w:cs="Times New Roman"/>
          <w:sz w:val="24"/>
          <w:szCs w:val="24"/>
        </w:rPr>
        <w:t xml:space="preserve">egislation on </w:t>
      </w:r>
      <w:r w:rsidR="009B5936">
        <w:rPr>
          <w:rFonts w:ascii="Times New Roman" w:hAnsi="Times New Roman" w:cs="Times New Roman"/>
          <w:sz w:val="24"/>
          <w:szCs w:val="24"/>
        </w:rPr>
        <w:t>a</w:t>
      </w:r>
      <w:r w:rsidRPr="00C305A1">
        <w:rPr>
          <w:rFonts w:ascii="Times New Roman" w:hAnsi="Times New Roman" w:cs="Times New Roman"/>
          <w:sz w:val="24"/>
          <w:szCs w:val="24"/>
        </w:rPr>
        <w:t xml:space="preserve">dolescent </w:t>
      </w:r>
      <w:r w:rsidR="009B5936">
        <w:rPr>
          <w:rFonts w:ascii="Times New Roman" w:hAnsi="Times New Roman" w:cs="Times New Roman"/>
          <w:sz w:val="24"/>
          <w:szCs w:val="24"/>
        </w:rPr>
        <w:t>m</w:t>
      </w:r>
      <w:r w:rsidRPr="00C305A1">
        <w:rPr>
          <w:rFonts w:ascii="Times New Roman" w:hAnsi="Times New Roman" w:cs="Times New Roman"/>
          <w:sz w:val="24"/>
          <w:szCs w:val="24"/>
        </w:rPr>
        <w:t xml:space="preserve">arijuana </w:t>
      </w:r>
      <w:r w:rsidR="009B5936">
        <w:rPr>
          <w:rFonts w:ascii="Times New Roman" w:hAnsi="Times New Roman" w:cs="Times New Roman"/>
          <w:sz w:val="24"/>
          <w:szCs w:val="24"/>
        </w:rPr>
        <w:t>u</w:t>
      </w:r>
      <w:r w:rsidRPr="00C305A1">
        <w:rPr>
          <w:rFonts w:ascii="Times New Roman" w:hAnsi="Times New Roman" w:cs="Times New Roman"/>
          <w:sz w:val="24"/>
          <w:szCs w:val="24"/>
        </w:rPr>
        <w:t xml:space="preserve">se. </w:t>
      </w:r>
      <w:r w:rsidRPr="00655BA3">
        <w:rPr>
          <w:rFonts w:ascii="Times New Roman" w:hAnsi="Times New Roman" w:cs="Times New Roman"/>
          <w:i/>
          <w:iCs/>
          <w:sz w:val="24"/>
          <w:szCs w:val="24"/>
        </w:rPr>
        <w:t>Journal of Adolescent Health 55</w:t>
      </w:r>
      <w:r w:rsidRPr="009B5936">
        <w:rPr>
          <w:rFonts w:ascii="Times New Roman" w:hAnsi="Times New Roman" w:cs="Times New Roman"/>
          <w:sz w:val="24"/>
          <w:szCs w:val="24"/>
        </w:rPr>
        <w:t>,</w:t>
      </w:r>
      <w:r w:rsidRPr="00C305A1">
        <w:rPr>
          <w:rFonts w:ascii="Times New Roman" w:hAnsi="Times New Roman" w:cs="Times New Roman"/>
          <w:sz w:val="24"/>
          <w:szCs w:val="24"/>
        </w:rPr>
        <w:t xml:space="preserve"> 160</w:t>
      </w:r>
      <w:r>
        <w:rPr>
          <w:rFonts w:ascii="Times New Roman" w:hAnsi="Times New Roman" w:cs="Times New Roman"/>
          <w:sz w:val="24"/>
          <w:szCs w:val="24"/>
        </w:rPr>
        <w:t>-</w:t>
      </w:r>
      <w:r w:rsidRPr="00C305A1">
        <w:rPr>
          <w:rFonts w:ascii="Times New Roman" w:hAnsi="Times New Roman" w:cs="Times New Roman"/>
          <w:sz w:val="24"/>
          <w:szCs w:val="24"/>
        </w:rPr>
        <w:t>166</w:t>
      </w:r>
      <w:r>
        <w:rPr>
          <w:rFonts w:ascii="Times New Roman" w:hAnsi="Times New Roman" w:cs="Times New Roman"/>
          <w:sz w:val="24"/>
          <w:szCs w:val="24"/>
        </w:rPr>
        <w:t>.</w:t>
      </w:r>
    </w:p>
    <w:p w14:paraId="20220639" w14:textId="77777777" w:rsidR="00FD0224" w:rsidRDefault="00FD0224" w:rsidP="004E2745">
      <w:pPr>
        <w:spacing w:after="0" w:line="240" w:lineRule="auto"/>
        <w:ind w:left="720" w:hanging="720"/>
        <w:contextualSpacing/>
        <w:mirrorIndents/>
        <w:jc w:val="both"/>
        <w:rPr>
          <w:rFonts w:ascii="Times New Roman" w:hAnsi="Times New Roman" w:cs="Times New Roman"/>
          <w:sz w:val="24"/>
          <w:szCs w:val="24"/>
        </w:rPr>
      </w:pPr>
    </w:p>
    <w:p w14:paraId="06B76870" w14:textId="3B72E690" w:rsidR="00F36A1E" w:rsidRDefault="00F36A1E" w:rsidP="004E2745">
      <w:pPr>
        <w:spacing w:after="0" w:line="240" w:lineRule="auto"/>
        <w:ind w:left="720" w:hanging="720"/>
        <w:contextualSpacing/>
        <w:mirrorIndents/>
        <w:jc w:val="both"/>
        <w:rPr>
          <w:rFonts w:ascii="Times New Roman" w:hAnsi="Times New Roman" w:cs="Times New Roman"/>
          <w:sz w:val="24"/>
          <w:szCs w:val="24"/>
        </w:rPr>
      </w:pPr>
      <w:r w:rsidRPr="0048433B">
        <w:rPr>
          <w:rFonts w:ascii="Times New Roman" w:hAnsi="Times New Roman" w:cs="Times New Roman"/>
          <w:i/>
          <w:iCs/>
          <w:sz w:val="24"/>
          <w:szCs w:val="24"/>
        </w:rPr>
        <w:t>Chronic Absenteeism, Discipline Rates, Dropout Rates, English Language Arts Proficiency, and Math Proficiency</w:t>
      </w:r>
      <w:r w:rsidR="001B2E11" w:rsidRPr="0048433B">
        <w:rPr>
          <w:rFonts w:ascii="Times New Roman" w:hAnsi="Times New Roman" w:cs="Times New Roman"/>
          <w:i/>
          <w:iCs/>
          <w:sz w:val="24"/>
          <w:szCs w:val="24"/>
        </w:rPr>
        <w:t>.</w:t>
      </w:r>
      <w:r w:rsidR="001B2E11">
        <w:rPr>
          <w:rFonts w:ascii="Times New Roman" w:hAnsi="Times New Roman" w:cs="Times New Roman"/>
          <w:sz w:val="24"/>
          <w:szCs w:val="24"/>
        </w:rPr>
        <w:t xml:space="preserve"> Retrieved from Washington Office of Superintendent of Public Instruction: </w:t>
      </w:r>
      <w:hyperlink r:id="rId16" w:history="1">
        <w:r w:rsidR="001B2E11" w:rsidRPr="001B2E11">
          <w:rPr>
            <w:rStyle w:val="Hyperlink"/>
            <w:rFonts w:ascii="Times New Roman" w:hAnsi="Times New Roman" w:cs="Times New Roman"/>
            <w:color w:val="auto"/>
            <w:sz w:val="24"/>
            <w:szCs w:val="24"/>
          </w:rPr>
          <w:t>https://www.k12.wa.us/</w:t>
        </w:r>
      </w:hyperlink>
      <w:r w:rsidR="001B2E11" w:rsidRPr="001B2E11">
        <w:rPr>
          <w:rFonts w:ascii="Times New Roman" w:hAnsi="Times New Roman" w:cs="Times New Roman"/>
          <w:sz w:val="24"/>
          <w:szCs w:val="24"/>
        </w:rPr>
        <w:t xml:space="preserve">. </w:t>
      </w:r>
    </w:p>
    <w:p w14:paraId="4203E691" w14:textId="2AB12D15" w:rsidR="004B029F" w:rsidRDefault="004B029F" w:rsidP="004E2745">
      <w:pPr>
        <w:spacing w:after="0" w:line="240" w:lineRule="auto"/>
        <w:ind w:left="720" w:hanging="720"/>
        <w:contextualSpacing/>
        <w:mirrorIndents/>
        <w:jc w:val="both"/>
        <w:rPr>
          <w:rFonts w:ascii="Times New Roman" w:hAnsi="Times New Roman" w:cs="Times New Roman"/>
          <w:sz w:val="24"/>
          <w:szCs w:val="24"/>
        </w:rPr>
      </w:pPr>
    </w:p>
    <w:p w14:paraId="6A1B4163" w14:textId="2B40A9F5" w:rsidR="004B029F" w:rsidRPr="001B2E11" w:rsidRDefault="004B029F" w:rsidP="004E2745">
      <w:pPr>
        <w:spacing w:after="0" w:line="240" w:lineRule="auto"/>
        <w:ind w:left="720" w:hanging="720"/>
        <w:contextualSpacing/>
        <w:mirrorIndents/>
        <w:jc w:val="both"/>
        <w:rPr>
          <w:rFonts w:ascii="Times New Roman" w:hAnsi="Times New Roman" w:cs="Times New Roman"/>
          <w:sz w:val="24"/>
          <w:szCs w:val="24"/>
        </w:rPr>
      </w:pPr>
      <w:r w:rsidRPr="0048433B">
        <w:rPr>
          <w:rFonts w:ascii="Times New Roman" w:hAnsi="Times New Roman" w:cs="Times New Roman"/>
          <w:i/>
          <w:iCs/>
          <w:sz w:val="24"/>
          <w:szCs w:val="24"/>
        </w:rPr>
        <w:t>Common Core of Data.</w:t>
      </w:r>
      <w:r>
        <w:rPr>
          <w:rFonts w:ascii="Times New Roman" w:hAnsi="Times New Roman" w:cs="Times New Roman"/>
          <w:sz w:val="24"/>
          <w:szCs w:val="24"/>
        </w:rPr>
        <w:t xml:space="preserve"> Retrieved from the National Center for Educational Statistics: </w:t>
      </w:r>
      <w:hyperlink r:id="rId17" w:history="1">
        <w:r w:rsidRPr="004B029F">
          <w:rPr>
            <w:rStyle w:val="Hyperlink"/>
            <w:rFonts w:ascii="Times New Roman" w:hAnsi="Times New Roman" w:cs="Times New Roman"/>
            <w:color w:val="auto"/>
            <w:sz w:val="24"/>
            <w:szCs w:val="24"/>
          </w:rPr>
          <w:t>https://nces.ed.gov/ccd/</w:t>
        </w:r>
      </w:hyperlink>
      <w:r>
        <w:rPr>
          <w:rFonts w:ascii="Times New Roman" w:hAnsi="Times New Roman" w:cs="Times New Roman"/>
          <w:sz w:val="24"/>
          <w:szCs w:val="24"/>
        </w:rPr>
        <w:t xml:space="preserve">. </w:t>
      </w:r>
    </w:p>
    <w:p w14:paraId="065EF0FC" w14:textId="77777777" w:rsidR="004E2745" w:rsidRPr="001B2E11" w:rsidRDefault="004E2745" w:rsidP="00A75049">
      <w:pPr>
        <w:spacing w:after="0" w:line="240" w:lineRule="auto"/>
        <w:contextualSpacing/>
        <w:mirrorIndents/>
        <w:jc w:val="both"/>
        <w:rPr>
          <w:rFonts w:ascii="Times New Roman" w:hAnsi="Times New Roman" w:cs="Times New Roman"/>
          <w:sz w:val="24"/>
          <w:szCs w:val="24"/>
          <w:shd w:val="clear" w:color="auto" w:fill="FFFFFF"/>
        </w:rPr>
      </w:pPr>
    </w:p>
    <w:p w14:paraId="6BF0E961" w14:textId="67E5623D"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7C1E66">
        <w:rPr>
          <w:rFonts w:ascii="Times New Roman" w:hAnsi="Times New Roman" w:cs="Times New Roman"/>
          <w:sz w:val="24"/>
          <w:szCs w:val="24"/>
        </w:rPr>
        <w:t xml:space="preserve">DeSimone, J. (1998). Is </w:t>
      </w:r>
      <w:r w:rsidR="009B5936">
        <w:rPr>
          <w:rFonts w:ascii="Times New Roman" w:hAnsi="Times New Roman" w:cs="Times New Roman"/>
          <w:sz w:val="24"/>
          <w:szCs w:val="24"/>
        </w:rPr>
        <w:t>m</w:t>
      </w:r>
      <w:r w:rsidRPr="007C1E66">
        <w:rPr>
          <w:rFonts w:ascii="Times New Roman" w:hAnsi="Times New Roman" w:cs="Times New Roman"/>
          <w:sz w:val="24"/>
          <w:szCs w:val="24"/>
        </w:rPr>
        <w:t xml:space="preserve">arijuana a </w:t>
      </w:r>
      <w:r w:rsidR="009B5936">
        <w:rPr>
          <w:rFonts w:ascii="Times New Roman" w:hAnsi="Times New Roman" w:cs="Times New Roman"/>
          <w:sz w:val="24"/>
          <w:szCs w:val="24"/>
        </w:rPr>
        <w:t>g</w:t>
      </w:r>
      <w:r w:rsidRPr="007C1E66">
        <w:rPr>
          <w:rFonts w:ascii="Times New Roman" w:hAnsi="Times New Roman" w:cs="Times New Roman"/>
          <w:sz w:val="24"/>
          <w:szCs w:val="24"/>
        </w:rPr>
        <w:t xml:space="preserve">ateway </w:t>
      </w:r>
      <w:r w:rsidR="009B5936">
        <w:rPr>
          <w:rFonts w:ascii="Times New Roman" w:hAnsi="Times New Roman" w:cs="Times New Roman"/>
          <w:sz w:val="24"/>
          <w:szCs w:val="24"/>
        </w:rPr>
        <w:t>d</w:t>
      </w:r>
      <w:r w:rsidRPr="007C1E66">
        <w:rPr>
          <w:rFonts w:ascii="Times New Roman" w:hAnsi="Times New Roman" w:cs="Times New Roman"/>
          <w:sz w:val="24"/>
          <w:szCs w:val="24"/>
        </w:rPr>
        <w:t xml:space="preserve">rug? </w:t>
      </w:r>
      <w:r w:rsidRPr="008C350F">
        <w:rPr>
          <w:rFonts w:ascii="Times New Roman" w:hAnsi="Times New Roman" w:cs="Times New Roman"/>
          <w:i/>
          <w:iCs/>
          <w:sz w:val="24"/>
          <w:szCs w:val="24"/>
        </w:rPr>
        <w:t>Eastern Economic Journal</w:t>
      </w:r>
      <w:r w:rsidRPr="009B5936">
        <w:rPr>
          <w:rFonts w:ascii="Times New Roman" w:hAnsi="Times New Roman" w:cs="Times New Roman"/>
          <w:sz w:val="24"/>
          <w:szCs w:val="24"/>
        </w:rPr>
        <w:t>,</w:t>
      </w:r>
      <w:r w:rsidRPr="008C350F">
        <w:rPr>
          <w:rFonts w:ascii="Times New Roman" w:hAnsi="Times New Roman" w:cs="Times New Roman"/>
          <w:i/>
          <w:iCs/>
          <w:sz w:val="24"/>
          <w:szCs w:val="24"/>
        </w:rPr>
        <w:t xml:space="preserve"> 24</w:t>
      </w:r>
      <w:r w:rsidRPr="007C1E66">
        <w:rPr>
          <w:rFonts w:ascii="Times New Roman" w:hAnsi="Times New Roman" w:cs="Times New Roman"/>
          <w:sz w:val="24"/>
          <w:szCs w:val="24"/>
        </w:rPr>
        <w:t>, 149</w:t>
      </w:r>
      <w:r>
        <w:rPr>
          <w:rFonts w:ascii="Times New Roman" w:hAnsi="Times New Roman" w:cs="Times New Roman"/>
          <w:sz w:val="24"/>
          <w:szCs w:val="24"/>
        </w:rPr>
        <w:t>-</w:t>
      </w:r>
      <w:r w:rsidRPr="007C1E66">
        <w:rPr>
          <w:rFonts w:ascii="Times New Roman" w:hAnsi="Times New Roman" w:cs="Times New Roman"/>
          <w:sz w:val="24"/>
          <w:szCs w:val="24"/>
        </w:rPr>
        <w:t>164</w:t>
      </w:r>
      <w:r>
        <w:rPr>
          <w:rFonts w:ascii="Times New Roman" w:hAnsi="Times New Roman" w:cs="Times New Roman"/>
          <w:sz w:val="24"/>
          <w:szCs w:val="24"/>
        </w:rPr>
        <w:t>.</w:t>
      </w:r>
    </w:p>
    <w:p w14:paraId="65F69E97" w14:textId="412EFE4B" w:rsidR="007F34A4" w:rsidRDefault="007F34A4" w:rsidP="004E2745">
      <w:pPr>
        <w:spacing w:after="0" w:line="240" w:lineRule="auto"/>
        <w:ind w:left="720" w:hanging="720"/>
        <w:contextualSpacing/>
        <w:mirrorIndents/>
        <w:jc w:val="both"/>
        <w:rPr>
          <w:rFonts w:ascii="Times New Roman" w:hAnsi="Times New Roman" w:cs="Times New Roman"/>
          <w:sz w:val="24"/>
          <w:szCs w:val="24"/>
        </w:rPr>
      </w:pPr>
    </w:p>
    <w:p w14:paraId="42DE4B41" w14:textId="668DEAC8" w:rsidR="007F34A4" w:rsidRDefault="000547E9" w:rsidP="000547E9">
      <w:pPr>
        <w:spacing w:after="0" w:line="240" w:lineRule="auto"/>
        <w:ind w:left="720" w:hanging="720"/>
        <w:contextualSpacing/>
        <w:mirrorIndents/>
        <w:jc w:val="both"/>
        <w:rPr>
          <w:rFonts w:ascii="Times New Roman" w:hAnsi="Times New Roman" w:cs="Times New Roman"/>
          <w:sz w:val="24"/>
          <w:szCs w:val="24"/>
        </w:rPr>
      </w:pPr>
      <w:r w:rsidRPr="00994317">
        <w:rPr>
          <w:rFonts w:ascii="Times New Roman" w:hAnsi="Times New Roman" w:cs="Times New Roman"/>
          <w:color w:val="212121"/>
          <w:sz w:val="24"/>
          <w:szCs w:val="24"/>
          <w:shd w:val="clear" w:color="auto" w:fill="FFFFFF"/>
        </w:rPr>
        <w:t>Dilley</w:t>
      </w:r>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xml:space="preserve"> J</w:t>
      </w:r>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Richardson</w:t>
      </w:r>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xml:space="preserve"> S</w:t>
      </w:r>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Kilmer</w:t>
      </w:r>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xml:space="preserve"> B</w:t>
      </w:r>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xml:space="preserve">, </w:t>
      </w:r>
      <w:proofErr w:type="spellStart"/>
      <w:r w:rsidRPr="00994317">
        <w:rPr>
          <w:rFonts w:ascii="Times New Roman" w:hAnsi="Times New Roman" w:cs="Times New Roman"/>
          <w:color w:val="212121"/>
          <w:sz w:val="24"/>
          <w:szCs w:val="24"/>
          <w:shd w:val="clear" w:color="auto" w:fill="FFFFFF"/>
        </w:rPr>
        <w:t>Pacula</w:t>
      </w:r>
      <w:proofErr w:type="spellEnd"/>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xml:space="preserve"> R</w:t>
      </w:r>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xml:space="preserve">, </w:t>
      </w:r>
      <w:proofErr w:type="spellStart"/>
      <w:r w:rsidRPr="00994317">
        <w:rPr>
          <w:rFonts w:ascii="Times New Roman" w:hAnsi="Times New Roman" w:cs="Times New Roman"/>
          <w:color w:val="212121"/>
          <w:sz w:val="24"/>
          <w:szCs w:val="24"/>
          <w:shd w:val="clear" w:color="auto" w:fill="FFFFFF"/>
        </w:rPr>
        <w:t>Segawa</w:t>
      </w:r>
      <w:proofErr w:type="spellEnd"/>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xml:space="preserve"> M</w:t>
      </w:r>
      <w:r>
        <w:rPr>
          <w:rFonts w:ascii="Times New Roman" w:hAnsi="Times New Roman" w:cs="Times New Roman"/>
          <w:color w:val="212121"/>
          <w:sz w:val="24"/>
          <w:szCs w:val="24"/>
          <w:shd w:val="clear" w:color="auto" w:fill="FFFFFF"/>
        </w:rPr>
        <w:t>.</w:t>
      </w:r>
      <w:r w:rsidRPr="00994317">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&amp; </w:t>
      </w:r>
      <w:r w:rsidRPr="00994317">
        <w:rPr>
          <w:rFonts w:ascii="Times New Roman" w:hAnsi="Times New Roman" w:cs="Times New Roman"/>
          <w:color w:val="212121"/>
          <w:sz w:val="24"/>
          <w:szCs w:val="24"/>
          <w:shd w:val="clear" w:color="auto" w:fill="FFFFFF"/>
        </w:rPr>
        <w:t>Cer</w:t>
      </w:r>
      <w:r>
        <w:rPr>
          <w:rFonts w:ascii="Times New Roman" w:hAnsi="Times New Roman" w:cs="Times New Roman"/>
          <w:color w:val="212121"/>
          <w:sz w:val="24"/>
          <w:szCs w:val="24"/>
          <w:shd w:val="clear" w:color="auto" w:fill="FFFFFF"/>
        </w:rPr>
        <w:t>da,</w:t>
      </w:r>
      <w:r w:rsidRPr="00994317">
        <w:rPr>
          <w:rFonts w:ascii="Times New Roman" w:hAnsi="Times New Roman" w:cs="Times New Roman"/>
          <w:color w:val="212121"/>
          <w:sz w:val="24"/>
          <w:szCs w:val="24"/>
          <w:shd w:val="clear" w:color="auto" w:fill="FFFFFF"/>
        </w:rPr>
        <w:t xml:space="preserve"> M. </w:t>
      </w:r>
      <w:r>
        <w:rPr>
          <w:rFonts w:ascii="Times New Roman" w:hAnsi="Times New Roman" w:cs="Times New Roman"/>
          <w:color w:val="212121"/>
          <w:sz w:val="24"/>
          <w:szCs w:val="24"/>
          <w:shd w:val="clear" w:color="auto" w:fill="FFFFFF"/>
        </w:rPr>
        <w:t xml:space="preserve">(2019). </w:t>
      </w:r>
      <w:r w:rsidRPr="00994317">
        <w:rPr>
          <w:rFonts w:ascii="Times New Roman" w:hAnsi="Times New Roman" w:cs="Times New Roman"/>
          <w:color w:val="212121"/>
          <w:sz w:val="24"/>
          <w:szCs w:val="24"/>
          <w:shd w:val="clear" w:color="auto" w:fill="FFFFFF"/>
        </w:rPr>
        <w:t xml:space="preserve">Prevalence of </w:t>
      </w:r>
      <w:r>
        <w:rPr>
          <w:rFonts w:ascii="Times New Roman" w:hAnsi="Times New Roman" w:cs="Times New Roman"/>
          <w:color w:val="212121"/>
          <w:sz w:val="24"/>
          <w:szCs w:val="24"/>
          <w:shd w:val="clear" w:color="auto" w:fill="FFFFFF"/>
        </w:rPr>
        <w:t>c</w:t>
      </w:r>
      <w:r w:rsidRPr="00994317">
        <w:rPr>
          <w:rFonts w:ascii="Times New Roman" w:hAnsi="Times New Roman" w:cs="Times New Roman"/>
          <w:color w:val="212121"/>
          <w:sz w:val="24"/>
          <w:szCs w:val="24"/>
          <w:shd w:val="clear" w:color="auto" w:fill="FFFFFF"/>
        </w:rPr>
        <w:t xml:space="preserve">annabis </w:t>
      </w:r>
      <w:r>
        <w:rPr>
          <w:rFonts w:ascii="Times New Roman" w:hAnsi="Times New Roman" w:cs="Times New Roman"/>
          <w:color w:val="212121"/>
          <w:sz w:val="24"/>
          <w:szCs w:val="24"/>
          <w:shd w:val="clear" w:color="auto" w:fill="FFFFFF"/>
        </w:rPr>
        <w:t>u</w:t>
      </w:r>
      <w:r w:rsidRPr="00994317">
        <w:rPr>
          <w:rFonts w:ascii="Times New Roman" w:hAnsi="Times New Roman" w:cs="Times New Roman"/>
          <w:color w:val="212121"/>
          <w:sz w:val="24"/>
          <w:szCs w:val="24"/>
          <w:shd w:val="clear" w:color="auto" w:fill="FFFFFF"/>
        </w:rPr>
        <w:t xml:space="preserve">se in </w:t>
      </w:r>
      <w:r>
        <w:rPr>
          <w:rFonts w:ascii="Times New Roman" w:hAnsi="Times New Roman" w:cs="Times New Roman"/>
          <w:color w:val="212121"/>
          <w:sz w:val="24"/>
          <w:szCs w:val="24"/>
          <w:shd w:val="clear" w:color="auto" w:fill="FFFFFF"/>
        </w:rPr>
        <w:t>y</w:t>
      </w:r>
      <w:r w:rsidRPr="00994317">
        <w:rPr>
          <w:rFonts w:ascii="Times New Roman" w:hAnsi="Times New Roman" w:cs="Times New Roman"/>
          <w:color w:val="212121"/>
          <w:sz w:val="24"/>
          <w:szCs w:val="24"/>
          <w:shd w:val="clear" w:color="auto" w:fill="FFFFFF"/>
        </w:rPr>
        <w:t xml:space="preserve">ouths </w:t>
      </w:r>
      <w:r>
        <w:rPr>
          <w:rFonts w:ascii="Times New Roman" w:hAnsi="Times New Roman" w:cs="Times New Roman"/>
          <w:color w:val="212121"/>
          <w:sz w:val="24"/>
          <w:szCs w:val="24"/>
          <w:shd w:val="clear" w:color="auto" w:fill="FFFFFF"/>
        </w:rPr>
        <w:t>a</w:t>
      </w:r>
      <w:r w:rsidRPr="00994317">
        <w:rPr>
          <w:rFonts w:ascii="Times New Roman" w:hAnsi="Times New Roman" w:cs="Times New Roman"/>
          <w:color w:val="212121"/>
          <w:sz w:val="24"/>
          <w:szCs w:val="24"/>
          <w:shd w:val="clear" w:color="auto" w:fill="FFFFFF"/>
        </w:rPr>
        <w:t xml:space="preserve">fter </w:t>
      </w:r>
      <w:r>
        <w:rPr>
          <w:rFonts w:ascii="Times New Roman" w:hAnsi="Times New Roman" w:cs="Times New Roman"/>
          <w:color w:val="212121"/>
          <w:sz w:val="24"/>
          <w:szCs w:val="24"/>
          <w:shd w:val="clear" w:color="auto" w:fill="FFFFFF"/>
        </w:rPr>
        <w:t>l</w:t>
      </w:r>
      <w:r w:rsidRPr="00994317">
        <w:rPr>
          <w:rFonts w:ascii="Times New Roman" w:hAnsi="Times New Roman" w:cs="Times New Roman"/>
          <w:color w:val="212121"/>
          <w:sz w:val="24"/>
          <w:szCs w:val="24"/>
          <w:shd w:val="clear" w:color="auto" w:fill="FFFFFF"/>
        </w:rPr>
        <w:t xml:space="preserve">egalization in Washington </w:t>
      </w:r>
      <w:r>
        <w:rPr>
          <w:rFonts w:ascii="Times New Roman" w:hAnsi="Times New Roman" w:cs="Times New Roman"/>
          <w:color w:val="212121"/>
          <w:sz w:val="24"/>
          <w:szCs w:val="24"/>
          <w:shd w:val="clear" w:color="auto" w:fill="FFFFFF"/>
        </w:rPr>
        <w:t>s</w:t>
      </w:r>
      <w:r w:rsidRPr="00994317">
        <w:rPr>
          <w:rFonts w:ascii="Times New Roman" w:hAnsi="Times New Roman" w:cs="Times New Roman"/>
          <w:color w:val="212121"/>
          <w:sz w:val="24"/>
          <w:szCs w:val="24"/>
          <w:shd w:val="clear" w:color="auto" w:fill="FFFFFF"/>
        </w:rPr>
        <w:t xml:space="preserve">tate. </w:t>
      </w:r>
      <w:r w:rsidRPr="00994317">
        <w:rPr>
          <w:rFonts w:ascii="Times New Roman" w:hAnsi="Times New Roman" w:cs="Times New Roman"/>
          <w:i/>
          <w:iCs/>
          <w:color w:val="212121"/>
          <w:sz w:val="24"/>
          <w:szCs w:val="24"/>
          <w:shd w:val="clear" w:color="auto" w:fill="FFFFFF"/>
        </w:rPr>
        <w:t>JAMA Pediatrics</w:t>
      </w:r>
      <w:r>
        <w:rPr>
          <w:rFonts w:ascii="Times New Roman" w:hAnsi="Times New Roman" w:cs="Times New Roman"/>
          <w:i/>
          <w:iCs/>
          <w:color w:val="212121"/>
          <w:sz w:val="24"/>
          <w:szCs w:val="24"/>
          <w:shd w:val="clear" w:color="auto" w:fill="FFFFFF"/>
        </w:rPr>
        <w:t xml:space="preserve">, </w:t>
      </w:r>
      <w:r w:rsidRPr="00B054E0">
        <w:rPr>
          <w:rFonts w:ascii="Times New Roman" w:hAnsi="Times New Roman" w:cs="Times New Roman"/>
          <w:i/>
          <w:iCs/>
          <w:color w:val="212121"/>
          <w:sz w:val="24"/>
          <w:szCs w:val="24"/>
          <w:shd w:val="clear" w:color="auto" w:fill="FFFFFF"/>
        </w:rPr>
        <w:t>173</w:t>
      </w:r>
      <w:r w:rsidRPr="00994317">
        <w:rPr>
          <w:rFonts w:ascii="Times New Roman" w:hAnsi="Times New Roman" w:cs="Times New Roman"/>
          <w:color w:val="212121"/>
          <w:sz w:val="24"/>
          <w:szCs w:val="24"/>
          <w:shd w:val="clear" w:color="auto" w:fill="FFFFFF"/>
        </w:rPr>
        <w:t>(2)</w:t>
      </w:r>
      <w:r>
        <w:rPr>
          <w:rFonts w:ascii="Times New Roman" w:hAnsi="Times New Roman" w:cs="Times New Roman"/>
          <w:color w:val="212121"/>
          <w:sz w:val="24"/>
          <w:szCs w:val="24"/>
          <w:shd w:val="clear" w:color="auto" w:fill="FFFFFF"/>
        </w:rPr>
        <w:t>, 1</w:t>
      </w:r>
      <w:r w:rsidRPr="00994317">
        <w:rPr>
          <w:rFonts w:ascii="Times New Roman" w:hAnsi="Times New Roman" w:cs="Times New Roman"/>
          <w:color w:val="212121"/>
          <w:sz w:val="24"/>
          <w:szCs w:val="24"/>
          <w:shd w:val="clear" w:color="auto" w:fill="FFFFFF"/>
        </w:rPr>
        <w:t>92-193.</w:t>
      </w:r>
    </w:p>
    <w:p w14:paraId="65A937C6" w14:textId="77777777" w:rsidR="004B029F" w:rsidRDefault="004B029F" w:rsidP="004E2745">
      <w:pPr>
        <w:spacing w:after="0" w:line="240" w:lineRule="auto"/>
        <w:ind w:left="720" w:hanging="720"/>
        <w:contextualSpacing/>
        <w:mirrorIndents/>
        <w:jc w:val="both"/>
        <w:rPr>
          <w:rFonts w:ascii="Times New Roman" w:hAnsi="Times New Roman" w:cs="Times New Roman"/>
          <w:sz w:val="24"/>
          <w:szCs w:val="24"/>
        </w:rPr>
      </w:pPr>
    </w:p>
    <w:p w14:paraId="3E243275" w14:textId="7E92DFBA" w:rsidR="00A24A1D" w:rsidRDefault="00A24A1D" w:rsidP="004E2745">
      <w:pPr>
        <w:spacing w:after="0" w:line="240" w:lineRule="auto"/>
        <w:ind w:left="720" w:hanging="720"/>
        <w:contextualSpacing/>
        <w:mirrorIndents/>
        <w:jc w:val="both"/>
        <w:rPr>
          <w:rFonts w:ascii="Times New Roman" w:hAnsi="Times New Roman" w:cs="Times New Roman"/>
          <w:sz w:val="24"/>
          <w:szCs w:val="24"/>
        </w:rPr>
      </w:pPr>
      <w:r w:rsidRPr="009B5936">
        <w:rPr>
          <w:rFonts w:ascii="Times New Roman" w:hAnsi="Times New Roman" w:cs="Times New Roman"/>
          <w:sz w:val="24"/>
          <w:szCs w:val="24"/>
        </w:rPr>
        <w:t xml:space="preserve">Dong, X. </w:t>
      </w:r>
      <w:r w:rsidR="00FD0224" w:rsidRPr="009B5936">
        <w:rPr>
          <w:rFonts w:ascii="Times New Roman" w:hAnsi="Times New Roman" w:cs="Times New Roman"/>
          <w:sz w:val="24"/>
          <w:szCs w:val="24"/>
        </w:rPr>
        <w:t>&amp;</w:t>
      </w:r>
      <w:r w:rsidRPr="009B5936">
        <w:rPr>
          <w:rFonts w:ascii="Times New Roman" w:hAnsi="Times New Roman" w:cs="Times New Roman"/>
          <w:sz w:val="24"/>
          <w:szCs w:val="24"/>
        </w:rPr>
        <w:t xml:space="preserve"> Tyndall, J. (2021). The </w:t>
      </w:r>
      <w:r w:rsidR="009B5936" w:rsidRPr="009B5936">
        <w:rPr>
          <w:rFonts w:ascii="Times New Roman" w:hAnsi="Times New Roman" w:cs="Times New Roman"/>
          <w:sz w:val="24"/>
          <w:szCs w:val="24"/>
        </w:rPr>
        <w:t>i</w:t>
      </w:r>
      <w:r w:rsidRPr="009B5936">
        <w:rPr>
          <w:rFonts w:ascii="Times New Roman" w:hAnsi="Times New Roman" w:cs="Times New Roman"/>
          <w:sz w:val="24"/>
          <w:szCs w:val="24"/>
        </w:rPr>
        <w:t xml:space="preserve">mpact of </w:t>
      </w:r>
      <w:r w:rsidR="009B5936" w:rsidRPr="009B5936">
        <w:rPr>
          <w:rFonts w:ascii="Times New Roman" w:hAnsi="Times New Roman" w:cs="Times New Roman"/>
          <w:sz w:val="24"/>
          <w:szCs w:val="24"/>
        </w:rPr>
        <w:t>r</w:t>
      </w:r>
      <w:r w:rsidRPr="009B5936">
        <w:rPr>
          <w:rFonts w:ascii="Times New Roman" w:hAnsi="Times New Roman" w:cs="Times New Roman"/>
          <w:sz w:val="24"/>
          <w:szCs w:val="24"/>
        </w:rPr>
        <w:t xml:space="preserve">ecreational </w:t>
      </w:r>
      <w:r w:rsidR="009B5936" w:rsidRPr="009B5936">
        <w:rPr>
          <w:rFonts w:ascii="Times New Roman" w:hAnsi="Times New Roman" w:cs="Times New Roman"/>
          <w:sz w:val="24"/>
          <w:szCs w:val="24"/>
        </w:rPr>
        <w:t>m</w:t>
      </w:r>
      <w:r w:rsidRPr="009B5936">
        <w:rPr>
          <w:rFonts w:ascii="Times New Roman" w:hAnsi="Times New Roman" w:cs="Times New Roman"/>
          <w:sz w:val="24"/>
          <w:szCs w:val="24"/>
        </w:rPr>
        <w:t xml:space="preserve">arijuana </w:t>
      </w:r>
      <w:r w:rsidR="009B5936" w:rsidRPr="009B5936">
        <w:rPr>
          <w:rFonts w:ascii="Times New Roman" w:hAnsi="Times New Roman" w:cs="Times New Roman"/>
          <w:sz w:val="24"/>
          <w:szCs w:val="24"/>
        </w:rPr>
        <w:t>d</w:t>
      </w:r>
      <w:r w:rsidRPr="009B5936">
        <w:rPr>
          <w:rFonts w:ascii="Times New Roman" w:hAnsi="Times New Roman" w:cs="Times New Roman"/>
          <w:sz w:val="24"/>
          <w:szCs w:val="24"/>
        </w:rPr>
        <w:t>ispensar</w:t>
      </w:r>
      <w:r w:rsidR="009B5936" w:rsidRPr="009B5936">
        <w:rPr>
          <w:rFonts w:ascii="Times New Roman" w:hAnsi="Times New Roman" w:cs="Times New Roman"/>
          <w:sz w:val="24"/>
          <w:szCs w:val="24"/>
        </w:rPr>
        <w:t>y openings</w:t>
      </w:r>
      <w:r w:rsidRPr="009B5936">
        <w:rPr>
          <w:rFonts w:ascii="Times New Roman" w:hAnsi="Times New Roman" w:cs="Times New Roman"/>
          <w:sz w:val="24"/>
          <w:szCs w:val="24"/>
        </w:rPr>
        <w:t xml:space="preserve"> on </w:t>
      </w:r>
      <w:r w:rsidR="009B5936" w:rsidRPr="009B5936">
        <w:rPr>
          <w:rFonts w:ascii="Times New Roman" w:hAnsi="Times New Roman" w:cs="Times New Roman"/>
          <w:sz w:val="24"/>
          <w:szCs w:val="24"/>
        </w:rPr>
        <w:t>c</w:t>
      </w:r>
      <w:r w:rsidRPr="009B5936">
        <w:rPr>
          <w:rFonts w:ascii="Times New Roman" w:hAnsi="Times New Roman" w:cs="Times New Roman"/>
          <w:sz w:val="24"/>
          <w:szCs w:val="24"/>
        </w:rPr>
        <w:t xml:space="preserve">rime: Evidence from a </w:t>
      </w:r>
      <w:r w:rsidR="009B5936" w:rsidRPr="009B5936">
        <w:rPr>
          <w:rFonts w:ascii="Times New Roman" w:hAnsi="Times New Roman" w:cs="Times New Roman"/>
          <w:sz w:val="24"/>
          <w:szCs w:val="24"/>
        </w:rPr>
        <w:t>l</w:t>
      </w:r>
      <w:r w:rsidRPr="009B5936">
        <w:rPr>
          <w:rFonts w:ascii="Times New Roman" w:hAnsi="Times New Roman" w:cs="Times New Roman"/>
          <w:sz w:val="24"/>
          <w:szCs w:val="24"/>
        </w:rPr>
        <w:t xml:space="preserve">ottery </w:t>
      </w:r>
      <w:r w:rsidR="009B5936" w:rsidRPr="009B5936">
        <w:rPr>
          <w:rFonts w:ascii="Times New Roman" w:hAnsi="Times New Roman" w:cs="Times New Roman"/>
          <w:sz w:val="24"/>
          <w:szCs w:val="24"/>
        </w:rPr>
        <w:t>e</w:t>
      </w:r>
      <w:r w:rsidRPr="009B5936">
        <w:rPr>
          <w:rFonts w:ascii="Times New Roman" w:hAnsi="Times New Roman" w:cs="Times New Roman"/>
          <w:sz w:val="24"/>
          <w:szCs w:val="24"/>
        </w:rPr>
        <w:t>xperiment. Working paper.</w:t>
      </w:r>
      <w:r>
        <w:rPr>
          <w:rFonts w:ascii="Times New Roman" w:hAnsi="Times New Roman" w:cs="Times New Roman"/>
          <w:sz w:val="24"/>
          <w:szCs w:val="24"/>
        </w:rPr>
        <w:t xml:space="preserve"> </w:t>
      </w:r>
    </w:p>
    <w:p w14:paraId="14362933" w14:textId="77777777" w:rsidR="004E2745" w:rsidRDefault="004E2745" w:rsidP="004E2745">
      <w:pPr>
        <w:spacing w:after="0" w:line="240" w:lineRule="auto"/>
        <w:contextualSpacing/>
        <w:mirrorIndents/>
        <w:jc w:val="both"/>
        <w:rPr>
          <w:rFonts w:ascii="Times New Roman" w:hAnsi="Times New Roman" w:cs="Times New Roman"/>
          <w:sz w:val="24"/>
          <w:szCs w:val="24"/>
        </w:rPr>
      </w:pPr>
    </w:p>
    <w:p w14:paraId="01025337" w14:textId="5D6DAE32"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roofErr w:type="spellStart"/>
      <w:r w:rsidRPr="007C1E66">
        <w:rPr>
          <w:rFonts w:ascii="Times New Roman" w:hAnsi="Times New Roman" w:cs="Times New Roman"/>
          <w:sz w:val="24"/>
          <w:szCs w:val="24"/>
        </w:rPr>
        <w:t>Ellickson</w:t>
      </w:r>
      <w:proofErr w:type="spellEnd"/>
      <w:r w:rsidRPr="007C1E66">
        <w:rPr>
          <w:rFonts w:ascii="Times New Roman" w:hAnsi="Times New Roman" w:cs="Times New Roman"/>
          <w:sz w:val="24"/>
          <w:szCs w:val="24"/>
        </w:rPr>
        <w:t xml:space="preserve">, P., Hays, R., &amp; Bell, R. (1992). Stepping </w:t>
      </w:r>
      <w:r w:rsidR="009B5936">
        <w:rPr>
          <w:rFonts w:ascii="Times New Roman" w:hAnsi="Times New Roman" w:cs="Times New Roman"/>
          <w:sz w:val="24"/>
          <w:szCs w:val="24"/>
        </w:rPr>
        <w:t>t</w:t>
      </w:r>
      <w:r w:rsidRPr="007C1E66">
        <w:rPr>
          <w:rFonts w:ascii="Times New Roman" w:hAnsi="Times New Roman" w:cs="Times New Roman"/>
          <w:sz w:val="24"/>
          <w:szCs w:val="24"/>
        </w:rPr>
        <w:t xml:space="preserve">hrough the </w:t>
      </w:r>
      <w:r w:rsidR="009B5936">
        <w:rPr>
          <w:rFonts w:ascii="Times New Roman" w:hAnsi="Times New Roman" w:cs="Times New Roman"/>
          <w:sz w:val="24"/>
          <w:szCs w:val="24"/>
        </w:rPr>
        <w:t>d</w:t>
      </w:r>
      <w:r w:rsidRPr="007C1E66">
        <w:rPr>
          <w:rFonts w:ascii="Times New Roman" w:hAnsi="Times New Roman" w:cs="Times New Roman"/>
          <w:sz w:val="24"/>
          <w:szCs w:val="24"/>
        </w:rPr>
        <w:t xml:space="preserve">rug </w:t>
      </w:r>
      <w:r w:rsidR="009B5936">
        <w:rPr>
          <w:rFonts w:ascii="Times New Roman" w:hAnsi="Times New Roman" w:cs="Times New Roman"/>
          <w:sz w:val="24"/>
          <w:szCs w:val="24"/>
        </w:rPr>
        <w:t>u</w:t>
      </w:r>
      <w:r w:rsidRPr="007C1E66">
        <w:rPr>
          <w:rFonts w:ascii="Times New Roman" w:hAnsi="Times New Roman" w:cs="Times New Roman"/>
          <w:sz w:val="24"/>
          <w:szCs w:val="24"/>
        </w:rPr>
        <w:t xml:space="preserve">se </w:t>
      </w:r>
      <w:r w:rsidR="009B5936">
        <w:rPr>
          <w:rFonts w:ascii="Times New Roman" w:hAnsi="Times New Roman" w:cs="Times New Roman"/>
          <w:sz w:val="24"/>
          <w:szCs w:val="24"/>
        </w:rPr>
        <w:t>s</w:t>
      </w:r>
      <w:r w:rsidRPr="007C1E66">
        <w:rPr>
          <w:rFonts w:ascii="Times New Roman" w:hAnsi="Times New Roman" w:cs="Times New Roman"/>
          <w:sz w:val="24"/>
          <w:szCs w:val="24"/>
        </w:rPr>
        <w:t xml:space="preserve">equence: Longitudinal </w:t>
      </w:r>
      <w:r w:rsidR="009B5936">
        <w:rPr>
          <w:rFonts w:ascii="Times New Roman" w:hAnsi="Times New Roman" w:cs="Times New Roman"/>
          <w:sz w:val="24"/>
          <w:szCs w:val="24"/>
        </w:rPr>
        <w:t>s</w:t>
      </w:r>
      <w:r w:rsidRPr="007C1E66">
        <w:rPr>
          <w:rFonts w:ascii="Times New Roman" w:hAnsi="Times New Roman" w:cs="Times New Roman"/>
          <w:sz w:val="24"/>
          <w:szCs w:val="24"/>
        </w:rPr>
        <w:t xml:space="preserve">calogram </w:t>
      </w:r>
      <w:r w:rsidR="009B5936">
        <w:rPr>
          <w:rFonts w:ascii="Times New Roman" w:hAnsi="Times New Roman" w:cs="Times New Roman"/>
          <w:sz w:val="24"/>
          <w:szCs w:val="24"/>
        </w:rPr>
        <w:t>a</w:t>
      </w:r>
      <w:r w:rsidRPr="007C1E66">
        <w:rPr>
          <w:rFonts w:ascii="Times New Roman" w:hAnsi="Times New Roman" w:cs="Times New Roman"/>
          <w:sz w:val="24"/>
          <w:szCs w:val="24"/>
        </w:rPr>
        <w:t xml:space="preserve">nalysis of </w:t>
      </w:r>
      <w:r w:rsidR="009B5936">
        <w:rPr>
          <w:rFonts w:ascii="Times New Roman" w:hAnsi="Times New Roman" w:cs="Times New Roman"/>
          <w:sz w:val="24"/>
          <w:szCs w:val="24"/>
        </w:rPr>
        <w:t>i</w:t>
      </w:r>
      <w:r w:rsidRPr="007C1E66">
        <w:rPr>
          <w:rFonts w:ascii="Times New Roman" w:hAnsi="Times New Roman" w:cs="Times New Roman"/>
          <w:sz w:val="24"/>
          <w:szCs w:val="24"/>
        </w:rPr>
        <w:t xml:space="preserve">nitiation and </w:t>
      </w:r>
      <w:r w:rsidR="009B5936">
        <w:rPr>
          <w:rFonts w:ascii="Times New Roman" w:hAnsi="Times New Roman" w:cs="Times New Roman"/>
          <w:sz w:val="24"/>
          <w:szCs w:val="24"/>
        </w:rPr>
        <w:t>r</w:t>
      </w:r>
      <w:r w:rsidRPr="007C1E66">
        <w:rPr>
          <w:rFonts w:ascii="Times New Roman" w:hAnsi="Times New Roman" w:cs="Times New Roman"/>
          <w:sz w:val="24"/>
          <w:szCs w:val="24"/>
        </w:rPr>
        <w:t xml:space="preserve">egular </w:t>
      </w:r>
      <w:r w:rsidR="009B5936">
        <w:rPr>
          <w:rFonts w:ascii="Times New Roman" w:hAnsi="Times New Roman" w:cs="Times New Roman"/>
          <w:sz w:val="24"/>
          <w:szCs w:val="24"/>
        </w:rPr>
        <w:t>u</w:t>
      </w:r>
      <w:r w:rsidRPr="007C1E66">
        <w:rPr>
          <w:rFonts w:ascii="Times New Roman" w:hAnsi="Times New Roman" w:cs="Times New Roman"/>
          <w:sz w:val="24"/>
          <w:szCs w:val="24"/>
        </w:rPr>
        <w:t xml:space="preserve">se. </w:t>
      </w:r>
      <w:r w:rsidRPr="008C350F">
        <w:rPr>
          <w:rFonts w:ascii="Times New Roman" w:hAnsi="Times New Roman" w:cs="Times New Roman"/>
          <w:i/>
          <w:iCs/>
          <w:sz w:val="24"/>
          <w:szCs w:val="24"/>
        </w:rPr>
        <w:t>Journal of Abnormal Psychology</w:t>
      </w:r>
      <w:r w:rsidRPr="009B5936">
        <w:rPr>
          <w:rFonts w:ascii="Times New Roman" w:hAnsi="Times New Roman" w:cs="Times New Roman"/>
          <w:sz w:val="24"/>
          <w:szCs w:val="24"/>
        </w:rPr>
        <w:t>,</w:t>
      </w:r>
      <w:r w:rsidRPr="008C350F">
        <w:rPr>
          <w:rFonts w:ascii="Times New Roman" w:hAnsi="Times New Roman" w:cs="Times New Roman"/>
          <w:i/>
          <w:iCs/>
          <w:sz w:val="24"/>
          <w:szCs w:val="24"/>
        </w:rPr>
        <w:t xml:space="preserve"> 101</w:t>
      </w:r>
      <w:r w:rsidRPr="007C1E66">
        <w:rPr>
          <w:rFonts w:ascii="Times New Roman" w:hAnsi="Times New Roman" w:cs="Times New Roman"/>
          <w:sz w:val="24"/>
          <w:szCs w:val="24"/>
        </w:rPr>
        <w:t>, 441</w:t>
      </w:r>
      <w:r>
        <w:rPr>
          <w:rFonts w:ascii="Times New Roman" w:hAnsi="Times New Roman" w:cs="Times New Roman"/>
          <w:sz w:val="24"/>
          <w:szCs w:val="24"/>
        </w:rPr>
        <w:t>-</w:t>
      </w:r>
      <w:r w:rsidRPr="007C1E66">
        <w:rPr>
          <w:rFonts w:ascii="Times New Roman" w:hAnsi="Times New Roman" w:cs="Times New Roman"/>
          <w:sz w:val="24"/>
          <w:szCs w:val="24"/>
        </w:rPr>
        <w:t>451</w:t>
      </w:r>
      <w:r>
        <w:rPr>
          <w:rFonts w:ascii="Times New Roman" w:hAnsi="Times New Roman" w:cs="Times New Roman"/>
          <w:sz w:val="24"/>
          <w:szCs w:val="24"/>
        </w:rPr>
        <w:t>.</w:t>
      </w:r>
    </w:p>
    <w:p w14:paraId="513F28A4"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7F06F63D" w14:textId="19F2B513"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7C1E66">
        <w:rPr>
          <w:rFonts w:ascii="Times New Roman" w:hAnsi="Times New Roman" w:cs="Times New Roman"/>
          <w:sz w:val="24"/>
          <w:szCs w:val="24"/>
        </w:rPr>
        <w:t xml:space="preserve">Epstein, M., Hill, K., </w:t>
      </w:r>
      <w:proofErr w:type="spellStart"/>
      <w:r w:rsidRPr="007C1E66">
        <w:rPr>
          <w:rFonts w:ascii="Times New Roman" w:hAnsi="Times New Roman" w:cs="Times New Roman"/>
          <w:sz w:val="24"/>
          <w:szCs w:val="24"/>
        </w:rPr>
        <w:t>Nevell</w:t>
      </w:r>
      <w:proofErr w:type="spellEnd"/>
      <w:r w:rsidRPr="007C1E66">
        <w:rPr>
          <w:rFonts w:ascii="Times New Roman" w:hAnsi="Times New Roman" w:cs="Times New Roman"/>
          <w:sz w:val="24"/>
          <w:szCs w:val="24"/>
        </w:rPr>
        <w:t xml:space="preserve">, A., </w:t>
      </w:r>
      <w:proofErr w:type="spellStart"/>
      <w:r w:rsidRPr="007C1E66">
        <w:rPr>
          <w:rFonts w:ascii="Times New Roman" w:hAnsi="Times New Roman" w:cs="Times New Roman"/>
          <w:sz w:val="24"/>
          <w:szCs w:val="24"/>
        </w:rPr>
        <w:t>Guttmannova</w:t>
      </w:r>
      <w:proofErr w:type="spellEnd"/>
      <w:r w:rsidRPr="007C1E66">
        <w:rPr>
          <w:rFonts w:ascii="Times New Roman" w:hAnsi="Times New Roman" w:cs="Times New Roman"/>
          <w:sz w:val="24"/>
          <w:szCs w:val="24"/>
        </w:rPr>
        <w:t xml:space="preserve">, K., Bailey, J., Abbott, R., &amp; Hawkins, J. (2015). Trajectories of </w:t>
      </w:r>
      <w:r w:rsidR="009B5936">
        <w:rPr>
          <w:rFonts w:ascii="Times New Roman" w:hAnsi="Times New Roman" w:cs="Times New Roman"/>
          <w:sz w:val="24"/>
          <w:szCs w:val="24"/>
        </w:rPr>
        <w:t>m</w:t>
      </w:r>
      <w:r w:rsidRPr="007C1E66">
        <w:rPr>
          <w:rFonts w:ascii="Times New Roman" w:hAnsi="Times New Roman" w:cs="Times New Roman"/>
          <w:sz w:val="24"/>
          <w:szCs w:val="24"/>
        </w:rPr>
        <w:t xml:space="preserve">arijuana </w:t>
      </w:r>
      <w:r w:rsidR="009B5936">
        <w:rPr>
          <w:rFonts w:ascii="Times New Roman" w:hAnsi="Times New Roman" w:cs="Times New Roman"/>
          <w:sz w:val="24"/>
          <w:szCs w:val="24"/>
        </w:rPr>
        <w:t>u</w:t>
      </w:r>
      <w:r w:rsidRPr="007C1E66">
        <w:rPr>
          <w:rFonts w:ascii="Times New Roman" w:hAnsi="Times New Roman" w:cs="Times New Roman"/>
          <w:sz w:val="24"/>
          <w:szCs w:val="24"/>
        </w:rPr>
        <w:t xml:space="preserve">se from </w:t>
      </w:r>
      <w:r w:rsidR="009B5936">
        <w:rPr>
          <w:rFonts w:ascii="Times New Roman" w:hAnsi="Times New Roman" w:cs="Times New Roman"/>
          <w:sz w:val="24"/>
          <w:szCs w:val="24"/>
        </w:rPr>
        <w:t>a</w:t>
      </w:r>
      <w:r w:rsidRPr="007C1E66">
        <w:rPr>
          <w:rFonts w:ascii="Times New Roman" w:hAnsi="Times New Roman" w:cs="Times New Roman"/>
          <w:sz w:val="24"/>
          <w:szCs w:val="24"/>
        </w:rPr>
        <w:t xml:space="preserve">dolescence into </w:t>
      </w:r>
      <w:r w:rsidR="009B5936">
        <w:rPr>
          <w:rFonts w:ascii="Times New Roman" w:hAnsi="Times New Roman" w:cs="Times New Roman"/>
          <w:sz w:val="24"/>
          <w:szCs w:val="24"/>
        </w:rPr>
        <w:t>a</w:t>
      </w:r>
      <w:r w:rsidRPr="007C1E66">
        <w:rPr>
          <w:rFonts w:ascii="Times New Roman" w:hAnsi="Times New Roman" w:cs="Times New Roman"/>
          <w:sz w:val="24"/>
          <w:szCs w:val="24"/>
        </w:rPr>
        <w:t xml:space="preserve">dulthood: Environmental and </w:t>
      </w:r>
      <w:r w:rsidR="009B5936">
        <w:rPr>
          <w:rFonts w:ascii="Times New Roman" w:hAnsi="Times New Roman" w:cs="Times New Roman"/>
          <w:sz w:val="24"/>
          <w:szCs w:val="24"/>
        </w:rPr>
        <w:t>i</w:t>
      </w:r>
      <w:r w:rsidRPr="007C1E66">
        <w:rPr>
          <w:rFonts w:ascii="Times New Roman" w:hAnsi="Times New Roman" w:cs="Times New Roman"/>
          <w:sz w:val="24"/>
          <w:szCs w:val="24"/>
        </w:rPr>
        <w:t xml:space="preserve">ndividual </w:t>
      </w:r>
      <w:r w:rsidR="009B5936">
        <w:rPr>
          <w:rFonts w:ascii="Times New Roman" w:hAnsi="Times New Roman" w:cs="Times New Roman"/>
          <w:sz w:val="24"/>
          <w:szCs w:val="24"/>
        </w:rPr>
        <w:t>c</w:t>
      </w:r>
      <w:r w:rsidRPr="007C1E66">
        <w:rPr>
          <w:rFonts w:ascii="Times New Roman" w:hAnsi="Times New Roman" w:cs="Times New Roman"/>
          <w:sz w:val="24"/>
          <w:szCs w:val="24"/>
        </w:rPr>
        <w:t xml:space="preserve">orrelates. </w:t>
      </w:r>
      <w:r w:rsidRPr="006E0D86">
        <w:rPr>
          <w:rFonts w:ascii="Times New Roman" w:hAnsi="Times New Roman" w:cs="Times New Roman"/>
          <w:i/>
          <w:iCs/>
          <w:sz w:val="24"/>
          <w:szCs w:val="24"/>
        </w:rPr>
        <w:t>Developmental Psychology</w:t>
      </w:r>
      <w:r w:rsidRPr="009B5936">
        <w:rPr>
          <w:rFonts w:ascii="Times New Roman" w:hAnsi="Times New Roman" w:cs="Times New Roman"/>
          <w:sz w:val="24"/>
          <w:szCs w:val="24"/>
        </w:rPr>
        <w:t>,</w:t>
      </w:r>
      <w:r w:rsidRPr="006E0D86">
        <w:rPr>
          <w:rFonts w:ascii="Times New Roman" w:hAnsi="Times New Roman" w:cs="Times New Roman"/>
          <w:i/>
          <w:iCs/>
          <w:sz w:val="24"/>
          <w:szCs w:val="24"/>
        </w:rPr>
        <w:t xml:space="preserve"> 51</w:t>
      </w:r>
      <w:r w:rsidRPr="007C1E66">
        <w:rPr>
          <w:rFonts w:ascii="Times New Roman" w:hAnsi="Times New Roman" w:cs="Times New Roman"/>
          <w:sz w:val="24"/>
          <w:szCs w:val="24"/>
        </w:rPr>
        <w:t>, 1650</w:t>
      </w:r>
      <w:r>
        <w:rPr>
          <w:rFonts w:ascii="Times New Roman" w:hAnsi="Times New Roman" w:cs="Times New Roman"/>
          <w:sz w:val="24"/>
          <w:szCs w:val="24"/>
        </w:rPr>
        <w:t>-</w:t>
      </w:r>
      <w:r w:rsidRPr="007C1E66">
        <w:rPr>
          <w:rFonts w:ascii="Times New Roman" w:hAnsi="Times New Roman" w:cs="Times New Roman"/>
          <w:sz w:val="24"/>
          <w:szCs w:val="24"/>
        </w:rPr>
        <w:t>1663.</w:t>
      </w:r>
    </w:p>
    <w:p w14:paraId="49218596"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2AB2BBEB" w14:textId="77777777" w:rsidR="004E2745" w:rsidRPr="008D7CC8" w:rsidRDefault="004E2745" w:rsidP="004E2745">
      <w:pPr>
        <w:spacing w:after="0" w:line="240" w:lineRule="auto"/>
        <w:ind w:left="720" w:hanging="720"/>
        <w:contextualSpacing/>
        <w:mirrorIndents/>
        <w:jc w:val="both"/>
        <w:rPr>
          <w:rFonts w:ascii="Times New Roman" w:hAnsi="Times New Roman" w:cs="Times New Roman"/>
          <w:sz w:val="24"/>
          <w:szCs w:val="24"/>
          <w:shd w:val="clear" w:color="auto" w:fill="FFFFFF"/>
        </w:rPr>
      </w:pPr>
      <w:r w:rsidRPr="008D7CC8">
        <w:rPr>
          <w:rFonts w:ascii="Times New Roman" w:hAnsi="Times New Roman" w:cs="Times New Roman"/>
          <w:sz w:val="24"/>
          <w:szCs w:val="24"/>
          <w:shd w:val="clear" w:color="auto" w:fill="FFFFFF"/>
        </w:rPr>
        <w:t xml:space="preserve">Frontiers. (2018). Sex, drugs and estradiol: Why cannabis affects women differently. ScienceDaily. Retrieved from </w:t>
      </w:r>
      <w:hyperlink r:id="rId18" w:history="1">
        <w:r w:rsidRPr="008D7CC8">
          <w:rPr>
            <w:rStyle w:val="Hyperlink"/>
            <w:rFonts w:ascii="Times New Roman" w:hAnsi="Times New Roman" w:cs="Times New Roman"/>
            <w:color w:val="auto"/>
            <w:sz w:val="24"/>
            <w:szCs w:val="24"/>
            <w:shd w:val="clear" w:color="auto" w:fill="FFFFFF"/>
          </w:rPr>
          <w:t>www.sciencedaily.com/releases/2018/10/181026102627.htm</w:t>
        </w:r>
      </w:hyperlink>
      <w:r w:rsidRPr="008D7CC8">
        <w:rPr>
          <w:rFonts w:ascii="Times New Roman" w:hAnsi="Times New Roman" w:cs="Times New Roman"/>
          <w:sz w:val="24"/>
          <w:szCs w:val="24"/>
          <w:shd w:val="clear" w:color="auto" w:fill="FFFFFF"/>
        </w:rPr>
        <w:t>.</w:t>
      </w:r>
    </w:p>
    <w:p w14:paraId="25DFF4E6"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1BC2DCD2" w14:textId="6F17F98D" w:rsidR="004E2745" w:rsidRDefault="004E2745" w:rsidP="004E2745">
      <w:pPr>
        <w:spacing w:after="0" w:line="240" w:lineRule="auto"/>
        <w:ind w:left="720" w:hanging="720"/>
        <w:contextualSpacing/>
        <w:mirrorIndents/>
        <w:jc w:val="both"/>
        <w:rPr>
          <w:rFonts w:ascii="Times New Roman" w:hAnsi="Times New Roman" w:cs="Times New Roman"/>
          <w:sz w:val="24"/>
          <w:szCs w:val="24"/>
          <w:shd w:val="clear" w:color="auto" w:fill="FFFFFF"/>
        </w:rPr>
      </w:pPr>
      <w:r w:rsidRPr="00C305A1">
        <w:rPr>
          <w:rFonts w:ascii="Times New Roman" w:hAnsi="Times New Roman" w:cs="Times New Roman"/>
          <w:sz w:val="24"/>
          <w:szCs w:val="24"/>
          <w:shd w:val="clear" w:color="auto" w:fill="FFFFFF"/>
        </w:rPr>
        <w:t>Green B</w:t>
      </w:r>
      <w:r>
        <w:rPr>
          <w:rFonts w:ascii="Times New Roman" w:hAnsi="Times New Roman" w:cs="Times New Roman"/>
          <w:sz w:val="24"/>
          <w:szCs w:val="24"/>
          <w:shd w:val="clear" w:color="auto" w:fill="FFFFFF"/>
        </w:rPr>
        <w:t xml:space="preserve">. </w:t>
      </w:r>
      <w:r w:rsidR="00FD0224">
        <w:rPr>
          <w:rFonts w:ascii="Times New Roman" w:hAnsi="Times New Roman" w:cs="Times New Roman"/>
          <w:sz w:val="24"/>
          <w:szCs w:val="24"/>
          <w:shd w:val="clear" w:color="auto" w:fill="FFFFFF"/>
        </w:rPr>
        <w:t>&amp;</w:t>
      </w:r>
      <w:r w:rsidRPr="00C305A1">
        <w:rPr>
          <w:rFonts w:ascii="Times New Roman" w:hAnsi="Times New Roman" w:cs="Times New Roman"/>
          <w:sz w:val="24"/>
          <w:szCs w:val="24"/>
          <w:shd w:val="clear" w:color="auto" w:fill="FFFFFF"/>
        </w:rPr>
        <w:t xml:space="preserve"> Ritter C. </w:t>
      </w:r>
      <w:r>
        <w:rPr>
          <w:rFonts w:ascii="Times New Roman" w:hAnsi="Times New Roman" w:cs="Times New Roman"/>
          <w:sz w:val="24"/>
          <w:szCs w:val="24"/>
          <w:shd w:val="clear" w:color="auto" w:fill="FFFFFF"/>
        </w:rPr>
        <w:t xml:space="preserve">(2000). </w:t>
      </w:r>
      <w:r w:rsidRPr="00C305A1">
        <w:rPr>
          <w:rFonts w:ascii="Times New Roman" w:hAnsi="Times New Roman" w:cs="Times New Roman"/>
          <w:sz w:val="24"/>
          <w:szCs w:val="24"/>
          <w:shd w:val="clear" w:color="auto" w:fill="FFFFFF"/>
        </w:rPr>
        <w:t xml:space="preserve">Marijuana </w:t>
      </w:r>
      <w:r w:rsidR="009B5936">
        <w:rPr>
          <w:rFonts w:ascii="Times New Roman" w:hAnsi="Times New Roman" w:cs="Times New Roman"/>
          <w:sz w:val="24"/>
          <w:szCs w:val="24"/>
          <w:shd w:val="clear" w:color="auto" w:fill="FFFFFF"/>
        </w:rPr>
        <w:t>u</w:t>
      </w:r>
      <w:r w:rsidRPr="00C305A1">
        <w:rPr>
          <w:rFonts w:ascii="Times New Roman" w:hAnsi="Times New Roman" w:cs="Times New Roman"/>
          <w:sz w:val="24"/>
          <w:szCs w:val="24"/>
          <w:shd w:val="clear" w:color="auto" w:fill="FFFFFF"/>
        </w:rPr>
        <w:t xml:space="preserve">se and </w:t>
      </w:r>
      <w:r w:rsidR="009B5936">
        <w:rPr>
          <w:rFonts w:ascii="Times New Roman" w:hAnsi="Times New Roman" w:cs="Times New Roman"/>
          <w:sz w:val="24"/>
          <w:szCs w:val="24"/>
          <w:shd w:val="clear" w:color="auto" w:fill="FFFFFF"/>
        </w:rPr>
        <w:t>d</w:t>
      </w:r>
      <w:r w:rsidRPr="00C305A1">
        <w:rPr>
          <w:rFonts w:ascii="Times New Roman" w:hAnsi="Times New Roman" w:cs="Times New Roman"/>
          <w:sz w:val="24"/>
          <w:szCs w:val="24"/>
          <w:shd w:val="clear" w:color="auto" w:fill="FFFFFF"/>
        </w:rPr>
        <w:t xml:space="preserve">epression. </w:t>
      </w:r>
      <w:r w:rsidRPr="00A92736">
        <w:rPr>
          <w:rFonts w:ascii="Times New Roman" w:hAnsi="Times New Roman" w:cs="Times New Roman"/>
          <w:i/>
          <w:iCs/>
          <w:sz w:val="24"/>
          <w:szCs w:val="24"/>
          <w:shd w:val="clear" w:color="auto" w:fill="FFFFFF"/>
        </w:rPr>
        <w:t>Journal of Health and Social Behavior</w:t>
      </w:r>
      <w:r w:rsidRPr="009B5936">
        <w:rPr>
          <w:rFonts w:ascii="Times New Roman" w:hAnsi="Times New Roman" w:cs="Times New Roman"/>
          <w:sz w:val="24"/>
          <w:szCs w:val="24"/>
          <w:shd w:val="clear" w:color="auto" w:fill="FFFFFF"/>
        </w:rPr>
        <w:t xml:space="preserve">, </w:t>
      </w:r>
      <w:r w:rsidRPr="00A92736">
        <w:rPr>
          <w:rFonts w:ascii="Times New Roman" w:hAnsi="Times New Roman" w:cs="Times New Roman"/>
          <w:i/>
          <w:iCs/>
          <w:sz w:val="24"/>
          <w:szCs w:val="24"/>
          <w:shd w:val="clear" w:color="auto" w:fill="FFFFFF"/>
        </w:rPr>
        <w:t>41</w:t>
      </w:r>
      <w:r w:rsidRPr="00C305A1">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 xml:space="preserve">, </w:t>
      </w:r>
      <w:r w:rsidRPr="00C305A1">
        <w:rPr>
          <w:rFonts w:ascii="Times New Roman" w:hAnsi="Times New Roman" w:cs="Times New Roman"/>
          <w:sz w:val="24"/>
          <w:szCs w:val="24"/>
          <w:shd w:val="clear" w:color="auto" w:fill="FFFFFF"/>
        </w:rPr>
        <w:t>40-49.</w:t>
      </w:r>
    </w:p>
    <w:p w14:paraId="1E9E76C4" w14:textId="77777777" w:rsidR="00A75049" w:rsidRDefault="00A75049" w:rsidP="004E2745">
      <w:pPr>
        <w:spacing w:after="0" w:line="240" w:lineRule="auto"/>
        <w:ind w:left="720" w:hanging="720"/>
        <w:contextualSpacing/>
        <w:mirrorIndents/>
        <w:jc w:val="both"/>
        <w:rPr>
          <w:rFonts w:ascii="Times New Roman" w:hAnsi="Times New Roman" w:cs="Times New Roman"/>
          <w:sz w:val="24"/>
          <w:szCs w:val="24"/>
          <w:shd w:val="clear" w:color="auto" w:fill="FFFFFF"/>
        </w:rPr>
      </w:pPr>
    </w:p>
    <w:p w14:paraId="752B2C10" w14:textId="2E6759B1"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5B1EED">
        <w:rPr>
          <w:rFonts w:ascii="Times New Roman" w:hAnsi="Times New Roman" w:cs="Times New Roman"/>
          <w:sz w:val="24"/>
          <w:szCs w:val="24"/>
        </w:rPr>
        <w:t xml:space="preserve">Grossman, M. (1972). On the </w:t>
      </w:r>
      <w:r w:rsidR="009B5936">
        <w:rPr>
          <w:rFonts w:ascii="Times New Roman" w:hAnsi="Times New Roman" w:cs="Times New Roman"/>
          <w:sz w:val="24"/>
          <w:szCs w:val="24"/>
        </w:rPr>
        <w:t>c</w:t>
      </w:r>
      <w:r w:rsidRPr="005B1EED">
        <w:rPr>
          <w:rFonts w:ascii="Times New Roman" w:hAnsi="Times New Roman" w:cs="Times New Roman"/>
          <w:sz w:val="24"/>
          <w:szCs w:val="24"/>
        </w:rPr>
        <w:t xml:space="preserve">oncept of </w:t>
      </w:r>
      <w:r w:rsidR="009B5936">
        <w:rPr>
          <w:rFonts w:ascii="Times New Roman" w:hAnsi="Times New Roman" w:cs="Times New Roman"/>
          <w:sz w:val="24"/>
          <w:szCs w:val="24"/>
        </w:rPr>
        <w:t>h</w:t>
      </w:r>
      <w:r w:rsidRPr="005B1EED">
        <w:rPr>
          <w:rFonts w:ascii="Times New Roman" w:hAnsi="Times New Roman" w:cs="Times New Roman"/>
          <w:sz w:val="24"/>
          <w:szCs w:val="24"/>
        </w:rPr>
        <w:t xml:space="preserve">ealth </w:t>
      </w:r>
      <w:r w:rsidR="009B5936">
        <w:rPr>
          <w:rFonts w:ascii="Times New Roman" w:hAnsi="Times New Roman" w:cs="Times New Roman"/>
          <w:sz w:val="24"/>
          <w:szCs w:val="24"/>
        </w:rPr>
        <w:t>c</w:t>
      </w:r>
      <w:r w:rsidRPr="005B1EED">
        <w:rPr>
          <w:rFonts w:ascii="Times New Roman" w:hAnsi="Times New Roman" w:cs="Times New Roman"/>
          <w:sz w:val="24"/>
          <w:szCs w:val="24"/>
        </w:rPr>
        <w:t xml:space="preserve">apital and the </w:t>
      </w:r>
      <w:r w:rsidR="009B5936">
        <w:rPr>
          <w:rFonts w:ascii="Times New Roman" w:hAnsi="Times New Roman" w:cs="Times New Roman"/>
          <w:sz w:val="24"/>
          <w:szCs w:val="24"/>
        </w:rPr>
        <w:t>d</w:t>
      </w:r>
      <w:r w:rsidRPr="005B1EED">
        <w:rPr>
          <w:rFonts w:ascii="Times New Roman" w:hAnsi="Times New Roman" w:cs="Times New Roman"/>
          <w:sz w:val="24"/>
          <w:szCs w:val="24"/>
        </w:rPr>
        <w:t xml:space="preserve">emand for </w:t>
      </w:r>
      <w:r w:rsidR="009B5936">
        <w:rPr>
          <w:rFonts w:ascii="Times New Roman" w:hAnsi="Times New Roman" w:cs="Times New Roman"/>
          <w:sz w:val="24"/>
          <w:szCs w:val="24"/>
        </w:rPr>
        <w:t>h</w:t>
      </w:r>
      <w:r w:rsidRPr="005B1EED">
        <w:rPr>
          <w:rFonts w:ascii="Times New Roman" w:hAnsi="Times New Roman" w:cs="Times New Roman"/>
          <w:sz w:val="24"/>
          <w:szCs w:val="24"/>
        </w:rPr>
        <w:t xml:space="preserve">ealth. </w:t>
      </w:r>
      <w:r w:rsidRPr="00FF7670">
        <w:rPr>
          <w:rFonts w:ascii="Times New Roman" w:hAnsi="Times New Roman" w:cs="Times New Roman"/>
          <w:i/>
          <w:iCs/>
          <w:sz w:val="24"/>
          <w:szCs w:val="24"/>
        </w:rPr>
        <w:t>Journal of Political Economy</w:t>
      </w:r>
      <w:r w:rsidRPr="009B5936">
        <w:rPr>
          <w:rFonts w:ascii="Times New Roman" w:hAnsi="Times New Roman" w:cs="Times New Roman"/>
          <w:sz w:val="24"/>
          <w:szCs w:val="24"/>
        </w:rPr>
        <w:t>,</w:t>
      </w:r>
      <w:r w:rsidRPr="00FF7670">
        <w:rPr>
          <w:rFonts w:ascii="Times New Roman" w:hAnsi="Times New Roman" w:cs="Times New Roman"/>
          <w:i/>
          <w:iCs/>
          <w:sz w:val="24"/>
          <w:szCs w:val="24"/>
        </w:rPr>
        <w:t xml:space="preserve"> 80</w:t>
      </w:r>
      <w:r w:rsidRPr="005B1EED">
        <w:rPr>
          <w:rFonts w:ascii="Times New Roman" w:hAnsi="Times New Roman" w:cs="Times New Roman"/>
          <w:sz w:val="24"/>
          <w:szCs w:val="24"/>
        </w:rPr>
        <w:t>(2), 223</w:t>
      </w:r>
      <w:r>
        <w:rPr>
          <w:rFonts w:ascii="Times New Roman" w:hAnsi="Times New Roman" w:cs="Times New Roman"/>
          <w:sz w:val="24"/>
          <w:szCs w:val="24"/>
        </w:rPr>
        <w:t>-</w:t>
      </w:r>
      <w:r w:rsidRPr="005B1EED">
        <w:rPr>
          <w:rFonts w:ascii="Times New Roman" w:hAnsi="Times New Roman" w:cs="Times New Roman"/>
          <w:sz w:val="24"/>
          <w:szCs w:val="24"/>
        </w:rPr>
        <w:t>249.</w:t>
      </w:r>
    </w:p>
    <w:p w14:paraId="0FD03091" w14:textId="77777777" w:rsidR="00FC1BE1" w:rsidRDefault="00FC1BE1" w:rsidP="004E2745">
      <w:pPr>
        <w:spacing w:after="0" w:line="240" w:lineRule="auto"/>
        <w:ind w:left="720" w:hanging="720"/>
        <w:contextualSpacing/>
        <w:mirrorIndents/>
        <w:jc w:val="both"/>
        <w:rPr>
          <w:rFonts w:ascii="Times New Roman" w:hAnsi="Times New Roman" w:cs="Times New Roman"/>
          <w:sz w:val="24"/>
          <w:szCs w:val="24"/>
        </w:rPr>
      </w:pPr>
    </w:p>
    <w:p w14:paraId="7F19637E" w14:textId="2229A657" w:rsidR="00FC1BE1" w:rsidRPr="008806CC" w:rsidRDefault="00D62676" w:rsidP="004E2745">
      <w:pPr>
        <w:spacing w:after="0" w:line="240" w:lineRule="auto"/>
        <w:ind w:left="720" w:hanging="720"/>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Gunderson, M. &amp; </w:t>
      </w:r>
      <w:proofErr w:type="spellStart"/>
      <w:r>
        <w:rPr>
          <w:rFonts w:ascii="Times New Roman" w:hAnsi="Times New Roman" w:cs="Times New Roman"/>
          <w:sz w:val="24"/>
          <w:szCs w:val="24"/>
        </w:rPr>
        <w:t>Oreopolous</w:t>
      </w:r>
      <w:proofErr w:type="spellEnd"/>
      <w:r>
        <w:rPr>
          <w:rFonts w:ascii="Times New Roman" w:hAnsi="Times New Roman" w:cs="Times New Roman"/>
          <w:sz w:val="24"/>
          <w:szCs w:val="24"/>
        </w:rPr>
        <w:t xml:space="preserve">, P. </w:t>
      </w:r>
      <w:r w:rsidR="008F5E31">
        <w:rPr>
          <w:rFonts w:ascii="Times New Roman" w:hAnsi="Times New Roman" w:cs="Times New Roman"/>
          <w:sz w:val="24"/>
          <w:szCs w:val="24"/>
        </w:rPr>
        <w:t xml:space="preserve">“Chapter 3: </w:t>
      </w:r>
      <w:r w:rsidR="00B87AF3">
        <w:rPr>
          <w:rFonts w:ascii="Times New Roman" w:hAnsi="Times New Roman" w:cs="Times New Roman"/>
          <w:sz w:val="24"/>
          <w:szCs w:val="24"/>
        </w:rPr>
        <w:t>Returns to Education in Developed Countries.</w:t>
      </w:r>
      <w:r w:rsidR="008F5E31">
        <w:rPr>
          <w:rFonts w:ascii="Times New Roman" w:hAnsi="Times New Roman" w:cs="Times New Roman"/>
          <w:sz w:val="24"/>
          <w:szCs w:val="24"/>
        </w:rPr>
        <w:t>”</w:t>
      </w:r>
      <w:r w:rsidR="00B87AF3">
        <w:rPr>
          <w:rFonts w:ascii="Times New Roman" w:hAnsi="Times New Roman" w:cs="Times New Roman"/>
          <w:sz w:val="24"/>
          <w:szCs w:val="24"/>
        </w:rPr>
        <w:t xml:space="preserve"> </w:t>
      </w:r>
      <w:r w:rsidR="00B87AF3" w:rsidRPr="008F36F3">
        <w:rPr>
          <w:rFonts w:ascii="Times New Roman" w:hAnsi="Times New Roman" w:cs="Times New Roman"/>
          <w:sz w:val="24"/>
          <w:szCs w:val="24"/>
        </w:rPr>
        <w:t>The Economics of Education</w:t>
      </w:r>
      <w:r w:rsidR="00E60433">
        <w:rPr>
          <w:rFonts w:ascii="Times New Roman" w:hAnsi="Times New Roman" w:cs="Times New Roman"/>
          <w:sz w:val="24"/>
          <w:szCs w:val="24"/>
        </w:rPr>
        <w:t xml:space="preserve"> 2</w:t>
      </w:r>
      <w:r w:rsidR="00E60433" w:rsidRPr="00773AA8">
        <w:rPr>
          <w:rFonts w:ascii="Times New Roman" w:hAnsi="Times New Roman" w:cs="Times New Roman"/>
          <w:sz w:val="24"/>
          <w:szCs w:val="24"/>
          <w:vertAlign w:val="superscript"/>
        </w:rPr>
        <w:t>nd</w:t>
      </w:r>
      <w:r w:rsidR="00E60433">
        <w:rPr>
          <w:rFonts w:ascii="Times New Roman" w:hAnsi="Times New Roman" w:cs="Times New Roman"/>
          <w:sz w:val="24"/>
          <w:szCs w:val="24"/>
        </w:rPr>
        <w:t xml:space="preserve"> ed.</w:t>
      </w:r>
      <w:r w:rsidR="00773AA8">
        <w:rPr>
          <w:rFonts w:ascii="Times New Roman" w:hAnsi="Times New Roman" w:cs="Times New Roman"/>
          <w:sz w:val="24"/>
          <w:szCs w:val="24"/>
        </w:rPr>
        <w:t xml:space="preserve">, </w:t>
      </w:r>
      <w:r w:rsidR="008F36F3">
        <w:rPr>
          <w:rFonts w:ascii="Times New Roman" w:hAnsi="Times New Roman" w:cs="Times New Roman"/>
          <w:sz w:val="24"/>
          <w:szCs w:val="24"/>
        </w:rPr>
        <w:t xml:space="preserve">edited by </w:t>
      </w:r>
      <w:r w:rsidR="00E60433">
        <w:rPr>
          <w:rFonts w:ascii="Times New Roman" w:hAnsi="Times New Roman" w:cs="Times New Roman"/>
          <w:sz w:val="24"/>
          <w:szCs w:val="24"/>
        </w:rPr>
        <w:t>S. Bradley and C. Green, Academic Press, 2020</w:t>
      </w:r>
      <w:r w:rsidR="00764765">
        <w:rPr>
          <w:rFonts w:ascii="Times New Roman" w:hAnsi="Times New Roman" w:cs="Times New Roman"/>
          <w:sz w:val="24"/>
          <w:szCs w:val="24"/>
        </w:rPr>
        <w:t>.</w:t>
      </w:r>
    </w:p>
    <w:p w14:paraId="14465821" w14:textId="77777777" w:rsidR="004E2745" w:rsidRPr="000F4BA3"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271DFA6E" w14:textId="0163FE14"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535F42">
        <w:rPr>
          <w:rFonts w:ascii="Times New Roman" w:hAnsi="Times New Roman" w:cs="Times New Roman"/>
          <w:sz w:val="24"/>
          <w:szCs w:val="24"/>
        </w:rPr>
        <w:t xml:space="preserve">Harper, S., </w:t>
      </w:r>
      <w:proofErr w:type="spellStart"/>
      <w:r w:rsidRPr="00535F42">
        <w:rPr>
          <w:rFonts w:ascii="Times New Roman" w:hAnsi="Times New Roman" w:cs="Times New Roman"/>
          <w:sz w:val="24"/>
          <w:szCs w:val="24"/>
        </w:rPr>
        <w:t>Strumpf</w:t>
      </w:r>
      <w:proofErr w:type="spellEnd"/>
      <w:r w:rsidRPr="00535F42">
        <w:rPr>
          <w:rFonts w:ascii="Times New Roman" w:hAnsi="Times New Roman" w:cs="Times New Roman"/>
          <w:sz w:val="24"/>
          <w:szCs w:val="24"/>
        </w:rPr>
        <w:t>, E</w:t>
      </w:r>
      <w:r w:rsidR="00FD0224">
        <w:rPr>
          <w:rFonts w:ascii="Times New Roman" w:hAnsi="Times New Roman" w:cs="Times New Roman"/>
          <w:sz w:val="24"/>
          <w:szCs w:val="24"/>
        </w:rPr>
        <w:t>.,</w:t>
      </w:r>
      <w:r w:rsidRPr="00535F42">
        <w:rPr>
          <w:rFonts w:ascii="Times New Roman" w:hAnsi="Times New Roman" w:cs="Times New Roman"/>
          <w:sz w:val="24"/>
          <w:szCs w:val="24"/>
        </w:rPr>
        <w:t xml:space="preserve"> &amp; Kaufman, J. (2012).</w:t>
      </w:r>
      <w:r>
        <w:rPr>
          <w:rFonts w:ascii="Times New Roman" w:hAnsi="Times New Roman" w:cs="Times New Roman"/>
          <w:sz w:val="24"/>
          <w:szCs w:val="24"/>
        </w:rPr>
        <w:t xml:space="preserve"> </w:t>
      </w:r>
      <w:r w:rsidRPr="00535F42">
        <w:rPr>
          <w:rFonts w:ascii="Times New Roman" w:hAnsi="Times New Roman" w:cs="Times New Roman"/>
          <w:sz w:val="24"/>
          <w:szCs w:val="24"/>
        </w:rPr>
        <w:t xml:space="preserve">Do </w:t>
      </w:r>
      <w:r w:rsidR="009B5936">
        <w:rPr>
          <w:rFonts w:ascii="Times New Roman" w:hAnsi="Times New Roman" w:cs="Times New Roman"/>
          <w:sz w:val="24"/>
          <w:szCs w:val="24"/>
        </w:rPr>
        <w:t>m</w:t>
      </w:r>
      <w:r w:rsidRPr="00535F42">
        <w:rPr>
          <w:rFonts w:ascii="Times New Roman" w:hAnsi="Times New Roman" w:cs="Times New Roman"/>
          <w:sz w:val="24"/>
          <w:szCs w:val="24"/>
        </w:rPr>
        <w:t xml:space="preserve">edical </w:t>
      </w:r>
      <w:r w:rsidR="009B5936">
        <w:rPr>
          <w:rFonts w:ascii="Times New Roman" w:hAnsi="Times New Roman" w:cs="Times New Roman"/>
          <w:sz w:val="24"/>
          <w:szCs w:val="24"/>
        </w:rPr>
        <w:t>m</w:t>
      </w:r>
      <w:r w:rsidRPr="00535F42">
        <w:rPr>
          <w:rFonts w:ascii="Times New Roman" w:hAnsi="Times New Roman" w:cs="Times New Roman"/>
          <w:sz w:val="24"/>
          <w:szCs w:val="24"/>
        </w:rPr>
        <w:t xml:space="preserve">arijuana </w:t>
      </w:r>
      <w:r w:rsidR="009B5936">
        <w:rPr>
          <w:rFonts w:ascii="Times New Roman" w:hAnsi="Times New Roman" w:cs="Times New Roman"/>
          <w:sz w:val="24"/>
          <w:szCs w:val="24"/>
        </w:rPr>
        <w:t>l</w:t>
      </w:r>
      <w:r w:rsidRPr="00535F42">
        <w:rPr>
          <w:rFonts w:ascii="Times New Roman" w:hAnsi="Times New Roman" w:cs="Times New Roman"/>
          <w:sz w:val="24"/>
          <w:szCs w:val="24"/>
        </w:rPr>
        <w:t xml:space="preserve">aws </w:t>
      </w:r>
      <w:r w:rsidR="009B5936">
        <w:rPr>
          <w:rFonts w:ascii="Times New Roman" w:hAnsi="Times New Roman" w:cs="Times New Roman"/>
          <w:sz w:val="24"/>
          <w:szCs w:val="24"/>
        </w:rPr>
        <w:t>i</w:t>
      </w:r>
      <w:r w:rsidRPr="00535F42">
        <w:rPr>
          <w:rFonts w:ascii="Times New Roman" w:hAnsi="Times New Roman" w:cs="Times New Roman"/>
          <w:sz w:val="24"/>
          <w:szCs w:val="24"/>
        </w:rPr>
        <w:t xml:space="preserve">ncrease </w:t>
      </w:r>
      <w:r w:rsidR="009B5936">
        <w:rPr>
          <w:rFonts w:ascii="Times New Roman" w:hAnsi="Times New Roman" w:cs="Times New Roman"/>
          <w:sz w:val="24"/>
          <w:szCs w:val="24"/>
        </w:rPr>
        <w:t>m</w:t>
      </w:r>
      <w:r w:rsidRPr="00535F42">
        <w:rPr>
          <w:rFonts w:ascii="Times New Roman" w:hAnsi="Times New Roman" w:cs="Times New Roman"/>
          <w:sz w:val="24"/>
          <w:szCs w:val="24"/>
        </w:rPr>
        <w:t xml:space="preserve">arijuana </w:t>
      </w:r>
      <w:r w:rsidR="009B5936">
        <w:rPr>
          <w:rFonts w:ascii="Times New Roman" w:hAnsi="Times New Roman" w:cs="Times New Roman"/>
          <w:sz w:val="24"/>
          <w:szCs w:val="24"/>
        </w:rPr>
        <w:t>u</w:t>
      </w:r>
      <w:r w:rsidRPr="00535F42">
        <w:rPr>
          <w:rFonts w:ascii="Times New Roman" w:hAnsi="Times New Roman" w:cs="Times New Roman"/>
          <w:sz w:val="24"/>
          <w:szCs w:val="24"/>
        </w:rPr>
        <w:t xml:space="preserve">se? Replication </w:t>
      </w:r>
      <w:r w:rsidR="009B5936">
        <w:rPr>
          <w:rFonts w:ascii="Times New Roman" w:hAnsi="Times New Roman" w:cs="Times New Roman"/>
          <w:sz w:val="24"/>
          <w:szCs w:val="24"/>
        </w:rPr>
        <w:t>s</w:t>
      </w:r>
      <w:r w:rsidRPr="00535F42">
        <w:rPr>
          <w:rFonts w:ascii="Times New Roman" w:hAnsi="Times New Roman" w:cs="Times New Roman"/>
          <w:sz w:val="24"/>
          <w:szCs w:val="24"/>
        </w:rPr>
        <w:t xml:space="preserve">tudy and </w:t>
      </w:r>
      <w:r w:rsidR="009B5936">
        <w:rPr>
          <w:rFonts w:ascii="Times New Roman" w:hAnsi="Times New Roman" w:cs="Times New Roman"/>
          <w:sz w:val="24"/>
          <w:szCs w:val="24"/>
        </w:rPr>
        <w:t>e</w:t>
      </w:r>
      <w:r w:rsidRPr="00535F42">
        <w:rPr>
          <w:rFonts w:ascii="Times New Roman" w:hAnsi="Times New Roman" w:cs="Times New Roman"/>
          <w:sz w:val="24"/>
          <w:szCs w:val="24"/>
        </w:rPr>
        <w:t xml:space="preserve">xtension. </w:t>
      </w:r>
      <w:r w:rsidRPr="00535F42">
        <w:rPr>
          <w:rFonts w:ascii="Times New Roman" w:hAnsi="Times New Roman" w:cs="Times New Roman"/>
          <w:i/>
          <w:iCs/>
          <w:color w:val="000000"/>
          <w:sz w:val="24"/>
          <w:szCs w:val="24"/>
          <w:shd w:val="clear" w:color="auto" w:fill="FFFFFF"/>
        </w:rPr>
        <w:t>Annals of Epidemiology</w:t>
      </w:r>
      <w:r w:rsidRPr="009B5936">
        <w:rPr>
          <w:rFonts w:ascii="Times New Roman" w:hAnsi="Times New Roman" w:cs="Times New Roman"/>
          <w:sz w:val="24"/>
          <w:szCs w:val="24"/>
        </w:rPr>
        <w:t>,</w:t>
      </w:r>
      <w:r w:rsidRPr="00535F42">
        <w:rPr>
          <w:rFonts w:ascii="Times New Roman" w:hAnsi="Times New Roman" w:cs="Times New Roman"/>
          <w:i/>
          <w:iCs/>
          <w:sz w:val="24"/>
          <w:szCs w:val="24"/>
        </w:rPr>
        <w:t xml:space="preserve"> 22</w:t>
      </w:r>
      <w:r w:rsidRPr="00535F42">
        <w:rPr>
          <w:rFonts w:ascii="Times New Roman" w:hAnsi="Times New Roman" w:cs="Times New Roman"/>
          <w:sz w:val="24"/>
          <w:szCs w:val="24"/>
        </w:rPr>
        <w:t>, 207</w:t>
      </w:r>
      <w:r>
        <w:rPr>
          <w:rFonts w:ascii="Times New Roman" w:hAnsi="Times New Roman" w:cs="Times New Roman"/>
          <w:sz w:val="24"/>
          <w:szCs w:val="24"/>
        </w:rPr>
        <w:t>-</w:t>
      </w:r>
      <w:r w:rsidRPr="00535F42">
        <w:rPr>
          <w:rFonts w:ascii="Times New Roman" w:hAnsi="Times New Roman" w:cs="Times New Roman"/>
          <w:sz w:val="24"/>
          <w:szCs w:val="24"/>
        </w:rPr>
        <w:t>212</w:t>
      </w:r>
      <w:r>
        <w:rPr>
          <w:rFonts w:ascii="Times New Roman" w:hAnsi="Times New Roman" w:cs="Times New Roman"/>
          <w:sz w:val="24"/>
          <w:szCs w:val="24"/>
        </w:rPr>
        <w:t>.</w:t>
      </w:r>
    </w:p>
    <w:p w14:paraId="441D0928" w14:textId="77777777" w:rsidR="004E2745" w:rsidRPr="000F4BA3"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28F50A0A" w14:textId="3C6A4D2A"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0F4BA3">
        <w:rPr>
          <w:rFonts w:ascii="Times New Roman" w:hAnsi="Times New Roman" w:cs="Times New Roman"/>
          <w:sz w:val="24"/>
          <w:szCs w:val="24"/>
        </w:rPr>
        <w:t xml:space="preserve">Harris, C., Jenkins, M., </w:t>
      </w:r>
      <w:r w:rsidR="00FD0224">
        <w:rPr>
          <w:rFonts w:ascii="Times New Roman" w:hAnsi="Times New Roman" w:cs="Times New Roman"/>
          <w:sz w:val="24"/>
          <w:szCs w:val="24"/>
        </w:rPr>
        <w:t>&amp;</w:t>
      </w:r>
      <w:r w:rsidRPr="000F4BA3">
        <w:rPr>
          <w:rFonts w:ascii="Times New Roman" w:hAnsi="Times New Roman" w:cs="Times New Roman"/>
          <w:sz w:val="24"/>
          <w:szCs w:val="24"/>
        </w:rPr>
        <w:t xml:space="preserve"> Glaser, D. (2006). Gender </w:t>
      </w:r>
      <w:r w:rsidR="009B5936">
        <w:rPr>
          <w:rFonts w:ascii="Times New Roman" w:hAnsi="Times New Roman" w:cs="Times New Roman"/>
          <w:sz w:val="24"/>
          <w:szCs w:val="24"/>
        </w:rPr>
        <w:t>d</w:t>
      </w:r>
      <w:r w:rsidRPr="000F4BA3">
        <w:rPr>
          <w:rFonts w:ascii="Times New Roman" w:hAnsi="Times New Roman" w:cs="Times New Roman"/>
          <w:sz w:val="24"/>
          <w:szCs w:val="24"/>
        </w:rPr>
        <w:t xml:space="preserve">ifferences in </w:t>
      </w:r>
      <w:r w:rsidR="009B5936">
        <w:rPr>
          <w:rFonts w:ascii="Times New Roman" w:hAnsi="Times New Roman" w:cs="Times New Roman"/>
          <w:sz w:val="24"/>
          <w:szCs w:val="24"/>
        </w:rPr>
        <w:t>r</w:t>
      </w:r>
      <w:r w:rsidRPr="000F4BA3">
        <w:rPr>
          <w:rFonts w:ascii="Times New Roman" w:hAnsi="Times New Roman" w:cs="Times New Roman"/>
          <w:sz w:val="24"/>
          <w:szCs w:val="24"/>
        </w:rPr>
        <w:t xml:space="preserve">isk </w:t>
      </w:r>
      <w:r w:rsidR="009B5936">
        <w:rPr>
          <w:rFonts w:ascii="Times New Roman" w:hAnsi="Times New Roman" w:cs="Times New Roman"/>
          <w:sz w:val="24"/>
          <w:szCs w:val="24"/>
        </w:rPr>
        <w:t>a</w:t>
      </w:r>
      <w:r w:rsidRPr="000F4BA3">
        <w:rPr>
          <w:rFonts w:ascii="Times New Roman" w:hAnsi="Times New Roman" w:cs="Times New Roman"/>
          <w:sz w:val="24"/>
          <w:szCs w:val="24"/>
        </w:rPr>
        <w:t xml:space="preserve">ssessment: Why do </w:t>
      </w:r>
      <w:r w:rsidR="009B5936">
        <w:rPr>
          <w:rFonts w:ascii="Times New Roman" w:hAnsi="Times New Roman" w:cs="Times New Roman"/>
          <w:sz w:val="24"/>
          <w:szCs w:val="24"/>
        </w:rPr>
        <w:t>w</w:t>
      </w:r>
      <w:r w:rsidRPr="000F4BA3">
        <w:rPr>
          <w:rFonts w:ascii="Times New Roman" w:hAnsi="Times New Roman" w:cs="Times New Roman"/>
          <w:sz w:val="24"/>
          <w:szCs w:val="24"/>
        </w:rPr>
        <w:t xml:space="preserve">omen </w:t>
      </w:r>
      <w:r w:rsidR="009B5936">
        <w:rPr>
          <w:rFonts w:ascii="Times New Roman" w:hAnsi="Times New Roman" w:cs="Times New Roman"/>
          <w:sz w:val="24"/>
          <w:szCs w:val="24"/>
        </w:rPr>
        <w:t>t</w:t>
      </w:r>
      <w:r w:rsidRPr="000F4BA3">
        <w:rPr>
          <w:rFonts w:ascii="Times New Roman" w:hAnsi="Times New Roman" w:cs="Times New Roman"/>
          <w:sz w:val="24"/>
          <w:szCs w:val="24"/>
        </w:rPr>
        <w:t xml:space="preserve">ake </w:t>
      </w:r>
      <w:r w:rsidR="009B5936">
        <w:rPr>
          <w:rFonts w:ascii="Times New Roman" w:hAnsi="Times New Roman" w:cs="Times New Roman"/>
          <w:sz w:val="24"/>
          <w:szCs w:val="24"/>
        </w:rPr>
        <w:t>f</w:t>
      </w:r>
      <w:r w:rsidRPr="000F4BA3">
        <w:rPr>
          <w:rFonts w:ascii="Times New Roman" w:hAnsi="Times New Roman" w:cs="Times New Roman"/>
          <w:sz w:val="24"/>
          <w:szCs w:val="24"/>
        </w:rPr>
        <w:t xml:space="preserve">ewer </w:t>
      </w:r>
      <w:r w:rsidR="009B5936">
        <w:rPr>
          <w:rFonts w:ascii="Times New Roman" w:hAnsi="Times New Roman" w:cs="Times New Roman"/>
          <w:sz w:val="24"/>
          <w:szCs w:val="24"/>
        </w:rPr>
        <w:t>r</w:t>
      </w:r>
      <w:r w:rsidRPr="000F4BA3">
        <w:rPr>
          <w:rFonts w:ascii="Times New Roman" w:hAnsi="Times New Roman" w:cs="Times New Roman"/>
          <w:sz w:val="24"/>
          <w:szCs w:val="24"/>
        </w:rPr>
        <w:t xml:space="preserve">isks than </w:t>
      </w:r>
      <w:r w:rsidR="009B5936">
        <w:rPr>
          <w:rFonts w:ascii="Times New Roman" w:hAnsi="Times New Roman" w:cs="Times New Roman"/>
          <w:sz w:val="24"/>
          <w:szCs w:val="24"/>
        </w:rPr>
        <w:t>m</w:t>
      </w:r>
      <w:r w:rsidRPr="000F4BA3">
        <w:rPr>
          <w:rFonts w:ascii="Times New Roman" w:hAnsi="Times New Roman" w:cs="Times New Roman"/>
          <w:sz w:val="24"/>
          <w:szCs w:val="24"/>
        </w:rPr>
        <w:t xml:space="preserve">en? </w:t>
      </w:r>
      <w:r w:rsidRPr="000F4BA3">
        <w:rPr>
          <w:rFonts w:ascii="Times New Roman" w:hAnsi="Times New Roman" w:cs="Times New Roman"/>
          <w:i/>
          <w:iCs/>
          <w:sz w:val="24"/>
          <w:szCs w:val="24"/>
        </w:rPr>
        <w:t>Judgement and Decision Making</w:t>
      </w:r>
      <w:r w:rsidRPr="009B5936">
        <w:rPr>
          <w:rFonts w:ascii="Times New Roman" w:hAnsi="Times New Roman" w:cs="Times New Roman"/>
          <w:sz w:val="24"/>
          <w:szCs w:val="24"/>
        </w:rPr>
        <w:t>,</w:t>
      </w:r>
      <w:r w:rsidRPr="000F4BA3">
        <w:rPr>
          <w:rFonts w:ascii="Times New Roman" w:hAnsi="Times New Roman" w:cs="Times New Roman"/>
          <w:i/>
          <w:iCs/>
          <w:sz w:val="24"/>
          <w:szCs w:val="24"/>
        </w:rPr>
        <w:t xml:space="preserve"> 1</w:t>
      </w:r>
      <w:r w:rsidRPr="000F4BA3">
        <w:rPr>
          <w:rFonts w:ascii="Times New Roman" w:hAnsi="Times New Roman" w:cs="Times New Roman"/>
          <w:sz w:val="24"/>
          <w:szCs w:val="24"/>
        </w:rPr>
        <w:t>(1), 48-63.</w:t>
      </w:r>
    </w:p>
    <w:p w14:paraId="36AC7049" w14:textId="105C642F" w:rsidR="002B1484" w:rsidRDefault="002B1484" w:rsidP="004E2745">
      <w:pPr>
        <w:spacing w:after="0" w:line="240" w:lineRule="auto"/>
        <w:ind w:left="720" w:hanging="720"/>
        <w:contextualSpacing/>
        <w:mirrorIndents/>
        <w:jc w:val="both"/>
        <w:rPr>
          <w:rFonts w:ascii="Times New Roman" w:hAnsi="Times New Roman" w:cs="Times New Roman"/>
          <w:sz w:val="24"/>
          <w:szCs w:val="24"/>
        </w:rPr>
      </w:pPr>
    </w:p>
    <w:p w14:paraId="437C1360" w14:textId="35250A09" w:rsidR="002B1484" w:rsidRPr="002B1484" w:rsidRDefault="002B1484" w:rsidP="004E2745">
      <w:pPr>
        <w:spacing w:after="0" w:line="240" w:lineRule="auto"/>
        <w:ind w:left="720" w:hanging="720"/>
        <w:contextualSpacing/>
        <w:mirrorIndents/>
        <w:jc w:val="both"/>
        <w:rPr>
          <w:rFonts w:ascii="Times New Roman" w:hAnsi="Times New Roman" w:cs="Times New Roman"/>
          <w:sz w:val="24"/>
          <w:szCs w:val="24"/>
        </w:rPr>
      </w:pPr>
      <w:r>
        <w:rPr>
          <w:rFonts w:ascii="Times New Roman" w:hAnsi="Times New Roman" w:cs="Times New Roman"/>
          <w:i/>
          <w:iCs/>
          <w:sz w:val="24"/>
          <w:szCs w:val="24"/>
        </w:rPr>
        <w:t>House Bill 2136</w:t>
      </w:r>
      <w:r>
        <w:rPr>
          <w:rFonts w:ascii="Times New Roman" w:hAnsi="Times New Roman" w:cs="Times New Roman"/>
          <w:sz w:val="24"/>
          <w:szCs w:val="24"/>
        </w:rPr>
        <w:t xml:space="preserve">. (2015). Retrieved from the Washington State Legislature: </w:t>
      </w:r>
      <w:hyperlink r:id="rId19" w:history="1">
        <w:r w:rsidRPr="002B1484">
          <w:rPr>
            <w:rStyle w:val="Hyperlink"/>
            <w:rFonts w:ascii="Times New Roman" w:hAnsi="Times New Roman" w:cs="Times New Roman"/>
            <w:color w:val="auto"/>
            <w:sz w:val="24"/>
            <w:szCs w:val="24"/>
          </w:rPr>
          <w:t>https://lawfilesext.leg.wa.gov/biennium/2015-16/Pdf/Bills/House%20Passed%20Legislature/2136-S2.PL.pdf?q=20220215181515</w:t>
        </w:r>
      </w:hyperlink>
      <w:r w:rsidRPr="002B1484">
        <w:rPr>
          <w:rFonts w:ascii="Times New Roman" w:hAnsi="Times New Roman" w:cs="Times New Roman"/>
          <w:sz w:val="24"/>
          <w:szCs w:val="24"/>
          <w:u w:val="single"/>
        </w:rPr>
        <w:t>.</w:t>
      </w:r>
      <w:r w:rsidRPr="002B1484">
        <w:rPr>
          <w:rFonts w:ascii="Times New Roman" w:hAnsi="Times New Roman" w:cs="Times New Roman"/>
          <w:sz w:val="24"/>
          <w:szCs w:val="24"/>
        </w:rPr>
        <w:t xml:space="preserve"> </w:t>
      </w:r>
    </w:p>
    <w:p w14:paraId="20EE7A4C" w14:textId="77D67825" w:rsidR="009C0CC9" w:rsidRDefault="009C0CC9" w:rsidP="004E2745">
      <w:pPr>
        <w:spacing w:after="0" w:line="240" w:lineRule="auto"/>
        <w:ind w:left="720" w:hanging="720"/>
        <w:contextualSpacing/>
        <w:mirrorIndents/>
        <w:jc w:val="both"/>
        <w:rPr>
          <w:rFonts w:ascii="Times New Roman" w:hAnsi="Times New Roman" w:cs="Times New Roman"/>
          <w:sz w:val="24"/>
          <w:szCs w:val="24"/>
        </w:rPr>
      </w:pPr>
    </w:p>
    <w:p w14:paraId="79CC08AB" w14:textId="20B5B8BE" w:rsidR="009C0CC9" w:rsidRDefault="009C0CC9" w:rsidP="006F06F9">
      <w:pPr>
        <w:spacing w:after="0" w:line="240" w:lineRule="auto"/>
        <w:ind w:left="720" w:hanging="720"/>
        <w:contextualSpacing/>
        <w:mirrorIndents/>
        <w:jc w:val="both"/>
        <w:rPr>
          <w:rFonts w:ascii="Times New Roman" w:hAnsi="Times New Roman" w:cs="Times New Roman"/>
          <w:sz w:val="24"/>
          <w:szCs w:val="24"/>
        </w:rPr>
      </w:pPr>
      <w:r w:rsidRPr="009C0CC9">
        <w:rPr>
          <w:rFonts w:ascii="Times New Roman" w:hAnsi="Times New Roman" w:cs="Times New Roman"/>
          <w:i/>
          <w:iCs/>
          <w:sz w:val="24"/>
          <w:szCs w:val="24"/>
        </w:rPr>
        <w:t>Initiative-502.</w:t>
      </w:r>
      <w:r>
        <w:rPr>
          <w:rFonts w:ascii="Times New Roman" w:hAnsi="Times New Roman" w:cs="Times New Roman"/>
          <w:sz w:val="24"/>
          <w:szCs w:val="24"/>
        </w:rPr>
        <w:t xml:space="preserve"> (2012). Retrieved from</w:t>
      </w:r>
      <w:r w:rsidR="006F06F9">
        <w:rPr>
          <w:rFonts w:ascii="Times New Roman" w:hAnsi="Times New Roman" w:cs="Times New Roman"/>
          <w:sz w:val="24"/>
          <w:szCs w:val="24"/>
        </w:rPr>
        <w:t xml:space="preserve"> the Washington State Legislature: </w:t>
      </w:r>
      <w:r w:rsidRPr="006F06F9">
        <w:rPr>
          <w:rFonts w:ascii="Times New Roman" w:hAnsi="Times New Roman" w:cs="Times New Roman"/>
          <w:sz w:val="24"/>
          <w:szCs w:val="24"/>
          <w:u w:val="single"/>
        </w:rPr>
        <w:t>https://apps.leg.wa.gov/documents/billdocs/2011-12/Pdf/Initiatives/Initiatives/INITIATIVE%20502.pdf</w:t>
      </w:r>
    </w:p>
    <w:p w14:paraId="5B8EF88C"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2DAE1D89" w14:textId="7B406846"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1862AB">
        <w:rPr>
          <w:rFonts w:ascii="Times New Roman" w:hAnsi="Times New Roman" w:cs="Times New Roman"/>
          <w:sz w:val="24"/>
          <w:szCs w:val="24"/>
        </w:rPr>
        <w:t xml:space="preserve">Jacobus, J. </w:t>
      </w:r>
      <w:r w:rsidR="00FD0224">
        <w:rPr>
          <w:rFonts w:ascii="Times New Roman" w:hAnsi="Times New Roman" w:cs="Times New Roman"/>
          <w:sz w:val="24"/>
          <w:szCs w:val="24"/>
        </w:rPr>
        <w:t>&amp;</w:t>
      </w:r>
      <w:r w:rsidRPr="001862AB">
        <w:rPr>
          <w:rFonts w:ascii="Times New Roman" w:hAnsi="Times New Roman" w:cs="Times New Roman"/>
          <w:sz w:val="24"/>
          <w:szCs w:val="24"/>
        </w:rPr>
        <w:t xml:space="preserve"> Tapert, S. (2014). Effects of </w:t>
      </w:r>
      <w:r w:rsidR="009B5936">
        <w:rPr>
          <w:rFonts w:ascii="Times New Roman" w:hAnsi="Times New Roman" w:cs="Times New Roman"/>
          <w:sz w:val="24"/>
          <w:szCs w:val="24"/>
        </w:rPr>
        <w:t>c</w:t>
      </w:r>
      <w:r w:rsidRPr="001862AB">
        <w:rPr>
          <w:rFonts w:ascii="Times New Roman" w:hAnsi="Times New Roman" w:cs="Times New Roman"/>
          <w:sz w:val="24"/>
          <w:szCs w:val="24"/>
        </w:rPr>
        <w:t xml:space="preserve">annabis on the </w:t>
      </w:r>
      <w:r w:rsidR="009B5936">
        <w:rPr>
          <w:rFonts w:ascii="Times New Roman" w:hAnsi="Times New Roman" w:cs="Times New Roman"/>
          <w:sz w:val="24"/>
          <w:szCs w:val="24"/>
        </w:rPr>
        <w:t>a</w:t>
      </w:r>
      <w:r w:rsidRPr="001862AB">
        <w:rPr>
          <w:rFonts w:ascii="Times New Roman" w:hAnsi="Times New Roman" w:cs="Times New Roman"/>
          <w:sz w:val="24"/>
          <w:szCs w:val="24"/>
        </w:rPr>
        <w:t xml:space="preserve">dolescent </w:t>
      </w:r>
      <w:r w:rsidR="009B5936">
        <w:rPr>
          <w:rFonts w:ascii="Times New Roman" w:hAnsi="Times New Roman" w:cs="Times New Roman"/>
          <w:sz w:val="24"/>
          <w:szCs w:val="24"/>
        </w:rPr>
        <w:t>b</w:t>
      </w:r>
      <w:r w:rsidRPr="001862AB">
        <w:rPr>
          <w:rFonts w:ascii="Times New Roman" w:hAnsi="Times New Roman" w:cs="Times New Roman"/>
          <w:sz w:val="24"/>
          <w:szCs w:val="24"/>
        </w:rPr>
        <w:t xml:space="preserve">rain. </w:t>
      </w:r>
      <w:r w:rsidRPr="001862AB">
        <w:rPr>
          <w:rFonts w:ascii="Times New Roman" w:hAnsi="Times New Roman" w:cs="Times New Roman"/>
          <w:i/>
          <w:iCs/>
          <w:sz w:val="24"/>
          <w:szCs w:val="24"/>
        </w:rPr>
        <w:t>Current Pharmaceutical Design</w:t>
      </w:r>
      <w:r w:rsidRPr="009B5936">
        <w:rPr>
          <w:rFonts w:ascii="Times New Roman" w:hAnsi="Times New Roman" w:cs="Times New Roman"/>
          <w:sz w:val="24"/>
          <w:szCs w:val="24"/>
        </w:rPr>
        <w:t>,</w:t>
      </w:r>
      <w:r w:rsidRPr="001862AB">
        <w:rPr>
          <w:rFonts w:ascii="Times New Roman" w:hAnsi="Times New Roman" w:cs="Times New Roman"/>
          <w:i/>
          <w:iCs/>
          <w:sz w:val="24"/>
          <w:szCs w:val="24"/>
        </w:rPr>
        <w:t xml:space="preserve"> 20</w:t>
      </w:r>
      <w:r w:rsidRPr="001862AB">
        <w:rPr>
          <w:rFonts w:ascii="Times New Roman" w:hAnsi="Times New Roman" w:cs="Times New Roman"/>
          <w:sz w:val="24"/>
          <w:szCs w:val="24"/>
        </w:rPr>
        <w:t>(13), 2186-2193.</w:t>
      </w:r>
    </w:p>
    <w:p w14:paraId="2349E4D5" w14:textId="64DC92B2" w:rsidR="007225DF" w:rsidRDefault="007225DF" w:rsidP="004E2745">
      <w:pPr>
        <w:spacing w:after="0" w:line="240" w:lineRule="auto"/>
        <w:ind w:left="720" w:hanging="720"/>
        <w:contextualSpacing/>
        <w:mirrorIndents/>
        <w:jc w:val="both"/>
        <w:rPr>
          <w:rFonts w:ascii="Times New Roman" w:hAnsi="Times New Roman" w:cs="Times New Roman"/>
          <w:sz w:val="24"/>
          <w:szCs w:val="24"/>
        </w:rPr>
      </w:pPr>
    </w:p>
    <w:p w14:paraId="7CF4B643" w14:textId="58F2F9E1" w:rsidR="007225DF" w:rsidRPr="001862AB" w:rsidRDefault="007225DF" w:rsidP="004E2745">
      <w:pPr>
        <w:spacing w:after="0" w:line="240" w:lineRule="auto"/>
        <w:ind w:left="720" w:hanging="720"/>
        <w:contextualSpacing/>
        <w:mirrorIndents/>
        <w:jc w:val="both"/>
        <w:rPr>
          <w:rFonts w:ascii="Times New Roman" w:hAnsi="Times New Roman" w:cs="Times New Roman"/>
          <w:sz w:val="24"/>
          <w:szCs w:val="24"/>
        </w:rPr>
      </w:pPr>
      <w:r>
        <w:rPr>
          <w:rFonts w:ascii="Times New Roman" w:hAnsi="Times New Roman" w:cs="Times New Roman"/>
          <w:sz w:val="24"/>
          <w:szCs w:val="24"/>
        </w:rPr>
        <w:t>Jarrold-Grapes, R. (202</w:t>
      </w:r>
      <w:r w:rsidR="006248D8">
        <w:rPr>
          <w:rFonts w:ascii="Times New Roman" w:hAnsi="Times New Roman" w:cs="Times New Roman"/>
          <w:sz w:val="24"/>
          <w:szCs w:val="24"/>
        </w:rPr>
        <w:t>3</w:t>
      </w:r>
      <w:r>
        <w:rPr>
          <w:rFonts w:ascii="Times New Roman" w:hAnsi="Times New Roman" w:cs="Times New Roman"/>
          <w:sz w:val="24"/>
          <w:szCs w:val="24"/>
        </w:rPr>
        <w:t xml:space="preserve">). Marijuana </w:t>
      </w:r>
      <w:r w:rsidR="009B5936">
        <w:rPr>
          <w:rFonts w:ascii="Times New Roman" w:hAnsi="Times New Roman" w:cs="Times New Roman"/>
          <w:sz w:val="24"/>
          <w:szCs w:val="24"/>
        </w:rPr>
        <w:t>l</w:t>
      </w:r>
      <w:r>
        <w:rPr>
          <w:rFonts w:ascii="Times New Roman" w:hAnsi="Times New Roman" w:cs="Times New Roman"/>
          <w:sz w:val="24"/>
          <w:szCs w:val="24"/>
        </w:rPr>
        <w:t xml:space="preserve">egalization and </w:t>
      </w:r>
      <w:r w:rsidR="009B5936">
        <w:rPr>
          <w:rFonts w:ascii="Times New Roman" w:hAnsi="Times New Roman" w:cs="Times New Roman"/>
          <w:sz w:val="24"/>
          <w:szCs w:val="24"/>
        </w:rPr>
        <w:t>e</w:t>
      </w:r>
      <w:r>
        <w:rPr>
          <w:rFonts w:ascii="Times New Roman" w:hAnsi="Times New Roman" w:cs="Times New Roman"/>
          <w:sz w:val="24"/>
          <w:szCs w:val="24"/>
        </w:rPr>
        <w:t xml:space="preserve">ducational </w:t>
      </w:r>
      <w:r w:rsidR="009B5936">
        <w:rPr>
          <w:rFonts w:ascii="Times New Roman" w:hAnsi="Times New Roman" w:cs="Times New Roman"/>
          <w:sz w:val="24"/>
          <w:szCs w:val="24"/>
        </w:rPr>
        <w:t>o</w:t>
      </w:r>
      <w:r>
        <w:rPr>
          <w:rFonts w:ascii="Times New Roman" w:hAnsi="Times New Roman" w:cs="Times New Roman"/>
          <w:sz w:val="24"/>
          <w:szCs w:val="24"/>
        </w:rPr>
        <w:t>utcomes: Evidence from Oregon. Working Paper.</w:t>
      </w:r>
    </w:p>
    <w:p w14:paraId="0BAFD8C7"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741C131F" w14:textId="7FD2AD1A"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7C1E66">
        <w:rPr>
          <w:rFonts w:ascii="Times New Roman" w:hAnsi="Times New Roman" w:cs="Times New Roman"/>
          <w:sz w:val="24"/>
          <w:szCs w:val="24"/>
        </w:rPr>
        <w:t xml:space="preserve">Kandel, D., Yamaguchi, K., &amp; Chen, K. (1992). Stages of </w:t>
      </w:r>
      <w:r w:rsidR="00E81A42">
        <w:rPr>
          <w:rFonts w:ascii="Times New Roman" w:hAnsi="Times New Roman" w:cs="Times New Roman"/>
          <w:sz w:val="24"/>
          <w:szCs w:val="24"/>
        </w:rPr>
        <w:t>p</w:t>
      </w:r>
      <w:r w:rsidRPr="007C1E66">
        <w:rPr>
          <w:rFonts w:ascii="Times New Roman" w:hAnsi="Times New Roman" w:cs="Times New Roman"/>
          <w:sz w:val="24"/>
          <w:szCs w:val="24"/>
        </w:rPr>
        <w:t xml:space="preserve">rogression in </w:t>
      </w:r>
      <w:r w:rsidR="00E81A42">
        <w:rPr>
          <w:rFonts w:ascii="Times New Roman" w:hAnsi="Times New Roman" w:cs="Times New Roman"/>
          <w:sz w:val="24"/>
          <w:szCs w:val="24"/>
        </w:rPr>
        <w:t>d</w:t>
      </w:r>
      <w:r w:rsidRPr="007C1E66">
        <w:rPr>
          <w:rFonts w:ascii="Times New Roman" w:hAnsi="Times New Roman" w:cs="Times New Roman"/>
          <w:sz w:val="24"/>
          <w:szCs w:val="24"/>
        </w:rPr>
        <w:t xml:space="preserve">rug </w:t>
      </w:r>
      <w:r w:rsidR="00E81A42">
        <w:rPr>
          <w:rFonts w:ascii="Times New Roman" w:hAnsi="Times New Roman" w:cs="Times New Roman"/>
          <w:sz w:val="24"/>
          <w:szCs w:val="24"/>
        </w:rPr>
        <w:t>i</w:t>
      </w:r>
      <w:r w:rsidRPr="007C1E66">
        <w:rPr>
          <w:rFonts w:ascii="Times New Roman" w:hAnsi="Times New Roman" w:cs="Times New Roman"/>
          <w:sz w:val="24"/>
          <w:szCs w:val="24"/>
        </w:rPr>
        <w:t xml:space="preserve">nvolvement from </w:t>
      </w:r>
      <w:r w:rsidR="00E81A42">
        <w:rPr>
          <w:rFonts w:ascii="Times New Roman" w:hAnsi="Times New Roman" w:cs="Times New Roman"/>
          <w:sz w:val="24"/>
          <w:szCs w:val="24"/>
        </w:rPr>
        <w:t>a</w:t>
      </w:r>
      <w:r w:rsidRPr="007C1E66">
        <w:rPr>
          <w:rFonts w:ascii="Times New Roman" w:hAnsi="Times New Roman" w:cs="Times New Roman"/>
          <w:sz w:val="24"/>
          <w:szCs w:val="24"/>
        </w:rPr>
        <w:t xml:space="preserve">dolescence to </w:t>
      </w:r>
      <w:r w:rsidR="00E81A42">
        <w:rPr>
          <w:rFonts w:ascii="Times New Roman" w:hAnsi="Times New Roman" w:cs="Times New Roman"/>
          <w:sz w:val="24"/>
          <w:szCs w:val="24"/>
        </w:rPr>
        <w:t>a</w:t>
      </w:r>
      <w:r w:rsidRPr="007C1E66">
        <w:rPr>
          <w:rFonts w:ascii="Times New Roman" w:hAnsi="Times New Roman" w:cs="Times New Roman"/>
          <w:sz w:val="24"/>
          <w:szCs w:val="24"/>
        </w:rPr>
        <w:t xml:space="preserve">dulthood: Further </w:t>
      </w:r>
      <w:r w:rsidR="00E81A42">
        <w:rPr>
          <w:rFonts w:ascii="Times New Roman" w:hAnsi="Times New Roman" w:cs="Times New Roman"/>
          <w:sz w:val="24"/>
          <w:szCs w:val="24"/>
        </w:rPr>
        <w:t>e</w:t>
      </w:r>
      <w:r w:rsidRPr="007C1E66">
        <w:rPr>
          <w:rFonts w:ascii="Times New Roman" w:hAnsi="Times New Roman" w:cs="Times New Roman"/>
          <w:sz w:val="24"/>
          <w:szCs w:val="24"/>
        </w:rPr>
        <w:t xml:space="preserve">vidence for the </w:t>
      </w:r>
      <w:r w:rsidR="00E81A42">
        <w:rPr>
          <w:rFonts w:ascii="Times New Roman" w:hAnsi="Times New Roman" w:cs="Times New Roman"/>
          <w:sz w:val="24"/>
          <w:szCs w:val="24"/>
        </w:rPr>
        <w:t>g</w:t>
      </w:r>
      <w:r w:rsidRPr="007C1E66">
        <w:rPr>
          <w:rFonts w:ascii="Times New Roman" w:hAnsi="Times New Roman" w:cs="Times New Roman"/>
          <w:sz w:val="24"/>
          <w:szCs w:val="24"/>
        </w:rPr>
        <w:t xml:space="preserve">ateway </w:t>
      </w:r>
      <w:r w:rsidR="00E81A42">
        <w:rPr>
          <w:rFonts w:ascii="Times New Roman" w:hAnsi="Times New Roman" w:cs="Times New Roman"/>
          <w:sz w:val="24"/>
          <w:szCs w:val="24"/>
        </w:rPr>
        <w:t>t</w:t>
      </w:r>
      <w:r w:rsidRPr="007C1E66">
        <w:rPr>
          <w:rFonts w:ascii="Times New Roman" w:hAnsi="Times New Roman" w:cs="Times New Roman"/>
          <w:sz w:val="24"/>
          <w:szCs w:val="24"/>
        </w:rPr>
        <w:t xml:space="preserve">heory. </w:t>
      </w:r>
      <w:r w:rsidRPr="00AC7AEF">
        <w:rPr>
          <w:rFonts w:ascii="Times New Roman" w:hAnsi="Times New Roman" w:cs="Times New Roman"/>
          <w:i/>
          <w:iCs/>
          <w:sz w:val="24"/>
          <w:szCs w:val="24"/>
        </w:rPr>
        <w:t>Journal of Studies on Alcohol</w:t>
      </w:r>
      <w:r w:rsidRPr="00E81A42">
        <w:rPr>
          <w:rFonts w:ascii="Times New Roman" w:hAnsi="Times New Roman" w:cs="Times New Roman"/>
          <w:sz w:val="24"/>
          <w:szCs w:val="24"/>
        </w:rPr>
        <w:t xml:space="preserve">, </w:t>
      </w:r>
      <w:r w:rsidRPr="00AC7AEF">
        <w:rPr>
          <w:rFonts w:ascii="Times New Roman" w:hAnsi="Times New Roman" w:cs="Times New Roman"/>
          <w:i/>
          <w:iCs/>
          <w:sz w:val="24"/>
          <w:szCs w:val="24"/>
        </w:rPr>
        <w:t>53</w:t>
      </w:r>
      <w:r w:rsidRPr="007C1E66">
        <w:rPr>
          <w:rFonts w:ascii="Times New Roman" w:hAnsi="Times New Roman" w:cs="Times New Roman"/>
          <w:sz w:val="24"/>
          <w:szCs w:val="24"/>
        </w:rPr>
        <w:t>, 447</w:t>
      </w:r>
      <w:r>
        <w:rPr>
          <w:rFonts w:ascii="Times New Roman" w:hAnsi="Times New Roman" w:cs="Times New Roman"/>
          <w:sz w:val="24"/>
          <w:szCs w:val="24"/>
        </w:rPr>
        <w:t>-</w:t>
      </w:r>
      <w:r w:rsidRPr="007C1E66">
        <w:rPr>
          <w:rFonts w:ascii="Times New Roman" w:hAnsi="Times New Roman" w:cs="Times New Roman"/>
          <w:sz w:val="24"/>
          <w:szCs w:val="24"/>
        </w:rPr>
        <w:t>457.</w:t>
      </w:r>
    </w:p>
    <w:p w14:paraId="74167B61" w14:textId="77777777" w:rsidR="004E2745" w:rsidRPr="00FA23C4"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241EF414" w14:textId="53BAC54C" w:rsidR="004E2745" w:rsidRPr="007C1E66" w:rsidRDefault="004E2745" w:rsidP="004E2745">
      <w:pPr>
        <w:spacing w:after="0" w:line="240" w:lineRule="auto"/>
        <w:ind w:left="720" w:hanging="720"/>
        <w:contextualSpacing/>
        <w:mirrorIndents/>
        <w:jc w:val="both"/>
        <w:rPr>
          <w:rFonts w:ascii="Times New Roman" w:hAnsi="Times New Roman" w:cs="Times New Roman"/>
          <w:sz w:val="24"/>
          <w:szCs w:val="24"/>
        </w:rPr>
      </w:pPr>
      <w:proofErr w:type="spellStart"/>
      <w:r w:rsidRPr="007C1E66">
        <w:rPr>
          <w:rFonts w:ascii="Times New Roman" w:hAnsi="Times New Roman" w:cs="Times New Roman"/>
          <w:sz w:val="24"/>
          <w:szCs w:val="24"/>
        </w:rPr>
        <w:t>Khatapoush</w:t>
      </w:r>
      <w:proofErr w:type="spellEnd"/>
      <w:r w:rsidRPr="007C1E66">
        <w:rPr>
          <w:rFonts w:ascii="Times New Roman" w:hAnsi="Times New Roman" w:cs="Times New Roman"/>
          <w:sz w:val="24"/>
          <w:szCs w:val="24"/>
        </w:rPr>
        <w:t xml:space="preserve"> S</w:t>
      </w:r>
      <w:r>
        <w:rPr>
          <w:rFonts w:ascii="Times New Roman" w:hAnsi="Times New Roman" w:cs="Times New Roman"/>
          <w:sz w:val="24"/>
          <w:szCs w:val="24"/>
        </w:rPr>
        <w:t>.</w:t>
      </w:r>
      <w:r w:rsidR="00FD0224">
        <w:rPr>
          <w:rFonts w:ascii="Times New Roman" w:hAnsi="Times New Roman" w:cs="Times New Roman"/>
          <w:sz w:val="24"/>
          <w:szCs w:val="24"/>
        </w:rPr>
        <w:t xml:space="preserve"> &amp;</w:t>
      </w:r>
      <w:r w:rsidRPr="007C1E66">
        <w:rPr>
          <w:rFonts w:ascii="Times New Roman" w:hAnsi="Times New Roman" w:cs="Times New Roman"/>
          <w:sz w:val="24"/>
          <w:szCs w:val="24"/>
        </w:rPr>
        <w:t xml:space="preserve"> </w:t>
      </w:r>
      <w:proofErr w:type="spellStart"/>
      <w:r w:rsidRPr="007C1E66">
        <w:rPr>
          <w:rFonts w:ascii="Times New Roman" w:hAnsi="Times New Roman" w:cs="Times New Roman"/>
          <w:sz w:val="24"/>
          <w:szCs w:val="24"/>
        </w:rPr>
        <w:t>Hallfors</w:t>
      </w:r>
      <w:proofErr w:type="spellEnd"/>
      <w:r w:rsidRPr="007C1E66">
        <w:rPr>
          <w:rFonts w:ascii="Times New Roman" w:hAnsi="Times New Roman" w:cs="Times New Roman"/>
          <w:sz w:val="24"/>
          <w:szCs w:val="24"/>
        </w:rPr>
        <w:t xml:space="preserve"> D. </w:t>
      </w:r>
      <w:r w:rsidR="00FD0224">
        <w:rPr>
          <w:rFonts w:ascii="Times New Roman" w:hAnsi="Times New Roman" w:cs="Times New Roman"/>
          <w:sz w:val="24"/>
          <w:szCs w:val="24"/>
        </w:rPr>
        <w:t>(</w:t>
      </w:r>
      <w:r w:rsidRPr="007C1E66">
        <w:rPr>
          <w:rFonts w:ascii="Times New Roman" w:hAnsi="Times New Roman" w:cs="Times New Roman"/>
          <w:sz w:val="24"/>
          <w:szCs w:val="24"/>
        </w:rPr>
        <w:t>2004</w:t>
      </w:r>
      <w:r w:rsidR="00FD0224">
        <w:rPr>
          <w:rFonts w:ascii="Times New Roman" w:hAnsi="Times New Roman" w:cs="Times New Roman"/>
          <w:sz w:val="24"/>
          <w:szCs w:val="24"/>
        </w:rPr>
        <w:t>)</w:t>
      </w:r>
      <w:r>
        <w:rPr>
          <w:rFonts w:ascii="Times New Roman" w:hAnsi="Times New Roman" w:cs="Times New Roman"/>
          <w:sz w:val="24"/>
          <w:szCs w:val="24"/>
        </w:rPr>
        <w:t xml:space="preserve">. </w:t>
      </w:r>
      <w:r w:rsidRPr="007C1E66">
        <w:rPr>
          <w:rFonts w:ascii="Times New Roman" w:hAnsi="Times New Roman" w:cs="Times New Roman"/>
          <w:sz w:val="24"/>
          <w:szCs w:val="24"/>
        </w:rPr>
        <w:t xml:space="preserve">Sending the </w:t>
      </w:r>
      <w:r w:rsidR="00E81A42">
        <w:rPr>
          <w:rFonts w:ascii="Times New Roman" w:hAnsi="Times New Roman" w:cs="Times New Roman"/>
          <w:sz w:val="24"/>
          <w:szCs w:val="24"/>
        </w:rPr>
        <w:t>w</w:t>
      </w:r>
      <w:r w:rsidRPr="007C1E66">
        <w:rPr>
          <w:rFonts w:ascii="Times New Roman" w:hAnsi="Times New Roman" w:cs="Times New Roman"/>
          <w:sz w:val="24"/>
          <w:szCs w:val="24"/>
        </w:rPr>
        <w:t xml:space="preserve">rong </w:t>
      </w:r>
      <w:r w:rsidR="00E81A42">
        <w:rPr>
          <w:rFonts w:ascii="Times New Roman" w:hAnsi="Times New Roman" w:cs="Times New Roman"/>
          <w:sz w:val="24"/>
          <w:szCs w:val="24"/>
        </w:rPr>
        <w:t>m</w:t>
      </w:r>
      <w:r w:rsidRPr="007C1E66">
        <w:rPr>
          <w:rFonts w:ascii="Times New Roman" w:hAnsi="Times New Roman" w:cs="Times New Roman"/>
          <w:sz w:val="24"/>
          <w:szCs w:val="24"/>
        </w:rPr>
        <w:t xml:space="preserve">essage: </w:t>
      </w:r>
      <w:r>
        <w:rPr>
          <w:rFonts w:ascii="Times New Roman" w:hAnsi="Times New Roman" w:cs="Times New Roman"/>
          <w:sz w:val="24"/>
          <w:szCs w:val="24"/>
        </w:rPr>
        <w:t>D</w:t>
      </w:r>
      <w:r w:rsidRPr="007C1E66">
        <w:rPr>
          <w:rFonts w:ascii="Times New Roman" w:hAnsi="Times New Roman" w:cs="Times New Roman"/>
          <w:sz w:val="24"/>
          <w:szCs w:val="24"/>
        </w:rPr>
        <w:t xml:space="preserve">id </w:t>
      </w:r>
      <w:r w:rsidR="00E81A42">
        <w:rPr>
          <w:rFonts w:ascii="Times New Roman" w:hAnsi="Times New Roman" w:cs="Times New Roman"/>
          <w:sz w:val="24"/>
          <w:szCs w:val="24"/>
        </w:rPr>
        <w:t>m</w:t>
      </w:r>
      <w:r w:rsidRPr="007C1E66">
        <w:rPr>
          <w:rFonts w:ascii="Times New Roman" w:hAnsi="Times New Roman" w:cs="Times New Roman"/>
          <w:sz w:val="24"/>
          <w:szCs w:val="24"/>
        </w:rPr>
        <w:t xml:space="preserve">edical </w:t>
      </w:r>
      <w:r w:rsidR="00E81A42">
        <w:rPr>
          <w:rFonts w:ascii="Times New Roman" w:hAnsi="Times New Roman" w:cs="Times New Roman"/>
          <w:sz w:val="24"/>
          <w:szCs w:val="24"/>
        </w:rPr>
        <w:t>m</w:t>
      </w:r>
      <w:r w:rsidRPr="007C1E66">
        <w:rPr>
          <w:rFonts w:ascii="Times New Roman" w:hAnsi="Times New Roman" w:cs="Times New Roman"/>
          <w:sz w:val="24"/>
          <w:szCs w:val="24"/>
        </w:rPr>
        <w:t xml:space="preserve">arijuana </w:t>
      </w:r>
      <w:r w:rsidR="00E81A42">
        <w:rPr>
          <w:rFonts w:ascii="Times New Roman" w:hAnsi="Times New Roman" w:cs="Times New Roman"/>
          <w:sz w:val="24"/>
          <w:szCs w:val="24"/>
        </w:rPr>
        <w:t>l</w:t>
      </w:r>
      <w:r w:rsidRPr="007C1E66">
        <w:rPr>
          <w:rFonts w:ascii="Times New Roman" w:hAnsi="Times New Roman" w:cs="Times New Roman"/>
          <w:sz w:val="24"/>
          <w:szCs w:val="24"/>
        </w:rPr>
        <w:t xml:space="preserve">egalization in California </w:t>
      </w:r>
      <w:r w:rsidR="00E81A42">
        <w:rPr>
          <w:rFonts w:ascii="Times New Roman" w:hAnsi="Times New Roman" w:cs="Times New Roman"/>
          <w:sz w:val="24"/>
          <w:szCs w:val="24"/>
        </w:rPr>
        <w:t>c</w:t>
      </w:r>
      <w:r w:rsidRPr="007C1E66">
        <w:rPr>
          <w:rFonts w:ascii="Times New Roman" w:hAnsi="Times New Roman" w:cs="Times New Roman"/>
          <w:sz w:val="24"/>
          <w:szCs w:val="24"/>
        </w:rPr>
        <w:t xml:space="preserve">hange </w:t>
      </w:r>
      <w:r w:rsidR="00E81A42">
        <w:rPr>
          <w:rFonts w:ascii="Times New Roman" w:hAnsi="Times New Roman" w:cs="Times New Roman"/>
          <w:sz w:val="24"/>
          <w:szCs w:val="24"/>
        </w:rPr>
        <w:t>a</w:t>
      </w:r>
      <w:r w:rsidRPr="007C1E66">
        <w:rPr>
          <w:rFonts w:ascii="Times New Roman" w:hAnsi="Times New Roman" w:cs="Times New Roman"/>
          <w:sz w:val="24"/>
          <w:szCs w:val="24"/>
        </w:rPr>
        <w:t xml:space="preserve">ttitudes </w:t>
      </w:r>
      <w:r w:rsidR="00E81A42">
        <w:rPr>
          <w:rFonts w:ascii="Times New Roman" w:hAnsi="Times New Roman" w:cs="Times New Roman"/>
          <w:sz w:val="24"/>
          <w:szCs w:val="24"/>
        </w:rPr>
        <w:t>a</w:t>
      </w:r>
      <w:r w:rsidRPr="007C1E66">
        <w:rPr>
          <w:rFonts w:ascii="Times New Roman" w:hAnsi="Times New Roman" w:cs="Times New Roman"/>
          <w:sz w:val="24"/>
          <w:szCs w:val="24"/>
        </w:rPr>
        <w:t xml:space="preserve">bout and </w:t>
      </w:r>
      <w:r w:rsidR="00E81A42">
        <w:rPr>
          <w:rFonts w:ascii="Times New Roman" w:hAnsi="Times New Roman" w:cs="Times New Roman"/>
          <w:sz w:val="24"/>
          <w:szCs w:val="24"/>
        </w:rPr>
        <w:t>u</w:t>
      </w:r>
      <w:r w:rsidRPr="007C1E66">
        <w:rPr>
          <w:rFonts w:ascii="Times New Roman" w:hAnsi="Times New Roman" w:cs="Times New Roman"/>
          <w:sz w:val="24"/>
          <w:szCs w:val="24"/>
        </w:rPr>
        <w:t xml:space="preserve">se of </w:t>
      </w:r>
      <w:r w:rsidR="00E81A42">
        <w:rPr>
          <w:rFonts w:ascii="Times New Roman" w:hAnsi="Times New Roman" w:cs="Times New Roman"/>
          <w:sz w:val="24"/>
          <w:szCs w:val="24"/>
        </w:rPr>
        <w:t>m</w:t>
      </w:r>
      <w:r w:rsidRPr="007C1E66">
        <w:rPr>
          <w:rFonts w:ascii="Times New Roman" w:hAnsi="Times New Roman" w:cs="Times New Roman"/>
          <w:sz w:val="24"/>
          <w:szCs w:val="24"/>
        </w:rPr>
        <w:t>arijuana</w:t>
      </w:r>
      <w:r w:rsidRPr="004B2C60">
        <w:rPr>
          <w:rFonts w:ascii="Times New Roman" w:hAnsi="Times New Roman" w:cs="Times New Roman"/>
          <w:i/>
          <w:iCs/>
          <w:sz w:val="24"/>
          <w:szCs w:val="24"/>
        </w:rPr>
        <w:t>? Journal of Drug Issues</w:t>
      </w:r>
      <w:r w:rsidRPr="00E81A42">
        <w:rPr>
          <w:rFonts w:ascii="Times New Roman" w:hAnsi="Times New Roman" w:cs="Times New Roman"/>
          <w:sz w:val="24"/>
          <w:szCs w:val="24"/>
        </w:rPr>
        <w:t>,</w:t>
      </w:r>
      <w:r w:rsidRPr="004B2C60">
        <w:rPr>
          <w:rFonts w:ascii="Times New Roman" w:hAnsi="Times New Roman" w:cs="Times New Roman"/>
          <w:i/>
          <w:iCs/>
          <w:sz w:val="24"/>
          <w:szCs w:val="24"/>
        </w:rPr>
        <w:t xml:space="preserve"> 34</w:t>
      </w:r>
      <w:r>
        <w:rPr>
          <w:rFonts w:ascii="Times New Roman" w:hAnsi="Times New Roman" w:cs="Times New Roman"/>
          <w:sz w:val="24"/>
          <w:szCs w:val="24"/>
        </w:rPr>
        <w:t xml:space="preserve">, </w:t>
      </w:r>
      <w:r w:rsidRPr="007C1E66">
        <w:rPr>
          <w:rFonts w:ascii="Times New Roman" w:hAnsi="Times New Roman" w:cs="Times New Roman"/>
          <w:sz w:val="24"/>
          <w:szCs w:val="24"/>
        </w:rPr>
        <w:t>751-770.</w:t>
      </w:r>
    </w:p>
    <w:p w14:paraId="528666ED"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09276CC4" w14:textId="06B36FB8"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roofErr w:type="spellStart"/>
      <w:r w:rsidRPr="007C1E66">
        <w:rPr>
          <w:rFonts w:ascii="Times New Roman" w:hAnsi="Times New Roman" w:cs="Times New Roman"/>
          <w:sz w:val="24"/>
          <w:szCs w:val="24"/>
        </w:rPr>
        <w:t>Lisdahl</w:t>
      </w:r>
      <w:proofErr w:type="spellEnd"/>
      <w:r w:rsidRPr="007C1E66">
        <w:rPr>
          <w:rFonts w:ascii="Times New Roman" w:hAnsi="Times New Roman" w:cs="Times New Roman"/>
          <w:sz w:val="24"/>
          <w:szCs w:val="24"/>
        </w:rPr>
        <w:t xml:space="preserve">, K., </w:t>
      </w:r>
      <w:proofErr w:type="spellStart"/>
      <w:r w:rsidRPr="007C1E66">
        <w:rPr>
          <w:rFonts w:ascii="Times New Roman" w:hAnsi="Times New Roman" w:cs="Times New Roman"/>
          <w:sz w:val="24"/>
          <w:szCs w:val="24"/>
        </w:rPr>
        <w:t>Gilbart</w:t>
      </w:r>
      <w:proofErr w:type="spellEnd"/>
      <w:r w:rsidRPr="007C1E66">
        <w:rPr>
          <w:rFonts w:ascii="Times New Roman" w:hAnsi="Times New Roman" w:cs="Times New Roman"/>
          <w:sz w:val="24"/>
          <w:szCs w:val="24"/>
        </w:rPr>
        <w:t xml:space="preserve">, E., Wright, N., &amp; </w:t>
      </w:r>
      <w:proofErr w:type="spellStart"/>
      <w:r w:rsidRPr="007C1E66">
        <w:rPr>
          <w:rFonts w:ascii="Times New Roman" w:hAnsi="Times New Roman" w:cs="Times New Roman"/>
          <w:sz w:val="24"/>
          <w:szCs w:val="24"/>
        </w:rPr>
        <w:t>Shollenbarger</w:t>
      </w:r>
      <w:proofErr w:type="spellEnd"/>
      <w:r w:rsidRPr="007C1E66">
        <w:rPr>
          <w:rFonts w:ascii="Times New Roman" w:hAnsi="Times New Roman" w:cs="Times New Roman"/>
          <w:sz w:val="24"/>
          <w:szCs w:val="24"/>
        </w:rPr>
        <w:t xml:space="preserve">, S. (2013). Dare to </w:t>
      </w:r>
      <w:r w:rsidR="00E81A42">
        <w:rPr>
          <w:rFonts w:ascii="Times New Roman" w:hAnsi="Times New Roman" w:cs="Times New Roman"/>
          <w:sz w:val="24"/>
          <w:szCs w:val="24"/>
        </w:rPr>
        <w:t>d</w:t>
      </w:r>
      <w:r w:rsidRPr="007C1E66">
        <w:rPr>
          <w:rFonts w:ascii="Times New Roman" w:hAnsi="Times New Roman" w:cs="Times New Roman"/>
          <w:sz w:val="24"/>
          <w:szCs w:val="24"/>
        </w:rPr>
        <w:t xml:space="preserve">elay? The </w:t>
      </w:r>
      <w:r w:rsidR="00E81A42">
        <w:rPr>
          <w:rFonts w:ascii="Times New Roman" w:hAnsi="Times New Roman" w:cs="Times New Roman"/>
          <w:sz w:val="24"/>
          <w:szCs w:val="24"/>
        </w:rPr>
        <w:t>i</w:t>
      </w:r>
      <w:r w:rsidRPr="007C1E66">
        <w:rPr>
          <w:rFonts w:ascii="Times New Roman" w:hAnsi="Times New Roman" w:cs="Times New Roman"/>
          <w:sz w:val="24"/>
          <w:szCs w:val="24"/>
        </w:rPr>
        <w:t xml:space="preserve">mpacts of </w:t>
      </w:r>
      <w:r w:rsidR="00E81A42">
        <w:rPr>
          <w:rFonts w:ascii="Times New Roman" w:hAnsi="Times New Roman" w:cs="Times New Roman"/>
          <w:sz w:val="24"/>
          <w:szCs w:val="24"/>
        </w:rPr>
        <w:t>a</w:t>
      </w:r>
      <w:r w:rsidRPr="007C1E66">
        <w:rPr>
          <w:rFonts w:ascii="Times New Roman" w:hAnsi="Times New Roman" w:cs="Times New Roman"/>
          <w:sz w:val="24"/>
          <w:szCs w:val="24"/>
        </w:rPr>
        <w:t xml:space="preserve">dolescent </w:t>
      </w:r>
      <w:r w:rsidR="00E81A42">
        <w:rPr>
          <w:rFonts w:ascii="Times New Roman" w:hAnsi="Times New Roman" w:cs="Times New Roman"/>
          <w:sz w:val="24"/>
          <w:szCs w:val="24"/>
        </w:rPr>
        <w:t>a</w:t>
      </w:r>
      <w:r w:rsidRPr="007C1E66">
        <w:rPr>
          <w:rFonts w:ascii="Times New Roman" w:hAnsi="Times New Roman" w:cs="Times New Roman"/>
          <w:sz w:val="24"/>
          <w:szCs w:val="24"/>
        </w:rPr>
        <w:t xml:space="preserve">lcohol and </w:t>
      </w:r>
      <w:r w:rsidR="00E81A42">
        <w:rPr>
          <w:rFonts w:ascii="Times New Roman" w:hAnsi="Times New Roman" w:cs="Times New Roman"/>
          <w:sz w:val="24"/>
          <w:szCs w:val="24"/>
        </w:rPr>
        <w:t>m</w:t>
      </w:r>
      <w:r w:rsidRPr="007C1E66">
        <w:rPr>
          <w:rFonts w:ascii="Times New Roman" w:hAnsi="Times New Roman" w:cs="Times New Roman"/>
          <w:sz w:val="24"/>
          <w:szCs w:val="24"/>
        </w:rPr>
        <w:t xml:space="preserve">arijuana </w:t>
      </w:r>
      <w:r w:rsidR="00E81A42">
        <w:rPr>
          <w:rFonts w:ascii="Times New Roman" w:hAnsi="Times New Roman" w:cs="Times New Roman"/>
          <w:sz w:val="24"/>
          <w:szCs w:val="24"/>
        </w:rPr>
        <w:t>u</w:t>
      </w:r>
      <w:r w:rsidRPr="007C1E66">
        <w:rPr>
          <w:rFonts w:ascii="Times New Roman" w:hAnsi="Times New Roman" w:cs="Times New Roman"/>
          <w:sz w:val="24"/>
          <w:szCs w:val="24"/>
        </w:rPr>
        <w:t xml:space="preserve">se </w:t>
      </w:r>
      <w:r w:rsidR="00E81A42">
        <w:rPr>
          <w:rFonts w:ascii="Times New Roman" w:hAnsi="Times New Roman" w:cs="Times New Roman"/>
          <w:sz w:val="24"/>
          <w:szCs w:val="24"/>
        </w:rPr>
        <w:t>o</w:t>
      </w:r>
      <w:r w:rsidRPr="007C1E66">
        <w:rPr>
          <w:rFonts w:ascii="Times New Roman" w:hAnsi="Times New Roman" w:cs="Times New Roman"/>
          <w:sz w:val="24"/>
          <w:szCs w:val="24"/>
        </w:rPr>
        <w:t xml:space="preserve">nset on </w:t>
      </w:r>
      <w:r w:rsidR="00E81A42">
        <w:rPr>
          <w:rFonts w:ascii="Times New Roman" w:hAnsi="Times New Roman" w:cs="Times New Roman"/>
          <w:sz w:val="24"/>
          <w:szCs w:val="24"/>
        </w:rPr>
        <w:t>c</w:t>
      </w:r>
      <w:r w:rsidRPr="007C1E66">
        <w:rPr>
          <w:rFonts w:ascii="Times New Roman" w:hAnsi="Times New Roman" w:cs="Times New Roman"/>
          <w:sz w:val="24"/>
          <w:szCs w:val="24"/>
        </w:rPr>
        <w:t xml:space="preserve">ognition, </w:t>
      </w:r>
      <w:r w:rsidR="00E81A42">
        <w:rPr>
          <w:rFonts w:ascii="Times New Roman" w:hAnsi="Times New Roman" w:cs="Times New Roman"/>
          <w:sz w:val="24"/>
          <w:szCs w:val="24"/>
        </w:rPr>
        <w:t>b</w:t>
      </w:r>
      <w:r w:rsidRPr="007C1E66">
        <w:rPr>
          <w:rFonts w:ascii="Times New Roman" w:hAnsi="Times New Roman" w:cs="Times New Roman"/>
          <w:sz w:val="24"/>
          <w:szCs w:val="24"/>
        </w:rPr>
        <w:t xml:space="preserve">rain </w:t>
      </w:r>
      <w:r w:rsidR="00E81A42">
        <w:rPr>
          <w:rFonts w:ascii="Times New Roman" w:hAnsi="Times New Roman" w:cs="Times New Roman"/>
          <w:sz w:val="24"/>
          <w:szCs w:val="24"/>
        </w:rPr>
        <w:t>s</w:t>
      </w:r>
      <w:r w:rsidRPr="007C1E66">
        <w:rPr>
          <w:rFonts w:ascii="Times New Roman" w:hAnsi="Times New Roman" w:cs="Times New Roman"/>
          <w:sz w:val="24"/>
          <w:szCs w:val="24"/>
        </w:rPr>
        <w:t xml:space="preserve">tructure, and </w:t>
      </w:r>
      <w:r w:rsidR="00E81A42">
        <w:rPr>
          <w:rFonts w:ascii="Times New Roman" w:hAnsi="Times New Roman" w:cs="Times New Roman"/>
          <w:sz w:val="24"/>
          <w:szCs w:val="24"/>
        </w:rPr>
        <w:t>f</w:t>
      </w:r>
      <w:r w:rsidRPr="007C1E66">
        <w:rPr>
          <w:rFonts w:ascii="Times New Roman" w:hAnsi="Times New Roman" w:cs="Times New Roman"/>
          <w:sz w:val="24"/>
          <w:szCs w:val="24"/>
        </w:rPr>
        <w:t xml:space="preserve">unction. </w:t>
      </w:r>
      <w:r w:rsidRPr="00E32788">
        <w:rPr>
          <w:rFonts w:ascii="Times New Roman" w:hAnsi="Times New Roman" w:cs="Times New Roman"/>
          <w:i/>
          <w:iCs/>
          <w:sz w:val="24"/>
          <w:szCs w:val="24"/>
        </w:rPr>
        <w:t>Frontiers in Psychiatry</w:t>
      </w:r>
      <w:r w:rsidRPr="00E81A42">
        <w:rPr>
          <w:rFonts w:ascii="Times New Roman" w:hAnsi="Times New Roman" w:cs="Times New Roman"/>
          <w:sz w:val="24"/>
          <w:szCs w:val="24"/>
        </w:rPr>
        <w:t>,</w:t>
      </w:r>
      <w:r w:rsidRPr="00E32788">
        <w:rPr>
          <w:rFonts w:ascii="Times New Roman" w:hAnsi="Times New Roman" w:cs="Times New Roman"/>
          <w:i/>
          <w:iCs/>
          <w:sz w:val="24"/>
          <w:szCs w:val="24"/>
        </w:rPr>
        <w:t xml:space="preserve"> 4</w:t>
      </w:r>
      <w:r>
        <w:rPr>
          <w:rFonts w:ascii="Times New Roman" w:hAnsi="Times New Roman" w:cs="Times New Roman"/>
          <w:sz w:val="24"/>
          <w:szCs w:val="24"/>
        </w:rPr>
        <w:t>(53), 1-19</w:t>
      </w:r>
      <w:r w:rsidRPr="007C1E66">
        <w:rPr>
          <w:rFonts w:ascii="Times New Roman" w:hAnsi="Times New Roman" w:cs="Times New Roman"/>
          <w:sz w:val="24"/>
          <w:szCs w:val="24"/>
        </w:rPr>
        <w:t>.</w:t>
      </w:r>
    </w:p>
    <w:p w14:paraId="48844670"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35F3D462" w14:textId="3DE41B78" w:rsidR="004E2745" w:rsidRPr="00C305A1" w:rsidRDefault="004E2745" w:rsidP="004E2745">
      <w:pPr>
        <w:spacing w:after="0" w:line="240" w:lineRule="auto"/>
        <w:ind w:left="720" w:hanging="720"/>
        <w:contextualSpacing/>
        <w:mirrorIndents/>
        <w:jc w:val="both"/>
        <w:rPr>
          <w:rFonts w:ascii="Times New Roman" w:hAnsi="Times New Roman" w:cs="Times New Roman"/>
          <w:sz w:val="24"/>
          <w:szCs w:val="24"/>
        </w:rPr>
      </w:pPr>
      <w:r w:rsidRPr="00C305A1">
        <w:rPr>
          <w:rFonts w:ascii="Times New Roman" w:hAnsi="Times New Roman" w:cs="Times New Roman"/>
          <w:sz w:val="24"/>
          <w:szCs w:val="24"/>
        </w:rPr>
        <w:t>Lynne-Landsman, S., Livingston, M.</w:t>
      </w:r>
      <w:r w:rsidR="00FD0224">
        <w:rPr>
          <w:rFonts w:ascii="Times New Roman" w:hAnsi="Times New Roman" w:cs="Times New Roman"/>
          <w:sz w:val="24"/>
          <w:szCs w:val="24"/>
        </w:rPr>
        <w:t>,</w:t>
      </w:r>
      <w:r w:rsidRPr="00C305A1">
        <w:rPr>
          <w:rFonts w:ascii="Times New Roman" w:hAnsi="Times New Roman" w:cs="Times New Roman"/>
          <w:sz w:val="24"/>
          <w:szCs w:val="24"/>
        </w:rPr>
        <w:t xml:space="preserve"> &amp; </w:t>
      </w:r>
      <w:proofErr w:type="spellStart"/>
      <w:r w:rsidRPr="00C305A1">
        <w:rPr>
          <w:rFonts w:ascii="Times New Roman" w:hAnsi="Times New Roman" w:cs="Times New Roman"/>
          <w:sz w:val="24"/>
          <w:szCs w:val="24"/>
        </w:rPr>
        <w:t>Wagenaar</w:t>
      </w:r>
      <w:proofErr w:type="spellEnd"/>
      <w:r w:rsidRPr="00C305A1">
        <w:rPr>
          <w:rFonts w:ascii="Times New Roman" w:hAnsi="Times New Roman" w:cs="Times New Roman"/>
          <w:sz w:val="24"/>
          <w:szCs w:val="24"/>
        </w:rPr>
        <w:t xml:space="preserve">, A. (2013). Effects of </w:t>
      </w:r>
      <w:r w:rsidR="00E81A42">
        <w:rPr>
          <w:rFonts w:ascii="Times New Roman" w:hAnsi="Times New Roman" w:cs="Times New Roman"/>
          <w:sz w:val="24"/>
          <w:szCs w:val="24"/>
        </w:rPr>
        <w:t>s</w:t>
      </w:r>
      <w:r w:rsidRPr="00C305A1">
        <w:rPr>
          <w:rFonts w:ascii="Times New Roman" w:hAnsi="Times New Roman" w:cs="Times New Roman"/>
          <w:sz w:val="24"/>
          <w:szCs w:val="24"/>
        </w:rPr>
        <w:t xml:space="preserve">tate </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edical </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arijuana </w:t>
      </w:r>
      <w:r w:rsidR="00E81A42">
        <w:rPr>
          <w:rFonts w:ascii="Times New Roman" w:hAnsi="Times New Roman" w:cs="Times New Roman"/>
          <w:sz w:val="24"/>
          <w:szCs w:val="24"/>
        </w:rPr>
        <w:t>l</w:t>
      </w:r>
      <w:r w:rsidRPr="00C305A1">
        <w:rPr>
          <w:rFonts w:ascii="Times New Roman" w:hAnsi="Times New Roman" w:cs="Times New Roman"/>
          <w:sz w:val="24"/>
          <w:szCs w:val="24"/>
        </w:rPr>
        <w:t xml:space="preserve">aws on </w:t>
      </w:r>
      <w:r w:rsidR="00E81A42">
        <w:rPr>
          <w:rFonts w:ascii="Times New Roman" w:hAnsi="Times New Roman" w:cs="Times New Roman"/>
          <w:sz w:val="24"/>
          <w:szCs w:val="24"/>
        </w:rPr>
        <w:t>a</w:t>
      </w:r>
      <w:r w:rsidRPr="00C305A1">
        <w:rPr>
          <w:rFonts w:ascii="Times New Roman" w:hAnsi="Times New Roman" w:cs="Times New Roman"/>
          <w:sz w:val="24"/>
          <w:szCs w:val="24"/>
        </w:rPr>
        <w:t xml:space="preserve">dolescent </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arijuana </w:t>
      </w:r>
      <w:r w:rsidR="00E81A42">
        <w:rPr>
          <w:rFonts w:ascii="Times New Roman" w:hAnsi="Times New Roman" w:cs="Times New Roman"/>
          <w:sz w:val="24"/>
          <w:szCs w:val="24"/>
        </w:rPr>
        <w:t>u</w:t>
      </w:r>
      <w:r w:rsidRPr="00C305A1">
        <w:rPr>
          <w:rFonts w:ascii="Times New Roman" w:hAnsi="Times New Roman" w:cs="Times New Roman"/>
          <w:sz w:val="24"/>
          <w:szCs w:val="24"/>
        </w:rPr>
        <w:t xml:space="preserve">se. </w:t>
      </w:r>
      <w:r w:rsidRPr="00BE1B46">
        <w:rPr>
          <w:rFonts w:ascii="Times New Roman" w:hAnsi="Times New Roman" w:cs="Times New Roman"/>
          <w:i/>
          <w:iCs/>
          <w:sz w:val="24"/>
          <w:szCs w:val="24"/>
        </w:rPr>
        <w:t>American Journal of Public Health</w:t>
      </w:r>
      <w:r w:rsidRPr="00E81A42">
        <w:rPr>
          <w:rFonts w:ascii="Times New Roman" w:hAnsi="Times New Roman" w:cs="Times New Roman"/>
          <w:sz w:val="24"/>
          <w:szCs w:val="24"/>
        </w:rPr>
        <w:t>,</w:t>
      </w:r>
      <w:r w:rsidRPr="00BE1B46">
        <w:rPr>
          <w:rFonts w:ascii="Times New Roman" w:hAnsi="Times New Roman" w:cs="Times New Roman"/>
          <w:i/>
          <w:iCs/>
          <w:sz w:val="24"/>
          <w:szCs w:val="24"/>
        </w:rPr>
        <w:t xml:space="preserve"> 103</w:t>
      </w:r>
      <w:r w:rsidRPr="00C305A1">
        <w:rPr>
          <w:rFonts w:ascii="Times New Roman" w:hAnsi="Times New Roman" w:cs="Times New Roman"/>
          <w:sz w:val="24"/>
          <w:szCs w:val="24"/>
        </w:rPr>
        <w:t>, 1500</w:t>
      </w:r>
      <w:r>
        <w:rPr>
          <w:rFonts w:ascii="Times New Roman" w:hAnsi="Times New Roman" w:cs="Times New Roman"/>
          <w:sz w:val="24"/>
          <w:szCs w:val="24"/>
        </w:rPr>
        <w:t>-</w:t>
      </w:r>
      <w:r w:rsidRPr="00C305A1">
        <w:rPr>
          <w:rFonts w:ascii="Times New Roman" w:hAnsi="Times New Roman" w:cs="Times New Roman"/>
          <w:sz w:val="24"/>
          <w:szCs w:val="24"/>
        </w:rPr>
        <w:t>1506</w:t>
      </w:r>
      <w:r>
        <w:rPr>
          <w:rFonts w:ascii="Times New Roman" w:hAnsi="Times New Roman" w:cs="Times New Roman"/>
          <w:sz w:val="24"/>
          <w:szCs w:val="24"/>
        </w:rPr>
        <w:t>.</w:t>
      </w:r>
    </w:p>
    <w:p w14:paraId="6627863F"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15560624" w14:textId="28F016C9"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7C1E66">
        <w:rPr>
          <w:rFonts w:ascii="Times New Roman" w:hAnsi="Times New Roman" w:cs="Times New Roman"/>
          <w:color w:val="1C1D1E"/>
          <w:sz w:val="24"/>
          <w:szCs w:val="24"/>
          <w:shd w:val="clear" w:color="auto" w:fill="FFFFFF"/>
        </w:rPr>
        <w:t xml:space="preserve">Lynskey, M. </w:t>
      </w:r>
      <w:r w:rsidR="00FD0224">
        <w:rPr>
          <w:rFonts w:ascii="Times New Roman" w:hAnsi="Times New Roman" w:cs="Times New Roman"/>
          <w:color w:val="1C1D1E"/>
          <w:sz w:val="24"/>
          <w:szCs w:val="24"/>
          <w:shd w:val="clear" w:color="auto" w:fill="FFFFFF"/>
        </w:rPr>
        <w:t>&amp;</w:t>
      </w:r>
      <w:r w:rsidRPr="007C1E66">
        <w:rPr>
          <w:rFonts w:ascii="Times New Roman" w:hAnsi="Times New Roman" w:cs="Times New Roman"/>
          <w:color w:val="1C1D1E"/>
          <w:sz w:val="24"/>
          <w:szCs w:val="24"/>
          <w:shd w:val="clear" w:color="auto" w:fill="FFFFFF"/>
        </w:rPr>
        <w:t xml:space="preserve"> Hall, W. (2000)</w:t>
      </w:r>
      <w:r>
        <w:rPr>
          <w:rFonts w:ascii="Times New Roman" w:hAnsi="Times New Roman" w:cs="Times New Roman"/>
          <w:color w:val="1C1D1E"/>
          <w:sz w:val="24"/>
          <w:szCs w:val="24"/>
          <w:shd w:val="clear" w:color="auto" w:fill="FFFFFF"/>
        </w:rPr>
        <w:t>.</w:t>
      </w:r>
      <w:r w:rsidRPr="007C1E66">
        <w:rPr>
          <w:rFonts w:ascii="Times New Roman" w:hAnsi="Times New Roman" w:cs="Times New Roman"/>
          <w:color w:val="1C1D1E"/>
          <w:sz w:val="24"/>
          <w:szCs w:val="24"/>
          <w:shd w:val="clear" w:color="auto" w:fill="FFFFFF"/>
        </w:rPr>
        <w:t xml:space="preserve"> The </w:t>
      </w:r>
      <w:r w:rsidR="00E81A42">
        <w:rPr>
          <w:rFonts w:ascii="Times New Roman" w:hAnsi="Times New Roman" w:cs="Times New Roman"/>
          <w:color w:val="1C1D1E"/>
          <w:sz w:val="24"/>
          <w:szCs w:val="24"/>
          <w:shd w:val="clear" w:color="auto" w:fill="FFFFFF"/>
        </w:rPr>
        <w:t>e</w:t>
      </w:r>
      <w:r w:rsidRPr="007C1E66">
        <w:rPr>
          <w:rFonts w:ascii="Times New Roman" w:hAnsi="Times New Roman" w:cs="Times New Roman"/>
          <w:color w:val="1C1D1E"/>
          <w:sz w:val="24"/>
          <w:szCs w:val="24"/>
          <w:shd w:val="clear" w:color="auto" w:fill="FFFFFF"/>
        </w:rPr>
        <w:t xml:space="preserve">ffects of </w:t>
      </w:r>
      <w:r w:rsidR="00E81A42">
        <w:rPr>
          <w:rFonts w:ascii="Times New Roman" w:hAnsi="Times New Roman" w:cs="Times New Roman"/>
          <w:color w:val="1C1D1E"/>
          <w:sz w:val="24"/>
          <w:szCs w:val="24"/>
          <w:shd w:val="clear" w:color="auto" w:fill="FFFFFF"/>
        </w:rPr>
        <w:t>a</w:t>
      </w:r>
      <w:r w:rsidRPr="007C1E66">
        <w:rPr>
          <w:rFonts w:ascii="Times New Roman" w:hAnsi="Times New Roman" w:cs="Times New Roman"/>
          <w:color w:val="1C1D1E"/>
          <w:sz w:val="24"/>
          <w:szCs w:val="24"/>
          <w:shd w:val="clear" w:color="auto" w:fill="FFFFFF"/>
        </w:rPr>
        <w:t xml:space="preserve">dolescent </w:t>
      </w:r>
      <w:r w:rsidR="00E81A42">
        <w:rPr>
          <w:rFonts w:ascii="Times New Roman" w:hAnsi="Times New Roman" w:cs="Times New Roman"/>
          <w:color w:val="1C1D1E"/>
          <w:sz w:val="24"/>
          <w:szCs w:val="24"/>
          <w:shd w:val="clear" w:color="auto" w:fill="FFFFFF"/>
        </w:rPr>
        <w:t>c</w:t>
      </w:r>
      <w:r w:rsidRPr="007C1E66">
        <w:rPr>
          <w:rFonts w:ascii="Times New Roman" w:hAnsi="Times New Roman" w:cs="Times New Roman"/>
          <w:color w:val="1C1D1E"/>
          <w:sz w:val="24"/>
          <w:szCs w:val="24"/>
          <w:shd w:val="clear" w:color="auto" w:fill="FFFFFF"/>
        </w:rPr>
        <w:t xml:space="preserve">annabis </w:t>
      </w:r>
      <w:r w:rsidR="00E81A42">
        <w:rPr>
          <w:rFonts w:ascii="Times New Roman" w:hAnsi="Times New Roman" w:cs="Times New Roman"/>
          <w:color w:val="1C1D1E"/>
          <w:sz w:val="24"/>
          <w:szCs w:val="24"/>
          <w:shd w:val="clear" w:color="auto" w:fill="FFFFFF"/>
        </w:rPr>
        <w:t>u</w:t>
      </w:r>
      <w:r w:rsidRPr="007C1E66">
        <w:rPr>
          <w:rFonts w:ascii="Times New Roman" w:hAnsi="Times New Roman" w:cs="Times New Roman"/>
          <w:color w:val="1C1D1E"/>
          <w:sz w:val="24"/>
          <w:szCs w:val="24"/>
          <w:shd w:val="clear" w:color="auto" w:fill="FFFFFF"/>
        </w:rPr>
        <w:t xml:space="preserve">se on </w:t>
      </w:r>
      <w:r w:rsidR="00E81A42">
        <w:rPr>
          <w:rFonts w:ascii="Times New Roman" w:hAnsi="Times New Roman" w:cs="Times New Roman"/>
          <w:color w:val="1C1D1E"/>
          <w:sz w:val="24"/>
          <w:szCs w:val="24"/>
          <w:shd w:val="clear" w:color="auto" w:fill="FFFFFF"/>
        </w:rPr>
        <w:t>e</w:t>
      </w:r>
      <w:r w:rsidRPr="007C1E66">
        <w:rPr>
          <w:rFonts w:ascii="Times New Roman" w:hAnsi="Times New Roman" w:cs="Times New Roman"/>
          <w:color w:val="1C1D1E"/>
          <w:sz w:val="24"/>
          <w:szCs w:val="24"/>
          <w:shd w:val="clear" w:color="auto" w:fill="FFFFFF"/>
        </w:rPr>
        <w:t xml:space="preserve">ducational </w:t>
      </w:r>
      <w:r w:rsidR="00E81A42">
        <w:rPr>
          <w:rFonts w:ascii="Times New Roman" w:hAnsi="Times New Roman" w:cs="Times New Roman"/>
          <w:color w:val="1C1D1E"/>
          <w:sz w:val="24"/>
          <w:szCs w:val="24"/>
          <w:shd w:val="clear" w:color="auto" w:fill="FFFFFF"/>
        </w:rPr>
        <w:t>a</w:t>
      </w:r>
      <w:r w:rsidRPr="007C1E66">
        <w:rPr>
          <w:rFonts w:ascii="Times New Roman" w:hAnsi="Times New Roman" w:cs="Times New Roman"/>
          <w:color w:val="1C1D1E"/>
          <w:sz w:val="24"/>
          <w:szCs w:val="24"/>
          <w:shd w:val="clear" w:color="auto" w:fill="FFFFFF"/>
        </w:rPr>
        <w:t xml:space="preserve">ttainment: </w:t>
      </w:r>
      <w:r>
        <w:rPr>
          <w:rFonts w:ascii="Times New Roman" w:hAnsi="Times New Roman" w:cs="Times New Roman"/>
          <w:color w:val="1C1D1E"/>
          <w:sz w:val="24"/>
          <w:szCs w:val="24"/>
          <w:shd w:val="clear" w:color="auto" w:fill="FFFFFF"/>
        </w:rPr>
        <w:t xml:space="preserve">A </w:t>
      </w:r>
      <w:r w:rsidR="00E81A42">
        <w:rPr>
          <w:rFonts w:ascii="Times New Roman" w:hAnsi="Times New Roman" w:cs="Times New Roman"/>
          <w:color w:val="1C1D1E"/>
          <w:sz w:val="24"/>
          <w:szCs w:val="24"/>
          <w:shd w:val="clear" w:color="auto" w:fill="FFFFFF"/>
        </w:rPr>
        <w:t>r</w:t>
      </w:r>
      <w:r w:rsidRPr="007C1E66">
        <w:rPr>
          <w:rFonts w:ascii="Times New Roman" w:hAnsi="Times New Roman" w:cs="Times New Roman"/>
          <w:color w:val="1C1D1E"/>
          <w:sz w:val="24"/>
          <w:szCs w:val="24"/>
          <w:shd w:val="clear" w:color="auto" w:fill="FFFFFF"/>
        </w:rPr>
        <w:t xml:space="preserve">eview. </w:t>
      </w:r>
      <w:r w:rsidRPr="00BE1B46">
        <w:rPr>
          <w:rFonts w:ascii="Times New Roman" w:hAnsi="Times New Roman" w:cs="Times New Roman"/>
          <w:i/>
          <w:iCs/>
          <w:color w:val="1C1D1E"/>
          <w:sz w:val="24"/>
          <w:szCs w:val="24"/>
          <w:shd w:val="clear" w:color="auto" w:fill="FFFFFF"/>
        </w:rPr>
        <w:t>Addiction</w:t>
      </w:r>
      <w:r w:rsidRPr="00E81A42">
        <w:rPr>
          <w:rFonts w:ascii="Times New Roman" w:hAnsi="Times New Roman" w:cs="Times New Roman"/>
          <w:color w:val="1C1D1E"/>
          <w:sz w:val="24"/>
          <w:szCs w:val="24"/>
          <w:shd w:val="clear" w:color="auto" w:fill="FFFFFF"/>
        </w:rPr>
        <w:t>,</w:t>
      </w:r>
      <w:r w:rsidRPr="00BE1B46">
        <w:rPr>
          <w:rFonts w:ascii="Times New Roman" w:hAnsi="Times New Roman" w:cs="Times New Roman"/>
          <w:i/>
          <w:iCs/>
          <w:color w:val="1C1D1E"/>
          <w:sz w:val="24"/>
          <w:szCs w:val="24"/>
          <w:shd w:val="clear" w:color="auto" w:fill="FFFFFF"/>
        </w:rPr>
        <w:t xml:space="preserve"> 95</w:t>
      </w:r>
      <w:r>
        <w:rPr>
          <w:rFonts w:ascii="Times New Roman" w:hAnsi="Times New Roman" w:cs="Times New Roman"/>
          <w:color w:val="1C1D1E"/>
          <w:sz w:val="24"/>
          <w:szCs w:val="24"/>
          <w:shd w:val="clear" w:color="auto" w:fill="FFFFFF"/>
        </w:rPr>
        <w:t>,</w:t>
      </w:r>
      <w:r w:rsidRPr="007C1E66">
        <w:rPr>
          <w:rFonts w:ascii="Times New Roman" w:hAnsi="Times New Roman" w:cs="Times New Roman"/>
          <w:color w:val="1C1D1E"/>
          <w:sz w:val="24"/>
          <w:szCs w:val="24"/>
          <w:shd w:val="clear" w:color="auto" w:fill="FFFFFF"/>
        </w:rPr>
        <w:t xml:space="preserve"> 1621-1630.</w:t>
      </w:r>
      <w:r>
        <w:rPr>
          <w:rFonts w:ascii="Times New Roman" w:hAnsi="Times New Roman" w:cs="Times New Roman"/>
          <w:sz w:val="24"/>
          <w:szCs w:val="24"/>
        </w:rPr>
        <w:t xml:space="preserve"> </w:t>
      </w:r>
    </w:p>
    <w:p w14:paraId="20365218"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56229F1D" w14:textId="2187EC20"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7C1E66">
        <w:rPr>
          <w:rFonts w:ascii="Times New Roman" w:hAnsi="Times New Roman" w:cs="Times New Roman"/>
          <w:sz w:val="24"/>
          <w:szCs w:val="24"/>
        </w:rPr>
        <w:t xml:space="preserve">McCaffrey, D., </w:t>
      </w:r>
      <w:proofErr w:type="spellStart"/>
      <w:r w:rsidRPr="007C1E66">
        <w:rPr>
          <w:rFonts w:ascii="Times New Roman" w:hAnsi="Times New Roman" w:cs="Times New Roman"/>
          <w:sz w:val="24"/>
          <w:szCs w:val="24"/>
        </w:rPr>
        <w:t>Liccardo</w:t>
      </w:r>
      <w:proofErr w:type="spellEnd"/>
      <w:r w:rsidRPr="007C1E66">
        <w:rPr>
          <w:rFonts w:ascii="Times New Roman" w:hAnsi="Times New Roman" w:cs="Times New Roman"/>
          <w:sz w:val="24"/>
          <w:szCs w:val="24"/>
        </w:rPr>
        <w:t xml:space="preserve"> </w:t>
      </w:r>
      <w:proofErr w:type="spellStart"/>
      <w:r w:rsidRPr="007C1E66">
        <w:rPr>
          <w:rFonts w:ascii="Times New Roman" w:hAnsi="Times New Roman" w:cs="Times New Roman"/>
          <w:sz w:val="24"/>
          <w:szCs w:val="24"/>
        </w:rPr>
        <w:t>Pacula</w:t>
      </w:r>
      <w:proofErr w:type="spellEnd"/>
      <w:r w:rsidRPr="007C1E66">
        <w:rPr>
          <w:rFonts w:ascii="Times New Roman" w:hAnsi="Times New Roman" w:cs="Times New Roman"/>
          <w:sz w:val="24"/>
          <w:szCs w:val="24"/>
        </w:rPr>
        <w:t xml:space="preserve">, R., Han, B., &amp; </w:t>
      </w:r>
      <w:proofErr w:type="spellStart"/>
      <w:r w:rsidRPr="007C1E66">
        <w:rPr>
          <w:rFonts w:ascii="Times New Roman" w:hAnsi="Times New Roman" w:cs="Times New Roman"/>
          <w:sz w:val="24"/>
          <w:szCs w:val="24"/>
        </w:rPr>
        <w:t>Ellickson</w:t>
      </w:r>
      <w:proofErr w:type="spellEnd"/>
      <w:r w:rsidRPr="007C1E66">
        <w:rPr>
          <w:rFonts w:ascii="Times New Roman" w:hAnsi="Times New Roman" w:cs="Times New Roman"/>
          <w:sz w:val="24"/>
          <w:szCs w:val="24"/>
        </w:rPr>
        <w:t xml:space="preserve">, P. (2010). Marijuana </w:t>
      </w:r>
      <w:r w:rsidR="00E81A42">
        <w:rPr>
          <w:rFonts w:ascii="Times New Roman" w:hAnsi="Times New Roman" w:cs="Times New Roman"/>
          <w:sz w:val="24"/>
          <w:szCs w:val="24"/>
        </w:rPr>
        <w:t>u</w:t>
      </w:r>
      <w:r w:rsidRPr="007C1E66">
        <w:rPr>
          <w:rFonts w:ascii="Times New Roman" w:hAnsi="Times New Roman" w:cs="Times New Roman"/>
          <w:sz w:val="24"/>
          <w:szCs w:val="24"/>
        </w:rPr>
        <w:t xml:space="preserve">se and </w:t>
      </w:r>
      <w:r w:rsidR="00E81A42">
        <w:rPr>
          <w:rFonts w:ascii="Times New Roman" w:hAnsi="Times New Roman" w:cs="Times New Roman"/>
          <w:sz w:val="24"/>
          <w:szCs w:val="24"/>
        </w:rPr>
        <w:t>h</w:t>
      </w:r>
      <w:r w:rsidRPr="007C1E66">
        <w:rPr>
          <w:rFonts w:ascii="Times New Roman" w:hAnsi="Times New Roman" w:cs="Times New Roman"/>
          <w:sz w:val="24"/>
          <w:szCs w:val="24"/>
        </w:rPr>
        <w:t xml:space="preserve">igh </w:t>
      </w:r>
      <w:r w:rsidR="00E81A42">
        <w:rPr>
          <w:rFonts w:ascii="Times New Roman" w:hAnsi="Times New Roman" w:cs="Times New Roman"/>
          <w:sz w:val="24"/>
          <w:szCs w:val="24"/>
        </w:rPr>
        <w:t>s</w:t>
      </w:r>
      <w:r w:rsidRPr="007C1E66">
        <w:rPr>
          <w:rFonts w:ascii="Times New Roman" w:hAnsi="Times New Roman" w:cs="Times New Roman"/>
          <w:sz w:val="24"/>
          <w:szCs w:val="24"/>
        </w:rPr>
        <w:t xml:space="preserve">chool </w:t>
      </w:r>
      <w:r w:rsidR="00E81A42">
        <w:rPr>
          <w:rFonts w:ascii="Times New Roman" w:hAnsi="Times New Roman" w:cs="Times New Roman"/>
          <w:sz w:val="24"/>
          <w:szCs w:val="24"/>
        </w:rPr>
        <w:t>d</w:t>
      </w:r>
      <w:r w:rsidRPr="007C1E66">
        <w:rPr>
          <w:rFonts w:ascii="Times New Roman" w:hAnsi="Times New Roman" w:cs="Times New Roman"/>
          <w:sz w:val="24"/>
          <w:szCs w:val="24"/>
        </w:rPr>
        <w:t xml:space="preserve">ropout: The </w:t>
      </w:r>
      <w:r w:rsidR="00E81A42">
        <w:rPr>
          <w:rFonts w:ascii="Times New Roman" w:hAnsi="Times New Roman" w:cs="Times New Roman"/>
          <w:sz w:val="24"/>
          <w:szCs w:val="24"/>
        </w:rPr>
        <w:t>i</w:t>
      </w:r>
      <w:r w:rsidRPr="007C1E66">
        <w:rPr>
          <w:rFonts w:ascii="Times New Roman" w:hAnsi="Times New Roman" w:cs="Times New Roman"/>
          <w:sz w:val="24"/>
          <w:szCs w:val="24"/>
        </w:rPr>
        <w:t xml:space="preserve">nfluence of </w:t>
      </w:r>
      <w:proofErr w:type="spellStart"/>
      <w:r w:rsidR="00E81A42">
        <w:rPr>
          <w:rFonts w:ascii="Times New Roman" w:hAnsi="Times New Roman" w:cs="Times New Roman"/>
          <w:sz w:val="24"/>
          <w:szCs w:val="24"/>
        </w:rPr>
        <w:t>u</w:t>
      </w:r>
      <w:r w:rsidRPr="007C1E66">
        <w:rPr>
          <w:rFonts w:ascii="Times New Roman" w:hAnsi="Times New Roman" w:cs="Times New Roman"/>
          <w:sz w:val="24"/>
          <w:szCs w:val="24"/>
        </w:rPr>
        <w:t>nobservables</w:t>
      </w:r>
      <w:proofErr w:type="spellEnd"/>
      <w:r w:rsidRPr="007C1E66">
        <w:rPr>
          <w:rFonts w:ascii="Times New Roman" w:hAnsi="Times New Roman" w:cs="Times New Roman"/>
          <w:sz w:val="24"/>
          <w:szCs w:val="24"/>
        </w:rPr>
        <w:t xml:space="preserve">. </w:t>
      </w:r>
      <w:r w:rsidRPr="00E736E3">
        <w:rPr>
          <w:rFonts w:ascii="Times New Roman" w:hAnsi="Times New Roman" w:cs="Times New Roman"/>
          <w:i/>
          <w:iCs/>
          <w:sz w:val="24"/>
          <w:szCs w:val="24"/>
        </w:rPr>
        <w:t>Health Economics</w:t>
      </w:r>
      <w:r w:rsidRPr="00E81A42">
        <w:rPr>
          <w:rFonts w:ascii="Times New Roman" w:hAnsi="Times New Roman" w:cs="Times New Roman"/>
          <w:sz w:val="24"/>
          <w:szCs w:val="24"/>
        </w:rPr>
        <w:t>,</w:t>
      </w:r>
      <w:r w:rsidRPr="00E736E3">
        <w:rPr>
          <w:rFonts w:ascii="Times New Roman" w:hAnsi="Times New Roman" w:cs="Times New Roman"/>
          <w:i/>
          <w:iCs/>
          <w:sz w:val="24"/>
          <w:szCs w:val="24"/>
        </w:rPr>
        <w:t xml:space="preserve"> 19</w:t>
      </w:r>
      <w:r w:rsidRPr="007C1E66">
        <w:rPr>
          <w:rFonts w:ascii="Times New Roman" w:hAnsi="Times New Roman" w:cs="Times New Roman"/>
          <w:sz w:val="24"/>
          <w:szCs w:val="24"/>
        </w:rPr>
        <w:t>, 1281</w:t>
      </w:r>
      <w:r>
        <w:rPr>
          <w:rFonts w:ascii="Times New Roman" w:hAnsi="Times New Roman" w:cs="Times New Roman"/>
          <w:sz w:val="24"/>
          <w:szCs w:val="24"/>
        </w:rPr>
        <w:t>-</w:t>
      </w:r>
      <w:r w:rsidRPr="007C1E66">
        <w:rPr>
          <w:rFonts w:ascii="Times New Roman" w:hAnsi="Times New Roman" w:cs="Times New Roman"/>
          <w:sz w:val="24"/>
          <w:szCs w:val="24"/>
        </w:rPr>
        <w:t>1299.</w:t>
      </w:r>
    </w:p>
    <w:p w14:paraId="093EF035"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2708C4C4" w14:textId="35FE1CC6"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7C1E66">
        <w:rPr>
          <w:rFonts w:ascii="Times New Roman" w:hAnsi="Times New Roman" w:cs="Times New Roman"/>
          <w:sz w:val="24"/>
          <w:szCs w:val="24"/>
        </w:rPr>
        <w:t xml:space="preserve">Pope, H., Gruber, A., &amp; </w:t>
      </w:r>
      <w:proofErr w:type="spellStart"/>
      <w:r w:rsidRPr="007C1E66">
        <w:rPr>
          <w:rFonts w:ascii="Times New Roman" w:hAnsi="Times New Roman" w:cs="Times New Roman"/>
          <w:sz w:val="24"/>
          <w:szCs w:val="24"/>
        </w:rPr>
        <w:t>Yurgelu</w:t>
      </w:r>
      <w:r>
        <w:rPr>
          <w:rFonts w:ascii="Times New Roman" w:hAnsi="Times New Roman" w:cs="Times New Roman"/>
          <w:sz w:val="24"/>
          <w:szCs w:val="24"/>
        </w:rPr>
        <w:t>n</w:t>
      </w:r>
      <w:proofErr w:type="spellEnd"/>
      <w:r w:rsidRPr="007C1E66">
        <w:rPr>
          <w:rFonts w:ascii="Times New Roman" w:hAnsi="Times New Roman" w:cs="Times New Roman"/>
          <w:sz w:val="24"/>
          <w:szCs w:val="24"/>
        </w:rPr>
        <w:t xml:space="preserve">-Todd, D. (1995). The </w:t>
      </w:r>
      <w:r w:rsidR="00E81A42">
        <w:rPr>
          <w:rFonts w:ascii="Times New Roman" w:hAnsi="Times New Roman" w:cs="Times New Roman"/>
          <w:sz w:val="24"/>
          <w:szCs w:val="24"/>
        </w:rPr>
        <w:t>r</w:t>
      </w:r>
      <w:r w:rsidRPr="007C1E66">
        <w:rPr>
          <w:rFonts w:ascii="Times New Roman" w:hAnsi="Times New Roman" w:cs="Times New Roman"/>
          <w:sz w:val="24"/>
          <w:szCs w:val="24"/>
        </w:rPr>
        <w:t xml:space="preserve">esidual </w:t>
      </w:r>
      <w:r w:rsidR="00E81A42">
        <w:rPr>
          <w:rFonts w:ascii="Times New Roman" w:hAnsi="Times New Roman" w:cs="Times New Roman"/>
          <w:sz w:val="24"/>
          <w:szCs w:val="24"/>
        </w:rPr>
        <w:t>n</w:t>
      </w:r>
      <w:r w:rsidRPr="007C1E66">
        <w:rPr>
          <w:rFonts w:ascii="Times New Roman" w:hAnsi="Times New Roman" w:cs="Times New Roman"/>
          <w:sz w:val="24"/>
          <w:szCs w:val="24"/>
        </w:rPr>
        <w:t xml:space="preserve">europsychological </w:t>
      </w:r>
      <w:r w:rsidR="00E81A42">
        <w:rPr>
          <w:rFonts w:ascii="Times New Roman" w:hAnsi="Times New Roman" w:cs="Times New Roman"/>
          <w:sz w:val="24"/>
          <w:szCs w:val="24"/>
        </w:rPr>
        <w:t>e</w:t>
      </w:r>
      <w:r w:rsidRPr="007C1E66">
        <w:rPr>
          <w:rFonts w:ascii="Times New Roman" w:hAnsi="Times New Roman" w:cs="Times New Roman"/>
          <w:sz w:val="24"/>
          <w:szCs w:val="24"/>
        </w:rPr>
        <w:t xml:space="preserve">ffects of </w:t>
      </w:r>
      <w:r w:rsidR="00E81A42">
        <w:rPr>
          <w:rFonts w:ascii="Times New Roman" w:hAnsi="Times New Roman" w:cs="Times New Roman"/>
          <w:sz w:val="24"/>
          <w:szCs w:val="24"/>
        </w:rPr>
        <w:t>c</w:t>
      </w:r>
      <w:r w:rsidRPr="007C1E66">
        <w:rPr>
          <w:rFonts w:ascii="Times New Roman" w:hAnsi="Times New Roman" w:cs="Times New Roman"/>
          <w:sz w:val="24"/>
          <w:szCs w:val="24"/>
        </w:rPr>
        <w:t xml:space="preserve">annabis: The </w:t>
      </w:r>
      <w:r w:rsidR="00E81A42">
        <w:rPr>
          <w:rFonts w:ascii="Times New Roman" w:hAnsi="Times New Roman" w:cs="Times New Roman"/>
          <w:sz w:val="24"/>
          <w:szCs w:val="24"/>
        </w:rPr>
        <w:t>c</w:t>
      </w:r>
      <w:r w:rsidRPr="007C1E66">
        <w:rPr>
          <w:rFonts w:ascii="Times New Roman" w:hAnsi="Times New Roman" w:cs="Times New Roman"/>
          <w:sz w:val="24"/>
          <w:szCs w:val="24"/>
        </w:rPr>
        <w:t xml:space="preserve">urrent </w:t>
      </w:r>
      <w:r w:rsidR="00E81A42">
        <w:rPr>
          <w:rFonts w:ascii="Times New Roman" w:hAnsi="Times New Roman" w:cs="Times New Roman"/>
          <w:sz w:val="24"/>
          <w:szCs w:val="24"/>
        </w:rPr>
        <w:t>s</w:t>
      </w:r>
      <w:r w:rsidRPr="007C1E66">
        <w:rPr>
          <w:rFonts w:ascii="Times New Roman" w:hAnsi="Times New Roman" w:cs="Times New Roman"/>
          <w:sz w:val="24"/>
          <w:szCs w:val="24"/>
        </w:rPr>
        <w:t xml:space="preserve">tatus of </w:t>
      </w:r>
      <w:r w:rsidR="00E81A42">
        <w:rPr>
          <w:rFonts w:ascii="Times New Roman" w:hAnsi="Times New Roman" w:cs="Times New Roman"/>
          <w:sz w:val="24"/>
          <w:szCs w:val="24"/>
        </w:rPr>
        <w:t>r</w:t>
      </w:r>
      <w:r w:rsidRPr="007C1E66">
        <w:rPr>
          <w:rFonts w:ascii="Times New Roman" w:hAnsi="Times New Roman" w:cs="Times New Roman"/>
          <w:sz w:val="24"/>
          <w:szCs w:val="24"/>
        </w:rPr>
        <w:t xml:space="preserve">esearch. </w:t>
      </w:r>
      <w:r w:rsidRPr="00E215EE">
        <w:rPr>
          <w:rFonts w:ascii="Times New Roman" w:hAnsi="Times New Roman" w:cs="Times New Roman"/>
          <w:i/>
          <w:iCs/>
          <w:sz w:val="24"/>
          <w:szCs w:val="24"/>
        </w:rPr>
        <w:t>Drug and Alcohol Dependence</w:t>
      </w:r>
      <w:r w:rsidRPr="00E81A42">
        <w:rPr>
          <w:rFonts w:ascii="Times New Roman" w:hAnsi="Times New Roman" w:cs="Times New Roman"/>
          <w:sz w:val="24"/>
          <w:szCs w:val="24"/>
        </w:rPr>
        <w:t>,</w:t>
      </w:r>
      <w:r w:rsidRPr="00E215EE">
        <w:rPr>
          <w:rFonts w:ascii="Times New Roman" w:hAnsi="Times New Roman" w:cs="Times New Roman"/>
          <w:i/>
          <w:iCs/>
          <w:sz w:val="24"/>
          <w:szCs w:val="24"/>
        </w:rPr>
        <w:t xml:space="preserve"> 38</w:t>
      </w:r>
      <w:r w:rsidRPr="007C1E66">
        <w:rPr>
          <w:rFonts w:ascii="Times New Roman" w:hAnsi="Times New Roman" w:cs="Times New Roman"/>
          <w:sz w:val="24"/>
          <w:szCs w:val="24"/>
        </w:rPr>
        <w:t>, 25</w:t>
      </w:r>
      <w:r>
        <w:rPr>
          <w:rFonts w:ascii="Times New Roman" w:hAnsi="Times New Roman" w:cs="Times New Roman"/>
          <w:sz w:val="24"/>
          <w:szCs w:val="24"/>
        </w:rPr>
        <w:t>-</w:t>
      </w:r>
      <w:r w:rsidRPr="007C1E66">
        <w:rPr>
          <w:rFonts w:ascii="Times New Roman" w:hAnsi="Times New Roman" w:cs="Times New Roman"/>
          <w:sz w:val="24"/>
          <w:szCs w:val="24"/>
        </w:rPr>
        <w:t>34</w:t>
      </w:r>
      <w:r>
        <w:rPr>
          <w:rFonts w:ascii="Times New Roman" w:hAnsi="Times New Roman" w:cs="Times New Roman"/>
          <w:sz w:val="24"/>
          <w:szCs w:val="24"/>
        </w:rPr>
        <w:t>.</w:t>
      </w:r>
    </w:p>
    <w:p w14:paraId="0D9702BE" w14:textId="77777777" w:rsidR="004E2745" w:rsidRPr="00E215EE" w:rsidRDefault="004E2745" w:rsidP="00167141">
      <w:pPr>
        <w:spacing w:after="0" w:line="240" w:lineRule="auto"/>
        <w:contextualSpacing/>
        <w:mirrorIndents/>
        <w:jc w:val="both"/>
        <w:rPr>
          <w:rFonts w:ascii="Times New Roman" w:hAnsi="Times New Roman" w:cs="Times New Roman"/>
          <w:sz w:val="24"/>
          <w:szCs w:val="24"/>
        </w:rPr>
      </w:pPr>
    </w:p>
    <w:p w14:paraId="7550E7B2" w14:textId="1B347FBB" w:rsidR="004E2745" w:rsidRDefault="004E2745" w:rsidP="004E2745">
      <w:pPr>
        <w:spacing w:after="0" w:line="240" w:lineRule="auto"/>
        <w:ind w:left="720" w:hanging="720"/>
        <w:contextualSpacing/>
        <w:mirrorIndents/>
        <w:jc w:val="both"/>
        <w:rPr>
          <w:rStyle w:val="pagerange"/>
          <w:rFonts w:ascii="Times New Roman" w:hAnsi="Times New Roman" w:cs="Times New Roman"/>
          <w:color w:val="333333"/>
          <w:sz w:val="24"/>
          <w:szCs w:val="24"/>
          <w:shd w:val="clear" w:color="auto" w:fill="FFFFFF"/>
        </w:rPr>
      </w:pPr>
      <w:r w:rsidRPr="00F73C96">
        <w:rPr>
          <w:rStyle w:val="authors"/>
          <w:rFonts w:ascii="Times New Roman" w:hAnsi="Times New Roman" w:cs="Times New Roman"/>
          <w:color w:val="333333"/>
          <w:sz w:val="24"/>
          <w:szCs w:val="24"/>
          <w:shd w:val="clear" w:color="auto" w:fill="FFFFFF"/>
        </w:rPr>
        <w:lastRenderedPageBreak/>
        <w:t>Register</w:t>
      </w:r>
      <w:r>
        <w:rPr>
          <w:rStyle w:val="authors"/>
          <w:rFonts w:ascii="Times New Roman" w:hAnsi="Times New Roman" w:cs="Times New Roman"/>
          <w:color w:val="333333"/>
          <w:sz w:val="24"/>
          <w:szCs w:val="24"/>
          <w:shd w:val="clear" w:color="auto" w:fill="FFFFFF"/>
        </w:rPr>
        <w:t>, C.</w:t>
      </w:r>
      <w:r w:rsidRPr="00F73C96">
        <w:rPr>
          <w:rStyle w:val="authors"/>
          <w:rFonts w:ascii="Times New Roman" w:hAnsi="Times New Roman" w:cs="Times New Roman"/>
          <w:color w:val="333333"/>
          <w:sz w:val="24"/>
          <w:szCs w:val="24"/>
          <w:shd w:val="clear" w:color="auto" w:fill="FFFFFF"/>
        </w:rPr>
        <w:t>, Williams</w:t>
      </w:r>
      <w:r>
        <w:rPr>
          <w:rStyle w:val="authors"/>
          <w:rFonts w:ascii="Times New Roman" w:hAnsi="Times New Roman" w:cs="Times New Roman"/>
          <w:color w:val="333333"/>
          <w:sz w:val="24"/>
          <w:szCs w:val="24"/>
          <w:shd w:val="clear" w:color="auto" w:fill="FFFFFF"/>
        </w:rPr>
        <w:t>, D.</w:t>
      </w:r>
      <w:r w:rsidR="00FD0224">
        <w:rPr>
          <w:rStyle w:val="authors"/>
          <w:rFonts w:ascii="Times New Roman" w:hAnsi="Times New Roman" w:cs="Times New Roman"/>
          <w:color w:val="333333"/>
          <w:sz w:val="24"/>
          <w:szCs w:val="24"/>
          <w:shd w:val="clear" w:color="auto" w:fill="FFFFFF"/>
        </w:rPr>
        <w:t>,</w:t>
      </w:r>
      <w:r w:rsidRPr="00F73C96">
        <w:rPr>
          <w:rStyle w:val="authors"/>
          <w:rFonts w:ascii="Times New Roman" w:hAnsi="Times New Roman" w:cs="Times New Roman"/>
          <w:color w:val="333333"/>
          <w:sz w:val="24"/>
          <w:szCs w:val="24"/>
          <w:shd w:val="clear" w:color="auto" w:fill="FFFFFF"/>
        </w:rPr>
        <w:t xml:space="preserve"> &amp; Grimes</w:t>
      </w:r>
      <w:r>
        <w:rPr>
          <w:rStyle w:val="authors"/>
          <w:rFonts w:ascii="Times New Roman" w:hAnsi="Times New Roman" w:cs="Times New Roman"/>
          <w:color w:val="333333"/>
          <w:sz w:val="24"/>
          <w:szCs w:val="24"/>
          <w:shd w:val="clear" w:color="auto" w:fill="FFFFFF"/>
        </w:rPr>
        <w:t>, P.</w:t>
      </w:r>
      <w:r w:rsidRPr="00F73C96">
        <w:rPr>
          <w:rFonts w:ascii="Times New Roman" w:hAnsi="Times New Roman" w:cs="Times New Roman"/>
          <w:color w:val="333333"/>
          <w:sz w:val="24"/>
          <w:szCs w:val="24"/>
          <w:shd w:val="clear" w:color="auto" w:fill="FFFFFF"/>
        </w:rPr>
        <w:t> </w:t>
      </w:r>
      <w:r w:rsidRPr="00F73C96">
        <w:rPr>
          <w:rStyle w:val="Date1"/>
          <w:rFonts w:ascii="Times New Roman" w:hAnsi="Times New Roman" w:cs="Times New Roman"/>
          <w:color w:val="333333"/>
          <w:sz w:val="24"/>
          <w:szCs w:val="24"/>
          <w:shd w:val="clear" w:color="auto" w:fill="FFFFFF"/>
        </w:rPr>
        <w:t>(2001)</w:t>
      </w:r>
      <w:r>
        <w:rPr>
          <w:rStyle w:val="Date1"/>
          <w:rFonts w:ascii="Times New Roman" w:hAnsi="Times New Roman" w:cs="Times New Roman"/>
          <w:color w:val="333333"/>
          <w:sz w:val="24"/>
          <w:szCs w:val="24"/>
          <w:shd w:val="clear" w:color="auto" w:fill="FFFFFF"/>
        </w:rPr>
        <w:t>.</w:t>
      </w:r>
      <w:r w:rsidRPr="00F73C96">
        <w:rPr>
          <w:rFonts w:ascii="Times New Roman" w:hAnsi="Times New Roman" w:cs="Times New Roman"/>
          <w:color w:val="333333"/>
          <w:sz w:val="24"/>
          <w:szCs w:val="24"/>
          <w:shd w:val="clear" w:color="auto" w:fill="FFFFFF"/>
        </w:rPr>
        <w:t> </w:t>
      </w:r>
      <w:r w:rsidRPr="00F73C96">
        <w:rPr>
          <w:rStyle w:val="arttitle"/>
          <w:rFonts w:ascii="Times New Roman" w:hAnsi="Times New Roman" w:cs="Times New Roman"/>
          <w:color w:val="333333"/>
          <w:sz w:val="24"/>
          <w:szCs w:val="24"/>
          <w:shd w:val="clear" w:color="auto" w:fill="FFFFFF"/>
        </w:rPr>
        <w:t xml:space="preserve">Adolescent </w:t>
      </w:r>
      <w:r w:rsidR="00E81A42">
        <w:rPr>
          <w:rStyle w:val="arttitle"/>
          <w:rFonts w:ascii="Times New Roman" w:hAnsi="Times New Roman" w:cs="Times New Roman"/>
          <w:color w:val="333333"/>
          <w:sz w:val="24"/>
          <w:szCs w:val="24"/>
          <w:shd w:val="clear" w:color="auto" w:fill="FFFFFF"/>
        </w:rPr>
        <w:t>d</w:t>
      </w:r>
      <w:r w:rsidRPr="00F73C96">
        <w:rPr>
          <w:rStyle w:val="arttitle"/>
          <w:rFonts w:ascii="Times New Roman" w:hAnsi="Times New Roman" w:cs="Times New Roman"/>
          <w:color w:val="333333"/>
          <w:sz w:val="24"/>
          <w:szCs w:val="24"/>
          <w:shd w:val="clear" w:color="auto" w:fill="FFFFFF"/>
        </w:rPr>
        <w:t xml:space="preserve">rug </w:t>
      </w:r>
      <w:r w:rsidR="00E81A42">
        <w:rPr>
          <w:rStyle w:val="arttitle"/>
          <w:rFonts w:ascii="Times New Roman" w:hAnsi="Times New Roman" w:cs="Times New Roman"/>
          <w:color w:val="333333"/>
          <w:sz w:val="24"/>
          <w:szCs w:val="24"/>
          <w:shd w:val="clear" w:color="auto" w:fill="FFFFFF"/>
        </w:rPr>
        <w:t>u</w:t>
      </w:r>
      <w:r w:rsidRPr="00F73C96">
        <w:rPr>
          <w:rStyle w:val="arttitle"/>
          <w:rFonts w:ascii="Times New Roman" w:hAnsi="Times New Roman" w:cs="Times New Roman"/>
          <w:color w:val="333333"/>
          <w:sz w:val="24"/>
          <w:szCs w:val="24"/>
          <w:shd w:val="clear" w:color="auto" w:fill="FFFFFF"/>
        </w:rPr>
        <w:t xml:space="preserve">se and </w:t>
      </w:r>
      <w:r w:rsidR="00E81A42">
        <w:rPr>
          <w:rStyle w:val="arttitle"/>
          <w:rFonts w:ascii="Times New Roman" w:hAnsi="Times New Roman" w:cs="Times New Roman"/>
          <w:color w:val="333333"/>
          <w:sz w:val="24"/>
          <w:szCs w:val="24"/>
          <w:shd w:val="clear" w:color="auto" w:fill="FFFFFF"/>
        </w:rPr>
        <w:t>e</w:t>
      </w:r>
      <w:r w:rsidRPr="00F73C96">
        <w:rPr>
          <w:rStyle w:val="arttitle"/>
          <w:rFonts w:ascii="Times New Roman" w:hAnsi="Times New Roman" w:cs="Times New Roman"/>
          <w:color w:val="333333"/>
          <w:sz w:val="24"/>
          <w:szCs w:val="24"/>
          <w:shd w:val="clear" w:color="auto" w:fill="FFFFFF"/>
        </w:rPr>
        <w:t xml:space="preserve">ducational </w:t>
      </w:r>
      <w:r w:rsidR="00E81A42">
        <w:rPr>
          <w:rStyle w:val="arttitle"/>
          <w:rFonts w:ascii="Times New Roman" w:hAnsi="Times New Roman" w:cs="Times New Roman"/>
          <w:color w:val="333333"/>
          <w:sz w:val="24"/>
          <w:szCs w:val="24"/>
          <w:shd w:val="clear" w:color="auto" w:fill="FFFFFF"/>
        </w:rPr>
        <w:t>a</w:t>
      </w:r>
      <w:r w:rsidRPr="00F73C96">
        <w:rPr>
          <w:rStyle w:val="arttitle"/>
          <w:rFonts w:ascii="Times New Roman" w:hAnsi="Times New Roman" w:cs="Times New Roman"/>
          <w:color w:val="333333"/>
          <w:sz w:val="24"/>
          <w:szCs w:val="24"/>
          <w:shd w:val="clear" w:color="auto" w:fill="FFFFFF"/>
        </w:rPr>
        <w:t>ttainment</w:t>
      </w:r>
      <w:r>
        <w:rPr>
          <w:rStyle w:val="arttitle"/>
          <w:rFonts w:ascii="Times New Roman" w:hAnsi="Times New Roman" w:cs="Times New Roman"/>
          <w:color w:val="333333"/>
          <w:sz w:val="24"/>
          <w:szCs w:val="24"/>
          <w:shd w:val="clear" w:color="auto" w:fill="FFFFFF"/>
        </w:rPr>
        <w:t>.</w:t>
      </w:r>
      <w:r w:rsidRPr="00F73C96">
        <w:rPr>
          <w:rFonts w:ascii="Times New Roman" w:hAnsi="Times New Roman" w:cs="Times New Roman"/>
          <w:color w:val="333333"/>
          <w:sz w:val="24"/>
          <w:szCs w:val="24"/>
          <w:shd w:val="clear" w:color="auto" w:fill="FFFFFF"/>
        </w:rPr>
        <w:t> </w:t>
      </w:r>
      <w:r w:rsidRPr="002F7A73">
        <w:rPr>
          <w:rStyle w:val="serialtitle"/>
          <w:rFonts w:ascii="Times New Roman" w:hAnsi="Times New Roman" w:cs="Times New Roman"/>
          <w:i/>
          <w:iCs/>
          <w:color w:val="333333"/>
          <w:sz w:val="24"/>
          <w:szCs w:val="24"/>
          <w:shd w:val="clear" w:color="auto" w:fill="FFFFFF"/>
        </w:rPr>
        <w:t>Education Economics</w:t>
      </w:r>
      <w:r w:rsidRPr="00E81A42">
        <w:rPr>
          <w:rStyle w:val="serialtitle"/>
          <w:rFonts w:ascii="Times New Roman" w:hAnsi="Times New Roman" w:cs="Times New Roman"/>
          <w:color w:val="333333"/>
          <w:sz w:val="24"/>
          <w:szCs w:val="24"/>
          <w:shd w:val="clear" w:color="auto" w:fill="FFFFFF"/>
        </w:rPr>
        <w:t>,</w:t>
      </w:r>
      <w:r w:rsidRPr="002F7A73">
        <w:rPr>
          <w:rFonts w:ascii="Times New Roman" w:hAnsi="Times New Roman" w:cs="Times New Roman"/>
          <w:i/>
          <w:iCs/>
          <w:color w:val="333333"/>
          <w:sz w:val="24"/>
          <w:szCs w:val="24"/>
          <w:shd w:val="clear" w:color="auto" w:fill="FFFFFF"/>
        </w:rPr>
        <w:t> </w:t>
      </w:r>
      <w:r w:rsidRPr="002F7A73">
        <w:rPr>
          <w:rStyle w:val="volumeissue"/>
          <w:rFonts w:ascii="Times New Roman" w:hAnsi="Times New Roman" w:cs="Times New Roman"/>
          <w:i/>
          <w:iCs/>
          <w:color w:val="333333"/>
          <w:sz w:val="24"/>
          <w:szCs w:val="24"/>
          <w:shd w:val="clear" w:color="auto" w:fill="FFFFFF"/>
        </w:rPr>
        <w:t>9</w:t>
      </w:r>
      <w:r>
        <w:rPr>
          <w:rStyle w:val="volumeissue"/>
          <w:rFonts w:ascii="Times New Roman" w:hAnsi="Times New Roman" w:cs="Times New Roman"/>
          <w:color w:val="333333"/>
          <w:sz w:val="24"/>
          <w:szCs w:val="24"/>
          <w:shd w:val="clear" w:color="auto" w:fill="FFFFFF"/>
        </w:rPr>
        <w:t>(1)</w:t>
      </w:r>
      <w:r w:rsidRPr="00F73C96">
        <w:rPr>
          <w:rStyle w:val="volumeissue"/>
          <w:rFonts w:ascii="Times New Roman" w:hAnsi="Times New Roman" w:cs="Times New Roman"/>
          <w:color w:val="333333"/>
          <w:sz w:val="24"/>
          <w:szCs w:val="24"/>
          <w:shd w:val="clear" w:color="auto" w:fill="FFFFFF"/>
        </w:rPr>
        <w:t>,</w:t>
      </w:r>
      <w:r w:rsidRPr="00F73C96">
        <w:rPr>
          <w:rFonts w:ascii="Times New Roman" w:hAnsi="Times New Roman" w:cs="Times New Roman"/>
          <w:color w:val="333333"/>
          <w:sz w:val="24"/>
          <w:szCs w:val="24"/>
          <w:shd w:val="clear" w:color="auto" w:fill="FFFFFF"/>
        </w:rPr>
        <w:t> </w:t>
      </w:r>
      <w:r w:rsidRPr="00F73C96">
        <w:rPr>
          <w:rStyle w:val="pagerange"/>
          <w:rFonts w:ascii="Times New Roman" w:hAnsi="Times New Roman" w:cs="Times New Roman"/>
          <w:color w:val="333333"/>
          <w:sz w:val="24"/>
          <w:szCs w:val="24"/>
          <w:shd w:val="clear" w:color="auto" w:fill="FFFFFF"/>
        </w:rPr>
        <w:t>1-18</w:t>
      </w:r>
      <w:r>
        <w:rPr>
          <w:rStyle w:val="pagerange"/>
          <w:rFonts w:ascii="Times New Roman" w:hAnsi="Times New Roman" w:cs="Times New Roman"/>
          <w:color w:val="333333"/>
          <w:sz w:val="24"/>
          <w:szCs w:val="24"/>
          <w:shd w:val="clear" w:color="auto" w:fill="FFFFFF"/>
        </w:rPr>
        <w:t>.</w:t>
      </w:r>
    </w:p>
    <w:p w14:paraId="2E9D31CD" w14:textId="77777777" w:rsidR="00A35AB1" w:rsidRDefault="00A35AB1" w:rsidP="004E2745">
      <w:pPr>
        <w:spacing w:after="0" w:line="240" w:lineRule="auto"/>
        <w:ind w:left="720" w:hanging="720"/>
        <w:contextualSpacing/>
        <w:mirrorIndents/>
        <w:jc w:val="both"/>
        <w:rPr>
          <w:rStyle w:val="pagerange"/>
          <w:rFonts w:ascii="Times New Roman" w:hAnsi="Times New Roman" w:cs="Times New Roman"/>
          <w:color w:val="333333"/>
          <w:sz w:val="24"/>
          <w:szCs w:val="24"/>
          <w:shd w:val="clear" w:color="auto" w:fill="FFFFFF"/>
        </w:rPr>
      </w:pPr>
    </w:p>
    <w:p w14:paraId="269EB855" w14:textId="6EFA1BBD" w:rsidR="00A35AB1" w:rsidRPr="00A35AB1" w:rsidRDefault="00A35AB1" w:rsidP="004E2745">
      <w:pPr>
        <w:spacing w:after="0" w:line="240" w:lineRule="auto"/>
        <w:ind w:left="720" w:hanging="720"/>
        <w:contextualSpacing/>
        <w:mirrorIndents/>
        <w:jc w:val="both"/>
        <w:rPr>
          <w:rStyle w:val="pagerange"/>
          <w:rFonts w:ascii="Times New Roman" w:hAnsi="Times New Roman" w:cs="Times New Roman"/>
          <w:sz w:val="24"/>
          <w:szCs w:val="24"/>
          <w:shd w:val="clear" w:color="auto" w:fill="FFFFFF"/>
        </w:rPr>
      </w:pPr>
      <w:r>
        <w:rPr>
          <w:rStyle w:val="pagerange"/>
          <w:rFonts w:ascii="Times New Roman" w:hAnsi="Times New Roman" w:cs="Times New Roman"/>
          <w:color w:val="333333"/>
          <w:sz w:val="24"/>
          <w:szCs w:val="24"/>
          <w:shd w:val="clear" w:color="auto" w:fill="FFFFFF"/>
        </w:rPr>
        <w:t xml:space="preserve">Revised Code of Washington 69.50.540. (2022). </w:t>
      </w:r>
      <w:r>
        <w:rPr>
          <w:rStyle w:val="pagerange"/>
          <w:rFonts w:ascii="Times New Roman" w:hAnsi="Times New Roman" w:cs="Times New Roman"/>
          <w:i/>
          <w:iCs/>
          <w:color w:val="333333"/>
          <w:sz w:val="24"/>
          <w:szCs w:val="24"/>
          <w:shd w:val="clear" w:color="auto" w:fill="FFFFFF"/>
        </w:rPr>
        <w:t>Dedicated cannabis account – appropriations (as amended by 2022 c 16)</w:t>
      </w:r>
      <w:r>
        <w:rPr>
          <w:rStyle w:val="pagerange"/>
          <w:rFonts w:ascii="Times New Roman" w:hAnsi="Times New Roman" w:cs="Times New Roman"/>
          <w:color w:val="333333"/>
          <w:sz w:val="24"/>
          <w:szCs w:val="24"/>
          <w:shd w:val="clear" w:color="auto" w:fill="FFFFFF"/>
        </w:rPr>
        <w:t xml:space="preserve">. Retrieved from the Washington State Legislature: </w:t>
      </w:r>
      <w:hyperlink r:id="rId20" w:history="1">
        <w:r w:rsidRPr="00A35AB1">
          <w:rPr>
            <w:rStyle w:val="Hyperlink"/>
            <w:rFonts w:ascii="Times New Roman" w:hAnsi="Times New Roman" w:cs="Times New Roman"/>
            <w:color w:val="auto"/>
            <w:sz w:val="24"/>
            <w:szCs w:val="24"/>
            <w:shd w:val="clear" w:color="auto" w:fill="FFFFFF"/>
          </w:rPr>
          <w:t>https://app.leg.wa.gov/rcw/default.aspx?cite=69.50.540</w:t>
        </w:r>
      </w:hyperlink>
      <w:r w:rsidRPr="00A35AB1">
        <w:rPr>
          <w:rStyle w:val="pagerange"/>
          <w:rFonts w:ascii="Times New Roman" w:hAnsi="Times New Roman" w:cs="Times New Roman"/>
          <w:sz w:val="24"/>
          <w:szCs w:val="24"/>
          <w:shd w:val="clear" w:color="auto" w:fill="FFFFFF"/>
        </w:rPr>
        <w:t xml:space="preserve">. </w:t>
      </w:r>
    </w:p>
    <w:p w14:paraId="3BD58C1A" w14:textId="77777777" w:rsidR="004E2745" w:rsidRDefault="004E2745" w:rsidP="004E2745">
      <w:pPr>
        <w:spacing w:after="0" w:line="240" w:lineRule="auto"/>
        <w:ind w:left="720" w:hanging="720"/>
        <w:contextualSpacing/>
        <w:mirrorIndents/>
        <w:jc w:val="both"/>
        <w:rPr>
          <w:rStyle w:val="pagerange"/>
          <w:rFonts w:ascii="Times New Roman" w:hAnsi="Times New Roman" w:cs="Times New Roman"/>
          <w:color w:val="333333"/>
          <w:sz w:val="24"/>
          <w:szCs w:val="24"/>
          <w:shd w:val="clear" w:color="auto" w:fill="FFFFFF"/>
        </w:rPr>
      </w:pPr>
    </w:p>
    <w:p w14:paraId="5B0F3BF4" w14:textId="566E74B5"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F73C96">
        <w:rPr>
          <w:rFonts w:ascii="Times New Roman" w:hAnsi="Times New Roman" w:cs="Times New Roman"/>
          <w:sz w:val="24"/>
          <w:szCs w:val="24"/>
        </w:rPr>
        <w:t>Roebuck,</w:t>
      </w:r>
      <w:r>
        <w:rPr>
          <w:rFonts w:ascii="Times New Roman" w:hAnsi="Times New Roman" w:cs="Times New Roman"/>
          <w:sz w:val="24"/>
          <w:szCs w:val="24"/>
        </w:rPr>
        <w:t xml:space="preserve"> M., </w:t>
      </w:r>
      <w:r w:rsidRPr="00F73C96">
        <w:rPr>
          <w:rFonts w:ascii="Times New Roman" w:hAnsi="Times New Roman" w:cs="Times New Roman"/>
          <w:sz w:val="24"/>
          <w:szCs w:val="24"/>
        </w:rPr>
        <w:t>French,</w:t>
      </w:r>
      <w:r>
        <w:rPr>
          <w:rFonts w:ascii="Times New Roman" w:hAnsi="Times New Roman" w:cs="Times New Roman"/>
          <w:sz w:val="24"/>
          <w:szCs w:val="24"/>
        </w:rPr>
        <w:t xml:space="preserve"> M., &amp;</w:t>
      </w:r>
      <w:r w:rsidRPr="00F73C96">
        <w:rPr>
          <w:rFonts w:ascii="Times New Roman" w:hAnsi="Times New Roman" w:cs="Times New Roman"/>
          <w:sz w:val="24"/>
          <w:szCs w:val="24"/>
        </w:rPr>
        <w:t xml:space="preserve"> Dennis</w:t>
      </w:r>
      <w:r>
        <w:rPr>
          <w:rFonts w:ascii="Times New Roman" w:hAnsi="Times New Roman" w:cs="Times New Roman"/>
          <w:sz w:val="24"/>
          <w:szCs w:val="24"/>
        </w:rPr>
        <w:t>, M.</w:t>
      </w:r>
      <w:r w:rsidRPr="00F73C96">
        <w:rPr>
          <w:rFonts w:ascii="Times New Roman" w:hAnsi="Times New Roman" w:cs="Times New Roman"/>
          <w:sz w:val="24"/>
          <w:szCs w:val="24"/>
        </w:rPr>
        <w:t xml:space="preserve"> </w:t>
      </w:r>
      <w:r>
        <w:rPr>
          <w:rFonts w:ascii="Times New Roman" w:hAnsi="Times New Roman" w:cs="Times New Roman"/>
          <w:sz w:val="24"/>
          <w:szCs w:val="24"/>
        </w:rPr>
        <w:t xml:space="preserve">(2004). </w:t>
      </w:r>
      <w:r w:rsidRPr="00F73C96">
        <w:rPr>
          <w:rFonts w:ascii="Times New Roman" w:hAnsi="Times New Roman" w:cs="Times New Roman"/>
          <w:sz w:val="24"/>
          <w:szCs w:val="24"/>
        </w:rPr>
        <w:t xml:space="preserve">Adolescent </w:t>
      </w:r>
      <w:r w:rsidR="00E81A42">
        <w:rPr>
          <w:rFonts w:ascii="Times New Roman" w:hAnsi="Times New Roman" w:cs="Times New Roman"/>
          <w:sz w:val="24"/>
          <w:szCs w:val="24"/>
        </w:rPr>
        <w:t>m</w:t>
      </w:r>
      <w:r w:rsidRPr="00F73C96">
        <w:rPr>
          <w:rFonts w:ascii="Times New Roman" w:hAnsi="Times New Roman" w:cs="Times New Roman"/>
          <w:sz w:val="24"/>
          <w:szCs w:val="24"/>
        </w:rPr>
        <w:t xml:space="preserve">arijuana </w:t>
      </w:r>
      <w:r w:rsidR="00E81A42">
        <w:rPr>
          <w:rFonts w:ascii="Times New Roman" w:hAnsi="Times New Roman" w:cs="Times New Roman"/>
          <w:sz w:val="24"/>
          <w:szCs w:val="24"/>
        </w:rPr>
        <w:t>u</w:t>
      </w:r>
      <w:r w:rsidRPr="00F73C96">
        <w:rPr>
          <w:rFonts w:ascii="Times New Roman" w:hAnsi="Times New Roman" w:cs="Times New Roman"/>
          <w:sz w:val="24"/>
          <w:szCs w:val="24"/>
        </w:rPr>
        <w:t xml:space="preserve">se and </w:t>
      </w:r>
      <w:r w:rsidR="00E81A42">
        <w:rPr>
          <w:rFonts w:ascii="Times New Roman" w:hAnsi="Times New Roman" w:cs="Times New Roman"/>
          <w:sz w:val="24"/>
          <w:szCs w:val="24"/>
        </w:rPr>
        <w:t>s</w:t>
      </w:r>
      <w:r w:rsidRPr="00F73C96">
        <w:rPr>
          <w:rFonts w:ascii="Times New Roman" w:hAnsi="Times New Roman" w:cs="Times New Roman"/>
          <w:sz w:val="24"/>
          <w:szCs w:val="24"/>
        </w:rPr>
        <w:t xml:space="preserve">chool </w:t>
      </w:r>
      <w:r w:rsidR="00E81A42">
        <w:rPr>
          <w:rFonts w:ascii="Times New Roman" w:hAnsi="Times New Roman" w:cs="Times New Roman"/>
          <w:sz w:val="24"/>
          <w:szCs w:val="24"/>
        </w:rPr>
        <w:t>a</w:t>
      </w:r>
      <w:r w:rsidRPr="00F73C96">
        <w:rPr>
          <w:rFonts w:ascii="Times New Roman" w:hAnsi="Times New Roman" w:cs="Times New Roman"/>
          <w:sz w:val="24"/>
          <w:szCs w:val="24"/>
        </w:rPr>
        <w:t>ttendance</w:t>
      </w:r>
      <w:r>
        <w:rPr>
          <w:rFonts w:ascii="Times New Roman" w:hAnsi="Times New Roman" w:cs="Times New Roman"/>
          <w:sz w:val="24"/>
          <w:szCs w:val="24"/>
        </w:rPr>
        <w:t>.</w:t>
      </w:r>
      <w:r w:rsidRPr="00F73C96">
        <w:rPr>
          <w:rFonts w:ascii="Times New Roman" w:hAnsi="Times New Roman" w:cs="Times New Roman"/>
          <w:sz w:val="24"/>
          <w:szCs w:val="24"/>
        </w:rPr>
        <w:t xml:space="preserve"> </w:t>
      </w:r>
      <w:r w:rsidRPr="002F7A73">
        <w:rPr>
          <w:rFonts w:ascii="Times New Roman" w:hAnsi="Times New Roman" w:cs="Times New Roman"/>
          <w:i/>
          <w:iCs/>
          <w:sz w:val="24"/>
          <w:szCs w:val="24"/>
        </w:rPr>
        <w:t>Economics of Education Review</w:t>
      </w:r>
      <w:r w:rsidRPr="00E81A42">
        <w:rPr>
          <w:rFonts w:ascii="Times New Roman" w:hAnsi="Times New Roman" w:cs="Times New Roman"/>
          <w:sz w:val="24"/>
          <w:szCs w:val="24"/>
        </w:rPr>
        <w:t xml:space="preserve">, </w:t>
      </w:r>
      <w:r w:rsidRPr="002F7A73">
        <w:rPr>
          <w:rFonts w:ascii="Times New Roman" w:hAnsi="Times New Roman" w:cs="Times New Roman"/>
          <w:i/>
          <w:iCs/>
          <w:sz w:val="24"/>
          <w:szCs w:val="24"/>
        </w:rPr>
        <w:t>23</w:t>
      </w:r>
      <w:r>
        <w:rPr>
          <w:rFonts w:ascii="Times New Roman" w:hAnsi="Times New Roman" w:cs="Times New Roman"/>
          <w:sz w:val="24"/>
          <w:szCs w:val="24"/>
        </w:rPr>
        <w:t>(</w:t>
      </w:r>
      <w:r w:rsidRPr="00F73C96">
        <w:rPr>
          <w:rFonts w:ascii="Times New Roman" w:hAnsi="Times New Roman" w:cs="Times New Roman"/>
          <w:sz w:val="24"/>
          <w:szCs w:val="24"/>
        </w:rPr>
        <w:t>2</w:t>
      </w:r>
      <w:r>
        <w:rPr>
          <w:rFonts w:ascii="Times New Roman" w:hAnsi="Times New Roman" w:cs="Times New Roman"/>
          <w:sz w:val="24"/>
          <w:szCs w:val="24"/>
        </w:rPr>
        <w:t xml:space="preserve">), </w:t>
      </w:r>
      <w:r w:rsidRPr="00F73C96">
        <w:rPr>
          <w:rFonts w:ascii="Times New Roman" w:hAnsi="Times New Roman" w:cs="Times New Roman"/>
          <w:sz w:val="24"/>
          <w:szCs w:val="24"/>
        </w:rPr>
        <w:t>133-14</w:t>
      </w:r>
      <w:r>
        <w:rPr>
          <w:rFonts w:ascii="Times New Roman" w:hAnsi="Times New Roman" w:cs="Times New Roman"/>
          <w:sz w:val="24"/>
          <w:szCs w:val="24"/>
        </w:rPr>
        <w:t>1.</w:t>
      </w:r>
    </w:p>
    <w:p w14:paraId="727BEA7C"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16DF9800" w14:textId="11CB3F9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roofErr w:type="spellStart"/>
      <w:r w:rsidRPr="007C1E66">
        <w:rPr>
          <w:rFonts w:ascii="Times New Roman" w:hAnsi="Times New Roman" w:cs="Times New Roman"/>
          <w:sz w:val="24"/>
          <w:szCs w:val="24"/>
        </w:rPr>
        <w:t>Rusby</w:t>
      </w:r>
      <w:proofErr w:type="spellEnd"/>
      <w:r w:rsidRPr="007C1E66">
        <w:rPr>
          <w:rFonts w:ascii="Times New Roman" w:hAnsi="Times New Roman" w:cs="Times New Roman"/>
          <w:sz w:val="24"/>
          <w:szCs w:val="24"/>
        </w:rPr>
        <w:t xml:space="preserve">, J., </w:t>
      </w:r>
      <w:proofErr w:type="spellStart"/>
      <w:r w:rsidRPr="007C1E66">
        <w:rPr>
          <w:rFonts w:ascii="Times New Roman" w:hAnsi="Times New Roman" w:cs="Times New Roman"/>
          <w:sz w:val="24"/>
          <w:szCs w:val="24"/>
        </w:rPr>
        <w:t>Westling</w:t>
      </w:r>
      <w:proofErr w:type="spellEnd"/>
      <w:r w:rsidRPr="007C1E66">
        <w:rPr>
          <w:rFonts w:ascii="Times New Roman" w:hAnsi="Times New Roman" w:cs="Times New Roman"/>
          <w:sz w:val="24"/>
          <w:szCs w:val="24"/>
        </w:rPr>
        <w:t xml:space="preserve">, E., Crowley, R., &amp; Light, J. (2018). Legalization of </w:t>
      </w:r>
      <w:r w:rsidR="00E81A42">
        <w:rPr>
          <w:rFonts w:ascii="Times New Roman" w:hAnsi="Times New Roman" w:cs="Times New Roman"/>
          <w:sz w:val="24"/>
          <w:szCs w:val="24"/>
        </w:rPr>
        <w:t>r</w:t>
      </w:r>
      <w:r w:rsidRPr="007C1E66">
        <w:rPr>
          <w:rFonts w:ascii="Times New Roman" w:hAnsi="Times New Roman" w:cs="Times New Roman"/>
          <w:sz w:val="24"/>
          <w:szCs w:val="24"/>
        </w:rPr>
        <w:t xml:space="preserve">ecreational </w:t>
      </w:r>
      <w:r w:rsidR="00E81A42">
        <w:rPr>
          <w:rFonts w:ascii="Times New Roman" w:hAnsi="Times New Roman" w:cs="Times New Roman"/>
          <w:sz w:val="24"/>
          <w:szCs w:val="24"/>
        </w:rPr>
        <w:t>m</w:t>
      </w:r>
      <w:r w:rsidRPr="007C1E66">
        <w:rPr>
          <w:rFonts w:ascii="Times New Roman" w:hAnsi="Times New Roman" w:cs="Times New Roman"/>
          <w:sz w:val="24"/>
          <w:szCs w:val="24"/>
        </w:rPr>
        <w:t xml:space="preserve">arijuana and </w:t>
      </w:r>
      <w:r w:rsidR="00E81A42">
        <w:rPr>
          <w:rFonts w:ascii="Times New Roman" w:hAnsi="Times New Roman" w:cs="Times New Roman"/>
          <w:sz w:val="24"/>
          <w:szCs w:val="24"/>
        </w:rPr>
        <w:t>c</w:t>
      </w:r>
      <w:r w:rsidRPr="007C1E66">
        <w:rPr>
          <w:rFonts w:ascii="Times New Roman" w:hAnsi="Times New Roman" w:cs="Times New Roman"/>
          <w:sz w:val="24"/>
          <w:szCs w:val="24"/>
        </w:rPr>
        <w:t xml:space="preserve">ommunity </w:t>
      </w:r>
      <w:r w:rsidR="00E81A42">
        <w:rPr>
          <w:rFonts w:ascii="Times New Roman" w:hAnsi="Times New Roman" w:cs="Times New Roman"/>
          <w:sz w:val="24"/>
          <w:szCs w:val="24"/>
        </w:rPr>
        <w:t>s</w:t>
      </w:r>
      <w:r w:rsidRPr="007C1E66">
        <w:rPr>
          <w:rFonts w:ascii="Times New Roman" w:hAnsi="Times New Roman" w:cs="Times New Roman"/>
          <w:sz w:val="24"/>
          <w:szCs w:val="24"/>
        </w:rPr>
        <w:t xml:space="preserve">ales </w:t>
      </w:r>
      <w:r w:rsidR="00E81A42">
        <w:rPr>
          <w:rFonts w:ascii="Times New Roman" w:hAnsi="Times New Roman" w:cs="Times New Roman"/>
          <w:sz w:val="24"/>
          <w:szCs w:val="24"/>
        </w:rPr>
        <w:t>p</w:t>
      </w:r>
      <w:r w:rsidRPr="007C1E66">
        <w:rPr>
          <w:rFonts w:ascii="Times New Roman" w:hAnsi="Times New Roman" w:cs="Times New Roman"/>
          <w:sz w:val="24"/>
          <w:szCs w:val="24"/>
        </w:rPr>
        <w:t xml:space="preserve">olicy in Oregon: Impact on </w:t>
      </w:r>
      <w:r w:rsidR="00E81A42">
        <w:rPr>
          <w:rFonts w:ascii="Times New Roman" w:hAnsi="Times New Roman" w:cs="Times New Roman"/>
          <w:sz w:val="24"/>
          <w:szCs w:val="24"/>
        </w:rPr>
        <w:t>a</w:t>
      </w:r>
      <w:r w:rsidRPr="007C1E66">
        <w:rPr>
          <w:rFonts w:ascii="Times New Roman" w:hAnsi="Times New Roman" w:cs="Times New Roman"/>
          <w:sz w:val="24"/>
          <w:szCs w:val="24"/>
        </w:rPr>
        <w:t xml:space="preserve">dolescent </w:t>
      </w:r>
      <w:r w:rsidR="00E81A42">
        <w:rPr>
          <w:rFonts w:ascii="Times New Roman" w:hAnsi="Times New Roman" w:cs="Times New Roman"/>
          <w:sz w:val="24"/>
          <w:szCs w:val="24"/>
        </w:rPr>
        <w:t>w</w:t>
      </w:r>
      <w:r w:rsidRPr="007C1E66">
        <w:rPr>
          <w:rFonts w:ascii="Times New Roman" w:hAnsi="Times New Roman" w:cs="Times New Roman"/>
          <w:sz w:val="24"/>
          <w:szCs w:val="24"/>
        </w:rPr>
        <w:t xml:space="preserve">illingness and </w:t>
      </w:r>
      <w:r w:rsidR="00E81A42">
        <w:rPr>
          <w:rFonts w:ascii="Times New Roman" w:hAnsi="Times New Roman" w:cs="Times New Roman"/>
          <w:sz w:val="24"/>
          <w:szCs w:val="24"/>
        </w:rPr>
        <w:t>i</w:t>
      </w:r>
      <w:r w:rsidRPr="007C1E66">
        <w:rPr>
          <w:rFonts w:ascii="Times New Roman" w:hAnsi="Times New Roman" w:cs="Times New Roman"/>
          <w:sz w:val="24"/>
          <w:szCs w:val="24"/>
        </w:rPr>
        <w:t xml:space="preserve">ntent to </w:t>
      </w:r>
      <w:r w:rsidR="00E81A42">
        <w:rPr>
          <w:rFonts w:ascii="Times New Roman" w:hAnsi="Times New Roman" w:cs="Times New Roman"/>
          <w:sz w:val="24"/>
          <w:szCs w:val="24"/>
        </w:rPr>
        <w:t>u</w:t>
      </w:r>
      <w:r w:rsidRPr="007C1E66">
        <w:rPr>
          <w:rFonts w:ascii="Times New Roman" w:hAnsi="Times New Roman" w:cs="Times New Roman"/>
          <w:sz w:val="24"/>
          <w:szCs w:val="24"/>
        </w:rPr>
        <w:t xml:space="preserve">se, </w:t>
      </w:r>
      <w:r w:rsidR="00E81A42">
        <w:rPr>
          <w:rFonts w:ascii="Times New Roman" w:hAnsi="Times New Roman" w:cs="Times New Roman"/>
          <w:sz w:val="24"/>
          <w:szCs w:val="24"/>
        </w:rPr>
        <w:t>p</w:t>
      </w:r>
      <w:r w:rsidRPr="007C1E66">
        <w:rPr>
          <w:rFonts w:ascii="Times New Roman" w:hAnsi="Times New Roman" w:cs="Times New Roman"/>
          <w:sz w:val="24"/>
          <w:szCs w:val="24"/>
        </w:rPr>
        <w:t xml:space="preserve">arent </w:t>
      </w:r>
      <w:r w:rsidR="00E81A42">
        <w:rPr>
          <w:rFonts w:ascii="Times New Roman" w:hAnsi="Times New Roman" w:cs="Times New Roman"/>
          <w:sz w:val="24"/>
          <w:szCs w:val="24"/>
        </w:rPr>
        <w:t>u</w:t>
      </w:r>
      <w:r w:rsidRPr="007C1E66">
        <w:rPr>
          <w:rFonts w:ascii="Times New Roman" w:hAnsi="Times New Roman" w:cs="Times New Roman"/>
          <w:sz w:val="24"/>
          <w:szCs w:val="24"/>
        </w:rPr>
        <w:t xml:space="preserve">se, and </w:t>
      </w:r>
      <w:r w:rsidR="00E81A42">
        <w:rPr>
          <w:rFonts w:ascii="Times New Roman" w:hAnsi="Times New Roman" w:cs="Times New Roman"/>
          <w:sz w:val="24"/>
          <w:szCs w:val="24"/>
        </w:rPr>
        <w:t>a</w:t>
      </w:r>
      <w:r w:rsidRPr="007C1E66">
        <w:rPr>
          <w:rFonts w:ascii="Times New Roman" w:hAnsi="Times New Roman" w:cs="Times New Roman"/>
          <w:sz w:val="24"/>
          <w:szCs w:val="24"/>
        </w:rPr>
        <w:t xml:space="preserve">dolescent </w:t>
      </w:r>
      <w:r w:rsidR="00E81A42">
        <w:rPr>
          <w:rFonts w:ascii="Times New Roman" w:hAnsi="Times New Roman" w:cs="Times New Roman"/>
          <w:sz w:val="24"/>
          <w:szCs w:val="24"/>
        </w:rPr>
        <w:t>u</w:t>
      </w:r>
      <w:r w:rsidRPr="007C1E66">
        <w:rPr>
          <w:rFonts w:ascii="Times New Roman" w:hAnsi="Times New Roman" w:cs="Times New Roman"/>
          <w:sz w:val="24"/>
          <w:szCs w:val="24"/>
        </w:rPr>
        <w:t xml:space="preserve">se. </w:t>
      </w:r>
      <w:r w:rsidRPr="00280B42">
        <w:rPr>
          <w:rFonts w:ascii="Times New Roman" w:hAnsi="Times New Roman" w:cs="Times New Roman"/>
          <w:i/>
          <w:iCs/>
          <w:sz w:val="24"/>
          <w:szCs w:val="24"/>
        </w:rPr>
        <w:t>Psychology of Addictive Behaviors</w:t>
      </w:r>
      <w:r w:rsidRPr="00E81A42">
        <w:rPr>
          <w:rFonts w:ascii="Times New Roman" w:hAnsi="Times New Roman" w:cs="Times New Roman"/>
          <w:sz w:val="24"/>
          <w:szCs w:val="24"/>
        </w:rPr>
        <w:t xml:space="preserve">, </w:t>
      </w:r>
      <w:r w:rsidRPr="00280B42">
        <w:rPr>
          <w:rFonts w:ascii="Times New Roman" w:hAnsi="Times New Roman" w:cs="Times New Roman"/>
          <w:i/>
          <w:iCs/>
          <w:sz w:val="24"/>
          <w:szCs w:val="24"/>
        </w:rPr>
        <w:t>32</w:t>
      </w:r>
      <w:r w:rsidRPr="007C1E66">
        <w:rPr>
          <w:rFonts w:ascii="Times New Roman" w:hAnsi="Times New Roman" w:cs="Times New Roman"/>
          <w:sz w:val="24"/>
          <w:szCs w:val="24"/>
        </w:rPr>
        <w:t>, 84-92.</w:t>
      </w:r>
    </w:p>
    <w:p w14:paraId="1AD702B5" w14:textId="77777777" w:rsidR="004E2745" w:rsidRPr="00D40C79"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458F90E7" w14:textId="08DE9969" w:rsidR="004E2745" w:rsidRDefault="004E2745" w:rsidP="004E2745">
      <w:pPr>
        <w:spacing w:after="0" w:line="240" w:lineRule="auto"/>
        <w:ind w:left="720" w:hanging="720"/>
        <w:contextualSpacing/>
        <w:mirrorIndents/>
        <w:jc w:val="both"/>
        <w:rPr>
          <w:rStyle w:val="pagerange"/>
          <w:rFonts w:ascii="Times New Roman" w:hAnsi="Times New Roman" w:cs="Times New Roman"/>
          <w:color w:val="333333"/>
          <w:sz w:val="24"/>
          <w:szCs w:val="24"/>
          <w:shd w:val="clear" w:color="auto" w:fill="FFFFFF"/>
        </w:rPr>
      </w:pPr>
      <w:r>
        <w:rPr>
          <w:rStyle w:val="authors"/>
          <w:rFonts w:ascii="Times New Roman" w:hAnsi="Times New Roman" w:cs="Times New Roman"/>
          <w:color w:val="333333"/>
          <w:sz w:val="24"/>
          <w:szCs w:val="24"/>
          <w:shd w:val="clear" w:color="auto" w:fill="FFFFFF"/>
        </w:rPr>
        <w:t>Ryan, A.</w:t>
      </w:r>
      <w:r w:rsidRPr="00F73C96">
        <w:rPr>
          <w:rFonts w:ascii="Times New Roman" w:hAnsi="Times New Roman" w:cs="Times New Roman"/>
          <w:color w:val="333333"/>
          <w:sz w:val="24"/>
          <w:szCs w:val="24"/>
          <w:shd w:val="clear" w:color="auto" w:fill="FFFFFF"/>
        </w:rPr>
        <w:t> </w:t>
      </w:r>
      <w:r w:rsidRPr="00F73C96">
        <w:rPr>
          <w:rStyle w:val="Date1"/>
          <w:rFonts w:ascii="Times New Roman" w:hAnsi="Times New Roman" w:cs="Times New Roman"/>
          <w:color w:val="333333"/>
          <w:sz w:val="24"/>
          <w:szCs w:val="24"/>
          <w:shd w:val="clear" w:color="auto" w:fill="FFFFFF"/>
        </w:rPr>
        <w:t>(2010)</w:t>
      </w:r>
      <w:r>
        <w:rPr>
          <w:rStyle w:val="Date1"/>
          <w:rFonts w:ascii="Times New Roman" w:hAnsi="Times New Roman" w:cs="Times New Roman"/>
          <w:color w:val="333333"/>
          <w:sz w:val="24"/>
          <w:szCs w:val="24"/>
          <w:shd w:val="clear" w:color="auto" w:fill="FFFFFF"/>
        </w:rPr>
        <w:t>.</w:t>
      </w:r>
      <w:r w:rsidRPr="00F73C96">
        <w:rPr>
          <w:rFonts w:ascii="Times New Roman" w:hAnsi="Times New Roman" w:cs="Times New Roman"/>
          <w:color w:val="333333"/>
          <w:sz w:val="24"/>
          <w:szCs w:val="24"/>
          <w:shd w:val="clear" w:color="auto" w:fill="FFFFFF"/>
        </w:rPr>
        <w:t> </w:t>
      </w:r>
      <w:r w:rsidRPr="00F73C96">
        <w:rPr>
          <w:rStyle w:val="arttitle"/>
          <w:rFonts w:ascii="Times New Roman" w:hAnsi="Times New Roman" w:cs="Times New Roman"/>
          <w:color w:val="333333"/>
          <w:sz w:val="24"/>
          <w:szCs w:val="24"/>
          <w:shd w:val="clear" w:color="auto" w:fill="FFFFFF"/>
        </w:rPr>
        <w:t xml:space="preserve">The </w:t>
      </w:r>
      <w:r w:rsidR="00E81A42">
        <w:rPr>
          <w:rStyle w:val="arttitle"/>
          <w:rFonts w:ascii="Times New Roman" w:hAnsi="Times New Roman" w:cs="Times New Roman"/>
          <w:color w:val="333333"/>
          <w:sz w:val="24"/>
          <w:szCs w:val="24"/>
          <w:shd w:val="clear" w:color="auto" w:fill="FFFFFF"/>
        </w:rPr>
        <w:t>l</w:t>
      </w:r>
      <w:r w:rsidRPr="00F73C96">
        <w:rPr>
          <w:rStyle w:val="arttitle"/>
          <w:rFonts w:ascii="Times New Roman" w:hAnsi="Times New Roman" w:cs="Times New Roman"/>
          <w:color w:val="333333"/>
          <w:sz w:val="24"/>
          <w:szCs w:val="24"/>
          <w:shd w:val="clear" w:color="auto" w:fill="FFFFFF"/>
        </w:rPr>
        <w:t xml:space="preserve">asting </w:t>
      </w:r>
      <w:r w:rsidR="00E81A42">
        <w:rPr>
          <w:rStyle w:val="arttitle"/>
          <w:rFonts w:ascii="Times New Roman" w:hAnsi="Times New Roman" w:cs="Times New Roman"/>
          <w:color w:val="333333"/>
          <w:sz w:val="24"/>
          <w:szCs w:val="24"/>
          <w:shd w:val="clear" w:color="auto" w:fill="FFFFFF"/>
        </w:rPr>
        <w:t>e</w:t>
      </w:r>
      <w:r w:rsidRPr="00F73C96">
        <w:rPr>
          <w:rStyle w:val="arttitle"/>
          <w:rFonts w:ascii="Times New Roman" w:hAnsi="Times New Roman" w:cs="Times New Roman"/>
          <w:color w:val="333333"/>
          <w:sz w:val="24"/>
          <w:szCs w:val="24"/>
          <w:shd w:val="clear" w:color="auto" w:fill="FFFFFF"/>
        </w:rPr>
        <w:t xml:space="preserve">ffects of </w:t>
      </w:r>
      <w:r w:rsidR="00E81A42">
        <w:rPr>
          <w:rStyle w:val="arttitle"/>
          <w:rFonts w:ascii="Times New Roman" w:hAnsi="Times New Roman" w:cs="Times New Roman"/>
          <w:color w:val="333333"/>
          <w:sz w:val="24"/>
          <w:szCs w:val="24"/>
          <w:shd w:val="clear" w:color="auto" w:fill="FFFFFF"/>
        </w:rPr>
        <w:t>m</w:t>
      </w:r>
      <w:r w:rsidRPr="00F73C96">
        <w:rPr>
          <w:rStyle w:val="arttitle"/>
          <w:rFonts w:ascii="Times New Roman" w:hAnsi="Times New Roman" w:cs="Times New Roman"/>
          <w:color w:val="333333"/>
          <w:sz w:val="24"/>
          <w:szCs w:val="24"/>
          <w:shd w:val="clear" w:color="auto" w:fill="FFFFFF"/>
        </w:rPr>
        <w:t xml:space="preserve">arijuana </w:t>
      </w:r>
      <w:r w:rsidR="00E81A42">
        <w:rPr>
          <w:rStyle w:val="arttitle"/>
          <w:rFonts w:ascii="Times New Roman" w:hAnsi="Times New Roman" w:cs="Times New Roman"/>
          <w:color w:val="333333"/>
          <w:sz w:val="24"/>
          <w:szCs w:val="24"/>
          <w:shd w:val="clear" w:color="auto" w:fill="FFFFFF"/>
        </w:rPr>
        <w:t>u</w:t>
      </w:r>
      <w:r w:rsidRPr="00F73C96">
        <w:rPr>
          <w:rStyle w:val="arttitle"/>
          <w:rFonts w:ascii="Times New Roman" w:hAnsi="Times New Roman" w:cs="Times New Roman"/>
          <w:color w:val="333333"/>
          <w:sz w:val="24"/>
          <w:szCs w:val="24"/>
          <w:shd w:val="clear" w:color="auto" w:fill="FFFFFF"/>
        </w:rPr>
        <w:t xml:space="preserve">se on </w:t>
      </w:r>
      <w:r w:rsidR="00E81A42">
        <w:rPr>
          <w:rStyle w:val="arttitle"/>
          <w:rFonts w:ascii="Times New Roman" w:hAnsi="Times New Roman" w:cs="Times New Roman"/>
          <w:color w:val="333333"/>
          <w:sz w:val="24"/>
          <w:szCs w:val="24"/>
          <w:shd w:val="clear" w:color="auto" w:fill="FFFFFF"/>
        </w:rPr>
        <w:t>e</w:t>
      </w:r>
      <w:r w:rsidRPr="00F73C96">
        <w:rPr>
          <w:rStyle w:val="arttitle"/>
          <w:rFonts w:ascii="Times New Roman" w:hAnsi="Times New Roman" w:cs="Times New Roman"/>
          <w:color w:val="333333"/>
          <w:sz w:val="24"/>
          <w:szCs w:val="24"/>
          <w:shd w:val="clear" w:color="auto" w:fill="FFFFFF"/>
        </w:rPr>
        <w:t xml:space="preserve">ducational </w:t>
      </w:r>
      <w:r w:rsidR="00E81A42">
        <w:rPr>
          <w:rStyle w:val="arttitle"/>
          <w:rFonts w:ascii="Times New Roman" w:hAnsi="Times New Roman" w:cs="Times New Roman"/>
          <w:color w:val="333333"/>
          <w:sz w:val="24"/>
          <w:szCs w:val="24"/>
          <w:shd w:val="clear" w:color="auto" w:fill="FFFFFF"/>
        </w:rPr>
        <w:t>a</w:t>
      </w:r>
      <w:r w:rsidRPr="00F73C96">
        <w:rPr>
          <w:rStyle w:val="arttitle"/>
          <w:rFonts w:ascii="Times New Roman" w:hAnsi="Times New Roman" w:cs="Times New Roman"/>
          <w:color w:val="333333"/>
          <w:sz w:val="24"/>
          <w:szCs w:val="24"/>
          <w:shd w:val="clear" w:color="auto" w:fill="FFFFFF"/>
        </w:rPr>
        <w:t xml:space="preserve">ttainment in </w:t>
      </w:r>
      <w:r w:rsidR="00E81A42">
        <w:rPr>
          <w:rStyle w:val="arttitle"/>
          <w:rFonts w:ascii="Times New Roman" w:hAnsi="Times New Roman" w:cs="Times New Roman"/>
          <w:color w:val="333333"/>
          <w:sz w:val="24"/>
          <w:szCs w:val="24"/>
          <w:shd w:val="clear" w:color="auto" w:fill="FFFFFF"/>
        </w:rPr>
        <w:t>m</w:t>
      </w:r>
      <w:r w:rsidRPr="00F73C96">
        <w:rPr>
          <w:rStyle w:val="arttitle"/>
          <w:rFonts w:ascii="Times New Roman" w:hAnsi="Times New Roman" w:cs="Times New Roman"/>
          <w:color w:val="333333"/>
          <w:sz w:val="24"/>
          <w:szCs w:val="24"/>
          <w:shd w:val="clear" w:color="auto" w:fill="FFFFFF"/>
        </w:rPr>
        <w:t>idlife</w:t>
      </w:r>
      <w:r>
        <w:rPr>
          <w:rStyle w:val="arttitle"/>
          <w:rFonts w:ascii="Times New Roman" w:hAnsi="Times New Roman" w:cs="Times New Roman"/>
          <w:color w:val="333333"/>
          <w:sz w:val="24"/>
          <w:szCs w:val="24"/>
          <w:shd w:val="clear" w:color="auto" w:fill="FFFFFF"/>
        </w:rPr>
        <w:t>.</w:t>
      </w:r>
      <w:r w:rsidRPr="00F73C96">
        <w:rPr>
          <w:rFonts w:ascii="Times New Roman" w:hAnsi="Times New Roman" w:cs="Times New Roman"/>
          <w:color w:val="333333"/>
          <w:sz w:val="24"/>
          <w:szCs w:val="24"/>
          <w:shd w:val="clear" w:color="auto" w:fill="FFFFFF"/>
        </w:rPr>
        <w:t> </w:t>
      </w:r>
      <w:r w:rsidRPr="002F7A73">
        <w:rPr>
          <w:rStyle w:val="serialtitle"/>
          <w:rFonts w:ascii="Times New Roman" w:hAnsi="Times New Roman" w:cs="Times New Roman"/>
          <w:i/>
          <w:iCs/>
          <w:color w:val="333333"/>
          <w:sz w:val="24"/>
          <w:szCs w:val="24"/>
          <w:shd w:val="clear" w:color="auto" w:fill="FFFFFF"/>
        </w:rPr>
        <w:t xml:space="preserve">Substance Use </w:t>
      </w:r>
      <w:r>
        <w:rPr>
          <w:rStyle w:val="serialtitle"/>
          <w:rFonts w:ascii="Times New Roman" w:hAnsi="Times New Roman" w:cs="Times New Roman"/>
          <w:i/>
          <w:iCs/>
          <w:color w:val="333333"/>
          <w:sz w:val="24"/>
          <w:szCs w:val="24"/>
          <w:shd w:val="clear" w:color="auto" w:fill="FFFFFF"/>
        </w:rPr>
        <w:t>and</w:t>
      </w:r>
      <w:r w:rsidRPr="002F7A73">
        <w:rPr>
          <w:rStyle w:val="serialtitle"/>
          <w:rFonts w:ascii="Times New Roman" w:hAnsi="Times New Roman" w:cs="Times New Roman"/>
          <w:i/>
          <w:iCs/>
          <w:color w:val="333333"/>
          <w:sz w:val="24"/>
          <w:szCs w:val="24"/>
          <w:shd w:val="clear" w:color="auto" w:fill="FFFFFF"/>
        </w:rPr>
        <w:t xml:space="preserve"> Misuse</w:t>
      </w:r>
      <w:r w:rsidRPr="00E81A42">
        <w:rPr>
          <w:rStyle w:val="serialtitle"/>
          <w:rFonts w:ascii="Times New Roman" w:hAnsi="Times New Roman" w:cs="Times New Roman"/>
          <w:color w:val="333333"/>
          <w:sz w:val="24"/>
          <w:szCs w:val="24"/>
          <w:shd w:val="clear" w:color="auto" w:fill="FFFFFF"/>
        </w:rPr>
        <w:t>,</w:t>
      </w:r>
      <w:r w:rsidRPr="002F7A73">
        <w:rPr>
          <w:rFonts w:ascii="Times New Roman" w:hAnsi="Times New Roman" w:cs="Times New Roman"/>
          <w:i/>
          <w:iCs/>
          <w:color w:val="333333"/>
          <w:sz w:val="24"/>
          <w:szCs w:val="24"/>
          <w:shd w:val="clear" w:color="auto" w:fill="FFFFFF"/>
        </w:rPr>
        <w:t> </w:t>
      </w:r>
      <w:r w:rsidRPr="002F7A73">
        <w:rPr>
          <w:rStyle w:val="volumeissue"/>
          <w:rFonts w:ascii="Times New Roman" w:hAnsi="Times New Roman" w:cs="Times New Roman"/>
          <w:i/>
          <w:iCs/>
          <w:color w:val="333333"/>
          <w:sz w:val="24"/>
          <w:szCs w:val="24"/>
          <w:shd w:val="clear" w:color="auto" w:fill="FFFFFF"/>
        </w:rPr>
        <w:t>45</w:t>
      </w:r>
      <w:r>
        <w:rPr>
          <w:rStyle w:val="volumeissue"/>
          <w:rFonts w:ascii="Times New Roman" w:hAnsi="Times New Roman" w:cs="Times New Roman"/>
          <w:color w:val="333333"/>
          <w:sz w:val="24"/>
          <w:szCs w:val="24"/>
          <w:shd w:val="clear" w:color="auto" w:fill="FFFFFF"/>
        </w:rPr>
        <w:t>(4)</w:t>
      </w:r>
      <w:r w:rsidRPr="00F73C96">
        <w:rPr>
          <w:rStyle w:val="volumeissue"/>
          <w:rFonts w:ascii="Times New Roman" w:hAnsi="Times New Roman" w:cs="Times New Roman"/>
          <w:color w:val="333333"/>
          <w:sz w:val="24"/>
          <w:szCs w:val="24"/>
          <w:shd w:val="clear" w:color="auto" w:fill="FFFFFF"/>
        </w:rPr>
        <w:t>,</w:t>
      </w:r>
      <w:r w:rsidRPr="00F73C96">
        <w:rPr>
          <w:rFonts w:ascii="Times New Roman" w:hAnsi="Times New Roman" w:cs="Times New Roman"/>
          <w:color w:val="333333"/>
          <w:sz w:val="24"/>
          <w:szCs w:val="24"/>
          <w:shd w:val="clear" w:color="auto" w:fill="FFFFFF"/>
        </w:rPr>
        <w:t> </w:t>
      </w:r>
      <w:r w:rsidRPr="00F73C96">
        <w:rPr>
          <w:rStyle w:val="pagerange"/>
          <w:rFonts w:ascii="Times New Roman" w:hAnsi="Times New Roman" w:cs="Times New Roman"/>
          <w:color w:val="333333"/>
          <w:sz w:val="24"/>
          <w:szCs w:val="24"/>
          <w:shd w:val="clear" w:color="auto" w:fill="FFFFFF"/>
        </w:rPr>
        <w:t>554-597</w:t>
      </w:r>
      <w:r>
        <w:rPr>
          <w:rStyle w:val="pagerange"/>
          <w:rFonts w:ascii="Times New Roman" w:hAnsi="Times New Roman" w:cs="Times New Roman"/>
          <w:color w:val="333333"/>
          <w:sz w:val="24"/>
          <w:szCs w:val="24"/>
          <w:shd w:val="clear" w:color="auto" w:fill="FFFFFF"/>
        </w:rPr>
        <w:t>.</w:t>
      </w:r>
    </w:p>
    <w:p w14:paraId="2FB6BBC5" w14:textId="77777777" w:rsidR="004E2745" w:rsidRDefault="004E2745" w:rsidP="004E2745">
      <w:pPr>
        <w:spacing w:after="0" w:line="240" w:lineRule="auto"/>
        <w:ind w:left="720" w:hanging="720"/>
        <w:contextualSpacing/>
        <w:jc w:val="both"/>
        <w:rPr>
          <w:rFonts w:ascii="Times New Roman" w:hAnsi="Times New Roman" w:cs="Times New Roman"/>
          <w:color w:val="303030"/>
          <w:sz w:val="24"/>
          <w:szCs w:val="24"/>
          <w:shd w:val="clear" w:color="auto" w:fill="FFFFFF"/>
        </w:rPr>
      </w:pPr>
    </w:p>
    <w:p w14:paraId="3E0291F2" w14:textId="775C551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roofErr w:type="spellStart"/>
      <w:r w:rsidRPr="00C305A1">
        <w:rPr>
          <w:rFonts w:ascii="Times New Roman" w:hAnsi="Times New Roman" w:cs="Times New Roman"/>
          <w:sz w:val="24"/>
          <w:szCs w:val="24"/>
        </w:rPr>
        <w:t>Schuermeyer</w:t>
      </w:r>
      <w:proofErr w:type="spellEnd"/>
      <w:r w:rsidRPr="00C305A1">
        <w:rPr>
          <w:rFonts w:ascii="Times New Roman" w:hAnsi="Times New Roman" w:cs="Times New Roman"/>
          <w:sz w:val="24"/>
          <w:szCs w:val="24"/>
        </w:rPr>
        <w:t>, J.</w:t>
      </w:r>
      <w:r>
        <w:rPr>
          <w:rFonts w:ascii="Times New Roman" w:hAnsi="Times New Roman" w:cs="Times New Roman"/>
          <w:sz w:val="24"/>
          <w:szCs w:val="24"/>
        </w:rPr>
        <w:t xml:space="preserve">, </w:t>
      </w:r>
      <w:proofErr w:type="spellStart"/>
      <w:r>
        <w:rPr>
          <w:rFonts w:ascii="Times New Roman" w:hAnsi="Times New Roman" w:cs="Times New Roman"/>
          <w:sz w:val="24"/>
          <w:szCs w:val="24"/>
        </w:rPr>
        <w:t>Salomonsen-Sautel</w:t>
      </w:r>
      <w:proofErr w:type="spellEnd"/>
      <w:r>
        <w:rPr>
          <w:rFonts w:ascii="Times New Roman" w:hAnsi="Times New Roman" w:cs="Times New Roman"/>
          <w:sz w:val="24"/>
          <w:szCs w:val="24"/>
        </w:rPr>
        <w:t xml:space="preserve">, S., Price, R., Balan, S., Thurstone, C., Min, S-J., &amp; Sakai, J. </w:t>
      </w:r>
      <w:r w:rsidRPr="00C305A1">
        <w:rPr>
          <w:rFonts w:ascii="Times New Roman" w:hAnsi="Times New Roman" w:cs="Times New Roman"/>
          <w:sz w:val="24"/>
          <w:szCs w:val="24"/>
        </w:rPr>
        <w:t>(2014).</w:t>
      </w:r>
      <w:r>
        <w:rPr>
          <w:rFonts w:ascii="Times New Roman" w:hAnsi="Times New Roman" w:cs="Times New Roman"/>
          <w:sz w:val="24"/>
          <w:szCs w:val="24"/>
        </w:rPr>
        <w:t xml:space="preserve"> </w:t>
      </w:r>
      <w:r w:rsidRPr="00C305A1">
        <w:rPr>
          <w:rFonts w:ascii="Times New Roman" w:hAnsi="Times New Roman" w:cs="Times New Roman"/>
          <w:sz w:val="24"/>
          <w:szCs w:val="24"/>
        </w:rPr>
        <w:t xml:space="preserve">Temporal </w:t>
      </w:r>
      <w:r w:rsidR="00E81A42">
        <w:rPr>
          <w:rFonts w:ascii="Times New Roman" w:hAnsi="Times New Roman" w:cs="Times New Roman"/>
          <w:sz w:val="24"/>
          <w:szCs w:val="24"/>
        </w:rPr>
        <w:t>t</w:t>
      </w:r>
      <w:r w:rsidRPr="00C305A1">
        <w:rPr>
          <w:rFonts w:ascii="Times New Roman" w:hAnsi="Times New Roman" w:cs="Times New Roman"/>
          <w:sz w:val="24"/>
          <w:szCs w:val="24"/>
        </w:rPr>
        <w:t xml:space="preserve">rends in </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arijuana </w:t>
      </w:r>
      <w:r w:rsidR="00E81A42">
        <w:rPr>
          <w:rFonts w:ascii="Times New Roman" w:hAnsi="Times New Roman" w:cs="Times New Roman"/>
          <w:sz w:val="24"/>
          <w:szCs w:val="24"/>
        </w:rPr>
        <w:t>a</w:t>
      </w:r>
      <w:r w:rsidRPr="00C305A1">
        <w:rPr>
          <w:rFonts w:ascii="Times New Roman" w:hAnsi="Times New Roman" w:cs="Times New Roman"/>
          <w:sz w:val="24"/>
          <w:szCs w:val="24"/>
        </w:rPr>
        <w:t xml:space="preserve">ttitudes, </w:t>
      </w:r>
      <w:r w:rsidR="00E81A42">
        <w:rPr>
          <w:rFonts w:ascii="Times New Roman" w:hAnsi="Times New Roman" w:cs="Times New Roman"/>
          <w:sz w:val="24"/>
          <w:szCs w:val="24"/>
        </w:rPr>
        <w:t>a</w:t>
      </w:r>
      <w:r w:rsidRPr="00C305A1">
        <w:rPr>
          <w:rFonts w:ascii="Times New Roman" w:hAnsi="Times New Roman" w:cs="Times New Roman"/>
          <w:sz w:val="24"/>
          <w:szCs w:val="24"/>
        </w:rPr>
        <w:t xml:space="preserve">vailability and </w:t>
      </w:r>
      <w:r w:rsidR="00E81A42">
        <w:rPr>
          <w:rFonts w:ascii="Times New Roman" w:hAnsi="Times New Roman" w:cs="Times New Roman"/>
          <w:sz w:val="24"/>
          <w:szCs w:val="24"/>
        </w:rPr>
        <w:t>u</w:t>
      </w:r>
      <w:r w:rsidRPr="00C305A1">
        <w:rPr>
          <w:rFonts w:ascii="Times New Roman" w:hAnsi="Times New Roman" w:cs="Times New Roman"/>
          <w:sz w:val="24"/>
          <w:szCs w:val="24"/>
        </w:rPr>
        <w:t xml:space="preserve">se in Colorado </w:t>
      </w:r>
      <w:r w:rsidR="00E81A42">
        <w:rPr>
          <w:rFonts w:ascii="Times New Roman" w:hAnsi="Times New Roman" w:cs="Times New Roman"/>
          <w:sz w:val="24"/>
          <w:szCs w:val="24"/>
        </w:rPr>
        <w:t>c</w:t>
      </w:r>
      <w:r w:rsidRPr="00C305A1">
        <w:rPr>
          <w:rFonts w:ascii="Times New Roman" w:hAnsi="Times New Roman" w:cs="Times New Roman"/>
          <w:sz w:val="24"/>
          <w:szCs w:val="24"/>
        </w:rPr>
        <w:t xml:space="preserve">ompared to </w:t>
      </w:r>
      <w:r w:rsidR="00E81A42">
        <w:rPr>
          <w:rFonts w:ascii="Times New Roman" w:hAnsi="Times New Roman" w:cs="Times New Roman"/>
          <w:sz w:val="24"/>
          <w:szCs w:val="24"/>
        </w:rPr>
        <w:t>n</w:t>
      </w:r>
      <w:r w:rsidRPr="00C305A1">
        <w:rPr>
          <w:rFonts w:ascii="Times New Roman" w:hAnsi="Times New Roman" w:cs="Times New Roman"/>
          <w:sz w:val="24"/>
          <w:szCs w:val="24"/>
        </w:rPr>
        <w:t>on-</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edical </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arijuana </w:t>
      </w:r>
      <w:r w:rsidR="00E81A42">
        <w:rPr>
          <w:rFonts w:ascii="Times New Roman" w:hAnsi="Times New Roman" w:cs="Times New Roman"/>
          <w:sz w:val="24"/>
          <w:szCs w:val="24"/>
        </w:rPr>
        <w:t>s</w:t>
      </w:r>
      <w:r w:rsidRPr="00C305A1">
        <w:rPr>
          <w:rFonts w:ascii="Times New Roman" w:hAnsi="Times New Roman" w:cs="Times New Roman"/>
          <w:sz w:val="24"/>
          <w:szCs w:val="24"/>
        </w:rPr>
        <w:t>tates: 200</w:t>
      </w:r>
      <w:r>
        <w:rPr>
          <w:rFonts w:ascii="Times New Roman" w:hAnsi="Times New Roman" w:cs="Times New Roman"/>
          <w:sz w:val="24"/>
          <w:szCs w:val="24"/>
        </w:rPr>
        <w:t>3-</w:t>
      </w:r>
      <w:r w:rsidRPr="00C305A1">
        <w:rPr>
          <w:rFonts w:ascii="Times New Roman" w:hAnsi="Times New Roman" w:cs="Times New Roman"/>
          <w:sz w:val="24"/>
          <w:szCs w:val="24"/>
        </w:rPr>
        <w:t xml:space="preserve">11. </w:t>
      </w:r>
      <w:r w:rsidRPr="00280B42">
        <w:rPr>
          <w:rFonts w:ascii="Times New Roman" w:hAnsi="Times New Roman" w:cs="Times New Roman"/>
          <w:i/>
          <w:iCs/>
          <w:sz w:val="24"/>
          <w:szCs w:val="24"/>
        </w:rPr>
        <w:t>Drug and Alcohol Dependence</w:t>
      </w:r>
      <w:r w:rsidRPr="00E81A42">
        <w:rPr>
          <w:rFonts w:ascii="Times New Roman" w:hAnsi="Times New Roman" w:cs="Times New Roman"/>
          <w:sz w:val="24"/>
          <w:szCs w:val="24"/>
        </w:rPr>
        <w:t>,</w:t>
      </w:r>
      <w:r w:rsidRPr="00280B42">
        <w:rPr>
          <w:rFonts w:ascii="Times New Roman" w:hAnsi="Times New Roman" w:cs="Times New Roman"/>
          <w:i/>
          <w:iCs/>
          <w:sz w:val="24"/>
          <w:szCs w:val="24"/>
        </w:rPr>
        <w:t xml:space="preserve"> 140</w:t>
      </w:r>
      <w:r w:rsidRPr="00C305A1">
        <w:rPr>
          <w:rFonts w:ascii="Times New Roman" w:hAnsi="Times New Roman" w:cs="Times New Roman"/>
          <w:sz w:val="24"/>
          <w:szCs w:val="24"/>
        </w:rPr>
        <w:t>, 145</w:t>
      </w:r>
      <w:r>
        <w:rPr>
          <w:rFonts w:ascii="Times New Roman" w:hAnsi="Times New Roman" w:cs="Times New Roman"/>
          <w:sz w:val="24"/>
          <w:szCs w:val="24"/>
        </w:rPr>
        <w:t>-</w:t>
      </w:r>
      <w:r w:rsidRPr="00C305A1">
        <w:rPr>
          <w:rFonts w:ascii="Times New Roman" w:hAnsi="Times New Roman" w:cs="Times New Roman"/>
          <w:sz w:val="24"/>
          <w:szCs w:val="24"/>
        </w:rPr>
        <w:t>155</w:t>
      </w:r>
      <w:r>
        <w:rPr>
          <w:rFonts w:ascii="Times New Roman" w:hAnsi="Times New Roman" w:cs="Times New Roman"/>
          <w:sz w:val="24"/>
          <w:szCs w:val="24"/>
        </w:rPr>
        <w:t>.</w:t>
      </w:r>
    </w:p>
    <w:p w14:paraId="5FD44CA1" w14:textId="6E8CB678" w:rsidR="00217F31" w:rsidRDefault="00217F31" w:rsidP="004E2745">
      <w:pPr>
        <w:spacing w:after="0" w:line="240" w:lineRule="auto"/>
        <w:ind w:left="720" w:hanging="720"/>
        <w:contextualSpacing/>
        <w:mirrorIndents/>
        <w:jc w:val="both"/>
        <w:rPr>
          <w:rFonts w:ascii="Times New Roman" w:hAnsi="Times New Roman" w:cs="Times New Roman"/>
          <w:sz w:val="24"/>
          <w:szCs w:val="24"/>
        </w:rPr>
      </w:pPr>
    </w:p>
    <w:p w14:paraId="27410EB5" w14:textId="51EA6E15" w:rsidR="00217F31" w:rsidRDefault="00217F31" w:rsidP="004E2745">
      <w:pPr>
        <w:spacing w:after="0" w:line="240" w:lineRule="auto"/>
        <w:ind w:left="720" w:hanging="720"/>
        <w:contextualSpacing/>
        <w:mirrorIndents/>
        <w:jc w:val="both"/>
        <w:rPr>
          <w:rFonts w:ascii="Times New Roman" w:hAnsi="Times New Roman" w:cs="Times New Roman"/>
          <w:sz w:val="24"/>
          <w:szCs w:val="24"/>
        </w:rPr>
      </w:pPr>
      <w:proofErr w:type="spellStart"/>
      <w:r>
        <w:rPr>
          <w:rFonts w:ascii="Times New Roman" w:hAnsi="Times New Roman" w:cs="Times New Roman"/>
          <w:sz w:val="24"/>
          <w:szCs w:val="24"/>
        </w:rPr>
        <w:t>Staiger</w:t>
      </w:r>
      <w:proofErr w:type="spellEnd"/>
      <w:r>
        <w:rPr>
          <w:rFonts w:ascii="Times New Roman" w:hAnsi="Times New Roman" w:cs="Times New Roman"/>
          <w:sz w:val="24"/>
          <w:szCs w:val="24"/>
        </w:rPr>
        <w:t xml:space="preserve">, D. </w:t>
      </w:r>
      <w:r w:rsidR="00FD0224">
        <w:rPr>
          <w:rFonts w:ascii="Times New Roman" w:hAnsi="Times New Roman" w:cs="Times New Roman"/>
          <w:sz w:val="24"/>
          <w:szCs w:val="24"/>
        </w:rPr>
        <w:t>&amp;</w:t>
      </w:r>
      <w:r>
        <w:rPr>
          <w:rFonts w:ascii="Times New Roman" w:hAnsi="Times New Roman" w:cs="Times New Roman"/>
          <w:sz w:val="24"/>
          <w:szCs w:val="24"/>
        </w:rPr>
        <w:t xml:space="preserve"> </w:t>
      </w:r>
      <w:r w:rsidR="001F1CB7">
        <w:rPr>
          <w:rFonts w:ascii="Times New Roman" w:hAnsi="Times New Roman" w:cs="Times New Roman"/>
          <w:sz w:val="24"/>
          <w:szCs w:val="24"/>
        </w:rPr>
        <w:t xml:space="preserve">Stock, J. (1997). Instrumental </w:t>
      </w:r>
      <w:r w:rsidR="00E81A42">
        <w:rPr>
          <w:rFonts w:ascii="Times New Roman" w:hAnsi="Times New Roman" w:cs="Times New Roman"/>
          <w:sz w:val="24"/>
          <w:szCs w:val="24"/>
        </w:rPr>
        <w:t>v</w:t>
      </w:r>
      <w:r w:rsidR="001F1CB7">
        <w:rPr>
          <w:rFonts w:ascii="Times New Roman" w:hAnsi="Times New Roman" w:cs="Times New Roman"/>
          <w:sz w:val="24"/>
          <w:szCs w:val="24"/>
        </w:rPr>
        <w:t xml:space="preserve">ariables </w:t>
      </w:r>
      <w:r w:rsidR="00E81A42">
        <w:rPr>
          <w:rFonts w:ascii="Times New Roman" w:hAnsi="Times New Roman" w:cs="Times New Roman"/>
          <w:sz w:val="24"/>
          <w:szCs w:val="24"/>
        </w:rPr>
        <w:t>r</w:t>
      </w:r>
      <w:r w:rsidR="001F1CB7">
        <w:rPr>
          <w:rFonts w:ascii="Times New Roman" w:hAnsi="Times New Roman" w:cs="Times New Roman"/>
          <w:sz w:val="24"/>
          <w:szCs w:val="24"/>
        </w:rPr>
        <w:t xml:space="preserve">egression with </w:t>
      </w:r>
      <w:r w:rsidR="00E81A42">
        <w:rPr>
          <w:rFonts w:ascii="Times New Roman" w:hAnsi="Times New Roman" w:cs="Times New Roman"/>
          <w:sz w:val="24"/>
          <w:szCs w:val="24"/>
        </w:rPr>
        <w:t>w</w:t>
      </w:r>
      <w:r w:rsidR="001F1CB7">
        <w:rPr>
          <w:rFonts w:ascii="Times New Roman" w:hAnsi="Times New Roman" w:cs="Times New Roman"/>
          <w:sz w:val="24"/>
          <w:szCs w:val="24"/>
        </w:rPr>
        <w:t xml:space="preserve">eak </w:t>
      </w:r>
      <w:r w:rsidR="00E81A42">
        <w:rPr>
          <w:rFonts w:ascii="Times New Roman" w:hAnsi="Times New Roman" w:cs="Times New Roman"/>
          <w:sz w:val="24"/>
          <w:szCs w:val="24"/>
        </w:rPr>
        <w:t>i</w:t>
      </w:r>
      <w:r w:rsidR="001F1CB7">
        <w:rPr>
          <w:rFonts w:ascii="Times New Roman" w:hAnsi="Times New Roman" w:cs="Times New Roman"/>
          <w:sz w:val="24"/>
          <w:szCs w:val="24"/>
        </w:rPr>
        <w:t xml:space="preserve">nstruments. </w:t>
      </w:r>
      <w:proofErr w:type="spellStart"/>
      <w:r w:rsidR="001F1CB7">
        <w:rPr>
          <w:rFonts w:ascii="Times New Roman" w:hAnsi="Times New Roman" w:cs="Times New Roman"/>
          <w:i/>
          <w:iCs/>
          <w:sz w:val="24"/>
          <w:szCs w:val="24"/>
        </w:rPr>
        <w:t>Econometrica</w:t>
      </w:r>
      <w:proofErr w:type="spellEnd"/>
      <w:r w:rsidR="001F1CB7" w:rsidRPr="00E81A42">
        <w:rPr>
          <w:rFonts w:ascii="Times New Roman" w:hAnsi="Times New Roman" w:cs="Times New Roman"/>
          <w:sz w:val="24"/>
          <w:szCs w:val="24"/>
        </w:rPr>
        <w:t>,</w:t>
      </w:r>
      <w:r w:rsidR="001F1CB7">
        <w:rPr>
          <w:rFonts w:ascii="Times New Roman" w:hAnsi="Times New Roman" w:cs="Times New Roman"/>
          <w:i/>
          <w:iCs/>
          <w:sz w:val="24"/>
          <w:szCs w:val="24"/>
        </w:rPr>
        <w:t xml:space="preserve"> 65</w:t>
      </w:r>
      <w:r w:rsidR="001F1CB7">
        <w:rPr>
          <w:rFonts w:ascii="Times New Roman" w:hAnsi="Times New Roman" w:cs="Times New Roman"/>
          <w:sz w:val="24"/>
          <w:szCs w:val="24"/>
        </w:rPr>
        <w:t>(3), 557-586.</w:t>
      </w:r>
    </w:p>
    <w:p w14:paraId="485BCA26" w14:textId="0466F1B2" w:rsidR="00E75ACA" w:rsidRDefault="00E75ACA" w:rsidP="004E2745">
      <w:pPr>
        <w:spacing w:after="0" w:line="240" w:lineRule="auto"/>
        <w:ind w:left="720" w:hanging="720"/>
        <w:contextualSpacing/>
        <w:mirrorIndents/>
        <w:jc w:val="both"/>
        <w:rPr>
          <w:rFonts w:ascii="Times New Roman" w:hAnsi="Times New Roman" w:cs="Times New Roman"/>
          <w:sz w:val="24"/>
          <w:szCs w:val="24"/>
        </w:rPr>
      </w:pPr>
    </w:p>
    <w:p w14:paraId="7C52DDA0" w14:textId="6C747F7E" w:rsidR="00E75ACA" w:rsidRPr="00E75ACA" w:rsidRDefault="00E75ACA" w:rsidP="004E2745">
      <w:pPr>
        <w:spacing w:after="0" w:line="240" w:lineRule="auto"/>
        <w:ind w:left="720" w:hanging="720"/>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Thomas, D. </w:t>
      </w:r>
      <w:r w:rsidR="00FD0224">
        <w:rPr>
          <w:rFonts w:ascii="Times New Roman" w:hAnsi="Times New Roman" w:cs="Times New Roman"/>
          <w:sz w:val="24"/>
          <w:szCs w:val="24"/>
        </w:rPr>
        <w:t>&amp;</w:t>
      </w:r>
      <w:r>
        <w:rPr>
          <w:rFonts w:ascii="Times New Roman" w:hAnsi="Times New Roman" w:cs="Times New Roman"/>
          <w:sz w:val="24"/>
          <w:szCs w:val="24"/>
        </w:rPr>
        <w:t xml:space="preserve"> Tian, L. (2021). Hits from the </w:t>
      </w:r>
      <w:r w:rsidR="00E81A42">
        <w:rPr>
          <w:rFonts w:ascii="Times New Roman" w:hAnsi="Times New Roman" w:cs="Times New Roman"/>
          <w:sz w:val="24"/>
          <w:szCs w:val="24"/>
        </w:rPr>
        <w:t>b</w:t>
      </w:r>
      <w:r>
        <w:rPr>
          <w:rFonts w:ascii="Times New Roman" w:hAnsi="Times New Roman" w:cs="Times New Roman"/>
          <w:sz w:val="24"/>
          <w:szCs w:val="24"/>
        </w:rPr>
        <w:t xml:space="preserve">ong: The </w:t>
      </w:r>
      <w:r w:rsidR="00E81A42">
        <w:rPr>
          <w:rFonts w:ascii="Times New Roman" w:hAnsi="Times New Roman" w:cs="Times New Roman"/>
          <w:sz w:val="24"/>
          <w:szCs w:val="24"/>
        </w:rPr>
        <w:t>i</w:t>
      </w:r>
      <w:r>
        <w:rPr>
          <w:rFonts w:ascii="Times New Roman" w:hAnsi="Times New Roman" w:cs="Times New Roman"/>
          <w:sz w:val="24"/>
          <w:szCs w:val="24"/>
        </w:rPr>
        <w:t xml:space="preserve">mpact of </w:t>
      </w:r>
      <w:r w:rsidR="00E81A42">
        <w:rPr>
          <w:rFonts w:ascii="Times New Roman" w:hAnsi="Times New Roman" w:cs="Times New Roman"/>
          <w:sz w:val="24"/>
          <w:szCs w:val="24"/>
        </w:rPr>
        <w:t>r</w:t>
      </w:r>
      <w:r>
        <w:rPr>
          <w:rFonts w:ascii="Times New Roman" w:hAnsi="Times New Roman" w:cs="Times New Roman"/>
          <w:sz w:val="24"/>
          <w:szCs w:val="24"/>
        </w:rPr>
        <w:t xml:space="preserve">ecreational </w:t>
      </w:r>
      <w:r w:rsidR="00E81A42">
        <w:rPr>
          <w:rFonts w:ascii="Times New Roman" w:hAnsi="Times New Roman" w:cs="Times New Roman"/>
          <w:sz w:val="24"/>
          <w:szCs w:val="24"/>
        </w:rPr>
        <w:t>m</w:t>
      </w:r>
      <w:r>
        <w:rPr>
          <w:rFonts w:ascii="Times New Roman" w:hAnsi="Times New Roman" w:cs="Times New Roman"/>
          <w:sz w:val="24"/>
          <w:szCs w:val="24"/>
        </w:rPr>
        <w:t xml:space="preserve">arijuana </w:t>
      </w:r>
      <w:r w:rsidR="00E81A42">
        <w:rPr>
          <w:rFonts w:ascii="Times New Roman" w:hAnsi="Times New Roman" w:cs="Times New Roman"/>
          <w:sz w:val="24"/>
          <w:szCs w:val="24"/>
        </w:rPr>
        <w:t>d</w:t>
      </w:r>
      <w:r>
        <w:rPr>
          <w:rFonts w:ascii="Times New Roman" w:hAnsi="Times New Roman" w:cs="Times New Roman"/>
          <w:sz w:val="24"/>
          <w:szCs w:val="24"/>
        </w:rPr>
        <w:t xml:space="preserve">ispensaries on </w:t>
      </w:r>
      <w:r w:rsidR="00E81A42">
        <w:rPr>
          <w:rFonts w:ascii="Times New Roman" w:hAnsi="Times New Roman" w:cs="Times New Roman"/>
          <w:sz w:val="24"/>
          <w:szCs w:val="24"/>
        </w:rPr>
        <w:t>p</w:t>
      </w:r>
      <w:r>
        <w:rPr>
          <w:rFonts w:ascii="Times New Roman" w:hAnsi="Times New Roman" w:cs="Times New Roman"/>
          <w:sz w:val="24"/>
          <w:szCs w:val="24"/>
        </w:rPr>
        <w:t xml:space="preserve">roperty </w:t>
      </w:r>
      <w:r w:rsidR="00E81A42">
        <w:rPr>
          <w:rFonts w:ascii="Times New Roman" w:hAnsi="Times New Roman" w:cs="Times New Roman"/>
          <w:sz w:val="24"/>
          <w:szCs w:val="24"/>
        </w:rPr>
        <w:t>v</w:t>
      </w:r>
      <w:r>
        <w:rPr>
          <w:rFonts w:ascii="Times New Roman" w:hAnsi="Times New Roman" w:cs="Times New Roman"/>
          <w:sz w:val="24"/>
          <w:szCs w:val="24"/>
        </w:rPr>
        <w:t xml:space="preserve">alues. </w:t>
      </w:r>
      <w:r>
        <w:rPr>
          <w:rFonts w:ascii="Times New Roman" w:hAnsi="Times New Roman" w:cs="Times New Roman"/>
          <w:i/>
          <w:iCs/>
          <w:sz w:val="24"/>
          <w:szCs w:val="24"/>
        </w:rPr>
        <w:t>Regional Science and Urban Economics</w:t>
      </w:r>
      <w:r w:rsidRPr="00E81A42">
        <w:rPr>
          <w:rFonts w:ascii="Times New Roman" w:hAnsi="Times New Roman" w:cs="Times New Roman"/>
          <w:sz w:val="24"/>
          <w:szCs w:val="24"/>
        </w:rPr>
        <w:t>,</w:t>
      </w:r>
      <w:r>
        <w:rPr>
          <w:rFonts w:ascii="Times New Roman" w:hAnsi="Times New Roman" w:cs="Times New Roman"/>
          <w:i/>
          <w:iCs/>
          <w:sz w:val="24"/>
          <w:szCs w:val="24"/>
        </w:rPr>
        <w:t xml:space="preserve"> 87</w:t>
      </w:r>
      <w:r w:rsidR="003F7AD0">
        <w:rPr>
          <w:rFonts w:ascii="Times New Roman" w:hAnsi="Times New Roman" w:cs="Times New Roman"/>
          <w:sz w:val="24"/>
          <w:szCs w:val="24"/>
        </w:rPr>
        <w:t>.</w:t>
      </w:r>
    </w:p>
    <w:p w14:paraId="5CAB0E94" w14:textId="77777777" w:rsidR="00F2555F" w:rsidRDefault="00F2555F" w:rsidP="004E2745">
      <w:pPr>
        <w:spacing w:after="0" w:line="240" w:lineRule="auto"/>
        <w:ind w:left="720" w:hanging="720"/>
        <w:contextualSpacing/>
        <w:mirrorIndents/>
        <w:jc w:val="both"/>
        <w:rPr>
          <w:rFonts w:ascii="Times New Roman" w:hAnsi="Times New Roman" w:cs="Times New Roman"/>
          <w:color w:val="333333"/>
          <w:sz w:val="24"/>
          <w:szCs w:val="24"/>
          <w:shd w:val="clear" w:color="auto" w:fill="FCFCFC"/>
        </w:rPr>
      </w:pPr>
    </w:p>
    <w:p w14:paraId="572498D1" w14:textId="4BDF0106"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C305A1">
        <w:rPr>
          <w:rFonts w:ascii="Times New Roman" w:hAnsi="Times New Roman" w:cs="Times New Roman"/>
          <w:sz w:val="24"/>
          <w:szCs w:val="24"/>
        </w:rPr>
        <w:t>Wall, M</w:t>
      </w:r>
      <w:r w:rsidR="00FD0224">
        <w:rPr>
          <w:rFonts w:ascii="Times New Roman" w:hAnsi="Times New Roman" w:cs="Times New Roman"/>
          <w:sz w:val="24"/>
          <w:szCs w:val="24"/>
        </w:rPr>
        <w:t>.</w:t>
      </w:r>
      <w:r w:rsidRPr="00C305A1">
        <w:rPr>
          <w:rFonts w:ascii="Times New Roman" w:hAnsi="Times New Roman" w:cs="Times New Roman"/>
          <w:sz w:val="24"/>
          <w:szCs w:val="24"/>
        </w:rPr>
        <w:t xml:space="preserve">, </w:t>
      </w:r>
      <w:proofErr w:type="spellStart"/>
      <w:r w:rsidRPr="00C305A1">
        <w:rPr>
          <w:rFonts w:ascii="Times New Roman" w:hAnsi="Times New Roman" w:cs="Times New Roman"/>
          <w:sz w:val="24"/>
          <w:szCs w:val="24"/>
        </w:rPr>
        <w:t>Poh</w:t>
      </w:r>
      <w:proofErr w:type="spellEnd"/>
      <w:r w:rsidRPr="00C305A1">
        <w:rPr>
          <w:rFonts w:ascii="Times New Roman" w:hAnsi="Times New Roman" w:cs="Times New Roman"/>
          <w:sz w:val="24"/>
          <w:szCs w:val="24"/>
        </w:rPr>
        <w:t>, E., Cerda, M., Keyes, K., Galea, S.</w:t>
      </w:r>
      <w:r w:rsidR="00FD0224">
        <w:rPr>
          <w:rFonts w:ascii="Times New Roman" w:hAnsi="Times New Roman" w:cs="Times New Roman"/>
          <w:sz w:val="24"/>
          <w:szCs w:val="24"/>
        </w:rPr>
        <w:t>,</w:t>
      </w:r>
      <w:r w:rsidRPr="00C305A1">
        <w:rPr>
          <w:rFonts w:ascii="Times New Roman" w:hAnsi="Times New Roman" w:cs="Times New Roman"/>
          <w:sz w:val="24"/>
          <w:szCs w:val="24"/>
        </w:rPr>
        <w:t xml:space="preserve"> &amp; </w:t>
      </w:r>
      <w:proofErr w:type="spellStart"/>
      <w:r w:rsidRPr="00C305A1">
        <w:rPr>
          <w:rFonts w:ascii="Times New Roman" w:hAnsi="Times New Roman" w:cs="Times New Roman"/>
          <w:sz w:val="24"/>
          <w:szCs w:val="24"/>
        </w:rPr>
        <w:t>Hasin</w:t>
      </w:r>
      <w:proofErr w:type="spellEnd"/>
      <w:r w:rsidRPr="00C305A1">
        <w:rPr>
          <w:rFonts w:ascii="Times New Roman" w:hAnsi="Times New Roman" w:cs="Times New Roman"/>
          <w:sz w:val="24"/>
          <w:szCs w:val="24"/>
        </w:rPr>
        <w:t>, D. (2011).</w:t>
      </w:r>
      <w:r>
        <w:rPr>
          <w:rFonts w:ascii="Times New Roman" w:hAnsi="Times New Roman" w:cs="Times New Roman"/>
          <w:sz w:val="24"/>
          <w:szCs w:val="24"/>
        </w:rPr>
        <w:t xml:space="preserve"> </w:t>
      </w:r>
      <w:r w:rsidRPr="00C305A1">
        <w:rPr>
          <w:rFonts w:ascii="Times New Roman" w:hAnsi="Times New Roman" w:cs="Times New Roman"/>
          <w:sz w:val="24"/>
          <w:szCs w:val="24"/>
        </w:rPr>
        <w:t xml:space="preserve">Adolescent </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arijuana </w:t>
      </w:r>
      <w:r w:rsidR="00E81A42">
        <w:rPr>
          <w:rFonts w:ascii="Times New Roman" w:hAnsi="Times New Roman" w:cs="Times New Roman"/>
          <w:sz w:val="24"/>
          <w:szCs w:val="24"/>
        </w:rPr>
        <w:t>u</w:t>
      </w:r>
      <w:r w:rsidRPr="00C305A1">
        <w:rPr>
          <w:rFonts w:ascii="Times New Roman" w:hAnsi="Times New Roman" w:cs="Times New Roman"/>
          <w:sz w:val="24"/>
          <w:szCs w:val="24"/>
        </w:rPr>
        <w:t xml:space="preserve">se from 2002 to 2008: </w:t>
      </w:r>
      <w:r>
        <w:rPr>
          <w:rFonts w:ascii="Times New Roman" w:hAnsi="Times New Roman" w:cs="Times New Roman"/>
          <w:sz w:val="24"/>
          <w:szCs w:val="24"/>
        </w:rPr>
        <w:t>H</w:t>
      </w:r>
      <w:r w:rsidRPr="00C305A1">
        <w:rPr>
          <w:rFonts w:ascii="Times New Roman" w:hAnsi="Times New Roman" w:cs="Times New Roman"/>
          <w:sz w:val="24"/>
          <w:szCs w:val="24"/>
        </w:rPr>
        <w:t xml:space="preserve">igher in </w:t>
      </w:r>
      <w:r w:rsidR="00E81A42">
        <w:rPr>
          <w:rFonts w:ascii="Times New Roman" w:hAnsi="Times New Roman" w:cs="Times New Roman"/>
          <w:sz w:val="24"/>
          <w:szCs w:val="24"/>
        </w:rPr>
        <w:t>s</w:t>
      </w:r>
      <w:r w:rsidRPr="00C305A1">
        <w:rPr>
          <w:rFonts w:ascii="Times New Roman" w:hAnsi="Times New Roman" w:cs="Times New Roman"/>
          <w:sz w:val="24"/>
          <w:szCs w:val="24"/>
        </w:rPr>
        <w:t xml:space="preserve">tates with </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edical </w:t>
      </w:r>
      <w:r w:rsidR="00E81A42">
        <w:rPr>
          <w:rFonts w:ascii="Times New Roman" w:hAnsi="Times New Roman" w:cs="Times New Roman"/>
          <w:sz w:val="24"/>
          <w:szCs w:val="24"/>
        </w:rPr>
        <w:t>m</w:t>
      </w:r>
      <w:r w:rsidRPr="00C305A1">
        <w:rPr>
          <w:rFonts w:ascii="Times New Roman" w:hAnsi="Times New Roman" w:cs="Times New Roman"/>
          <w:sz w:val="24"/>
          <w:szCs w:val="24"/>
        </w:rPr>
        <w:t xml:space="preserve">arijuana </w:t>
      </w:r>
      <w:r w:rsidR="00E81A42">
        <w:rPr>
          <w:rFonts w:ascii="Times New Roman" w:hAnsi="Times New Roman" w:cs="Times New Roman"/>
          <w:sz w:val="24"/>
          <w:szCs w:val="24"/>
        </w:rPr>
        <w:t>l</w:t>
      </w:r>
      <w:r w:rsidRPr="00C305A1">
        <w:rPr>
          <w:rFonts w:ascii="Times New Roman" w:hAnsi="Times New Roman" w:cs="Times New Roman"/>
          <w:sz w:val="24"/>
          <w:szCs w:val="24"/>
        </w:rPr>
        <w:t xml:space="preserve">aws, </w:t>
      </w:r>
      <w:r w:rsidR="00E81A42">
        <w:rPr>
          <w:rFonts w:ascii="Times New Roman" w:hAnsi="Times New Roman" w:cs="Times New Roman"/>
          <w:sz w:val="24"/>
          <w:szCs w:val="24"/>
        </w:rPr>
        <w:t>c</w:t>
      </w:r>
      <w:r w:rsidRPr="00C305A1">
        <w:rPr>
          <w:rFonts w:ascii="Times New Roman" w:hAnsi="Times New Roman" w:cs="Times New Roman"/>
          <w:sz w:val="24"/>
          <w:szCs w:val="24"/>
        </w:rPr>
        <w:t xml:space="preserve">ause </w:t>
      </w:r>
      <w:r w:rsidR="00E81A42">
        <w:rPr>
          <w:rFonts w:ascii="Times New Roman" w:hAnsi="Times New Roman" w:cs="Times New Roman"/>
          <w:sz w:val="24"/>
          <w:szCs w:val="24"/>
        </w:rPr>
        <w:t>s</w:t>
      </w:r>
      <w:r w:rsidRPr="00C305A1">
        <w:rPr>
          <w:rFonts w:ascii="Times New Roman" w:hAnsi="Times New Roman" w:cs="Times New Roman"/>
          <w:sz w:val="24"/>
          <w:szCs w:val="24"/>
        </w:rPr>
        <w:t xml:space="preserve">till </w:t>
      </w:r>
      <w:r w:rsidR="00E81A42">
        <w:rPr>
          <w:rFonts w:ascii="Times New Roman" w:hAnsi="Times New Roman" w:cs="Times New Roman"/>
          <w:sz w:val="24"/>
          <w:szCs w:val="24"/>
        </w:rPr>
        <w:t>u</w:t>
      </w:r>
      <w:r w:rsidRPr="00C305A1">
        <w:rPr>
          <w:rFonts w:ascii="Times New Roman" w:hAnsi="Times New Roman" w:cs="Times New Roman"/>
          <w:sz w:val="24"/>
          <w:szCs w:val="24"/>
        </w:rPr>
        <w:t xml:space="preserve">nclear. </w:t>
      </w:r>
      <w:r w:rsidRPr="005E65A6">
        <w:rPr>
          <w:rFonts w:ascii="Times New Roman" w:hAnsi="Times New Roman" w:cs="Times New Roman"/>
          <w:i/>
          <w:iCs/>
          <w:sz w:val="24"/>
          <w:szCs w:val="24"/>
        </w:rPr>
        <w:t>Annals of Epidemiology</w:t>
      </w:r>
      <w:r w:rsidRPr="00E81A42">
        <w:rPr>
          <w:rFonts w:ascii="Times New Roman" w:hAnsi="Times New Roman" w:cs="Times New Roman"/>
          <w:sz w:val="24"/>
          <w:szCs w:val="24"/>
        </w:rPr>
        <w:t>,</w:t>
      </w:r>
      <w:r w:rsidRPr="005E65A6">
        <w:rPr>
          <w:rFonts w:ascii="Times New Roman" w:hAnsi="Times New Roman" w:cs="Times New Roman"/>
          <w:i/>
          <w:iCs/>
          <w:sz w:val="24"/>
          <w:szCs w:val="24"/>
        </w:rPr>
        <w:t xml:space="preserve"> 21</w:t>
      </w:r>
      <w:r w:rsidRPr="00C305A1">
        <w:rPr>
          <w:rFonts w:ascii="Times New Roman" w:hAnsi="Times New Roman" w:cs="Times New Roman"/>
          <w:sz w:val="24"/>
          <w:szCs w:val="24"/>
        </w:rPr>
        <w:t>, 714</w:t>
      </w:r>
      <w:r>
        <w:rPr>
          <w:rFonts w:ascii="Times New Roman" w:hAnsi="Times New Roman" w:cs="Times New Roman"/>
          <w:sz w:val="24"/>
          <w:szCs w:val="24"/>
        </w:rPr>
        <w:t>-</w:t>
      </w:r>
      <w:r w:rsidRPr="00C305A1">
        <w:rPr>
          <w:rFonts w:ascii="Times New Roman" w:hAnsi="Times New Roman" w:cs="Times New Roman"/>
          <w:sz w:val="24"/>
          <w:szCs w:val="24"/>
        </w:rPr>
        <w:t>716</w:t>
      </w:r>
      <w:r>
        <w:rPr>
          <w:rFonts w:ascii="Times New Roman" w:hAnsi="Times New Roman" w:cs="Times New Roman"/>
          <w:sz w:val="24"/>
          <w:szCs w:val="24"/>
        </w:rPr>
        <w:t>.</w:t>
      </w:r>
    </w:p>
    <w:p w14:paraId="05D54FDB" w14:textId="636547D8" w:rsidR="007D65D2" w:rsidRDefault="007D65D2" w:rsidP="004E2745">
      <w:pPr>
        <w:spacing w:after="0" w:line="240" w:lineRule="auto"/>
        <w:ind w:left="720" w:hanging="720"/>
        <w:contextualSpacing/>
        <w:mirrorIndents/>
        <w:jc w:val="both"/>
        <w:rPr>
          <w:rFonts w:ascii="Times New Roman" w:hAnsi="Times New Roman" w:cs="Times New Roman"/>
          <w:sz w:val="24"/>
          <w:szCs w:val="24"/>
        </w:rPr>
      </w:pPr>
    </w:p>
    <w:p w14:paraId="3F8207A7" w14:textId="43F42C9A" w:rsidR="007D65D2" w:rsidRDefault="007D65D2" w:rsidP="004E2745">
      <w:pPr>
        <w:spacing w:after="0" w:line="240" w:lineRule="auto"/>
        <w:ind w:left="720" w:hanging="720"/>
        <w:contextualSpacing/>
        <w:mirrorIndents/>
        <w:jc w:val="both"/>
        <w:rPr>
          <w:rFonts w:ascii="Times New Roman" w:hAnsi="Times New Roman" w:cs="Times New Roman"/>
          <w:sz w:val="24"/>
          <w:szCs w:val="24"/>
        </w:rPr>
      </w:pPr>
      <w:r w:rsidRPr="0048433B">
        <w:rPr>
          <w:rFonts w:ascii="Times New Roman" w:hAnsi="Times New Roman" w:cs="Times New Roman"/>
          <w:i/>
          <w:iCs/>
          <w:sz w:val="24"/>
          <w:szCs w:val="24"/>
        </w:rPr>
        <w:t>Washington Healthy Youth Survey.</w:t>
      </w:r>
      <w:r>
        <w:rPr>
          <w:rFonts w:ascii="Times New Roman" w:hAnsi="Times New Roman" w:cs="Times New Roman"/>
          <w:sz w:val="24"/>
          <w:szCs w:val="24"/>
        </w:rPr>
        <w:t xml:space="preserve"> Retrieved from Healthy Youth Survey: </w:t>
      </w:r>
      <w:hyperlink r:id="rId21" w:history="1">
        <w:r w:rsidRPr="007D65D2">
          <w:rPr>
            <w:rStyle w:val="Hyperlink"/>
            <w:rFonts w:ascii="Times New Roman" w:hAnsi="Times New Roman" w:cs="Times New Roman"/>
            <w:color w:val="auto"/>
            <w:sz w:val="24"/>
            <w:szCs w:val="24"/>
          </w:rPr>
          <w:t>https://www.askhys.net/</w:t>
        </w:r>
      </w:hyperlink>
      <w:r w:rsidRPr="007D65D2">
        <w:rPr>
          <w:rFonts w:ascii="Times New Roman" w:hAnsi="Times New Roman" w:cs="Times New Roman"/>
          <w:sz w:val="24"/>
          <w:szCs w:val="24"/>
        </w:rPr>
        <w:t xml:space="preserve">. </w:t>
      </w:r>
    </w:p>
    <w:p w14:paraId="32077899"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63AA43EC" w14:textId="77777777" w:rsidR="004E2745" w:rsidRPr="006B5243" w:rsidRDefault="004E2745" w:rsidP="004E2745">
      <w:pPr>
        <w:spacing w:after="0" w:line="240" w:lineRule="auto"/>
        <w:ind w:left="720" w:hanging="720"/>
        <w:contextualSpacing/>
        <w:mirrorIndents/>
        <w:jc w:val="both"/>
        <w:rPr>
          <w:rFonts w:ascii="Times New Roman" w:hAnsi="Times New Roman" w:cs="Times New Roman"/>
          <w:sz w:val="24"/>
          <w:szCs w:val="24"/>
          <w:shd w:val="clear" w:color="auto" w:fill="FFFFFF"/>
        </w:rPr>
      </w:pPr>
      <w:r w:rsidRPr="006B5243">
        <w:rPr>
          <w:rFonts w:ascii="Times New Roman" w:hAnsi="Times New Roman" w:cs="Times New Roman"/>
          <w:sz w:val="24"/>
          <w:szCs w:val="24"/>
          <w:shd w:val="clear" w:color="auto" w:fill="FFFFFF"/>
        </w:rPr>
        <w:t xml:space="preserve">Washington State University. (2014). Estrogen increases cannabis sensitivity, study shows. ScienceDaily. Retrieved from </w:t>
      </w:r>
      <w:hyperlink r:id="rId22" w:history="1">
        <w:r w:rsidRPr="006B5243">
          <w:rPr>
            <w:rStyle w:val="Hyperlink"/>
            <w:rFonts w:ascii="Times New Roman" w:hAnsi="Times New Roman" w:cs="Times New Roman"/>
            <w:color w:val="auto"/>
            <w:sz w:val="24"/>
            <w:szCs w:val="24"/>
            <w:shd w:val="clear" w:color="auto" w:fill="FFFFFF"/>
          </w:rPr>
          <w:t>www.sciencedaily.com/releases/2014/09/140903092153.htm</w:t>
        </w:r>
      </w:hyperlink>
      <w:r w:rsidRPr="006B5243">
        <w:rPr>
          <w:rFonts w:ascii="Times New Roman" w:hAnsi="Times New Roman" w:cs="Times New Roman"/>
          <w:sz w:val="24"/>
          <w:szCs w:val="24"/>
          <w:shd w:val="clear" w:color="auto" w:fill="FFFFFF"/>
        </w:rPr>
        <w:t>.</w:t>
      </w:r>
    </w:p>
    <w:p w14:paraId="15FC935F" w14:textId="77777777"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p>
    <w:p w14:paraId="15AE66CD" w14:textId="6D74E98C" w:rsidR="004E2745" w:rsidRDefault="004E2745" w:rsidP="004E2745">
      <w:pPr>
        <w:spacing w:after="0" w:line="240" w:lineRule="auto"/>
        <w:ind w:left="720" w:hanging="720"/>
        <w:contextualSpacing/>
        <w:mirrorIndents/>
        <w:jc w:val="both"/>
        <w:rPr>
          <w:rFonts w:ascii="Times New Roman" w:hAnsi="Times New Roman" w:cs="Times New Roman"/>
          <w:sz w:val="24"/>
          <w:szCs w:val="24"/>
        </w:rPr>
      </w:pPr>
      <w:r w:rsidRPr="006B5243">
        <w:rPr>
          <w:rFonts w:ascii="Times New Roman" w:hAnsi="Times New Roman" w:cs="Times New Roman"/>
          <w:sz w:val="24"/>
          <w:szCs w:val="24"/>
        </w:rPr>
        <w:t xml:space="preserve">Weir, K. (2015). Marijuana and the </w:t>
      </w:r>
      <w:r w:rsidR="00E81A42">
        <w:rPr>
          <w:rFonts w:ascii="Times New Roman" w:hAnsi="Times New Roman" w:cs="Times New Roman"/>
          <w:sz w:val="24"/>
          <w:szCs w:val="24"/>
        </w:rPr>
        <w:t>d</w:t>
      </w:r>
      <w:r w:rsidRPr="006B5243">
        <w:rPr>
          <w:rFonts w:ascii="Times New Roman" w:hAnsi="Times New Roman" w:cs="Times New Roman"/>
          <w:sz w:val="24"/>
          <w:szCs w:val="24"/>
        </w:rPr>
        <w:t xml:space="preserve">eveloping </w:t>
      </w:r>
      <w:r w:rsidR="00E81A42">
        <w:rPr>
          <w:rFonts w:ascii="Times New Roman" w:hAnsi="Times New Roman" w:cs="Times New Roman"/>
          <w:sz w:val="24"/>
          <w:szCs w:val="24"/>
        </w:rPr>
        <w:t>b</w:t>
      </w:r>
      <w:r w:rsidRPr="006B5243">
        <w:rPr>
          <w:rFonts w:ascii="Times New Roman" w:hAnsi="Times New Roman" w:cs="Times New Roman"/>
          <w:sz w:val="24"/>
          <w:szCs w:val="24"/>
        </w:rPr>
        <w:t xml:space="preserve">rain. </w:t>
      </w:r>
      <w:r w:rsidRPr="006B5243">
        <w:rPr>
          <w:rFonts w:ascii="Times New Roman" w:hAnsi="Times New Roman" w:cs="Times New Roman"/>
          <w:i/>
          <w:iCs/>
          <w:sz w:val="24"/>
          <w:szCs w:val="24"/>
        </w:rPr>
        <w:t>American Psychological Association: Monitor on Psychology</w:t>
      </w:r>
      <w:r w:rsidRPr="00E81A42">
        <w:rPr>
          <w:rFonts w:ascii="Times New Roman" w:hAnsi="Times New Roman" w:cs="Times New Roman"/>
          <w:sz w:val="24"/>
          <w:szCs w:val="24"/>
        </w:rPr>
        <w:t xml:space="preserve">, </w:t>
      </w:r>
      <w:r w:rsidRPr="006B5243">
        <w:rPr>
          <w:rFonts w:ascii="Times New Roman" w:hAnsi="Times New Roman" w:cs="Times New Roman"/>
          <w:i/>
          <w:iCs/>
          <w:sz w:val="24"/>
          <w:szCs w:val="24"/>
        </w:rPr>
        <w:t>46</w:t>
      </w:r>
      <w:r w:rsidRPr="006B5243">
        <w:rPr>
          <w:rFonts w:ascii="Times New Roman" w:hAnsi="Times New Roman" w:cs="Times New Roman"/>
          <w:sz w:val="24"/>
          <w:szCs w:val="24"/>
        </w:rPr>
        <w:t xml:space="preserve">(10), 48. </w:t>
      </w:r>
    </w:p>
    <w:p w14:paraId="39309978" w14:textId="187C62F1" w:rsidR="000547E9" w:rsidRDefault="000547E9" w:rsidP="004E2745">
      <w:pPr>
        <w:spacing w:after="0" w:line="240" w:lineRule="auto"/>
        <w:ind w:left="720" w:hanging="720"/>
        <w:contextualSpacing/>
        <w:mirrorIndents/>
        <w:jc w:val="both"/>
        <w:rPr>
          <w:rFonts w:ascii="Times New Roman" w:hAnsi="Times New Roman" w:cs="Times New Roman"/>
          <w:sz w:val="24"/>
          <w:szCs w:val="24"/>
        </w:rPr>
      </w:pPr>
    </w:p>
    <w:p w14:paraId="3CF7B153" w14:textId="33FA6363" w:rsidR="004E2745" w:rsidRDefault="008B740B" w:rsidP="008B740B">
      <w:pPr>
        <w:spacing w:after="0" w:line="240" w:lineRule="auto"/>
        <w:ind w:left="720" w:hanging="720"/>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Wen, H., Hockenberry, J., &amp; Cummings, J. (2015). The effect of medical marijuana laws on adolescent and adult use of marijuana, alcohol, and other substances. </w:t>
      </w:r>
      <w:r>
        <w:rPr>
          <w:rFonts w:ascii="Times New Roman" w:hAnsi="Times New Roman" w:cs="Times New Roman"/>
          <w:i/>
          <w:iCs/>
          <w:sz w:val="24"/>
          <w:szCs w:val="24"/>
        </w:rPr>
        <w:t>Journal of Health Economics, 42</w:t>
      </w:r>
      <w:r>
        <w:rPr>
          <w:rFonts w:ascii="Times New Roman" w:hAnsi="Times New Roman" w:cs="Times New Roman"/>
          <w:sz w:val="24"/>
          <w:szCs w:val="24"/>
        </w:rPr>
        <w:t>, 64-80.</w:t>
      </w:r>
    </w:p>
    <w:p w14:paraId="27C39533" w14:textId="77777777" w:rsidR="008B740B" w:rsidRPr="00285C02" w:rsidRDefault="008B740B" w:rsidP="008B740B">
      <w:pPr>
        <w:spacing w:after="0" w:line="240" w:lineRule="auto"/>
        <w:ind w:left="720" w:hanging="720"/>
        <w:contextualSpacing/>
        <w:mirrorIndents/>
        <w:jc w:val="both"/>
        <w:rPr>
          <w:rFonts w:ascii="Times New Roman" w:hAnsi="Times New Roman" w:cs="Times New Roman"/>
          <w:sz w:val="24"/>
          <w:szCs w:val="24"/>
        </w:rPr>
      </w:pPr>
    </w:p>
    <w:p w14:paraId="3012778B" w14:textId="4CF346B2" w:rsidR="004E2745" w:rsidRDefault="004E2745" w:rsidP="004E2745">
      <w:pPr>
        <w:spacing w:after="0" w:line="240" w:lineRule="auto"/>
        <w:ind w:left="720" w:hanging="720"/>
        <w:contextualSpacing/>
        <w:mirrorIndents/>
        <w:jc w:val="both"/>
        <w:rPr>
          <w:rFonts w:ascii="Times New Roman" w:hAnsi="Times New Roman" w:cs="Times New Roman"/>
          <w:color w:val="1C1D1E"/>
          <w:sz w:val="24"/>
          <w:szCs w:val="24"/>
          <w:shd w:val="clear" w:color="auto" w:fill="FFFFFF"/>
        </w:rPr>
      </w:pPr>
      <w:r w:rsidRPr="00F73C96">
        <w:rPr>
          <w:rFonts w:ascii="Times New Roman" w:hAnsi="Times New Roman" w:cs="Times New Roman"/>
          <w:color w:val="1C1D1E"/>
          <w:sz w:val="24"/>
          <w:szCs w:val="24"/>
          <w:shd w:val="clear" w:color="auto" w:fill="FFFFFF"/>
        </w:rPr>
        <w:lastRenderedPageBreak/>
        <w:t xml:space="preserve">Yamada, T., </w:t>
      </w:r>
      <w:proofErr w:type="spellStart"/>
      <w:r w:rsidRPr="00F73C96">
        <w:rPr>
          <w:rFonts w:ascii="Times New Roman" w:hAnsi="Times New Roman" w:cs="Times New Roman"/>
          <w:color w:val="1C1D1E"/>
          <w:sz w:val="24"/>
          <w:szCs w:val="24"/>
          <w:shd w:val="clear" w:color="auto" w:fill="FFFFFF"/>
        </w:rPr>
        <w:t>Kendix</w:t>
      </w:r>
      <w:proofErr w:type="spellEnd"/>
      <w:r w:rsidRPr="00F73C96">
        <w:rPr>
          <w:rFonts w:ascii="Times New Roman" w:hAnsi="Times New Roman" w:cs="Times New Roman"/>
          <w:color w:val="1C1D1E"/>
          <w:sz w:val="24"/>
          <w:szCs w:val="24"/>
          <w:shd w:val="clear" w:color="auto" w:fill="FFFFFF"/>
        </w:rPr>
        <w:t>, M.</w:t>
      </w:r>
      <w:r w:rsidR="00FD0224">
        <w:rPr>
          <w:rFonts w:ascii="Times New Roman" w:hAnsi="Times New Roman" w:cs="Times New Roman"/>
          <w:color w:val="1C1D1E"/>
          <w:sz w:val="24"/>
          <w:szCs w:val="24"/>
          <w:shd w:val="clear" w:color="auto" w:fill="FFFFFF"/>
        </w:rPr>
        <w:t>,</w:t>
      </w:r>
      <w:r w:rsidRPr="00F73C96">
        <w:rPr>
          <w:rFonts w:ascii="Times New Roman" w:hAnsi="Times New Roman" w:cs="Times New Roman"/>
          <w:color w:val="1C1D1E"/>
          <w:sz w:val="24"/>
          <w:szCs w:val="24"/>
          <w:shd w:val="clear" w:color="auto" w:fill="FFFFFF"/>
        </w:rPr>
        <w:t xml:space="preserve"> </w:t>
      </w:r>
      <w:r>
        <w:rPr>
          <w:rFonts w:ascii="Times New Roman" w:hAnsi="Times New Roman" w:cs="Times New Roman"/>
          <w:color w:val="1C1D1E"/>
          <w:sz w:val="24"/>
          <w:szCs w:val="24"/>
          <w:shd w:val="clear" w:color="auto" w:fill="FFFFFF"/>
        </w:rPr>
        <w:t>&amp;</w:t>
      </w:r>
      <w:r w:rsidRPr="00F73C96">
        <w:rPr>
          <w:rFonts w:ascii="Times New Roman" w:hAnsi="Times New Roman" w:cs="Times New Roman"/>
          <w:color w:val="1C1D1E"/>
          <w:sz w:val="24"/>
          <w:szCs w:val="24"/>
          <w:shd w:val="clear" w:color="auto" w:fill="FFFFFF"/>
        </w:rPr>
        <w:t xml:space="preserve"> Yamada, T. (1996)</w:t>
      </w:r>
      <w:r>
        <w:rPr>
          <w:rFonts w:ascii="Times New Roman" w:hAnsi="Times New Roman" w:cs="Times New Roman"/>
          <w:color w:val="1C1D1E"/>
          <w:sz w:val="24"/>
          <w:szCs w:val="24"/>
          <w:shd w:val="clear" w:color="auto" w:fill="FFFFFF"/>
        </w:rPr>
        <w:t xml:space="preserve">. </w:t>
      </w:r>
      <w:r w:rsidRPr="00F73C96">
        <w:rPr>
          <w:rFonts w:ascii="Times New Roman" w:hAnsi="Times New Roman" w:cs="Times New Roman"/>
          <w:color w:val="1C1D1E"/>
          <w:sz w:val="24"/>
          <w:szCs w:val="24"/>
          <w:shd w:val="clear" w:color="auto" w:fill="FFFFFF"/>
        </w:rPr>
        <w:t xml:space="preserve">The </w:t>
      </w:r>
      <w:r w:rsidR="00E81A42">
        <w:rPr>
          <w:rFonts w:ascii="Times New Roman" w:hAnsi="Times New Roman" w:cs="Times New Roman"/>
          <w:color w:val="1C1D1E"/>
          <w:sz w:val="24"/>
          <w:szCs w:val="24"/>
          <w:shd w:val="clear" w:color="auto" w:fill="FFFFFF"/>
        </w:rPr>
        <w:t>i</w:t>
      </w:r>
      <w:r w:rsidRPr="00F73C96">
        <w:rPr>
          <w:rFonts w:ascii="Times New Roman" w:hAnsi="Times New Roman" w:cs="Times New Roman"/>
          <w:color w:val="1C1D1E"/>
          <w:sz w:val="24"/>
          <w:szCs w:val="24"/>
          <w:shd w:val="clear" w:color="auto" w:fill="FFFFFF"/>
        </w:rPr>
        <w:t xml:space="preserve">mpact of </w:t>
      </w:r>
      <w:r w:rsidR="00E81A42">
        <w:rPr>
          <w:rFonts w:ascii="Times New Roman" w:hAnsi="Times New Roman" w:cs="Times New Roman"/>
          <w:color w:val="1C1D1E"/>
          <w:sz w:val="24"/>
          <w:szCs w:val="24"/>
          <w:shd w:val="clear" w:color="auto" w:fill="FFFFFF"/>
        </w:rPr>
        <w:t>a</w:t>
      </w:r>
      <w:r w:rsidRPr="00F73C96">
        <w:rPr>
          <w:rFonts w:ascii="Times New Roman" w:hAnsi="Times New Roman" w:cs="Times New Roman"/>
          <w:color w:val="1C1D1E"/>
          <w:sz w:val="24"/>
          <w:szCs w:val="24"/>
          <w:shd w:val="clear" w:color="auto" w:fill="FFFFFF"/>
        </w:rPr>
        <w:t xml:space="preserve">lcohol </w:t>
      </w:r>
      <w:r w:rsidR="00E81A42">
        <w:rPr>
          <w:rFonts w:ascii="Times New Roman" w:hAnsi="Times New Roman" w:cs="Times New Roman"/>
          <w:color w:val="1C1D1E"/>
          <w:sz w:val="24"/>
          <w:szCs w:val="24"/>
          <w:shd w:val="clear" w:color="auto" w:fill="FFFFFF"/>
        </w:rPr>
        <w:t>c</w:t>
      </w:r>
      <w:r w:rsidRPr="00F73C96">
        <w:rPr>
          <w:rFonts w:ascii="Times New Roman" w:hAnsi="Times New Roman" w:cs="Times New Roman"/>
          <w:color w:val="1C1D1E"/>
          <w:sz w:val="24"/>
          <w:szCs w:val="24"/>
          <w:shd w:val="clear" w:color="auto" w:fill="FFFFFF"/>
        </w:rPr>
        <w:t xml:space="preserve">onsumption and </w:t>
      </w:r>
      <w:r w:rsidR="00E81A42">
        <w:rPr>
          <w:rFonts w:ascii="Times New Roman" w:hAnsi="Times New Roman" w:cs="Times New Roman"/>
          <w:color w:val="1C1D1E"/>
          <w:sz w:val="24"/>
          <w:szCs w:val="24"/>
          <w:shd w:val="clear" w:color="auto" w:fill="FFFFFF"/>
        </w:rPr>
        <w:t>m</w:t>
      </w:r>
      <w:r w:rsidRPr="00F73C96">
        <w:rPr>
          <w:rFonts w:ascii="Times New Roman" w:hAnsi="Times New Roman" w:cs="Times New Roman"/>
          <w:color w:val="1C1D1E"/>
          <w:sz w:val="24"/>
          <w:szCs w:val="24"/>
          <w:shd w:val="clear" w:color="auto" w:fill="FFFFFF"/>
        </w:rPr>
        <w:t xml:space="preserve">arijuana </w:t>
      </w:r>
      <w:r w:rsidR="00E81A42">
        <w:rPr>
          <w:rFonts w:ascii="Times New Roman" w:hAnsi="Times New Roman" w:cs="Times New Roman"/>
          <w:color w:val="1C1D1E"/>
          <w:sz w:val="24"/>
          <w:szCs w:val="24"/>
          <w:shd w:val="clear" w:color="auto" w:fill="FFFFFF"/>
        </w:rPr>
        <w:t>u</w:t>
      </w:r>
      <w:r w:rsidRPr="00F73C96">
        <w:rPr>
          <w:rFonts w:ascii="Times New Roman" w:hAnsi="Times New Roman" w:cs="Times New Roman"/>
          <w:color w:val="1C1D1E"/>
          <w:sz w:val="24"/>
          <w:szCs w:val="24"/>
          <w:shd w:val="clear" w:color="auto" w:fill="FFFFFF"/>
        </w:rPr>
        <w:t xml:space="preserve">se on </w:t>
      </w:r>
      <w:r w:rsidR="00E81A42">
        <w:rPr>
          <w:rFonts w:ascii="Times New Roman" w:hAnsi="Times New Roman" w:cs="Times New Roman"/>
          <w:color w:val="1C1D1E"/>
          <w:sz w:val="24"/>
          <w:szCs w:val="24"/>
          <w:shd w:val="clear" w:color="auto" w:fill="FFFFFF"/>
        </w:rPr>
        <w:t>h</w:t>
      </w:r>
      <w:r w:rsidRPr="00F73C96">
        <w:rPr>
          <w:rFonts w:ascii="Times New Roman" w:hAnsi="Times New Roman" w:cs="Times New Roman"/>
          <w:color w:val="1C1D1E"/>
          <w:sz w:val="24"/>
          <w:szCs w:val="24"/>
          <w:shd w:val="clear" w:color="auto" w:fill="FFFFFF"/>
        </w:rPr>
        <w:t xml:space="preserve">igh </w:t>
      </w:r>
      <w:r w:rsidR="00E81A42">
        <w:rPr>
          <w:rFonts w:ascii="Times New Roman" w:hAnsi="Times New Roman" w:cs="Times New Roman"/>
          <w:color w:val="1C1D1E"/>
          <w:sz w:val="24"/>
          <w:szCs w:val="24"/>
          <w:shd w:val="clear" w:color="auto" w:fill="FFFFFF"/>
        </w:rPr>
        <w:t>s</w:t>
      </w:r>
      <w:r w:rsidRPr="00F73C96">
        <w:rPr>
          <w:rFonts w:ascii="Times New Roman" w:hAnsi="Times New Roman" w:cs="Times New Roman"/>
          <w:color w:val="1C1D1E"/>
          <w:sz w:val="24"/>
          <w:szCs w:val="24"/>
          <w:shd w:val="clear" w:color="auto" w:fill="FFFFFF"/>
        </w:rPr>
        <w:t xml:space="preserve">chool </w:t>
      </w:r>
      <w:r w:rsidR="00E81A42">
        <w:rPr>
          <w:rFonts w:ascii="Times New Roman" w:hAnsi="Times New Roman" w:cs="Times New Roman"/>
          <w:color w:val="1C1D1E"/>
          <w:sz w:val="24"/>
          <w:szCs w:val="24"/>
          <w:shd w:val="clear" w:color="auto" w:fill="FFFFFF"/>
        </w:rPr>
        <w:t>g</w:t>
      </w:r>
      <w:r w:rsidRPr="00F73C96">
        <w:rPr>
          <w:rFonts w:ascii="Times New Roman" w:hAnsi="Times New Roman" w:cs="Times New Roman"/>
          <w:color w:val="1C1D1E"/>
          <w:sz w:val="24"/>
          <w:szCs w:val="24"/>
          <w:shd w:val="clear" w:color="auto" w:fill="FFFFFF"/>
        </w:rPr>
        <w:t xml:space="preserve">raduation. </w:t>
      </w:r>
      <w:r w:rsidRPr="002F7A73">
        <w:rPr>
          <w:rFonts w:ascii="Times New Roman" w:hAnsi="Times New Roman" w:cs="Times New Roman"/>
          <w:i/>
          <w:iCs/>
          <w:color w:val="1C1D1E"/>
          <w:sz w:val="24"/>
          <w:szCs w:val="24"/>
          <w:shd w:val="clear" w:color="auto" w:fill="FFFFFF"/>
        </w:rPr>
        <w:t>Health Economics</w:t>
      </w:r>
      <w:r w:rsidRPr="00E81A42">
        <w:rPr>
          <w:rFonts w:ascii="Times New Roman" w:hAnsi="Times New Roman" w:cs="Times New Roman"/>
          <w:color w:val="1C1D1E"/>
          <w:sz w:val="24"/>
          <w:szCs w:val="24"/>
          <w:shd w:val="clear" w:color="auto" w:fill="FFFFFF"/>
        </w:rPr>
        <w:t>,</w:t>
      </w:r>
      <w:r w:rsidRPr="002F7A73">
        <w:rPr>
          <w:rFonts w:ascii="Times New Roman" w:hAnsi="Times New Roman" w:cs="Times New Roman"/>
          <w:i/>
          <w:iCs/>
          <w:color w:val="1C1D1E"/>
          <w:sz w:val="24"/>
          <w:szCs w:val="24"/>
          <w:shd w:val="clear" w:color="auto" w:fill="FFFFFF"/>
        </w:rPr>
        <w:t xml:space="preserve"> 5</w:t>
      </w:r>
      <w:r>
        <w:rPr>
          <w:rFonts w:ascii="Times New Roman" w:hAnsi="Times New Roman" w:cs="Times New Roman"/>
          <w:color w:val="1C1D1E"/>
          <w:sz w:val="24"/>
          <w:szCs w:val="24"/>
          <w:shd w:val="clear" w:color="auto" w:fill="FFFFFF"/>
        </w:rPr>
        <w:t xml:space="preserve">, </w:t>
      </w:r>
      <w:r w:rsidRPr="00F73C96">
        <w:rPr>
          <w:rFonts w:ascii="Times New Roman" w:hAnsi="Times New Roman" w:cs="Times New Roman"/>
          <w:color w:val="1C1D1E"/>
          <w:sz w:val="24"/>
          <w:szCs w:val="24"/>
          <w:shd w:val="clear" w:color="auto" w:fill="FFFFFF"/>
        </w:rPr>
        <w:t>77-92</w:t>
      </w:r>
      <w:r>
        <w:rPr>
          <w:rFonts w:ascii="Times New Roman" w:hAnsi="Times New Roman" w:cs="Times New Roman"/>
          <w:color w:val="1C1D1E"/>
          <w:sz w:val="24"/>
          <w:szCs w:val="24"/>
          <w:shd w:val="clear" w:color="auto" w:fill="FFFFFF"/>
        </w:rPr>
        <w:t>.</w:t>
      </w:r>
    </w:p>
    <w:p w14:paraId="4F80E9EF" w14:textId="77777777" w:rsidR="004E2745" w:rsidRDefault="004E2745" w:rsidP="004E2745">
      <w:pPr>
        <w:spacing w:after="0" w:line="240" w:lineRule="auto"/>
        <w:ind w:left="720" w:hanging="720"/>
        <w:contextualSpacing/>
        <w:mirrorIndents/>
        <w:jc w:val="both"/>
        <w:rPr>
          <w:rFonts w:ascii="Times New Roman" w:hAnsi="Times New Roman" w:cs="Times New Roman"/>
          <w:color w:val="1C1D1E"/>
          <w:sz w:val="24"/>
          <w:szCs w:val="24"/>
          <w:shd w:val="clear" w:color="auto" w:fill="FFFFFF"/>
        </w:rPr>
      </w:pPr>
    </w:p>
    <w:p w14:paraId="11B4DB42" w14:textId="77777777" w:rsidR="004E2745" w:rsidRDefault="004E2745" w:rsidP="00D750E1">
      <w:pPr>
        <w:rPr>
          <w:rFonts w:ascii="Times New Roman" w:hAnsi="Times New Roman" w:cs="Times New Roman"/>
          <w:b/>
          <w:bCs/>
          <w:sz w:val="32"/>
          <w:szCs w:val="32"/>
        </w:rPr>
      </w:pPr>
    </w:p>
    <w:p w14:paraId="0A47BDCD" w14:textId="79986A38" w:rsidR="00D750E1" w:rsidRDefault="00D750E1" w:rsidP="00D750E1">
      <w:pPr>
        <w:rPr>
          <w:rFonts w:ascii="Times New Roman" w:hAnsi="Times New Roman" w:cs="Times New Roman"/>
          <w:b/>
          <w:bCs/>
          <w:sz w:val="32"/>
          <w:szCs w:val="32"/>
        </w:rPr>
      </w:pPr>
      <w:r>
        <w:rPr>
          <w:rFonts w:ascii="Times New Roman" w:hAnsi="Times New Roman" w:cs="Times New Roman"/>
          <w:b/>
          <w:bCs/>
          <w:sz w:val="32"/>
          <w:szCs w:val="32"/>
        </w:rPr>
        <w:br w:type="page"/>
      </w:r>
    </w:p>
    <w:p w14:paraId="6CCDA163" w14:textId="27B5368C" w:rsidR="00E1187C" w:rsidRPr="00E1187C" w:rsidRDefault="00D750E1" w:rsidP="00D750E1">
      <w:pPr>
        <w:rPr>
          <w:rFonts w:ascii="Times New Roman" w:hAnsi="Times New Roman" w:cs="Times New Roman"/>
          <w:b/>
          <w:bCs/>
          <w:sz w:val="32"/>
          <w:szCs w:val="32"/>
        </w:rPr>
      </w:pPr>
      <w:r>
        <w:rPr>
          <w:rFonts w:ascii="Times New Roman" w:hAnsi="Times New Roman" w:cs="Times New Roman"/>
          <w:b/>
          <w:bCs/>
          <w:sz w:val="32"/>
          <w:szCs w:val="32"/>
        </w:rPr>
        <w:lastRenderedPageBreak/>
        <w:t>Figures</w:t>
      </w:r>
    </w:p>
    <w:p w14:paraId="7D6A7D29" w14:textId="4C405B55" w:rsidR="001612F4" w:rsidRDefault="00853671" w:rsidP="00F12F6B">
      <w:pPr>
        <w:jc w:val="center"/>
        <w:rPr>
          <w:rFonts w:ascii="Times New Roman" w:hAnsi="Times New Roman" w:cs="Times New Roman"/>
          <w:sz w:val="24"/>
          <w:szCs w:val="24"/>
        </w:rPr>
      </w:pPr>
      <w:r w:rsidRPr="00F12F6B">
        <w:rPr>
          <w:rFonts w:ascii="Times New Roman" w:hAnsi="Times New Roman" w:cs="Times New Roman"/>
          <w:sz w:val="24"/>
          <w:szCs w:val="24"/>
        </w:rPr>
        <w:t xml:space="preserve">Figure </w:t>
      </w:r>
      <w:r w:rsidR="00512D9B">
        <w:rPr>
          <w:rFonts w:ascii="Times New Roman" w:hAnsi="Times New Roman" w:cs="Times New Roman"/>
          <w:sz w:val="24"/>
          <w:szCs w:val="24"/>
        </w:rPr>
        <w:t>1</w:t>
      </w:r>
      <w:r w:rsidRPr="00F12F6B">
        <w:rPr>
          <w:rFonts w:ascii="Times New Roman" w:hAnsi="Times New Roman" w:cs="Times New Roman"/>
          <w:sz w:val="24"/>
          <w:szCs w:val="24"/>
        </w:rPr>
        <w:t>: Di</w:t>
      </w:r>
      <w:r w:rsidR="0051698E">
        <w:rPr>
          <w:rFonts w:ascii="Times New Roman" w:hAnsi="Times New Roman" w:cs="Times New Roman"/>
          <w:sz w:val="24"/>
          <w:szCs w:val="24"/>
        </w:rPr>
        <w:t>stribution of Dispensaries</w:t>
      </w:r>
    </w:p>
    <w:p w14:paraId="4B2FDEEB" w14:textId="5DA0DA55" w:rsidR="006B6E32" w:rsidRDefault="005D1547" w:rsidP="00F12F6B">
      <w:pPr>
        <w:jc w:val="center"/>
        <w:rPr>
          <w:rFonts w:ascii="Times New Roman" w:hAnsi="Times New Roman" w:cs="Times New Roman"/>
          <w:sz w:val="24"/>
          <w:szCs w:val="24"/>
        </w:rPr>
      </w:pPr>
      <w:r>
        <w:rPr>
          <w:noProof/>
        </w:rPr>
        <w:drawing>
          <wp:inline distT="0" distB="0" distL="0" distR="0" wp14:anchorId="1FD4E0BA" wp14:editId="624684BF">
            <wp:extent cx="3575050" cy="2442570"/>
            <wp:effectExtent l="0" t="0" r="6350" b="0"/>
            <wp:docPr id="14" name="Picture 1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p&#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0730" cy="2466948"/>
                    </a:xfrm>
                    <a:prstGeom prst="rect">
                      <a:avLst/>
                    </a:prstGeom>
                    <a:noFill/>
                    <a:ln>
                      <a:noFill/>
                    </a:ln>
                  </pic:spPr>
                </pic:pic>
              </a:graphicData>
            </a:graphic>
          </wp:inline>
        </w:drawing>
      </w:r>
    </w:p>
    <w:p w14:paraId="53C42813" w14:textId="610CE8EE" w:rsidR="00DB407C" w:rsidRDefault="00DB407C" w:rsidP="00DB407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459C2" wp14:editId="02F07573">
            <wp:extent cx="2335794" cy="1645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9231" cy="171089"/>
                    </a:xfrm>
                    <a:prstGeom prst="rect">
                      <a:avLst/>
                    </a:prstGeom>
                    <a:noFill/>
                  </pic:spPr>
                </pic:pic>
              </a:graphicData>
            </a:graphic>
          </wp:inline>
        </w:drawing>
      </w:r>
    </w:p>
    <w:p w14:paraId="6FA1F913" w14:textId="27216970" w:rsidR="00771389" w:rsidRPr="00B92DD4" w:rsidRDefault="00B92DD4" w:rsidP="00B40238">
      <w:pPr>
        <w:pStyle w:val="ListParagraph"/>
        <w:numPr>
          <w:ilvl w:val="0"/>
          <w:numId w:val="8"/>
        </w:numPr>
        <w:jc w:val="center"/>
        <w:rPr>
          <w:rFonts w:ascii="Times New Roman" w:hAnsi="Times New Roman" w:cs="Times New Roman"/>
          <w:sz w:val="20"/>
          <w:szCs w:val="20"/>
        </w:rPr>
      </w:pPr>
      <w:r w:rsidRPr="00B92DD4">
        <w:rPr>
          <w:rFonts w:ascii="Times New Roman" w:hAnsi="Times New Roman" w:cs="Times New Roman"/>
          <w:sz w:val="20"/>
          <w:szCs w:val="20"/>
        </w:rPr>
        <w:t>Dispensary Applicants and Lottery Winners</w:t>
      </w:r>
    </w:p>
    <w:p w14:paraId="186583D2" w14:textId="720D051E" w:rsidR="00771389" w:rsidRDefault="00771389" w:rsidP="00DB407C">
      <w:pPr>
        <w:jc w:val="center"/>
        <w:rPr>
          <w:rFonts w:ascii="Times New Roman" w:hAnsi="Times New Roman" w:cs="Times New Roman"/>
          <w:sz w:val="24"/>
          <w:szCs w:val="24"/>
        </w:rPr>
      </w:pPr>
      <w:r>
        <w:rPr>
          <w:noProof/>
        </w:rPr>
        <w:drawing>
          <wp:inline distT="0" distB="0" distL="0" distR="0" wp14:anchorId="788A4B87" wp14:editId="23B957F0">
            <wp:extent cx="3613150" cy="2485972"/>
            <wp:effectExtent l="0" t="0" r="635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9399" cy="2504032"/>
                    </a:xfrm>
                    <a:prstGeom prst="rect">
                      <a:avLst/>
                    </a:prstGeom>
                    <a:noFill/>
                    <a:ln>
                      <a:noFill/>
                    </a:ln>
                  </pic:spPr>
                </pic:pic>
              </a:graphicData>
            </a:graphic>
          </wp:inline>
        </w:drawing>
      </w:r>
    </w:p>
    <w:p w14:paraId="7B1EB016" w14:textId="05A288FD" w:rsidR="00771389" w:rsidRDefault="00771389" w:rsidP="00DB407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E0948" wp14:editId="25722588">
            <wp:extent cx="3181350" cy="361149"/>
            <wp:effectExtent l="0" t="0" r="0" b="127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9510" cy="371157"/>
                    </a:xfrm>
                    <a:prstGeom prst="rect">
                      <a:avLst/>
                    </a:prstGeom>
                    <a:noFill/>
                  </pic:spPr>
                </pic:pic>
              </a:graphicData>
            </a:graphic>
          </wp:inline>
        </w:drawing>
      </w:r>
    </w:p>
    <w:p w14:paraId="2833F60B" w14:textId="461B0863" w:rsidR="00B40238" w:rsidRPr="00B40238" w:rsidRDefault="00B40238" w:rsidP="00B40238">
      <w:pPr>
        <w:pStyle w:val="ListParagraph"/>
        <w:numPr>
          <w:ilvl w:val="0"/>
          <w:numId w:val="8"/>
        </w:numPr>
        <w:jc w:val="center"/>
        <w:rPr>
          <w:rFonts w:ascii="Times New Roman" w:hAnsi="Times New Roman" w:cs="Times New Roman"/>
          <w:sz w:val="20"/>
          <w:szCs w:val="20"/>
        </w:rPr>
      </w:pPr>
      <w:r w:rsidRPr="00B40238">
        <w:rPr>
          <w:rFonts w:ascii="Times New Roman" w:hAnsi="Times New Roman" w:cs="Times New Roman"/>
          <w:sz w:val="20"/>
          <w:szCs w:val="20"/>
        </w:rPr>
        <w:t>Dispensaries that Opened between July 2014 and May 2016</w:t>
      </w:r>
    </w:p>
    <w:p w14:paraId="1A2FE9D5" w14:textId="57923F3C" w:rsidR="00512D9B" w:rsidRDefault="00F00455" w:rsidP="00F00455">
      <w:pPr>
        <w:jc w:val="both"/>
        <w:rPr>
          <w:rFonts w:ascii="Times New Roman" w:hAnsi="Times New Roman" w:cs="Times New Roman"/>
          <w:sz w:val="20"/>
          <w:szCs w:val="20"/>
        </w:rPr>
      </w:pPr>
      <w:r w:rsidRPr="00F00455">
        <w:rPr>
          <w:rFonts w:ascii="Times New Roman" w:hAnsi="Times New Roman" w:cs="Times New Roman"/>
          <w:i/>
          <w:iCs/>
          <w:sz w:val="20"/>
          <w:szCs w:val="20"/>
        </w:rPr>
        <w:t xml:space="preserve">Notes: </w:t>
      </w:r>
      <w:r w:rsidRPr="00F00455">
        <w:rPr>
          <w:rFonts w:ascii="Times New Roman" w:hAnsi="Times New Roman" w:cs="Times New Roman"/>
          <w:sz w:val="20"/>
          <w:szCs w:val="20"/>
        </w:rPr>
        <w:t xml:space="preserve">This figure shows </w:t>
      </w:r>
      <w:r w:rsidR="0051698E">
        <w:rPr>
          <w:rFonts w:ascii="Times New Roman" w:hAnsi="Times New Roman" w:cs="Times New Roman"/>
          <w:sz w:val="20"/>
          <w:szCs w:val="20"/>
        </w:rPr>
        <w:t xml:space="preserve">the results of the </w:t>
      </w:r>
      <w:r w:rsidR="00FD4C2D">
        <w:rPr>
          <w:rFonts w:ascii="Times New Roman" w:hAnsi="Times New Roman" w:cs="Times New Roman"/>
          <w:sz w:val="20"/>
          <w:szCs w:val="20"/>
        </w:rPr>
        <w:t xml:space="preserve">Washington lottery and the dispensaries that </w:t>
      </w:r>
      <w:r w:rsidR="00B506EA">
        <w:rPr>
          <w:rFonts w:ascii="Times New Roman" w:hAnsi="Times New Roman" w:cs="Times New Roman"/>
          <w:sz w:val="20"/>
          <w:szCs w:val="20"/>
        </w:rPr>
        <w:t xml:space="preserve">opened. Map (a) depicts </w:t>
      </w:r>
      <w:r w:rsidRPr="00F00455">
        <w:rPr>
          <w:rFonts w:ascii="Times New Roman" w:hAnsi="Times New Roman" w:cs="Times New Roman"/>
          <w:sz w:val="20"/>
          <w:szCs w:val="20"/>
        </w:rPr>
        <w:t>Washington dispensaries that won the lottery (green triangles), lost the lottery (</w:t>
      </w:r>
      <w:r w:rsidR="00DC1F57">
        <w:rPr>
          <w:rFonts w:ascii="Times New Roman" w:hAnsi="Times New Roman" w:cs="Times New Roman"/>
          <w:sz w:val="20"/>
          <w:szCs w:val="20"/>
        </w:rPr>
        <w:t>red</w:t>
      </w:r>
      <w:r w:rsidRPr="00F00455">
        <w:rPr>
          <w:rFonts w:ascii="Times New Roman" w:hAnsi="Times New Roman" w:cs="Times New Roman"/>
          <w:sz w:val="20"/>
          <w:szCs w:val="20"/>
        </w:rPr>
        <w:t xml:space="preserve"> triangles), and the applicants in places where the lottery was not necessary (black circles). </w:t>
      </w:r>
      <w:r w:rsidR="004F64FB">
        <w:rPr>
          <w:rFonts w:ascii="Times New Roman" w:hAnsi="Times New Roman" w:cs="Times New Roman"/>
          <w:sz w:val="20"/>
          <w:szCs w:val="20"/>
        </w:rPr>
        <w:t xml:space="preserve"> </w:t>
      </w:r>
      <w:r w:rsidR="00677937">
        <w:rPr>
          <w:rFonts w:ascii="Times New Roman" w:hAnsi="Times New Roman" w:cs="Times New Roman"/>
          <w:sz w:val="20"/>
          <w:szCs w:val="20"/>
        </w:rPr>
        <w:t xml:space="preserve">Map (b) depicts </w:t>
      </w:r>
      <w:r w:rsidR="00677937" w:rsidRPr="00F00455">
        <w:rPr>
          <w:rFonts w:ascii="Times New Roman" w:hAnsi="Times New Roman" w:cs="Times New Roman"/>
          <w:sz w:val="20"/>
          <w:szCs w:val="20"/>
        </w:rPr>
        <w:t xml:space="preserve">Washington dispensaries that </w:t>
      </w:r>
      <w:r w:rsidR="00677937">
        <w:rPr>
          <w:rFonts w:ascii="Times New Roman" w:hAnsi="Times New Roman" w:cs="Times New Roman"/>
          <w:sz w:val="20"/>
          <w:szCs w:val="20"/>
        </w:rPr>
        <w:t>lost the lottery (black circles), dispensaries that won the lottery but did not open between July 2014 and May 2016 (red circles), dispensaries that won the lottery and opened at the location listed on their original applications (green triangles), and dispensaries that won the lottery and opened at an alternative location (blue triangles).</w:t>
      </w:r>
      <w:r w:rsidR="00677937" w:rsidRPr="00F00455">
        <w:rPr>
          <w:rFonts w:ascii="Times New Roman" w:hAnsi="Times New Roman" w:cs="Times New Roman"/>
          <w:sz w:val="20"/>
          <w:szCs w:val="20"/>
        </w:rPr>
        <w:t xml:space="preserve"> </w:t>
      </w:r>
    </w:p>
    <w:p w14:paraId="2144318A" w14:textId="77777777" w:rsidR="00512D9B" w:rsidRDefault="00512D9B" w:rsidP="00512D9B">
      <w:pPr>
        <w:jc w:val="center"/>
        <w:rPr>
          <w:rFonts w:ascii="Times New Roman" w:hAnsi="Times New Roman" w:cs="Times New Roman"/>
          <w:sz w:val="24"/>
          <w:szCs w:val="24"/>
        </w:rPr>
        <w:sectPr w:rsidR="00512D9B">
          <w:headerReference w:type="default" r:id="rId27"/>
          <w:pgSz w:w="12240" w:h="15840"/>
          <w:pgMar w:top="1440" w:right="1440" w:bottom="1440" w:left="1440" w:header="720" w:footer="720" w:gutter="0"/>
          <w:cols w:space="720"/>
          <w:docGrid w:linePitch="360"/>
        </w:sectPr>
      </w:pPr>
    </w:p>
    <w:p w14:paraId="3B2A5683" w14:textId="6B881FB7" w:rsidR="00512D9B" w:rsidRPr="006D3A4C" w:rsidRDefault="00512D9B" w:rsidP="00512D9B">
      <w:pPr>
        <w:jc w:val="center"/>
        <w:rPr>
          <w:rFonts w:ascii="Times New Roman" w:hAnsi="Times New Roman" w:cs="Times New Roman"/>
          <w:sz w:val="24"/>
          <w:szCs w:val="24"/>
        </w:rPr>
      </w:pPr>
      <w:r w:rsidRPr="006D3A4C">
        <w:rPr>
          <w:rFonts w:ascii="Times New Roman" w:hAnsi="Times New Roman" w:cs="Times New Roman"/>
          <w:sz w:val="24"/>
          <w:szCs w:val="24"/>
        </w:rPr>
        <w:lastRenderedPageBreak/>
        <w:t xml:space="preserve">Figure </w:t>
      </w:r>
      <w:r>
        <w:rPr>
          <w:rFonts w:ascii="Times New Roman" w:hAnsi="Times New Roman" w:cs="Times New Roman"/>
          <w:sz w:val="24"/>
          <w:szCs w:val="24"/>
        </w:rPr>
        <w:t>2</w:t>
      </w:r>
      <w:r w:rsidRPr="006D3A4C">
        <w:rPr>
          <w:rFonts w:ascii="Times New Roman" w:hAnsi="Times New Roman" w:cs="Times New Roman"/>
          <w:sz w:val="24"/>
          <w:szCs w:val="24"/>
        </w:rPr>
        <w:t xml:space="preserve">: </w:t>
      </w:r>
      <w:r>
        <w:rPr>
          <w:rFonts w:ascii="Times New Roman" w:hAnsi="Times New Roman" w:cs="Times New Roman"/>
          <w:sz w:val="24"/>
          <w:szCs w:val="24"/>
        </w:rPr>
        <w:t xml:space="preserve">Trends in the </w:t>
      </w:r>
      <w:r w:rsidRPr="006D3A4C">
        <w:rPr>
          <w:rFonts w:ascii="Times New Roman" w:hAnsi="Times New Roman" w:cs="Times New Roman"/>
          <w:sz w:val="24"/>
          <w:szCs w:val="24"/>
        </w:rPr>
        <w:t xml:space="preserve">Average Percentage of </w:t>
      </w:r>
      <w:r>
        <w:rPr>
          <w:rFonts w:ascii="Times New Roman" w:hAnsi="Times New Roman" w:cs="Times New Roman"/>
          <w:sz w:val="24"/>
          <w:szCs w:val="24"/>
        </w:rPr>
        <w:t xml:space="preserve">Students </w:t>
      </w:r>
      <w:r w:rsidRPr="006D3A4C">
        <w:rPr>
          <w:rFonts w:ascii="Times New Roman" w:hAnsi="Times New Roman" w:cs="Times New Roman"/>
          <w:sz w:val="24"/>
          <w:szCs w:val="24"/>
        </w:rPr>
        <w:t>in Washington who Used Marijuana in the Past Month</w:t>
      </w:r>
    </w:p>
    <w:p w14:paraId="6245BA07" w14:textId="77777777" w:rsidR="00512D9B" w:rsidRDefault="00512D9B" w:rsidP="00512D9B">
      <w:pPr>
        <w:jc w:val="center"/>
        <w:rPr>
          <w:rFonts w:ascii="Times New Roman" w:hAnsi="Times New Roman" w:cs="Times New Roman"/>
          <w:b/>
          <w:bCs/>
          <w:sz w:val="32"/>
          <w:szCs w:val="32"/>
        </w:rPr>
      </w:pPr>
      <w:r>
        <w:rPr>
          <w:noProof/>
        </w:rPr>
        <w:drawing>
          <wp:inline distT="0" distB="0" distL="0" distR="0" wp14:anchorId="69BEA95D" wp14:editId="52744C5F">
            <wp:extent cx="5918200" cy="2940050"/>
            <wp:effectExtent l="0" t="0" r="6350" b="0"/>
            <wp:docPr id="285093333" name="Chart 1">
              <a:extLst xmlns:a="http://schemas.openxmlformats.org/drawingml/2006/main">
                <a:ext uri="{FF2B5EF4-FFF2-40B4-BE49-F238E27FC236}">
                  <a16:creationId xmlns:a16="http://schemas.microsoft.com/office/drawing/2014/main" id="{CA3A594D-215D-4EC2-4B0C-3B66C23BAD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3084A1E" w14:textId="305A9DF9" w:rsidR="006D2D36" w:rsidRPr="00F00455" w:rsidRDefault="00512D9B" w:rsidP="00F00455">
      <w:pPr>
        <w:jc w:val="both"/>
        <w:rPr>
          <w:rFonts w:ascii="Times New Roman" w:hAnsi="Times New Roman" w:cs="Times New Roman"/>
          <w:sz w:val="20"/>
          <w:szCs w:val="20"/>
        </w:rPr>
        <w:sectPr w:rsidR="006D2D36" w:rsidRPr="00F00455">
          <w:pgSz w:w="12240" w:h="15840"/>
          <w:pgMar w:top="1440" w:right="1440" w:bottom="1440" w:left="1440" w:header="720" w:footer="720" w:gutter="0"/>
          <w:cols w:space="720"/>
          <w:docGrid w:linePitch="360"/>
        </w:sectPr>
      </w:pPr>
      <w:r w:rsidRPr="006D3A4C">
        <w:rPr>
          <w:rFonts w:ascii="Times New Roman" w:hAnsi="Times New Roman" w:cs="Times New Roman"/>
          <w:i/>
          <w:iCs/>
          <w:sz w:val="20"/>
          <w:szCs w:val="20"/>
        </w:rPr>
        <w:t>Notes:</w:t>
      </w:r>
      <w:r>
        <w:rPr>
          <w:rFonts w:ascii="Times New Roman" w:hAnsi="Times New Roman" w:cs="Times New Roman"/>
          <w:i/>
          <w:iCs/>
          <w:sz w:val="20"/>
          <w:szCs w:val="20"/>
        </w:rPr>
        <w:t xml:space="preserve"> </w:t>
      </w:r>
      <w:r>
        <w:rPr>
          <w:rFonts w:ascii="Times New Roman" w:hAnsi="Times New Roman" w:cs="Times New Roman"/>
          <w:sz w:val="20"/>
          <w:szCs w:val="20"/>
        </w:rPr>
        <w:t>This figure shows the average percentage of 6</w:t>
      </w:r>
      <w:r w:rsidRPr="00ED315C">
        <w:rPr>
          <w:rFonts w:ascii="Times New Roman" w:hAnsi="Times New Roman" w:cs="Times New Roman"/>
          <w:sz w:val="20"/>
          <w:szCs w:val="20"/>
          <w:vertAlign w:val="superscript"/>
        </w:rPr>
        <w:t>th</w:t>
      </w:r>
      <w:r>
        <w:rPr>
          <w:rFonts w:ascii="Times New Roman" w:hAnsi="Times New Roman" w:cs="Times New Roman"/>
          <w:sz w:val="20"/>
          <w:szCs w:val="20"/>
        </w:rPr>
        <w:t>, 8</w:t>
      </w:r>
      <w:r w:rsidRPr="00ED315C">
        <w:rPr>
          <w:rFonts w:ascii="Times New Roman" w:hAnsi="Times New Roman" w:cs="Times New Roman"/>
          <w:sz w:val="20"/>
          <w:szCs w:val="20"/>
          <w:vertAlign w:val="superscript"/>
        </w:rPr>
        <w:t>th</w:t>
      </w:r>
      <w:r>
        <w:rPr>
          <w:rFonts w:ascii="Times New Roman" w:hAnsi="Times New Roman" w:cs="Times New Roman"/>
          <w:sz w:val="20"/>
          <w:szCs w:val="20"/>
        </w:rPr>
        <w:t>, 10</w:t>
      </w:r>
      <w:r w:rsidRPr="00ED315C">
        <w:rPr>
          <w:rFonts w:ascii="Times New Roman" w:hAnsi="Times New Roman" w:cs="Times New Roman"/>
          <w:sz w:val="20"/>
          <w:szCs w:val="20"/>
          <w:vertAlign w:val="superscript"/>
        </w:rPr>
        <w:t>th</w:t>
      </w:r>
      <w:r>
        <w:rPr>
          <w:rFonts w:ascii="Times New Roman" w:hAnsi="Times New Roman" w:cs="Times New Roman"/>
          <w:sz w:val="20"/>
          <w:szCs w:val="20"/>
        </w:rPr>
        <w:t>, and 12</w:t>
      </w:r>
      <w:r w:rsidRPr="00ED315C">
        <w:rPr>
          <w:rFonts w:ascii="Times New Roman" w:hAnsi="Times New Roman" w:cs="Times New Roman"/>
          <w:sz w:val="20"/>
          <w:szCs w:val="20"/>
          <w:vertAlign w:val="superscript"/>
        </w:rPr>
        <w:t>th</w:t>
      </w:r>
      <w:r>
        <w:rPr>
          <w:rFonts w:ascii="Times New Roman" w:hAnsi="Times New Roman" w:cs="Times New Roman"/>
          <w:sz w:val="20"/>
          <w:szCs w:val="20"/>
        </w:rPr>
        <w:t xml:space="preserve"> graders who used marijuana in the past month in Washington. The fall semester is on the x-axis. The data comes from the Washington Healthy Youth Survey.</w:t>
      </w:r>
    </w:p>
    <w:p w14:paraId="2421E8A5" w14:textId="51B33AAB" w:rsidR="001612F4" w:rsidRDefault="00F12F6B" w:rsidP="00F00455">
      <w:pPr>
        <w:jc w:val="center"/>
        <w:rPr>
          <w:rFonts w:ascii="Times New Roman" w:hAnsi="Times New Roman" w:cs="Times New Roman"/>
          <w:sz w:val="24"/>
          <w:szCs w:val="24"/>
        </w:rPr>
      </w:pPr>
      <w:r w:rsidRPr="00F12F6B">
        <w:rPr>
          <w:rFonts w:ascii="Times New Roman" w:hAnsi="Times New Roman" w:cs="Times New Roman"/>
          <w:sz w:val="24"/>
          <w:szCs w:val="24"/>
        </w:rPr>
        <w:lastRenderedPageBreak/>
        <w:t xml:space="preserve">Figure </w:t>
      </w:r>
      <w:r w:rsidR="00BD0E1A">
        <w:rPr>
          <w:rFonts w:ascii="Times New Roman" w:hAnsi="Times New Roman" w:cs="Times New Roman"/>
          <w:sz w:val="24"/>
          <w:szCs w:val="24"/>
        </w:rPr>
        <w:t>3</w:t>
      </w:r>
      <w:r w:rsidRPr="00F12F6B">
        <w:rPr>
          <w:rFonts w:ascii="Times New Roman" w:hAnsi="Times New Roman" w:cs="Times New Roman"/>
          <w:sz w:val="24"/>
          <w:szCs w:val="24"/>
        </w:rPr>
        <w:t xml:space="preserve">: </w:t>
      </w:r>
      <w:r w:rsidR="003509D6">
        <w:rPr>
          <w:rFonts w:ascii="Times New Roman" w:hAnsi="Times New Roman" w:cs="Times New Roman"/>
          <w:sz w:val="24"/>
          <w:szCs w:val="24"/>
        </w:rPr>
        <w:t xml:space="preserve">Distribution of </w:t>
      </w:r>
      <w:r w:rsidR="00FC0EAA">
        <w:rPr>
          <w:rFonts w:ascii="Times New Roman" w:hAnsi="Times New Roman" w:cs="Times New Roman"/>
          <w:sz w:val="24"/>
          <w:szCs w:val="24"/>
        </w:rPr>
        <w:t>Public Schools and Dispensaries</w:t>
      </w:r>
    </w:p>
    <w:p w14:paraId="43DEB962" w14:textId="7EA31FC6" w:rsidR="006E6CA9" w:rsidRDefault="00EB2491" w:rsidP="00F12F6B">
      <w:pPr>
        <w:jc w:val="center"/>
        <w:rPr>
          <w:rFonts w:ascii="Times New Roman" w:hAnsi="Times New Roman" w:cs="Times New Roman"/>
          <w:sz w:val="24"/>
          <w:szCs w:val="24"/>
        </w:rPr>
      </w:pPr>
      <w:r>
        <w:rPr>
          <w:noProof/>
        </w:rPr>
        <w:drawing>
          <wp:inline distT="0" distB="0" distL="0" distR="0" wp14:anchorId="5DBDAF03" wp14:editId="0427F83E">
            <wp:extent cx="3862552" cy="2638998"/>
            <wp:effectExtent l="0" t="0" r="5080" b="95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7366" cy="2655952"/>
                    </a:xfrm>
                    <a:prstGeom prst="rect">
                      <a:avLst/>
                    </a:prstGeom>
                    <a:noFill/>
                    <a:ln>
                      <a:noFill/>
                    </a:ln>
                  </pic:spPr>
                </pic:pic>
              </a:graphicData>
            </a:graphic>
          </wp:inline>
        </w:drawing>
      </w:r>
    </w:p>
    <w:p w14:paraId="74964BCE" w14:textId="11C3DC80" w:rsidR="00271CDD" w:rsidRDefault="00DB407C" w:rsidP="00F12F6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381B4B" wp14:editId="47292707">
            <wp:extent cx="3436883" cy="152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2112" cy="155081"/>
                    </a:xfrm>
                    <a:prstGeom prst="rect">
                      <a:avLst/>
                    </a:prstGeom>
                    <a:noFill/>
                  </pic:spPr>
                </pic:pic>
              </a:graphicData>
            </a:graphic>
          </wp:inline>
        </w:drawing>
      </w:r>
    </w:p>
    <w:p w14:paraId="1A524E4E" w14:textId="614A775A" w:rsidR="00BD0E1A" w:rsidRPr="003509D6" w:rsidRDefault="00BD0E1A" w:rsidP="00BD0E1A">
      <w:pPr>
        <w:pStyle w:val="ListParagraph"/>
        <w:numPr>
          <w:ilvl w:val="0"/>
          <w:numId w:val="9"/>
        </w:numPr>
        <w:jc w:val="center"/>
        <w:rPr>
          <w:rFonts w:ascii="Times New Roman" w:hAnsi="Times New Roman" w:cs="Times New Roman"/>
          <w:sz w:val="20"/>
          <w:szCs w:val="20"/>
        </w:rPr>
      </w:pPr>
      <w:r w:rsidRPr="003509D6">
        <w:rPr>
          <w:rFonts w:ascii="Times New Roman" w:hAnsi="Times New Roman" w:cs="Times New Roman"/>
          <w:sz w:val="20"/>
          <w:szCs w:val="20"/>
        </w:rPr>
        <w:t>Public High Schools, Lottery Winners, and Lottery Losers</w:t>
      </w:r>
    </w:p>
    <w:p w14:paraId="18C929FC" w14:textId="1299B480" w:rsidR="003509D6" w:rsidRDefault="003509D6" w:rsidP="003509D6">
      <w:pPr>
        <w:ind w:left="360"/>
        <w:jc w:val="center"/>
        <w:rPr>
          <w:rFonts w:ascii="Times New Roman" w:hAnsi="Times New Roman" w:cs="Times New Roman"/>
          <w:sz w:val="24"/>
          <w:szCs w:val="24"/>
        </w:rPr>
      </w:pPr>
      <w:r>
        <w:rPr>
          <w:noProof/>
        </w:rPr>
        <w:drawing>
          <wp:inline distT="0" distB="0" distL="0" distR="0" wp14:anchorId="7E8903DB" wp14:editId="583C0420">
            <wp:extent cx="3927944" cy="2655559"/>
            <wp:effectExtent l="0" t="0" r="0" b="0"/>
            <wp:docPr id="13" name="Picture 1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map&#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2036" cy="2678607"/>
                    </a:xfrm>
                    <a:prstGeom prst="rect">
                      <a:avLst/>
                    </a:prstGeom>
                    <a:noFill/>
                    <a:ln>
                      <a:noFill/>
                    </a:ln>
                  </pic:spPr>
                </pic:pic>
              </a:graphicData>
            </a:graphic>
          </wp:inline>
        </w:drawing>
      </w:r>
    </w:p>
    <w:p w14:paraId="395C101C" w14:textId="1BE2D618" w:rsidR="003509D6" w:rsidRDefault="003509D6" w:rsidP="003509D6">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3C1AFA" wp14:editId="053E9E36">
            <wp:extent cx="4258448" cy="1719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2816" cy="183423"/>
                    </a:xfrm>
                    <a:prstGeom prst="rect">
                      <a:avLst/>
                    </a:prstGeom>
                    <a:noFill/>
                  </pic:spPr>
                </pic:pic>
              </a:graphicData>
            </a:graphic>
          </wp:inline>
        </w:drawing>
      </w:r>
    </w:p>
    <w:p w14:paraId="694CABFF" w14:textId="1036721D" w:rsidR="003509D6" w:rsidRPr="003509D6" w:rsidRDefault="003509D6" w:rsidP="003509D6">
      <w:pPr>
        <w:pStyle w:val="ListParagraph"/>
        <w:numPr>
          <w:ilvl w:val="0"/>
          <w:numId w:val="9"/>
        </w:numPr>
        <w:jc w:val="center"/>
        <w:rPr>
          <w:rFonts w:ascii="Times New Roman" w:hAnsi="Times New Roman" w:cs="Times New Roman"/>
          <w:sz w:val="20"/>
          <w:szCs w:val="20"/>
        </w:rPr>
      </w:pPr>
      <w:r w:rsidRPr="003509D6">
        <w:rPr>
          <w:rFonts w:ascii="Times New Roman" w:hAnsi="Times New Roman" w:cs="Times New Roman"/>
          <w:sz w:val="20"/>
          <w:szCs w:val="20"/>
        </w:rPr>
        <w:t>Public High Schools and Open Dispensaries</w:t>
      </w:r>
    </w:p>
    <w:p w14:paraId="2AC3BEB2" w14:textId="42B16DF3" w:rsidR="00EB2491" w:rsidRDefault="00AF281F" w:rsidP="003509D6">
      <w:pPr>
        <w:jc w:val="both"/>
        <w:rPr>
          <w:rFonts w:ascii="Times New Roman" w:hAnsi="Times New Roman" w:cs="Times New Roman"/>
          <w:sz w:val="24"/>
          <w:szCs w:val="24"/>
        </w:rPr>
      </w:pPr>
      <w:r w:rsidRPr="00F00455">
        <w:rPr>
          <w:rFonts w:ascii="Times New Roman" w:hAnsi="Times New Roman" w:cs="Times New Roman"/>
          <w:i/>
          <w:iCs/>
          <w:sz w:val="20"/>
          <w:szCs w:val="20"/>
        </w:rPr>
        <w:t xml:space="preserve">Notes: </w:t>
      </w:r>
      <w:r w:rsidRPr="00F00455">
        <w:rPr>
          <w:rFonts w:ascii="Times New Roman" w:hAnsi="Times New Roman" w:cs="Times New Roman"/>
          <w:sz w:val="20"/>
          <w:szCs w:val="20"/>
        </w:rPr>
        <w:t xml:space="preserve">This figure shows </w:t>
      </w:r>
      <w:r w:rsidR="009665D6">
        <w:rPr>
          <w:rFonts w:ascii="Times New Roman" w:hAnsi="Times New Roman" w:cs="Times New Roman"/>
          <w:sz w:val="20"/>
          <w:szCs w:val="20"/>
        </w:rPr>
        <w:t xml:space="preserve">public high schools and dispensaries. Map (a) depicts </w:t>
      </w:r>
      <w:r w:rsidRPr="00F00455">
        <w:rPr>
          <w:rFonts w:ascii="Times New Roman" w:hAnsi="Times New Roman" w:cs="Times New Roman"/>
          <w:sz w:val="20"/>
          <w:szCs w:val="20"/>
        </w:rPr>
        <w:t>Washington dispensaries that won the lottery (green triangles), lost the lottery (</w:t>
      </w:r>
      <w:r>
        <w:rPr>
          <w:rFonts w:ascii="Times New Roman" w:hAnsi="Times New Roman" w:cs="Times New Roman"/>
          <w:sz w:val="20"/>
          <w:szCs w:val="20"/>
        </w:rPr>
        <w:t xml:space="preserve">red triangles) </w:t>
      </w:r>
      <w:r w:rsidRPr="00F00455">
        <w:rPr>
          <w:rFonts w:ascii="Times New Roman" w:hAnsi="Times New Roman" w:cs="Times New Roman"/>
          <w:sz w:val="20"/>
          <w:szCs w:val="20"/>
        </w:rPr>
        <w:t xml:space="preserve">and the </w:t>
      </w:r>
      <w:r>
        <w:rPr>
          <w:rFonts w:ascii="Times New Roman" w:hAnsi="Times New Roman" w:cs="Times New Roman"/>
          <w:sz w:val="20"/>
          <w:szCs w:val="20"/>
        </w:rPr>
        <w:t xml:space="preserve">public high schools included in my analysis sample </w:t>
      </w:r>
      <w:r w:rsidRPr="00F00455">
        <w:rPr>
          <w:rFonts w:ascii="Times New Roman" w:hAnsi="Times New Roman" w:cs="Times New Roman"/>
          <w:sz w:val="20"/>
          <w:szCs w:val="20"/>
        </w:rPr>
        <w:t xml:space="preserve">(black circles). </w:t>
      </w:r>
      <w:r w:rsidR="00BD0E1A">
        <w:rPr>
          <w:rFonts w:ascii="Times New Roman" w:hAnsi="Times New Roman" w:cs="Times New Roman"/>
          <w:sz w:val="20"/>
          <w:szCs w:val="20"/>
        </w:rPr>
        <w:t xml:space="preserve"> </w:t>
      </w:r>
      <w:r w:rsidR="009665D6">
        <w:rPr>
          <w:rFonts w:ascii="Times New Roman" w:hAnsi="Times New Roman" w:cs="Times New Roman"/>
          <w:sz w:val="20"/>
          <w:szCs w:val="20"/>
        </w:rPr>
        <w:t xml:space="preserve">Map (b) depicts </w:t>
      </w:r>
      <w:r w:rsidR="00BD0E1A" w:rsidRPr="00F00455">
        <w:rPr>
          <w:rFonts w:ascii="Times New Roman" w:hAnsi="Times New Roman" w:cs="Times New Roman"/>
          <w:sz w:val="20"/>
          <w:szCs w:val="20"/>
        </w:rPr>
        <w:t xml:space="preserve">Washington dispensaries that </w:t>
      </w:r>
      <w:r w:rsidR="00BD0E1A">
        <w:rPr>
          <w:rFonts w:ascii="Times New Roman" w:hAnsi="Times New Roman" w:cs="Times New Roman"/>
          <w:sz w:val="20"/>
          <w:szCs w:val="20"/>
        </w:rPr>
        <w:t>won the lottery and opened at the location listed on their original applications (green triangles), and dispensaries that won the lottery and opened at an alternative location (blue triangles), and the public high schools included in my analysis sample (black circles).</w:t>
      </w:r>
    </w:p>
    <w:p w14:paraId="0748634E" w14:textId="45FED216" w:rsidR="00D750E1" w:rsidRPr="00BD0E1A" w:rsidRDefault="00D750E1" w:rsidP="00BD0E1A">
      <w:pPr>
        <w:jc w:val="center"/>
        <w:rPr>
          <w:rFonts w:ascii="Times New Roman" w:hAnsi="Times New Roman" w:cs="Times New Roman"/>
          <w:sz w:val="24"/>
          <w:szCs w:val="24"/>
        </w:rPr>
      </w:pPr>
    </w:p>
    <w:p w14:paraId="78E19F58" w14:textId="77777777" w:rsidR="00E1187C" w:rsidRDefault="00E1187C" w:rsidP="00B31C3A">
      <w:pPr>
        <w:rPr>
          <w:rFonts w:ascii="Times New Roman" w:hAnsi="Times New Roman" w:cs="Times New Roman"/>
          <w:b/>
          <w:bCs/>
          <w:sz w:val="32"/>
          <w:szCs w:val="32"/>
        </w:rPr>
        <w:sectPr w:rsidR="00E1187C">
          <w:headerReference w:type="default" r:id="rId33"/>
          <w:pgSz w:w="12240" w:h="15840"/>
          <w:pgMar w:top="1440" w:right="1440" w:bottom="1440" w:left="1440" w:header="720" w:footer="720" w:gutter="0"/>
          <w:cols w:space="720"/>
          <w:docGrid w:linePitch="360"/>
        </w:sectPr>
      </w:pPr>
    </w:p>
    <w:p w14:paraId="3B5C10BD" w14:textId="10DABE8A" w:rsidR="00C33C76" w:rsidRPr="00B31C3A" w:rsidRDefault="00D750E1" w:rsidP="00B31C3A">
      <w:pPr>
        <w:rPr>
          <w:rFonts w:ascii="Times New Roman" w:hAnsi="Times New Roman" w:cs="Times New Roman"/>
          <w:b/>
          <w:bCs/>
          <w:sz w:val="32"/>
          <w:szCs w:val="32"/>
        </w:rPr>
      </w:pPr>
      <w:r>
        <w:rPr>
          <w:rFonts w:ascii="Times New Roman" w:hAnsi="Times New Roman" w:cs="Times New Roman"/>
          <w:b/>
          <w:bCs/>
          <w:sz w:val="32"/>
          <w:szCs w:val="32"/>
        </w:rPr>
        <w:lastRenderedPageBreak/>
        <w:t>Tables</w:t>
      </w:r>
    </w:p>
    <w:tbl>
      <w:tblPr>
        <w:tblW w:w="7920" w:type="dxa"/>
        <w:jc w:val="center"/>
        <w:tblLook w:val="04A0" w:firstRow="1" w:lastRow="0" w:firstColumn="1" w:lastColumn="0" w:noHBand="0" w:noVBand="1"/>
      </w:tblPr>
      <w:tblGrid>
        <w:gridCol w:w="2800"/>
        <w:gridCol w:w="1430"/>
        <w:gridCol w:w="1350"/>
        <w:gridCol w:w="1071"/>
        <w:gridCol w:w="1269"/>
      </w:tblGrid>
      <w:tr w:rsidR="003B2301" w:rsidRPr="00C33C76" w14:paraId="0AE3FD77" w14:textId="77777777" w:rsidTr="00003BB6">
        <w:trPr>
          <w:trHeight w:val="70"/>
          <w:jc w:val="center"/>
        </w:trPr>
        <w:tc>
          <w:tcPr>
            <w:tcW w:w="7920" w:type="dxa"/>
            <w:gridSpan w:val="5"/>
            <w:tcBorders>
              <w:top w:val="nil"/>
              <w:left w:val="nil"/>
              <w:bottom w:val="double" w:sz="6" w:space="0" w:color="auto"/>
              <w:right w:val="nil"/>
            </w:tcBorders>
            <w:shd w:val="clear" w:color="auto" w:fill="auto"/>
            <w:noWrap/>
            <w:vAlign w:val="bottom"/>
            <w:hideMark/>
          </w:tcPr>
          <w:p w14:paraId="0457FC54" w14:textId="660793D7" w:rsidR="00B31C3A" w:rsidRDefault="003B2301" w:rsidP="00046B41">
            <w:pPr>
              <w:spacing w:after="0" w:line="240" w:lineRule="auto"/>
              <w:jc w:val="center"/>
              <w:rPr>
                <w:rFonts w:ascii="Times New Roman" w:hAnsi="Times New Roman" w:cs="Times New Roman"/>
                <w:sz w:val="24"/>
                <w:szCs w:val="24"/>
              </w:rPr>
            </w:pPr>
            <w:r w:rsidRPr="00C33C76">
              <w:rPr>
                <w:rFonts w:ascii="Times New Roman" w:hAnsi="Times New Roman" w:cs="Times New Roman"/>
                <w:sz w:val="24"/>
                <w:szCs w:val="24"/>
              </w:rPr>
              <w:t xml:space="preserve">Table 1: Baseline Average School Characteristics and Outcomes for Schools within 10 </w:t>
            </w:r>
            <w:r w:rsidR="00495A1D">
              <w:rPr>
                <w:rFonts w:ascii="Times New Roman" w:hAnsi="Times New Roman" w:cs="Times New Roman"/>
                <w:sz w:val="24"/>
                <w:szCs w:val="24"/>
              </w:rPr>
              <w:t>M</w:t>
            </w:r>
            <w:r w:rsidRPr="00C33C76">
              <w:rPr>
                <w:rFonts w:ascii="Times New Roman" w:hAnsi="Times New Roman" w:cs="Times New Roman"/>
                <w:sz w:val="24"/>
                <w:szCs w:val="24"/>
              </w:rPr>
              <w:t>inutes of a Lottery Winner or within 10 Minutes of a Lottery Loser</w:t>
            </w:r>
          </w:p>
          <w:p w14:paraId="3658E207" w14:textId="69B949FA" w:rsidR="00046B41" w:rsidRPr="00046B41" w:rsidRDefault="00046B41" w:rsidP="00046B41">
            <w:pPr>
              <w:spacing w:after="0" w:line="240" w:lineRule="auto"/>
              <w:jc w:val="center"/>
              <w:rPr>
                <w:rFonts w:ascii="Times New Roman" w:hAnsi="Times New Roman" w:cs="Times New Roman"/>
                <w:sz w:val="24"/>
                <w:szCs w:val="24"/>
              </w:rPr>
            </w:pPr>
          </w:p>
        </w:tc>
      </w:tr>
      <w:tr w:rsidR="00046B41" w:rsidRPr="00046B41" w14:paraId="30BCEB2E" w14:textId="77777777" w:rsidTr="00003BB6">
        <w:trPr>
          <w:trHeight w:val="819"/>
          <w:jc w:val="center"/>
        </w:trPr>
        <w:tc>
          <w:tcPr>
            <w:tcW w:w="2800" w:type="dxa"/>
            <w:tcBorders>
              <w:top w:val="double" w:sz="6" w:space="0" w:color="auto"/>
              <w:left w:val="nil"/>
              <w:bottom w:val="single" w:sz="4" w:space="0" w:color="auto"/>
              <w:right w:val="nil"/>
            </w:tcBorders>
            <w:shd w:val="clear" w:color="auto" w:fill="auto"/>
            <w:noWrap/>
            <w:vAlign w:val="bottom"/>
            <w:hideMark/>
          </w:tcPr>
          <w:p w14:paraId="688C67AE" w14:textId="48E12374" w:rsidR="00046B41" w:rsidRPr="00046B41" w:rsidRDefault="00046B41" w:rsidP="00046B41">
            <w:pPr>
              <w:spacing w:after="0" w:line="240" w:lineRule="auto"/>
              <w:rPr>
                <w:rFonts w:ascii="Times New Roman" w:eastAsia="Times New Roman" w:hAnsi="Times New Roman" w:cs="Times New Roman"/>
                <w:color w:val="000000"/>
                <w:sz w:val="20"/>
                <w:szCs w:val="20"/>
              </w:rPr>
            </w:pPr>
          </w:p>
        </w:tc>
        <w:tc>
          <w:tcPr>
            <w:tcW w:w="1430" w:type="dxa"/>
            <w:tcBorders>
              <w:top w:val="nil"/>
              <w:left w:val="nil"/>
              <w:bottom w:val="single" w:sz="4" w:space="0" w:color="auto"/>
              <w:right w:val="nil"/>
            </w:tcBorders>
            <w:shd w:val="clear" w:color="auto" w:fill="auto"/>
            <w:vAlign w:val="center"/>
            <w:hideMark/>
          </w:tcPr>
          <w:p w14:paraId="6D726948"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10 Minutes within Lottery Winner</w:t>
            </w:r>
          </w:p>
        </w:tc>
        <w:tc>
          <w:tcPr>
            <w:tcW w:w="1350" w:type="dxa"/>
            <w:tcBorders>
              <w:top w:val="nil"/>
              <w:left w:val="nil"/>
              <w:bottom w:val="single" w:sz="4" w:space="0" w:color="auto"/>
              <w:right w:val="nil"/>
            </w:tcBorders>
            <w:shd w:val="clear" w:color="auto" w:fill="auto"/>
            <w:vAlign w:val="center"/>
            <w:hideMark/>
          </w:tcPr>
          <w:p w14:paraId="593DDEA6"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10 Minutes within Lottery Loser</w:t>
            </w:r>
          </w:p>
        </w:tc>
        <w:tc>
          <w:tcPr>
            <w:tcW w:w="1071" w:type="dxa"/>
            <w:tcBorders>
              <w:top w:val="nil"/>
              <w:left w:val="nil"/>
              <w:bottom w:val="single" w:sz="4" w:space="0" w:color="auto"/>
              <w:right w:val="nil"/>
            </w:tcBorders>
            <w:shd w:val="clear" w:color="auto" w:fill="auto"/>
            <w:noWrap/>
            <w:vAlign w:val="center"/>
            <w:hideMark/>
          </w:tcPr>
          <w:p w14:paraId="35936AEF"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Difference</w:t>
            </w:r>
          </w:p>
        </w:tc>
        <w:tc>
          <w:tcPr>
            <w:tcW w:w="1269" w:type="dxa"/>
            <w:tcBorders>
              <w:top w:val="nil"/>
              <w:left w:val="nil"/>
              <w:bottom w:val="single" w:sz="4" w:space="0" w:color="auto"/>
              <w:right w:val="nil"/>
            </w:tcBorders>
            <w:shd w:val="clear" w:color="auto" w:fill="auto"/>
            <w:vAlign w:val="center"/>
            <w:hideMark/>
          </w:tcPr>
          <w:p w14:paraId="737A2A7D"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Two-Sided P-Value</w:t>
            </w:r>
          </w:p>
        </w:tc>
      </w:tr>
      <w:tr w:rsidR="00046B41" w:rsidRPr="00046B41" w14:paraId="4BA46361"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5A972198" w14:textId="77777777" w:rsidR="00046B41" w:rsidRPr="00046B41" w:rsidRDefault="00046B41" w:rsidP="00046B41">
            <w:pPr>
              <w:spacing w:after="0" w:line="240" w:lineRule="auto"/>
              <w:rPr>
                <w:rFonts w:ascii="Times New Roman" w:eastAsia="Times New Roman" w:hAnsi="Times New Roman" w:cs="Times New Roman"/>
                <w:i/>
                <w:iCs/>
                <w:color w:val="000000"/>
                <w:sz w:val="20"/>
                <w:szCs w:val="20"/>
              </w:rPr>
            </w:pPr>
            <w:r w:rsidRPr="00046B41">
              <w:rPr>
                <w:rFonts w:ascii="Times New Roman" w:eastAsia="Times New Roman" w:hAnsi="Times New Roman" w:cs="Times New Roman"/>
                <w:i/>
                <w:iCs/>
                <w:color w:val="000000"/>
                <w:sz w:val="20"/>
                <w:szCs w:val="20"/>
              </w:rPr>
              <w:t>Panel A: School Characteristics</w:t>
            </w:r>
          </w:p>
        </w:tc>
        <w:tc>
          <w:tcPr>
            <w:tcW w:w="1430" w:type="dxa"/>
            <w:tcBorders>
              <w:top w:val="nil"/>
              <w:left w:val="nil"/>
              <w:bottom w:val="nil"/>
              <w:right w:val="nil"/>
            </w:tcBorders>
            <w:shd w:val="clear" w:color="auto" w:fill="auto"/>
            <w:noWrap/>
            <w:vAlign w:val="bottom"/>
            <w:hideMark/>
          </w:tcPr>
          <w:p w14:paraId="72F0B4E8" w14:textId="77777777" w:rsidR="00046B41" w:rsidRPr="00046B41" w:rsidRDefault="00046B41" w:rsidP="00046B41">
            <w:pPr>
              <w:spacing w:after="0" w:line="240" w:lineRule="auto"/>
              <w:rPr>
                <w:rFonts w:ascii="Times New Roman" w:eastAsia="Times New Roman" w:hAnsi="Times New Roman" w:cs="Times New Roman"/>
                <w:i/>
                <w:iCs/>
                <w:color w:val="000000"/>
                <w:sz w:val="20"/>
                <w:szCs w:val="20"/>
              </w:rPr>
            </w:pPr>
          </w:p>
        </w:tc>
        <w:tc>
          <w:tcPr>
            <w:tcW w:w="1350" w:type="dxa"/>
            <w:tcBorders>
              <w:top w:val="nil"/>
              <w:left w:val="nil"/>
              <w:bottom w:val="nil"/>
              <w:right w:val="nil"/>
            </w:tcBorders>
            <w:shd w:val="clear" w:color="auto" w:fill="auto"/>
            <w:noWrap/>
            <w:vAlign w:val="bottom"/>
            <w:hideMark/>
          </w:tcPr>
          <w:p w14:paraId="17592FAE" w14:textId="77777777" w:rsidR="00046B41" w:rsidRPr="00046B41" w:rsidRDefault="00046B41" w:rsidP="00046B41">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5386E261" w14:textId="77777777" w:rsidR="00046B41" w:rsidRPr="00046B41" w:rsidRDefault="00046B41" w:rsidP="00046B41">
            <w:pPr>
              <w:spacing w:after="0" w:line="240" w:lineRule="auto"/>
              <w:rPr>
                <w:rFonts w:ascii="Times New Roman" w:eastAsia="Times New Roman" w:hAnsi="Times New Roman" w:cs="Times New Roman"/>
                <w:sz w:val="20"/>
                <w:szCs w:val="20"/>
              </w:rPr>
            </w:pPr>
          </w:p>
        </w:tc>
        <w:tc>
          <w:tcPr>
            <w:tcW w:w="1269" w:type="dxa"/>
            <w:tcBorders>
              <w:top w:val="nil"/>
              <w:left w:val="nil"/>
              <w:bottom w:val="nil"/>
              <w:right w:val="nil"/>
            </w:tcBorders>
            <w:shd w:val="clear" w:color="auto" w:fill="auto"/>
            <w:noWrap/>
            <w:vAlign w:val="bottom"/>
            <w:hideMark/>
          </w:tcPr>
          <w:p w14:paraId="78A7779B" w14:textId="77777777" w:rsidR="00046B41" w:rsidRPr="00046B41" w:rsidRDefault="00046B41" w:rsidP="00046B41">
            <w:pPr>
              <w:spacing w:after="0" w:line="240" w:lineRule="auto"/>
              <w:rPr>
                <w:rFonts w:ascii="Times New Roman" w:eastAsia="Times New Roman" w:hAnsi="Times New Roman" w:cs="Times New Roman"/>
                <w:sz w:val="20"/>
                <w:szCs w:val="20"/>
              </w:rPr>
            </w:pPr>
          </w:p>
        </w:tc>
      </w:tr>
      <w:tr w:rsidR="00046B41" w:rsidRPr="00046B41" w14:paraId="0E348F92"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7C8553A1"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FRPL</w:t>
            </w:r>
          </w:p>
        </w:tc>
        <w:tc>
          <w:tcPr>
            <w:tcW w:w="1430" w:type="dxa"/>
            <w:tcBorders>
              <w:top w:val="nil"/>
              <w:left w:val="nil"/>
              <w:bottom w:val="nil"/>
              <w:right w:val="nil"/>
            </w:tcBorders>
            <w:shd w:val="clear" w:color="auto" w:fill="auto"/>
            <w:noWrap/>
            <w:vAlign w:val="bottom"/>
            <w:hideMark/>
          </w:tcPr>
          <w:p w14:paraId="21E64E10"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0.42</w:t>
            </w:r>
          </w:p>
        </w:tc>
        <w:tc>
          <w:tcPr>
            <w:tcW w:w="1350" w:type="dxa"/>
            <w:tcBorders>
              <w:top w:val="nil"/>
              <w:left w:val="nil"/>
              <w:bottom w:val="nil"/>
              <w:right w:val="nil"/>
            </w:tcBorders>
            <w:shd w:val="clear" w:color="auto" w:fill="auto"/>
            <w:noWrap/>
            <w:vAlign w:val="bottom"/>
            <w:hideMark/>
          </w:tcPr>
          <w:p w14:paraId="1B4D77FC"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0.46</w:t>
            </w:r>
          </w:p>
        </w:tc>
        <w:tc>
          <w:tcPr>
            <w:tcW w:w="1071" w:type="dxa"/>
            <w:tcBorders>
              <w:top w:val="nil"/>
              <w:left w:val="nil"/>
              <w:bottom w:val="nil"/>
              <w:right w:val="nil"/>
            </w:tcBorders>
            <w:shd w:val="clear" w:color="auto" w:fill="auto"/>
            <w:noWrap/>
            <w:vAlign w:val="bottom"/>
            <w:hideMark/>
          </w:tcPr>
          <w:p w14:paraId="0600AC8F"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-0.04</w:t>
            </w:r>
          </w:p>
        </w:tc>
        <w:tc>
          <w:tcPr>
            <w:tcW w:w="1269" w:type="dxa"/>
            <w:tcBorders>
              <w:top w:val="nil"/>
              <w:left w:val="nil"/>
              <w:bottom w:val="nil"/>
              <w:right w:val="nil"/>
            </w:tcBorders>
            <w:shd w:val="clear" w:color="auto" w:fill="auto"/>
            <w:noWrap/>
            <w:vAlign w:val="bottom"/>
            <w:hideMark/>
          </w:tcPr>
          <w:p w14:paraId="62E88B4A"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0.11</w:t>
            </w:r>
          </w:p>
        </w:tc>
      </w:tr>
      <w:tr w:rsidR="00046B41" w:rsidRPr="00046B41" w14:paraId="76484307"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117486EB"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Black</w:t>
            </w:r>
          </w:p>
        </w:tc>
        <w:tc>
          <w:tcPr>
            <w:tcW w:w="1430" w:type="dxa"/>
            <w:tcBorders>
              <w:top w:val="nil"/>
              <w:left w:val="nil"/>
              <w:bottom w:val="nil"/>
              <w:right w:val="nil"/>
            </w:tcBorders>
            <w:shd w:val="clear" w:color="auto" w:fill="auto"/>
            <w:noWrap/>
            <w:vAlign w:val="bottom"/>
            <w:hideMark/>
          </w:tcPr>
          <w:p w14:paraId="3E68A5A9"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0.06</w:t>
            </w:r>
          </w:p>
        </w:tc>
        <w:tc>
          <w:tcPr>
            <w:tcW w:w="1350" w:type="dxa"/>
            <w:tcBorders>
              <w:top w:val="nil"/>
              <w:left w:val="nil"/>
              <w:bottom w:val="nil"/>
              <w:right w:val="nil"/>
            </w:tcBorders>
            <w:shd w:val="clear" w:color="auto" w:fill="auto"/>
            <w:noWrap/>
            <w:vAlign w:val="bottom"/>
            <w:hideMark/>
          </w:tcPr>
          <w:p w14:paraId="4FA81863"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0.04</w:t>
            </w:r>
          </w:p>
        </w:tc>
        <w:tc>
          <w:tcPr>
            <w:tcW w:w="1071" w:type="dxa"/>
            <w:tcBorders>
              <w:top w:val="nil"/>
              <w:left w:val="nil"/>
              <w:bottom w:val="nil"/>
              <w:right w:val="nil"/>
            </w:tcBorders>
            <w:shd w:val="clear" w:color="auto" w:fill="auto"/>
            <w:noWrap/>
            <w:vAlign w:val="bottom"/>
            <w:hideMark/>
          </w:tcPr>
          <w:p w14:paraId="7EBC7F8D"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0.02</w:t>
            </w:r>
          </w:p>
        </w:tc>
        <w:tc>
          <w:tcPr>
            <w:tcW w:w="1269" w:type="dxa"/>
            <w:tcBorders>
              <w:top w:val="nil"/>
              <w:left w:val="nil"/>
              <w:bottom w:val="nil"/>
              <w:right w:val="nil"/>
            </w:tcBorders>
            <w:shd w:val="clear" w:color="auto" w:fill="auto"/>
            <w:noWrap/>
            <w:vAlign w:val="bottom"/>
            <w:hideMark/>
          </w:tcPr>
          <w:p w14:paraId="20765284"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0.01</w:t>
            </w:r>
          </w:p>
        </w:tc>
      </w:tr>
      <w:tr w:rsidR="00046B41" w:rsidRPr="00046B41" w14:paraId="561AD9C9"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4D4062C5"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Hispanic</w:t>
            </w:r>
          </w:p>
        </w:tc>
        <w:tc>
          <w:tcPr>
            <w:tcW w:w="1430" w:type="dxa"/>
            <w:tcBorders>
              <w:top w:val="nil"/>
              <w:left w:val="nil"/>
              <w:bottom w:val="nil"/>
              <w:right w:val="nil"/>
            </w:tcBorders>
            <w:shd w:val="clear" w:color="auto" w:fill="auto"/>
            <w:noWrap/>
            <w:vAlign w:val="bottom"/>
            <w:hideMark/>
          </w:tcPr>
          <w:p w14:paraId="3A1A09E4"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0.16</w:t>
            </w:r>
          </w:p>
        </w:tc>
        <w:tc>
          <w:tcPr>
            <w:tcW w:w="1350" w:type="dxa"/>
            <w:tcBorders>
              <w:top w:val="nil"/>
              <w:left w:val="nil"/>
              <w:bottom w:val="nil"/>
              <w:right w:val="nil"/>
            </w:tcBorders>
            <w:shd w:val="clear" w:color="auto" w:fill="auto"/>
            <w:noWrap/>
            <w:vAlign w:val="bottom"/>
            <w:hideMark/>
          </w:tcPr>
          <w:p w14:paraId="13FA4001"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0.22</w:t>
            </w:r>
          </w:p>
        </w:tc>
        <w:tc>
          <w:tcPr>
            <w:tcW w:w="1071" w:type="dxa"/>
            <w:tcBorders>
              <w:top w:val="nil"/>
              <w:left w:val="nil"/>
              <w:bottom w:val="nil"/>
              <w:right w:val="nil"/>
            </w:tcBorders>
            <w:shd w:val="clear" w:color="auto" w:fill="auto"/>
            <w:noWrap/>
            <w:vAlign w:val="bottom"/>
            <w:hideMark/>
          </w:tcPr>
          <w:p w14:paraId="0276277B"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-0.06</w:t>
            </w:r>
          </w:p>
        </w:tc>
        <w:tc>
          <w:tcPr>
            <w:tcW w:w="1269" w:type="dxa"/>
            <w:tcBorders>
              <w:top w:val="nil"/>
              <w:left w:val="nil"/>
              <w:bottom w:val="nil"/>
              <w:right w:val="nil"/>
            </w:tcBorders>
            <w:shd w:val="clear" w:color="auto" w:fill="auto"/>
            <w:noWrap/>
            <w:vAlign w:val="bottom"/>
            <w:hideMark/>
          </w:tcPr>
          <w:p w14:paraId="09D5473E"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0.0004</w:t>
            </w:r>
          </w:p>
        </w:tc>
      </w:tr>
      <w:tr w:rsidR="00046B41" w:rsidRPr="00046B41" w14:paraId="7E01EEFE"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5F21D0B2"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Asian</w:t>
            </w:r>
          </w:p>
        </w:tc>
        <w:tc>
          <w:tcPr>
            <w:tcW w:w="1430" w:type="dxa"/>
            <w:tcBorders>
              <w:top w:val="nil"/>
              <w:left w:val="nil"/>
              <w:bottom w:val="nil"/>
              <w:right w:val="nil"/>
            </w:tcBorders>
            <w:shd w:val="clear" w:color="auto" w:fill="auto"/>
            <w:noWrap/>
            <w:vAlign w:val="bottom"/>
            <w:hideMark/>
          </w:tcPr>
          <w:p w14:paraId="2F5021AB"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0.08</w:t>
            </w:r>
          </w:p>
        </w:tc>
        <w:tc>
          <w:tcPr>
            <w:tcW w:w="1350" w:type="dxa"/>
            <w:tcBorders>
              <w:top w:val="nil"/>
              <w:left w:val="nil"/>
              <w:bottom w:val="nil"/>
              <w:right w:val="nil"/>
            </w:tcBorders>
            <w:shd w:val="clear" w:color="auto" w:fill="auto"/>
            <w:noWrap/>
            <w:vAlign w:val="bottom"/>
            <w:hideMark/>
          </w:tcPr>
          <w:p w14:paraId="30287144"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0.08</w:t>
            </w:r>
          </w:p>
        </w:tc>
        <w:tc>
          <w:tcPr>
            <w:tcW w:w="1071" w:type="dxa"/>
            <w:tcBorders>
              <w:top w:val="nil"/>
              <w:left w:val="nil"/>
              <w:bottom w:val="nil"/>
              <w:right w:val="nil"/>
            </w:tcBorders>
            <w:shd w:val="clear" w:color="auto" w:fill="auto"/>
            <w:noWrap/>
            <w:vAlign w:val="bottom"/>
            <w:hideMark/>
          </w:tcPr>
          <w:p w14:paraId="1A8E16DF"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w:t>
            </w:r>
          </w:p>
        </w:tc>
        <w:tc>
          <w:tcPr>
            <w:tcW w:w="1269" w:type="dxa"/>
            <w:tcBorders>
              <w:top w:val="nil"/>
              <w:left w:val="nil"/>
              <w:bottom w:val="nil"/>
              <w:right w:val="nil"/>
            </w:tcBorders>
            <w:shd w:val="clear" w:color="auto" w:fill="auto"/>
            <w:noWrap/>
            <w:vAlign w:val="bottom"/>
            <w:hideMark/>
          </w:tcPr>
          <w:p w14:paraId="58102255"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0.95</w:t>
            </w:r>
          </w:p>
        </w:tc>
      </w:tr>
      <w:tr w:rsidR="00046B41" w:rsidRPr="00046B41" w14:paraId="118171D1"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2B3A777E"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City</w:t>
            </w:r>
          </w:p>
        </w:tc>
        <w:tc>
          <w:tcPr>
            <w:tcW w:w="1430" w:type="dxa"/>
            <w:tcBorders>
              <w:top w:val="nil"/>
              <w:left w:val="nil"/>
              <w:bottom w:val="nil"/>
              <w:right w:val="nil"/>
            </w:tcBorders>
            <w:shd w:val="clear" w:color="auto" w:fill="auto"/>
            <w:noWrap/>
            <w:vAlign w:val="bottom"/>
            <w:hideMark/>
          </w:tcPr>
          <w:p w14:paraId="7D06E1EE"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0.34</w:t>
            </w:r>
          </w:p>
        </w:tc>
        <w:tc>
          <w:tcPr>
            <w:tcW w:w="1350" w:type="dxa"/>
            <w:tcBorders>
              <w:top w:val="nil"/>
              <w:left w:val="nil"/>
              <w:bottom w:val="nil"/>
              <w:right w:val="nil"/>
            </w:tcBorders>
            <w:shd w:val="clear" w:color="auto" w:fill="auto"/>
            <w:noWrap/>
            <w:vAlign w:val="bottom"/>
            <w:hideMark/>
          </w:tcPr>
          <w:p w14:paraId="0C165A68"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0.2</w:t>
            </w:r>
          </w:p>
        </w:tc>
        <w:tc>
          <w:tcPr>
            <w:tcW w:w="1071" w:type="dxa"/>
            <w:tcBorders>
              <w:top w:val="nil"/>
              <w:left w:val="nil"/>
              <w:bottom w:val="nil"/>
              <w:right w:val="nil"/>
            </w:tcBorders>
            <w:shd w:val="clear" w:color="auto" w:fill="auto"/>
            <w:noWrap/>
            <w:vAlign w:val="bottom"/>
            <w:hideMark/>
          </w:tcPr>
          <w:p w14:paraId="5096ED78"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0.14</w:t>
            </w:r>
          </w:p>
        </w:tc>
        <w:tc>
          <w:tcPr>
            <w:tcW w:w="1269" w:type="dxa"/>
            <w:tcBorders>
              <w:top w:val="nil"/>
              <w:left w:val="nil"/>
              <w:bottom w:val="nil"/>
              <w:right w:val="nil"/>
            </w:tcBorders>
            <w:shd w:val="clear" w:color="auto" w:fill="auto"/>
            <w:noWrap/>
            <w:vAlign w:val="bottom"/>
            <w:hideMark/>
          </w:tcPr>
          <w:p w14:paraId="4920FC72"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0.004</w:t>
            </w:r>
          </w:p>
        </w:tc>
      </w:tr>
      <w:tr w:rsidR="00046B41" w:rsidRPr="00046B41" w14:paraId="562B4E21"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2DF80E95"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Suburb</w:t>
            </w:r>
          </w:p>
        </w:tc>
        <w:tc>
          <w:tcPr>
            <w:tcW w:w="1430" w:type="dxa"/>
            <w:tcBorders>
              <w:top w:val="nil"/>
              <w:left w:val="nil"/>
              <w:bottom w:val="nil"/>
              <w:right w:val="nil"/>
            </w:tcBorders>
            <w:shd w:val="clear" w:color="auto" w:fill="auto"/>
            <w:noWrap/>
            <w:vAlign w:val="bottom"/>
            <w:hideMark/>
          </w:tcPr>
          <w:p w14:paraId="205431B0"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0.41</w:t>
            </w:r>
          </w:p>
        </w:tc>
        <w:tc>
          <w:tcPr>
            <w:tcW w:w="1350" w:type="dxa"/>
            <w:tcBorders>
              <w:top w:val="nil"/>
              <w:left w:val="nil"/>
              <w:bottom w:val="nil"/>
              <w:right w:val="nil"/>
            </w:tcBorders>
            <w:shd w:val="clear" w:color="auto" w:fill="auto"/>
            <w:noWrap/>
            <w:vAlign w:val="bottom"/>
            <w:hideMark/>
          </w:tcPr>
          <w:p w14:paraId="5902F252"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0.36</w:t>
            </w:r>
          </w:p>
        </w:tc>
        <w:tc>
          <w:tcPr>
            <w:tcW w:w="1071" w:type="dxa"/>
            <w:tcBorders>
              <w:top w:val="nil"/>
              <w:left w:val="nil"/>
              <w:bottom w:val="nil"/>
              <w:right w:val="nil"/>
            </w:tcBorders>
            <w:shd w:val="clear" w:color="auto" w:fill="auto"/>
            <w:noWrap/>
            <w:vAlign w:val="bottom"/>
            <w:hideMark/>
          </w:tcPr>
          <w:p w14:paraId="61171545"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0.05</w:t>
            </w:r>
          </w:p>
        </w:tc>
        <w:tc>
          <w:tcPr>
            <w:tcW w:w="1269" w:type="dxa"/>
            <w:tcBorders>
              <w:top w:val="nil"/>
              <w:left w:val="nil"/>
              <w:bottom w:val="nil"/>
              <w:right w:val="nil"/>
            </w:tcBorders>
            <w:shd w:val="clear" w:color="auto" w:fill="auto"/>
            <w:noWrap/>
            <w:vAlign w:val="bottom"/>
            <w:hideMark/>
          </w:tcPr>
          <w:p w14:paraId="4D97DDF8"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0.29</w:t>
            </w:r>
          </w:p>
        </w:tc>
      </w:tr>
      <w:tr w:rsidR="00046B41" w:rsidRPr="00046B41" w14:paraId="6206BE0E"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56613C6D"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Town</w:t>
            </w:r>
          </w:p>
        </w:tc>
        <w:tc>
          <w:tcPr>
            <w:tcW w:w="1430" w:type="dxa"/>
            <w:tcBorders>
              <w:top w:val="nil"/>
              <w:left w:val="nil"/>
              <w:bottom w:val="nil"/>
              <w:right w:val="nil"/>
            </w:tcBorders>
            <w:shd w:val="clear" w:color="auto" w:fill="auto"/>
            <w:noWrap/>
            <w:vAlign w:val="bottom"/>
            <w:hideMark/>
          </w:tcPr>
          <w:p w14:paraId="6B5805C6"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0.13</w:t>
            </w:r>
          </w:p>
        </w:tc>
        <w:tc>
          <w:tcPr>
            <w:tcW w:w="1350" w:type="dxa"/>
            <w:tcBorders>
              <w:top w:val="nil"/>
              <w:left w:val="nil"/>
              <w:bottom w:val="nil"/>
              <w:right w:val="nil"/>
            </w:tcBorders>
            <w:shd w:val="clear" w:color="auto" w:fill="auto"/>
            <w:noWrap/>
            <w:vAlign w:val="bottom"/>
            <w:hideMark/>
          </w:tcPr>
          <w:p w14:paraId="2AE27784"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0.18</w:t>
            </w:r>
          </w:p>
        </w:tc>
        <w:tc>
          <w:tcPr>
            <w:tcW w:w="1071" w:type="dxa"/>
            <w:tcBorders>
              <w:top w:val="nil"/>
              <w:left w:val="nil"/>
              <w:bottom w:val="nil"/>
              <w:right w:val="nil"/>
            </w:tcBorders>
            <w:shd w:val="clear" w:color="auto" w:fill="auto"/>
            <w:noWrap/>
            <w:vAlign w:val="bottom"/>
            <w:hideMark/>
          </w:tcPr>
          <w:p w14:paraId="4D0FBCB9"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-0.05</w:t>
            </w:r>
          </w:p>
        </w:tc>
        <w:tc>
          <w:tcPr>
            <w:tcW w:w="1269" w:type="dxa"/>
            <w:tcBorders>
              <w:top w:val="nil"/>
              <w:left w:val="nil"/>
              <w:bottom w:val="nil"/>
              <w:right w:val="nil"/>
            </w:tcBorders>
            <w:shd w:val="clear" w:color="auto" w:fill="auto"/>
            <w:noWrap/>
            <w:vAlign w:val="bottom"/>
            <w:hideMark/>
          </w:tcPr>
          <w:p w14:paraId="6FC7E0C4"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0.12</w:t>
            </w:r>
          </w:p>
        </w:tc>
      </w:tr>
      <w:tr w:rsidR="00046B41" w:rsidRPr="00046B41" w14:paraId="2BF8F988"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37B60CDB"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Rural</w:t>
            </w:r>
          </w:p>
        </w:tc>
        <w:tc>
          <w:tcPr>
            <w:tcW w:w="1430" w:type="dxa"/>
            <w:tcBorders>
              <w:top w:val="nil"/>
              <w:left w:val="nil"/>
              <w:bottom w:val="nil"/>
              <w:right w:val="nil"/>
            </w:tcBorders>
            <w:shd w:val="clear" w:color="auto" w:fill="auto"/>
            <w:noWrap/>
            <w:vAlign w:val="bottom"/>
            <w:hideMark/>
          </w:tcPr>
          <w:p w14:paraId="5E180B5E"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0.12</w:t>
            </w:r>
          </w:p>
        </w:tc>
        <w:tc>
          <w:tcPr>
            <w:tcW w:w="1350" w:type="dxa"/>
            <w:tcBorders>
              <w:top w:val="nil"/>
              <w:left w:val="nil"/>
              <w:bottom w:val="nil"/>
              <w:right w:val="nil"/>
            </w:tcBorders>
            <w:shd w:val="clear" w:color="auto" w:fill="auto"/>
            <w:noWrap/>
            <w:vAlign w:val="bottom"/>
            <w:hideMark/>
          </w:tcPr>
          <w:p w14:paraId="5B78FEDF"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0.25</w:t>
            </w:r>
          </w:p>
        </w:tc>
        <w:tc>
          <w:tcPr>
            <w:tcW w:w="1071" w:type="dxa"/>
            <w:tcBorders>
              <w:top w:val="nil"/>
              <w:left w:val="nil"/>
              <w:bottom w:val="nil"/>
              <w:right w:val="nil"/>
            </w:tcBorders>
            <w:shd w:val="clear" w:color="auto" w:fill="auto"/>
            <w:noWrap/>
            <w:vAlign w:val="bottom"/>
            <w:hideMark/>
          </w:tcPr>
          <w:p w14:paraId="4BD6962A"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-0.13</w:t>
            </w:r>
          </w:p>
        </w:tc>
        <w:tc>
          <w:tcPr>
            <w:tcW w:w="1269" w:type="dxa"/>
            <w:tcBorders>
              <w:top w:val="nil"/>
              <w:left w:val="nil"/>
              <w:bottom w:val="nil"/>
              <w:right w:val="nil"/>
            </w:tcBorders>
            <w:shd w:val="clear" w:color="auto" w:fill="auto"/>
            <w:noWrap/>
            <w:vAlign w:val="bottom"/>
            <w:hideMark/>
          </w:tcPr>
          <w:p w14:paraId="024BAB58"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0.0001</w:t>
            </w:r>
          </w:p>
        </w:tc>
      </w:tr>
      <w:tr w:rsidR="00046B41" w:rsidRPr="00046B41" w14:paraId="2297D948"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0989907B"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p>
        </w:tc>
        <w:tc>
          <w:tcPr>
            <w:tcW w:w="1430" w:type="dxa"/>
            <w:tcBorders>
              <w:top w:val="nil"/>
              <w:left w:val="nil"/>
              <w:bottom w:val="nil"/>
              <w:right w:val="nil"/>
            </w:tcBorders>
            <w:shd w:val="clear" w:color="auto" w:fill="auto"/>
            <w:noWrap/>
            <w:vAlign w:val="bottom"/>
            <w:hideMark/>
          </w:tcPr>
          <w:p w14:paraId="7D788064" w14:textId="77777777" w:rsidR="00046B41" w:rsidRPr="00046B41" w:rsidRDefault="00046B41" w:rsidP="00046B41">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12E287FF" w14:textId="77777777" w:rsidR="00046B41" w:rsidRPr="00046B41" w:rsidRDefault="00046B41" w:rsidP="00046B41">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17880B4B" w14:textId="77777777" w:rsidR="00046B41" w:rsidRPr="00046B41" w:rsidRDefault="00046B41" w:rsidP="00046B41">
            <w:pPr>
              <w:spacing w:after="0" w:line="240" w:lineRule="auto"/>
              <w:rPr>
                <w:rFonts w:ascii="Times New Roman" w:eastAsia="Times New Roman" w:hAnsi="Times New Roman" w:cs="Times New Roman"/>
                <w:sz w:val="20"/>
                <w:szCs w:val="20"/>
              </w:rPr>
            </w:pPr>
          </w:p>
        </w:tc>
        <w:tc>
          <w:tcPr>
            <w:tcW w:w="1269" w:type="dxa"/>
            <w:tcBorders>
              <w:top w:val="nil"/>
              <w:left w:val="nil"/>
              <w:bottom w:val="nil"/>
              <w:right w:val="nil"/>
            </w:tcBorders>
            <w:shd w:val="clear" w:color="auto" w:fill="auto"/>
            <w:noWrap/>
            <w:vAlign w:val="bottom"/>
            <w:hideMark/>
          </w:tcPr>
          <w:p w14:paraId="592604ED" w14:textId="77777777" w:rsidR="00046B41" w:rsidRPr="00046B41" w:rsidRDefault="00046B41" w:rsidP="00046B41">
            <w:pPr>
              <w:spacing w:after="0" w:line="240" w:lineRule="auto"/>
              <w:rPr>
                <w:rFonts w:ascii="Times New Roman" w:eastAsia="Times New Roman" w:hAnsi="Times New Roman" w:cs="Times New Roman"/>
                <w:sz w:val="20"/>
                <w:szCs w:val="20"/>
              </w:rPr>
            </w:pPr>
          </w:p>
        </w:tc>
      </w:tr>
      <w:tr w:rsidR="00046B41" w:rsidRPr="00046B41" w14:paraId="56DB17D2"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36776930" w14:textId="77777777" w:rsidR="00046B41" w:rsidRPr="00046B41" w:rsidRDefault="00046B41" w:rsidP="00046B41">
            <w:pPr>
              <w:spacing w:after="0" w:line="240" w:lineRule="auto"/>
              <w:rPr>
                <w:rFonts w:ascii="Times New Roman" w:eastAsia="Times New Roman" w:hAnsi="Times New Roman" w:cs="Times New Roman"/>
                <w:i/>
                <w:iCs/>
                <w:color w:val="000000"/>
                <w:sz w:val="20"/>
                <w:szCs w:val="20"/>
              </w:rPr>
            </w:pPr>
            <w:r w:rsidRPr="00046B41">
              <w:rPr>
                <w:rFonts w:ascii="Times New Roman" w:eastAsia="Times New Roman" w:hAnsi="Times New Roman" w:cs="Times New Roman"/>
                <w:i/>
                <w:iCs/>
                <w:color w:val="000000"/>
                <w:sz w:val="20"/>
                <w:szCs w:val="20"/>
              </w:rPr>
              <w:t>Panel B: School Outcomes</w:t>
            </w:r>
          </w:p>
        </w:tc>
        <w:tc>
          <w:tcPr>
            <w:tcW w:w="1430" w:type="dxa"/>
            <w:tcBorders>
              <w:top w:val="nil"/>
              <w:left w:val="nil"/>
              <w:bottom w:val="nil"/>
              <w:right w:val="nil"/>
            </w:tcBorders>
            <w:shd w:val="clear" w:color="auto" w:fill="auto"/>
            <w:noWrap/>
            <w:vAlign w:val="bottom"/>
            <w:hideMark/>
          </w:tcPr>
          <w:p w14:paraId="1E0B1B99" w14:textId="77777777" w:rsidR="00046B41" w:rsidRPr="00046B41" w:rsidRDefault="00046B41" w:rsidP="00046B41">
            <w:pPr>
              <w:spacing w:after="0" w:line="240" w:lineRule="auto"/>
              <w:rPr>
                <w:rFonts w:ascii="Times New Roman" w:eastAsia="Times New Roman" w:hAnsi="Times New Roman" w:cs="Times New Roman"/>
                <w:i/>
                <w:iCs/>
                <w:color w:val="000000"/>
                <w:sz w:val="20"/>
                <w:szCs w:val="20"/>
              </w:rPr>
            </w:pPr>
          </w:p>
        </w:tc>
        <w:tc>
          <w:tcPr>
            <w:tcW w:w="1350" w:type="dxa"/>
            <w:tcBorders>
              <w:top w:val="nil"/>
              <w:left w:val="nil"/>
              <w:bottom w:val="nil"/>
              <w:right w:val="nil"/>
            </w:tcBorders>
            <w:shd w:val="clear" w:color="auto" w:fill="auto"/>
            <w:noWrap/>
            <w:vAlign w:val="bottom"/>
            <w:hideMark/>
          </w:tcPr>
          <w:p w14:paraId="2B2E8929" w14:textId="77777777" w:rsidR="00046B41" w:rsidRPr="00046B41" w:rsidRDefault="00046B41" w:rsidP="00046B41">
            <w:pPr>
              <w:spacing w:after="0" w:line="240" w:lineRule="auto"/>
              <w:jc w:val="center"/>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3350B5CC" w14:textId="77777777" w:rsidR="00046B41" w:rsidRPr="00046B41" w:rsidRDefault="00046B41" w:rsidP="00046B41">
            <w:pPr>
              <w:spacing w:after="0" w:line="240" w:lineRule="auto"/>
              <w:jc w:val="center"/>
              <w:rPr>
                <w:rFonts w:ascii="Times New Roman" w:eastAsia="Times New Roman" w:hAnsi="Times New Roman" w:cs="Times New Roman"/>
                <w:sz w:val="20"/>
                <w:szCs w:val="20"/>
              </w:rPr>
            </w:pPr>
          </w:p>
        </w:tc>
        <w:tc>
          <w:tcPr>
            <w:tcW w:w="1269" w:type="dxa"/>
            <w:tcBorders>
              <w:top w:val="nil"/>
              <w:left w:val="nil"/>
              <w:bottom w:val="nil"/>
              <w:right w:val="nil"/>
            </w:tcBorders>
            <w:shd w:val="clear" w:color="auto" w:fill="auto"/>
            <w:noWrap/>
            <w:vAlign w:val="bottom"/>
            <w:hideMark/>
          </w:tcPr>
          <w:p w14:paraId="3A5B2D06" w14:textId="77777777" w:rsidR="00046B41" w:rsidRPr="00046B41" w:rsidRDefault="00046B41" w:rsidP="00046B41">
            <w:pPr>
              <w:spacing w:after="0" w:line="240" w:lineRule="auto"/>
              <w:jc w:val="center"/>
              <w:rPr>
                <w:rFonts w:ascii="Times New Roman" w:eastAsia="Times New Roman" w:hAnsi="Times New Roman" w:cs="Times New Roman"/>
                <w:sz w:val="20"/>
                <w:szCs w:val="20"/>
              </w:rPr>
            </w:pPr>
          </w:p>
        </w:tc>
      </w:tr>
      <w:tr w:rsidR="00046B41" w:rsidRPr="00046B41" w14:paraId="75D98742"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2E2DA88F"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Dropout 11th Female</w:t>
            </w:r>
          </w:p>
        </w:tc>
        <w:tc>
          <w:tcPr>
            <w:tcW w:w="1430" w:type="dxa"/>
            <w:tcBorders>
              <w:top w:val="nil"/>
              <w:left w:val="nil"/>
              <w:bottom w:val="nil"/>
              <w:right w:val="nil"/>
            </w:tcBorders>
            <w:shd w:val="clear" w:color="auto" w:fill="auto"/>
            <w:noWrap/>
            <w:vAlign w:val="bottom"/>
            <w:hideMark/>
          </w:tcPr>
          <w:p w14:paraId="28A8448D"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0.02</w:t>
            </w:r>
          </w:p>
        </w:tc>
        <w:tc>
          <w:tcPr>
            <w:tcW w:w="1350" w:type="dxa"/>
            <w:tcBorders>
              <w:top w:val="nil"/>
              <w:left w:val="nil"/>
              <w:bottom w:val="nil"/>
              <w:right w:val="nil"/>
            </w:tcBorders>
            <w:shd w:val="clear" w:color="auto" w:fill="auto"/>
            <w:noWrap/>
            <w:vAlign w:val="bottom"/>
            <w:hideMark/>
          </w:tcPr>
          <w:p w14:paraId="5A5A9D74"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0.02</w:t>
            </w:r>
          </w:p>
        </w:tc>
        <w:tc>
          <w:tcPr>
            <w:tcW w:w="1071" w:type="dxa"/>
            <w:tcBorders>
              <w:top w:val="nil"/>
              <w:left w:val="nil"/>
              <w:bottom w:val="nil"/>
              <w:right w:val="nil"/>
            </w:tcBorders>
            <w:shd w:val="clear" w:color="auto" w:fill="auto"/>
            <w:noWrap/>
            <w:vAlign w:val="bottom"/>
            <w:hideMark/>
          </w:tcPr>
          <w:p w14:paraId="615748E0"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0.00</w:t>
            </w:r>
          </w:p>
        </w:tc>
        <w:tc>
          <w:tcPr>
            <w:tcW w:w="1269" w:type="dxa"/>
            <w:tcBorders>
              <w:top w:val="nil"/>
              <w:left w:val="nil"/>
              <w:bottom w:val="nil"/>
              <w:right w:val="nil"/>
            </w:tcBorders>
            <w:shd w:val="clear" w:color="auto" w:fill="auto"/>
            <w:noWrap/>
            <w:vAlign w:val="bottom"/>
            <w:hideMark/>
          </w:tcPr>
          <w:p w14:paraId="6C939C21"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0.29</w:t>
            </w:r>
          </w:p>
        </w:tc>
      </w:tr>
      <w:tr w:rsidR="00046B41" w:rsidRPr="00046B41" w14:paraId="6A49B60A"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3526F71F"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Dropout 11th Male</w:t>
            </w:r>
          </w:p>
        </w:tc>
        <w:tc>
          <w:tcPr>
            <w:tcW w:w="1430" w:type="dxa"/>
            <w:tcBorders>
              <w:top w:val="nil"/>
              <w:left w:val="nil"/>
              <w:bottom w:val="nil"/>
              <w:right w:val="nil"/>
            </w:tcBorders>
            <w:shd w:val="clear" w:color="auto" w:fill="auto"/>
            <w:noWrap/>
            <w:vAlign w:val="bottom"/>
            <w:hideMark/>
          </w:tcPr>
          <w:p w14:paraId="32E33BC0"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0.03</w:t>
            </w:r>
          </w:p>
        </w:tc>
        <w:tc>
          <w:tcPr>
            <w:tcW w:w="1350" w:type="dxa"/>
            <w:tcBorders>
              <w:top w:val="nil"/>
              <w:left w:val="nil"/>
              <w:bottom w:val="nil"/>
              <w:right w:val="nil"/>
            </w:tcBorders>
            <w:shd w:val="clear" w:color="auto" w:fill="auto"/>
            <w:noWrap/>
            <w:vAlign w:val="bottom"/>
            <w:hideMark/>
          </w:tcPr>
          <w:p w14:paraId="52780645"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0.02</w:t>
            </w:r>
          </w:p>
        </w:tc>
        <w:tc>
          <w:tcPr>
            <w:tcW w:w="1071" w:type="dxa"/>
            <w:tcBorders>
              <w:top w:val="nil"/>
              <w:left w:val="nil"/>
              <w:bottom w:val="nil"/>
              <w:right w:val="nil"/>
            </w:tcBorders>
            <w:shd w:val="clear" w:color="auto" w:fill="auto"/>
            <w:noWrap/>
            <w:vAlign w:val="bottom"/>
            <w:hideMark/>
          </w:tcPr>
          <w:p w14:paraId="619576E1"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0.01</w:t>
            </w:r>
          </w:p>
        </w:tc>
        <w:tc>
          <w:tcPr>
            <w:tcW w:w="1269" w:type="dxa"/>
            <w:tcBorders>
              <w:top w:val="nil"/>
              <w:left w:val="nil"/>
              <w:bottom w:val="nil"/>
              <w:right w:val="nil"/>
            </w:tcBorders>
            <w:shd w:val="clear" w:color="auto" w:fill="auto"/>
            <w:noWrap/>
            <w:vAlign w:val="bottom"/>
            <w:hideMark/>
          </w:tcPr>
          <w:p w14:paraId="3DFE9292"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0.07</w:t>
            </w:r>
          </w:p>
        </w:tc>
      </w:tr>
      <w:tr w:rsidR="00046B41" w:rsidRPr="00046B41" w14:paraId="5FD673A2"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28D99705"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Dropout 12th Female</w:t>
            </w:r>
          </w:p>
        </w:tc>
        <w:tc>
          <w:tcPr>
            <w:tcW w:w="1430" w:type="dxa"/>
            <w:tcBorders>
              <w:top w:val="nil"/>
              <w:left w:val="nil"/>
              <w:bottom w:val="nil"/>
              <w:right w:val="nil"/>
            </w:tcBorders>
            <w:shd w:val="clear" w:color="auto" w:fill="auto"/>
            <w:noWrap/>
            <w:vAlign w:val="bottom"/>
            <w:hideMark/>
          </w:tcPr>
          <w:p w14:paraId="3E83582F"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0.05</w:t>
            </w:r>
          </w:p>
        </w:tc>
        <w:tc>
          <w:tcPr>
            <w:tcW w:w="1350" w:type="dxa"/>
            <w:tcBorders>
              <w:top w:val="nil"/>
              <w:left w:val="nil"/>
              <w:bottom w:val="nil"/>
              <w:right w:val="nil"/>
            </w:tcBorders>
            <w:shd w:val="clear" w:color="auto" w:fill="auto"/>
            <w:noWrap/>
            <w:vAlign w:val="bottom"/>
            <w:hideMark/>
          </w:tcPr>
          <w:p w14:paraId="4FDAD3D9"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0.04</w:t>
            </w:r>
          </w:p>
        </w:tc>
        <w:tc>
          <w:tcPr>
            <w:tcW w:w="1071" w:type="dxa"/>
            <w:tcBorders>
              <w:top w:val="nil"/>
              <w:left w:val="nil"/>
              <w:bottom w:val="nil"/>
              <w:right w:val="nil"/>
            </w:tcBorders>
            <w:shd w:val="clear" w:color="auto" w:fill="auto"/>
            <w:noWrap/>
            <w:vAlign w:val="bottom"/>
            <w:hideMark/>
          </w:tcPr>
          <w:p w14:paraId="18FDFE55"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0.01</w:t>
            </w:r>
          </w:p>
        </w:tc>
        <w:tc>
          <w:tcPr>
            <w:tcW w:w="1269" w:type="dxa"/>
            <w:tcBorders>
              <w:top w:val="nil"/>
              <w:left w:val="nil"/>
              <w:bottom w:val="nil"/>
              <w:right w:val="nil"/>
            </w:tcBorders>
            <w:shd w:val="clear" w:color="auto" w:fill="auto"/>
            <w:noWrap/>
            <w:vAlign w:val="bottom"/>
            <w:hideMark/>
          </w:tcPr>
          <w:p w14:paraId="6312B5D4"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0.63</w:t>
            </w:r>
          </w:p>
        </w:tc>
      </w:tr>
      <w:tr w:rsidR="00046B41" w:rsidRPr="00046B41" w14:paraId="73D17D68"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411F0417"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Dropout 12th Male</w:t>
            </w:r>
          </w:p>
        </w:tc>
        <w:tc>
          <w:tcPr>
            <w:tcW w:w="1430" w:type="dxa"/>
            <w:tcBorders>
              <w:top w:val="nil"/>
              <w:left w:val="nil"/>
              <w:bottom w:val="nil"/>
              <w:right w:val="nil"/>
            </w:tcBorders>
            <w:shd w:val="clear" w:color="auto" w:fill="auto"/>
            <w:noWrap/>
            <w:vAlign w:val="bottom"/>
            <w:hideMark/>
          </w:tcPr>
          <w:p w14:paraId="5DECB1F5"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0.07</w:t>
            </w:r>
          </w:p>
        </w:tc>
        <w:tc>
          <w:tcPr>
            <w:tcW w:w="1350" w:type="dxa"/>
            <w:tcBorders>
              <w:top w:val="nil"/>
              <w:left w:val="nil"/>
              <w:bottom w:val="nil"/>
              <w:right w:val="nil"/>
            </w:tcBorders>
            <w:shd w:val="clear" w:color="auto" w:fill="auto"/>
            <w:noWrap/>
            <w:vAlign w:val="bottom"/>
            <w:hideMark/>
          </w:tcPr>
          <w:p w14:paraId="5C73E868"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0.06</w:t>
            </w:r>
          </w:p>
        </w:tc>
        <w:tc>
          <w:tcPr>
            <w:tcW w:w="1071" w:type="dxa"/>
            <w:tcBorders>
              <w:top w:val="nil"/>
              <w:left w:val="nil"/>
              <w:bottom w:val="nil"/>
              <w:right w:val="nil"/>
            </w:tcBorders>
            <w:shd w:val="clear" w:color="auto" w:fill="auto"/>
            <w:noWrap/>
            <w:vAlign w:val="bottom"/>
            <w:hideMark/>
          </w:tcPr>
          <w:p w14:paraId="65A7C6E7"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0.01</w:t>
            </w:r>
          </w:p>
        </w:tc>
        <w:tc>
          <w:tcPr>
            <w:tcW w:w="1269" w:type="dxa"/>
            <w:tcBorders>
              <w:top w:val="nil"/>
              <w:left w:val="nil"/>
              <w:bottom w:val="nil"/>
              <w:right w:val="nil"/>
            </w:tcBorders>
            <w:shd w:val="clear" w:color="auto" w:fill="auto"/>
            <w:noWrap/>
            <w:vAlign w:val="bottom"/>
            <w:hideMark/>
          </w:tcPr>
          <w:p w14:paraId="7086860C"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0.46</w:t>
            </w:r>
          </w:p>
        </w:tc>
      </w:tr>
      <w:tr w:rsidR="00046B41" w:rsidRPr="00046B41" w14:paraId="2FCB8066" w14:textId="77777777" w:rsidTr="00003BB6">
        <w:trPr>
          <w:trHeight w:val="290"/>
          <w:jc w:val="center"/>
        </w:trPr>
        <w:tc>
          <w:tcPr>
            <w:tcW w:w="2800" w:type="dxa"/>
            <w:tcBorders>
              <w:top w:val="nil"/>
              <w:left w:val="nil"/>
              <w:bottom w:val="nil"/>
              <w:right w:val="nil"/>
            </w:tcBorders>
            <w:shd w:val="clear" w:color="auto" w:fill="auto"/>
            <w:noWrap/>
            <w:vAlign w:val="bottom"/>
            <w:hideMark/>
          </w:tcPr>
          <w:p w14:paraId="46C4F325"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ELA Female</w:t>
            </w:r>
          </w:p>
        </w:tc>
        <w:tc>
          <w:tcPr>
            <w:tcW w:w="1430" w:type="dxa"/>
            <w:tcBorders>
              <w:top w:val="nil"/>
              <w:left w:val="nil"/>
              <w:bottom w:val="nil"/>
              <w:right w:val="nil"/>
            </w:tcBorders>
            <w:shd w:val="clear" w:color="auto" w:fill="auto"/>
            <w:noWrap/>
            <w:vAlign w:val="bottom"/>
            <w:hideMark/>
          </w:tcPr>
          <w:p w14:paraId="0CB0AFBB"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0.11</w:t>
            </w:r>
          </w:p>
        </w:tc>
        <w:tc>
          <w:tcPr>
            <w:tcW w:w="1350" w:type="dxa"/>
            <w:tcBorders>
              <w:top w:val="nil"/>
              <w:left w:val="nil"/>
              <w:bottom w:val="nil"/>
              <w:right w:val="nil"/>
            </w:tcBorders>
            <w:shd w:val="clear" w:color="auto" w:fill="auto"/>
            <w:noWrap/>
            <w:vAlign w:val="bottom"/>
            <w:hideMark/>
          </w:tcPr>
          <w:p w14:paraId="715251E0"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0.12</w:t>
            </w:r>
          </w:p>
        </w:tc>
        <w:tc>
          <w:tcPr>
            <w:tcW w:w="1071" w:type="dxa"/>
            <w:tcBorders>
              <w:top w:val="nil"/>
              <w:left w:val="nil"/>
              <w:bottom w:val="nil"/>
              <w:right w:val="nil"/>
            </w:tcBorders>
            <w:shd w:val="clear" w:color="auto" w:fill="auto"/>
            <w:noWrap/>
            <w:vAlign w:val="bottom"/>
            <w:hideMark/>
          </w:tcPr>
          <w:p w14:paraId="7E1C005F"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-0.01</w:t>
            </w:r>
          </w:p>
        </w:tc>
        <w:tc>
          <w:tcPr>
            <w:tcW w:w="1269" w:type="dxa"/>
            <w:tcBorders>
              <w:top w:val="nil"/>
              <w:left w:val="nil"/>
              <w:bottom w:val="nil"/>
              <w:right w:val="nil"/>
            </w:tcBorders>
            <w:shd w:val="clear" w:color="auto" w:fill="auto"/>
            <w:noWrap/>
            <w:vAlign w:val="bottom"/>
            <w:hideMark/>
          </w:tcPr>
          <w:p w14:paraId="13474269"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0.64</w:t>
            </w:r>
          </w:p>
        </w:tc>
      </w:tr>
      <w:tr w:rsidR="00046B41" w:rsidRPr="00046B41" w14:paraId="58C0B7BA" w14:textId="77777777" w:rsidTr="00003BB6">
        <w:trPr>
          <w:trHeight w:val="290"/>
          <w:jc w:val="center"/>
        </w:trPr>
        <w:tc>
          <w:tcPr>
            <w:tcW w:w="2800" w:type="dxa"/>
            <w:tcBorders>
              <w:top w:val="nil"/>
              <w:left w:val="nil"/>
              <w:bottom w:val="single" w:sz="4" w:space="0" w:color="auto"/>
              <w:right w:val="nil"/>
            </w:tcBorders>
            <w:shd w:val="clear" w:color="auto" w:fill="auto"/>
            <w:noWrap/>
            <w:vAlign w:val="bottom"/>
            <w:hideMark/>
          </w:tcPr>
          <w:p w14:paraId="2D09A31F" w14:textId="77777777" w:rsidR="00046B41" w:rsidRPr="00046B41" w:rsidRDefault="00046B41" w:rsidP="00046B41">
            <w:pPr>
              <w:spacing w:after="0" w:line="240" w:lineRule="auto"/>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ELA Male</w:t>
            </w:r>
          </w:p>
        </w:tc>
        <w:tc>
          <w:tcPr>
            <w:tcW w:w="1430" w:type="dxa"/>
            <w:tcBorders>
              <w:top w:val="nil"/>
              <w:left w:val="nil"/>
              <w:bottom w:val="single" w:sz="4" w:space="0" w:color="auto"/>
              <w:right w:val="nil"/>
            </w:tcBorders>
            <w:shd w:val="clear" w:color="auto" w:fill="auto"/>
            <w:noWrap/>
            <w:vAlign w:val="bottom"/>
            <w:hideMark/>
          </w:tcPr>
          <w:p w14:paraId="65C39C79"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0.17</w:t>
            </w:r>
          </w:p>
        </w:tc>
        <w:tc>
          <w:tcPr>
            <w:tcW w:w="1350" w:type="dxa"/>
            <w:tcBorders>
              <w:top w:val="nil"/>
              <w:left w:val="nil"/>
              <w:bottom w:val="single" w:sz="4" w:space="0" w:color="auto"/>
              <w:right w:val="nil"/>
            </w:tcBorders>
            <w:shd w:val="clear" w:color="auto" w:fill="auto"/>
            <w:noWrap/>
            <w:vAlign w:val="bottom"/>
            <w:hideMark/>
          </w:tcPr>
          <w:p w14:paraId="1C56C159"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0.19</w:t>
            </w:r>
          </w:p>
        </w:tc>
        <w:tc>
          <w:tcPr>
            <w:tcW w:w="1071" w:type="dxa"/>
            <w:tcBorders>
              <w:top w:val="nil"/>
              <w:left w:val="nil"/>
              <w:bottom w:val="single" w:sz="4" w:space="0" w:color="auto"/>
              <w:right w:val="nil"/>
            </w:tcBorders>
            <w:shd w:val="clear" w:color="auto" w:fill="auto"/>
            <w:noWrap/>
            <w:vAlign w:val="bottom"/>
            <w:hideMark/>
          </w:tcPr>
          <w:p w14:paraId="474442AE"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-0.02</w:t>
            </w:r>
          </w:p>
        </w:tc>
        <w:tc>
          <w:tcPr>
            <w:tcW w:w="1269" w:type="dxa"/>
            <w:tcBorders>
              <w:top w:val="nil"/>
              <w:left w:val="nil"/>
              <w:bottom w:val="single" w:sz="4" w:space="0" w:color="auto"/>
              <w:right w:val="nil"/>
            </w:tcBorders>
            <w:shd w:val="clear" w:color="auto" w:fill="auto"/>
            <w:noWrap/>
            <w:vAlign w:val="bottom"/>
            <w:hideMark/>
          </w:tcPr>
          <w:p w14:paraId="20BEF4C4" w14:textId="77777777" w:rsidR="00046B41" w:rsidRPr="00046B41" w:rsidRDefault="00046B41" w:rsidP="00046B41">
            <w:pPr>
              <w:spacing w:after="0" w:line="240" w:lineRule="auto"/>
              <w:jc w:val="center"/>
              <w:rPr>
                <w:rFonts w:ascii="Times New Roman" w:eastAsia="Times New Roman" w:hAnsi="Times New Roman" w:cs="Times New Roman"/>
                <w:color w:val="000000"/>
                <w:sz w:val="20"/>
                <w:szCs w:val="20"/>
              </w:rPr>
            </w:pPr>
            <w:r w:rsidRPr="00046B41">
              <w:rPr>
                <w:rFonts w:ascii="Times New Roman" w:eastAsia="Times New Roman" w:hAnsi="Times New Roman" w:cs="Times New Roman"/>
                <w:color w:val="000000"/>
                <w:sz w:val="20"/>
                <w:szCs w:val="20"/>
              </w:rPr>
              <w:t>0.51</w:t>
            </w:r>
          </w:p>
        </w:tc>
      </w:tr>
      <w:tr w:rsidR="003B2301" w:rsidRPr="00C33C76" w14:paraId="38F5A4BC" w14:textId="77777777" w:rsidTr="00003BB6">
        <w:trPr>
          <w:trHeight w:val="110"/>
          <w:jc w:val="center"/>
        </w:trPr>
        <w:tc>
          <w:tcPr>
            <w:tcW w:w="7920" w:type="dxa"/>
            <w:gridSpan w:val="5"/>
            <w:tcBorders>
              <w:top w:val="nil"/>
              <w:left w:val="nil"/>
              <w:bottom w:val="nil"/>
              <w:right w:val="nil"/>
            </w:tcBorders>
            <w:shd w:val="clear" w:color="auto" w:fill="auto"/>
            <w:noWrap/>
            <w:vAlign w:val="bottom"/>
          </w:tcPr>
          <w:p w14:paraId="5FFE46F9" w14:textId="7AAE5A1B" w:rsidR="003B2301" w:rsidRPr="003B2301" w:rsidRDefault="003B2301" w:rsidP="00003BB6">
            <w:pPr>
              <w:spacing w:after="0" w:line="240" w:lineRule="auto"/>
              <w:jc w:val="both"/>
              <w:rPr>
                <w:rFonts w:ascii="Times New Roman" w:eastAsia="Times New Roman" w:hAnsi="Times New Roman" w:cs="Times New Roman"/>
                <w:sz w:val="20"/>
                <w:szCs w:val="20"/>
              </w:rPr>
            </w:pPr>
            <w:r w:rsidRPr="003B2301">
              <w:rPr>
                <w:rFonts w:ascii="Times New Roman" w:eastAsia="Times New Roman" w:hAnsi="Times New Roman" w:cs="Times New Roman"/>
                <w:i/>
                <w:iCs/>
                <w:sz w:val="20"/>
                <w:szCs w:val="20"/>
              </w:rPr>
              <w:t>Notes:</w:t>
            </w:r>
            <w:r>
              <w:rPr>
                <w:rFonts w:ascii="Times New Roman" w:eastAsia="Times New Roman" w:hAnsi="Times New Roman" w:cs="Times New Roman"/>
                <w:i/>
                <w:iCs/>
                <w:sz w:val="20"/>
                <w:szCs w:val="20"/>
              </w:rPr>
              <w:t xml:space="preserve"> </w:t>
            </w:r>
            <w:r w:rsidR="009A207A">
              <w:rPr>
                <w:rFonts w:ascii="Times New Roman" w:eastAsia="Times New Roman" w:hAnsi="Times New Roman" w:cs="Times New Roman"/>
                <w:sz w:val="20"/>
                <w:szCs w:val="20"/>
              </w:rPr>
              <w:t xml:space="preserve">This table reports average school characteristics (Panel A) and school outcomes (Panel B) for schools within 10 minutes of a lottery winner or 10 minutes of a lottery loser, as well as the difference between the averages and the two-sided p-value from a t-test of the difference. </w:t>
            </w:r>
            <w:r>
              <w:rPr>
                <w:rFonts w:ascii="Times New Roman" w:eastAsia="Times New Roman" w:hAnsi="Times New Roman" w:cs="Times New Roman"/>
                <w:sz w:val="20"/>
                <w:szCs w:val="20"/>
              </w:rPr>
              <w:t xml:space="preserve">Schools within 10 minutes of a lottery loser are also within at least 10 minutes of a lottery winner. All variables are proportions. FRPL stands for free-or-reduced-price lunch eligible. ELA outcomes are the proportions of students who are </w:t>
            </w:r>
            <w:r>
              <w:rPr>
                <w:rFonts w:ascii="Times New Roman" w:eastAsia="Times New Roman" w:hAnsi="Times New Roman" w:cs="Times New Roman"/>
                <w:i/>
                <w:iCs/>
                <w:sz w:val="20"/>
                <w:szCs w:val="20"/>
              </w:rPr>
              <w:t xml:space="preserve">not </w:t>
            </w:r>
            <w:r>
              <w:rPr>
                <w:rFonts w:ascii="Times New Roman" w:eastAsia="Times New Roman" w:hAnsi="Times New Roman" w:cs="Times New Roman"/>
                <w:sz w:val="20"/>
                <w:szCs w:val="20"/>
              </w:rPr>
              <w:t xml:space="preserve">proficient in ELA. The years included are 2011-12, 2012-13, and 2013-14, except for the ELA outcomes, which only include 2012-13 due to data availability. </w:t>
            </w:r>
            <w:r w:rsidR="00432072">
              <w:rPr>
                <w:rFonts w:ascii="Times New Roman" w:eastAsia="Times New Roman" w:hAnsi="Times New Roman" w:cs="Times New Roman"/>
                <w:sz w:val="20"/>
                <w:szCs w:val="20"/>
              </w:rPr>
              <w:t>Math proficiency, chronic absenteeism, and discipline rates are not available prior to recreational marijuana legalization and are thus not included in this table.</w:t>
            </w:r>
          </w:p>
        </w:tc>
      </w:tr>
    </w:tbl>
    <w:p w14:paraId="39971264" w14:textId="77777777" w:rsidR="002B67AE" w:rsidRDefault="002B67AE" w:rsidP="00D750E1">
      <w:pPr>
        <w:rPr>
          <w:rFonts w:ascii="Times New Roman" w:hAnsi="Times New Roman" w:cs="Times New Roman"/>
          <w:b/>
          <w:bCs/>
          <w:sz w:val="32"/>
          <w:szCs w:val="32"/>
        </w:rPr>
      </w:pPr>
    </w:p>
    <w:p w14:paraId="11582678" w14:textId="77777777" w:rsidR="002F3179" w:rsidRDefault="002F3179" w:rsidP="00D750E1">
      <w:pPr>
        <w:rPr>
          <w:rFonts w:ascii="Times New Roman" w:hAnsi="Times New Roman" w:cs="Times New Roman"/>
          <w:b/>
          <w:bCs/>
          <w:sz w:val="32"/>
          <w:szCs w:val="32"/>
        </w:rPr>
        <w:sectPr w:rsidR="002F3179">
          <w:headerReference w:type="default" r:id="rId34"/>
          <w:pgSz w:w="12240" w:h="15840"/>
          <w:pgMar w:top="1440" w:right="1440" w:bottom="1440" w:left="1440" w:header="720" w:footer="720" w:gutter="0"/>
          <w:cols w:space="720"/>
          <w:docGrid w:linePitch="360"/>
        </w:sectPr>
      </w:pPr>
    </w:p>
    <w:tbl>
      <w:tblPr>
        <w:tblW w:w="11820" w:type="dxa"/>
        <w:jc w:val="center"/>
        <w:tblLook w:val="04A0" w:firstRow="1" w:lastRow="0" w:firstColumn="1" w:lastColumn="0" w:noHBand="0" w:noVBand="1"/>
      </w:tblPr>
      <w:tblGrid>
        <w:gridCol w:w="3800"/>
        <w:gridCol w:w="960"/>
        <w:gridCol w:w="960"/>
        <w:gridCol w:w="960"/>
        <w:gridCol w:w="960"/>
        <w:gridCol w:w="340"/>
        <w:gridCol w:w="960"/>
        <w:gridCol w:w="960"/>
        <w:gridCol w:w="960"/>
        <w:gridCol w:w="960"/>
      </w:tblGrid>
      <w:tr w:rsidR="00457162" w:rsidRPr="00350622" w14:paraId="281EA8E5" w14:textId="77777777" w:rsidTr="00E23F97">
        <w:trPr>
          <w:trHeight w:val="300"/>
          <w:jc w:val="center"/>
        </w:trPr>
        <w:tc>
          <w:tcPr>
            <w:tcW w:w="11820" w:type="dxa"/>
            <w:gridSpan w:val="10"/>
            <w:tcBorders>
              <w:top w:val="nil"/>
              <w:left w:val="nil"/>
              <w:bottom w:val="double" w:sz="6" w:space="0" w:color="auto"/>
              <w:right w:val="nil"/>
            </w:tcBorders>
            <w:shd w:val="clear" w:color="auto" w:fill="auto"/>
            <w:noWrap/>
            <w:vAlign w:val="bottom"/>
            <w:hideMark/>
          </w:tcPr>
          <w:p w14:paraId="513F9BF0" w14:textId="77777777" w:rsidR="00457162" w:rsidRDefault="00457162" w:rsidP="00457162">
            <w:pPr>
              <w:spacing w:after="0" w:line="240" w:lineRule="auto"/>
              <w:jc w:val="center"/>
              <w:rPr>
                <w:rFonts w:ascii="Times New Roman" w:eastAsia="Times New Roman" w:hAnsi="Times New Roman" w:cs="Times New Roman"/>
                <w:color w:val="000000"/>
                <w:sz w:val="24"/>
                <w:szCs w:val="24"/>
              </w:rPr>
            </w:pPr>
            <w:r w:rsidRPr="009F2721">
              <w:rPr>
                <w:rFonts w:ascii="Times New Roman" w:eastAsia="Times New Roman" w:hAnsi="Times New Roman" w:cs="Times New Roman"/>
                <w:color w:val="000000"/>
                <w:sz w:val="24"/>
                <w:szCs w:val="24"/>
              </w:rPr>
              <w:lastRenderedPageBreak/>
              <w:t>Table 2: Reduced Form Estimates of the Washington Marijuana Dispensary Lottery on Dropout Rates</w:t>
            </w:r>
          </w:p>
          <w:p w14:paraId="067D3390" w14:textId="77777777" w:rsidR="00E23F97" w:rsidRDefault="00E23F97" w:rsidP="00457162">
            <w:pPr>
              <w:spacing w:after="0" w:line="240" w:lineRule="auto"/>
              <w:jc w:val="center"/>
              <w:rPr>
                <w:rFonts w:ascii="Times New Roman" w:eastAsia="Times New Roman" w:hAnsi="Times New Roman" w:cs="Times New Roman"/>
                <w:color w:val="000000"/>
                <w:sz w:val="24"/>
                <w:szCs w:val="24"/>
              </w:rPr>
            </w:pPr>
          </w:p>
          <w:p w14:paraId="3B863EA9" w14:textId="08B635EE" w:rsidR="00457162" w:rsidRPr="00350622" w:rsidRDefault="00457162" w:rsidP="00350622">
            <w:pPr>
              <w:spacing w:after="0" w:line="240" w:lineRule="auto"/>
              <w:rPr>
                <w:rFonts w:ascii="Calibri" w:eastAsia="Times New Roman" w:hAnsi="Calibri" w:cs="Calibri"/>
                <w:color w:val="000000"/>
              </w:rPr>
            </w:pPr>
          </w:p>
        </w:tc>
      </w:tr>
      <w:tr w:rsidR="00350622" w:rsidRPr="00350622" w14:paraId="1515A235" w14:textId="77777777" w:rsidTr="00E23F97">
        <w:trPr>
          <w:trHeight w:val="300"/>
          <w:jc w:val="center"/>
        </w:trPr>
        <w:tc>
          <w:tcPr>
            <w:tcW w:w="3800" w:type="dxa"/>
            <w:tcBorders>
              <w:top w:val="nil"/>
              <w:left w:val="nil"/>
              <w:bottom w:val="nil"/>
              <w:right w:val="nil"/>
            </w:tcBorders>
            <w:shd w:val="clear" w:color="auto" w:fill="auto"/>
            <w:noWrap/>
            <w:vAlign w:val="bottom"/>
            <w:hideMark/>
          </w:tcPr>
          <w:p w14:paraId="3B422851" w14:textId="77777777" w:rsidR="00350622" w:rsidRPr="00350622" w:rsidRDefault="00350622" w:rsidP="00350622">
            <w:pPr>
              <w:spacing w:after="0" w:line="240" w:lineRule="auto"/>
              <w:rPr>
                <w:rFonts w:ascii="Calibri" w:eastAsia="Times New Roman" w:hAnsi="Calibri" w:cs="Calibri"/>
                <w:color w:val="000000"/>
              </w:rPr>
            </w:pPr>
          </w:p>
        </w:tc>
        <w:tc>
          <w:tcPr>
            <w:tcW w:w="3840" w:type="dxa"/>
            <w:gridSpan w:val="4"/>
            <w:tcBorders>
              <w:top w:val="nil"/>
              <w:left w:val="nil"/>
              <w:bottom w:val="single" w:sz="4" w:space="0" w:color="auto"/>
              <w:right w:val="nil"/>
            </w:tcBorders>
            <w:shd w:val="clear" w:color="auto" w:fill="auto"/>
            <w:noWrap/>
            <w:vAlign w:val="bottom"/>
            <w:hideMark/>
          </w:tcPr>
          <w:p w14:paraId="74117E1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Female</w:t>
            </w:r>
          </w:p>
        </w:tc>
        <w:tc>
          <w:tcPr>
            <w:tcW w:w="340" w:type="dxa"/>
            <w:tcBorders>
              <w:top w:val="nil"/>
              <w:left w:val="nil"/>
              <w:bottom w:val="nil"/>
              <w:right w:val="nil"/>
            </w:tcBorders>
            <w:shd w:val="clear" w:color="auto" w:fill="auto"/>
            <w:noWrap/>
            <w:vAlign w:val="bottom"/>
            <w:hideMark/>
          </w:tcPr>
          <w:p w14:paraId="5E1E5FC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3840" w:type="dxa"/>
            <w:gridSpan w:val="4"/>
            <w:tcBorders>
              <w:top w:val="nil"/>
              <w:left w:val="nil"/>
              <w:bottom w:val="single" w:sz="4" w:space="0" w:color="auto"/>
              <w:right w:val="nil"/>
            </w:tcBorders>
            <w:shd w:val="clear" w:color="auto" w:fill="auto"/>
            <w:noWrap/>
            <w:vAlign w:val="bottom"/>
            <w:hideMark/>
          </w:tcPr>
          <w:p w14:paraId="4E4DADE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Male</w:t>
            </w:r>
          </w:p>
        </w:tc>
      </w:tr>
      <w:tr w:rsidR="00350622" w:rsidRPr="00350622" w14:paraId="0F31CD44" w14:textId="77777777" w:rsidTr="00E23F97">
        <w:trPr>
          <w:trHeight w:val="290"/>
          <w:jc w:val="center"/>
        </w:trPr>
        <w:tc>
          <w:tcPr>
            <w:tcW w:w="3800" w:type="dxa"/>
            <w:tcBorders>
              <w:top w:val="nil"/>
              <w:left w:val="nil"/>
              <w:bottom w:val="single" w:sz="4" w:space="0" w:color="auto"/>
              <w:right w:val="nil"/>
            </w:tcBorders>
            <w:shd w:val="clear" w:color="auto" w:fill="auto"/>
            <w:noWrap/>
            <w:vAlign w:val="bottom"/>
            <w:hideMark/>
          </w:tcPr>
          <w:p w14:paraId="79FC8791"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67E9CE5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nil"/>
            </w:tcBorders>
            <w:shd w:val="clear" w:color="auto" w:fill="auto"/>
            <w:noWrap/>
            <w:vAlign w:val="bottom"/>
            <w:hideMark/>
          </w:tcPr>
          <w:p w14:paraId="0F9DEBC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nil"/>
            </w:tcBorders>
            <w:shd w:val="clear" w:color="auto" w:fill="auto"/>
            <w:noWrap/>
            <w:vAlign w:val="bottom"/>
            <w:hideMark/>
          </w:tcPr>
          <w:p w14:paraId="386BC52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nil"/>
            </w:tcBorders>
            <w:shd w:val="clear" w:color="auto" w:fill="auto"/>
            <w:noWrap/>
            <w:vAlign w:val="bottom"/>
            <w:hideMark/>
          </w:tcPr>
          <w:p w14:paraId="197847E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(4)</w:t>
            </w:r>
          </w:p>
        </w:tc>
        <w:tc>
          <w:tcPr>
            <w:tcW w:w="340" w:type="dxa"/>
            <w:tcBorders>
              <w:top w:val="nil"/>
              <w:left w:val="nil"/>
              <w:bottom w:val="single" w:sz="4" w:space="0" w:color="auto"/>
              <w:right w:val="nil"/>
            </w:tcBorders>
            <w:shd w:val="clear" w:color="auto" w:fill="auto"/>
            <w:noWrap/>
            <w:vAlign w:val="bottom"/>
            <w:hideMark/>
          </w:tcPr>
          <w:p w14:paraId="366B731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532AEABB"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nil"/>
            </w:tcBorders>
            <w:shd w:val="clear" w:color="auto" w:fill="auto"/>
            <w:noWrap/>
            <w:vAlign w:val="bottom"/>
            <w:hideMark/>
          </w:tcPr>
          <w:p w14:paraId="307BFCA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nil"/>
            </w:tcBorders>
            <w:shd w:val="clear" w:color="auto" w:fill="auto"/>
            <w:noWrap/>
            <w:vAlign w:val="bottom"/>
            <w:hideMark/>
          </w:tcPr>
          <w:p w14:paraId="1F992C2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nil"/>
            </w:tcBorders>
            <w:shd w:val="clear" w:color="auto" w:fill="auto"/>
            <w:noWrap/>
            <w:vAlign w:val="bottom"/>
            <w:hideMark/>
          </w:tcPr>
          <w:p w14:paraId="52407E1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(8)</w:t>
            </w:r>
          </w:p>
        </w:tc>
      </w:tr>
      <w:tr w:rsidR="00350622" w:rsidRPr="00350622" w14:paraId="1E6FCEB1"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049C50D2" w14:textId="77777777" w:rsidR="00350622" w:rsidRPr="00350622" w:rsidRDefault="00350622" w:rsidP="00350622">
            <w:pPr>
              <w:spacing w:after="0" w:line="240" w:lineRule="auto"/>
              <w:rPr>
                <w:rFonts w:ascii="Times New Roman" w:eastAsia="Times New Roman" w:hAnsi="Times New Roman" w:cs="Times New Roman"/>
                <w:i/>
                <w:iCs/>
                <w:color w:val="000000"/>
                <w:sz w:val="20"/>
                <w:szCs w:val="20"/>
              </w:rPr>
            </w:pPr>
            <w:r w:rsidRPr="00350622">
              <w:rPr>
                <w:rFonts w:ascii="Times New Roman" w:eastAsia="Times New Roman" w:hAnsi="Times New Roman" w:cs="Times New Roman"/>
                <w:i/>
                <w:iCs/>
                <w:color w:val="000000"/>
                <w:sz w:val="20"/>
                <w:szCs w:val="20"/>
              </w:rPr>
              <w:t>Panel A: 11th Grade</w:t>
            </w:r>
          </w:p>
        </w:tc>
        <w:tc>
          <w:tcPr>
            <w:tcW w:w="960" w:type="dxa"/>
            <w:tcBorders>
              <w:top w:val="nil"/>
              <w:left w:val="nil"/>
              <w:bottom w:val="nil"/>
              <w:right w:val="nil"/>
            </w:tcBorders>
            <w:shd w:val="clear" w:color="auto" w:fill="auto"/>
            <w:noWrap/>
            <w:vAlign w:val="bottom"/>
            <w:hideMark/>
          </w:tcPr>
          <w:p w14:paraId="7BD534B8" w14:textId="77777777" w:rsidR="00350622" w:rsidRPr="00350622" w:rsidRDefault="00350622" w:rsidP="00350622">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3D546C08"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AC14C0A"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8F135F"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4FE6E107"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53A840"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6A8FDF"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1E11B7"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9A59B2" w14:textId="77777777" w:rsidR="00350622" w:rsidRPr="00350622" w:rsidRDefault="00350622" w:rsidP="00350622">
            <w:pPr>
              <w:spacing w:after="0" w:line="240" w:lineRule="auto"/>
              <w:rPr>
                <w:rFonts w:ascii="Times New Roman" w:eastAsia="Times New Roman" w:hAnsi="Times New Roman" w:cs="Times New Roman"/>
                <w:sz w:val="20"/>
                <w:szCs w:val="20"/>
              </w:rPr>
            </w:pPr>
          </w:p>
        </w:tc>
      </w:tr>
      <w:tr w:rsidR="00350622" w:rsidRPr="00350622" w14:paraId="7DF9ABA9"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42592BA6"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School is within 10 Mins of a Lottery Winner</w:t>
            </w:r>
          </w:p>
        </w:tc>
        <w:tc>
          <w:tcPr>
            <w:tcW w:w="960" w:type="dxa"/>
            <w:tcBorders>
              <w:top w:val="nil"/>
              <w:left w:val="nil"/>
              <w:bottom w:val="nil"/>
              <w:right w:val="nil"/>
            </w:tcBorders>
            <w:shd w:val="clear" w:color="auto" w:fill="auto"/>
            <w:noWrap/>
            <w:vAlign w:val="bottom"/>
            <w:hideMark/>
          </w:tcPr>
          <w:p w14:paraId="71EC66D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0.010</w:t>
            </w:r>
          </w:p>
        </w:tc>
        <w:tc>
          <w:tcPr>
            <w:tcW w:w="960" w:type="dxa"/>
            <w:tcBorders>
              <w:top w:val="nil"/>
              <w:left w:val="nil"/>
              <w:bottom w:val="nil"/>
              <w:right w:val="nil"/>
            </w:tcBorders>
            <w:shd w:val="clear" w:color="auto" w:fill="auto"/>
            <w:noWrap/>
            <w:vAlign w:val="bottom"/>
            <w:hideMark/>
          </w:tcPr>
          <w:p w14:paraId="1532BA73"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0.009</w:t>
            </w:r>
          </w:p>
        </w:tc>
        <w:tc>
          <w:tcPr>
            <w:tcW w:w="960" w:type="dxa"/>
            <w:tcBorders>
              <w:top w:val="nil"/>
              <w:left w:val="nil"/>
              <w:bottom w:val="nil"/>
              <w:right w:val="nil"/>
            </w:tcBorders>
            <w:shd w:val="clear" w:color="auto" w:fill="auto"/>
            <w:noWrap/>
            <w:vAlign w:val="bottom"/>
            <w:hideMark/>
          </w:tcPr>
          <w:p w14:paraId="56278DF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0.012</w:t>
            </w:r>
          </w:p>
        </w:tc>
        <w:tc>
          <w:tcPr>
            <w:tcW w:w="960" w:type="dxa"/>
            <w:tcBorders>
              <w:top w:val="nil"/>
              <w:left w:val="nil"/>
              <w:bottom w:val="nil"/>
              <w:right w:val="nil"/>
            </w:tcBorders>
            <w:shd w:val="clear" w:color="auto" w:fill="auto"/>
            <w:noWrap/>
            <w:vAlign w:val="bottom"/>
            <w:hideMark/>
          </w:tcPr>
          <w:p w14:paraId="467F164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0.010</w:t>
            </w:r>
          </w:p>
        </w:tc>
        <w:tc>
          <w:tcPr>
            <w:tcW w:w="340" w:type="dxa"/>
            <w:tcBorders>
              <w:top w:val="nil"/>
              <w:left w:val="nil"/>
              <w:bottom w:val="nil"/>
              <w:right w:val="nil"/>
            </w:tcBorders>
            <w:shd w:val="clear" w:color="auto" w:fill="auto"/>
            <w:noWrap/>
            <w:vAlign w:val="bottom"/>
            <w:hideMark/>
          </w:tcPr>
          <w:p w14:paraId="14875753"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72DCC5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0.013</w:t>
            </w:r>
          </w:p>
        </w:tc>
        <w:tc>
          <w:tcPr>
            <w:tcW w:w="960" w:type="dxa"/>
            <w:tcBorders>
              <w:top w:val="nil"/>
              <w:left w:val="nil"/>
              <w:bottom w:val="nil"/>
              <w:right w:val="nil"/>
            </w:tcBorders>
            <w:shd w:val="clear" w:color="auto" w:fill="auto"/>
            <w:noWrap/>
            <w:vAlign w:val="bottom"/>
            <w:hideMark/>
          </w:tcPr>
          <w:p w14:paraId="2305007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0.012</w:t>
            </w:r>
          </w:p>
        </w:tc>
        <w:tc>
          <w:tcPr>
            <w:tcW w:w="960" w:type="dxa"/>
            <w:tcBorders>
              <w:top w:val="nil"/>
              <w:left w:val="nil"/>
              <w:bottom w:val="nil"/>
              <w:right w:val="nil"/>
            </w:tcBorders>
            <w:shd w:val="clear" w:color="auto" w:fill="auto"/>
            <w:noWrap/>
            <w:vAlign w:val="bottom"/>
            <w:hideMark/>
          </w:tcPr>
          <w:p w14:paraId="11F0C847"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0.013</w:t>
            </w:r>
          </w:p>
        </w:tc>
        <w:tc>
          <w:tcPr>
            <w:tcW w:w="960" w:type="dxa"/>
            <w:tcBorders>
              <w:top w:val="nil"/>
              <w:left w:val="nil"/>
              <w:bottom w:val="nil"/>
              <w:right w:val="nil"/>
            </w:tcBorders>
            <w:shd w:val="clear" w:color="auto" w:fill="auto"/>
            <w:noWrap/>
            <w:vAlign w:val="bottom"/>
            <w:hideMark/>
          </w:tcPr>
          <w:p w14:paraId="5D4011D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0.011</w:t>
            </w:r>
          </w:p>
        </w:tc>
      </w:tr>
      <w:tr w:rsidR="00350622" w:rsidRPr="00350622" w14:paraId="2EB58909"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6E3B7FE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BA7D24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(0.0030)</w:t>
            </w:r>
          </w:p>
        </w:tc>
        <w:tc>
          <w:tcPr>
            <w:tcW w:w="960" w:type="dxa"/>
            <w:tcBorders>
              <w:top w:val="nil"/>
              <w:left w:val="nil"/>
              <w:bottom w:val="nil"/>
              <w:right w:val="nil"/>
            </w:tcBorders>
            <w:shd w:val="clear" w:color="auto" w:fill="auto"/>
            <w:noWrap/>
            <w:vAlign w:val="bottom"/>
            <w:hideMark/>
          </w:tcPr>
          <w:p w14:paraId="703BFC7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(0.0036)</w:t>
            </w:r>
          </w:p>
        </w:tc>
        <w:tc>
          <w:tcPr>
            <w:tcW w:w="960" w:type="dxa"/>
            <w:tcBorders>
              <w:top w:val="nil"/>
              <w:left w:val="nil"/>
              <w:bottom w:val="nil"/>
              <w:right w:val="nil"/>
            </w:tcBorders>
            <w:shd w:val="clear" w:color="auto" w:fill="auto"/>
            <w:noWrap/>
            <w:vAlign w:val="bottom"/>
            <w:hideMark/>
          </w:tcPr>
          <w:p w14:paraId="48520E8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(0.0035)</w:t>
            </w:r>
          </w:p>
        </w:tc>
        <w:tc>
          <w:tcPr>
            <w:tcW w:w="960" w:type="dxa"/>
            <w:tcBorders>
              <w:top w:val="nil"/>
              <w:left w:val="nil"/>
              <w:bottom w:val="nil"/>
              <w:right w:val="nil"/>
            </w:tcBorders>
            <w:shd w:val="clear" w:color="auto" w:fill="auto"/>
            <w:noWrap/>
            <w:vAlign w:val="bottom"/>
            <w:hideMark/>
          </w:tcPr>
          <w:p w14:paraId="0F03C65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(0.0032)</w:t>
            </w:r>
          </w:p>
        </w:tc>
        <w:tc>
          <w:tcPr>
            <w:tcW w:w="340" w:type="dxa"/>
            <w:tcBorders>
              <w:top w:val="nil"/>
              <w:left w:val="nil"/>
              <w:bottom w:val="nil"/>
              <w:right w:val="nil"/>
            </w:tcBorders>
            <w:shd w:val="clear" w:color="auto" w:fill="auto"/>
            <w:noWrap/>
            <w:vAlign w:val="bottom"/>
            <w:hideMark/>
          </w:tcPr>
          <w:p w14:paraId="1EDC5F5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741F90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(0.0049)</w:t>
            </w:r>
          </w:p>
        </w:tc>
        <w:tc>
          <w:tcPr>
            <w:tcW w:w="960" w:type="dxa"/>
            <w:tcBorders>
              <w:top w:val="nil"/>
              <w:left w:val="nil"/>
              <w:bottom w:val="nil"/>
              <w:right w:val="nil"/>
            </w:tcBorders>
            <w:shd w:val="clear" w:color="auto" w:fill="auto"/>
            <w:noWrap/>
            <w:vAlign w:val="bottom"/>
            <w:hideMark/>
          </w:tcPr>
          <w:p w14:paraId="08FC31E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(0.0050)</w:t>
            </w:r>
          </w:p>
        </w:tc>
        <w:tc>
          <w:tcPr>
            <w:tcW w:w="960" w:type="dxa"/>
            <w:tcBorders>
              <w:top w:val="nil"/>
              <w:left w:val="nil"/>
              <w:bottom w:val="nil"/>
              <w:right w:val="nil"/>
            </w:tcBorders>
            <w:shd w:val="clear" w:color="auto" w:fill="auto"/>
            <w:noWrap/>
            <w:vAlign w:val="bottom"/>
            <w:hideMark/>
          </w:tcPr>
          <w:p w14:paraId="4E133E03"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(0.0048)</w:t>
            </w:r>
          </w:p>
        </w:tc>
        <w:tc>
          <w:tcPr>
            <w:tcW w:w="960" w:type="dxa"/>
            <w:tcBorders>
              <w:top w:val="nil"/>
              <w:left w:val="nil"/>
              <w:bottom w:val="nil"/>
              <w:right w:val="nil"/>
            </w:tcBorders>
            <w:shd w:val="clear" w:color="auto" w:fill="auto"/>
            <w:noWrap/>
            <w:vAlign w:val="bottom"/>
            <w:hideMark/>
          </w:tcPr>
          <w:p w14:paraId="533EE3C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(0.0051)</w:t>
            </w:r>
          </w:p>
        </w:tc>
      </w:tr>
      <w:tr w:rsidR="00350622" w:rsidRPr="00350622" w14:paraId="4296D2A3"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0556F12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36DC7D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55998F07"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[0.008]</w:t>
            </w:r>
          </w:p>
        </w:tc>
        <w:tc>
          <w:tcPr>
            <w:tcW w:w="960" w:type="dxa"/>
            <w:tcBorders>
              <w:top w:val="nil"/>
              <w:left w:val="nil"/>
              <w:bottom w:val="nil"/>
              <w:right w:val="nil"/>
            </w:tcBorders>
            <w:shd w:val="clear" w:color="auto" w:fill="auto"/>
            <w:noWrap/>
            <w:vAlign w:val="bottom"/>
            <w:hideMark/>
          </w:tcPr>
          <w:p w14:paraId="7F10D14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[0.0004]</w:t>
            </w:r>
          </w:p>
        </w:tc>
        <w:tc>
          <w:tcPr>
            <w:tcW w:w="960" w:type="dxa"/>
            <w:tcBorders>
              <w:top w:val="nil"/>
              <w:left w:val="nil"/>
              <w:bottom w:val="nil"/>
              <w:right w:val="nil"/>
            </w:tcBorders>
            <w:shd w:val="clear" w:color="auto" w:fill="auto"/>
            <w:noWrap/>
            <w:vAlign w:val="bottom"/>
            <w:hideMark/>
          </w:tcPr>
          <w:p w14:paraId="4339E43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[0.001]</w:t>
            </w:r>
          </w:p>
        </w:tc>
        <w:tc>
          <w:tcPr>
            <w:tcW w:w="340" w:type="dxa"/>
            <w:tcBorders>
              <w:top w:val="nil"/>
              <w:left w:val="nil"/>
              <w:bottom w:val="nil"/>
              <w:right w:val="nil"/>
            </w:tcBorders>
            <w:shd w:val="clear" w:color="auto" w:fill="auto"/>
            <w:noWrap/>
            <w:vAlign w:val="bottom"/>
            <w:hideMark/>
          </w:tcPr>
          <w:p w14:paraId="1EF5E8C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AEFF45B"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427E2DA3"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[0.009]</w:t>
            </w:r>
          </w:p>
        </w:tc>
        <w:tc>
          <w:tcPr>
            <w:tcW w:w="960" w:type="dxa"/>
            <w:tcBorders>
              <w:top w:val="nil"/>
              <w:left w:val="nil"/>
              <w:bottom w:val="nil"/>
              <w:right w:val="nil"/>
            </w:tcBorders>
            <w:shd w:val="clear" w:color="auto" w:fill="auto"/>
            <w:noWrap/>
            <w:vAlign w:val="bottom"/>
            <w:hideMark/>
          </w:tcPr>
          <w:p w14:paraId="7DA9933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[0.003]</w:t>
            </w:r>
          </w:p>
        </w:tc>
        <w:tc>
          <w:tcPr>
            <w:tcW w:w="960" w:type="dxa"/>
            <w:tcBorders>
              <w:top w:val="nil"/>
              <w:left w:val="nil"/>
              <w:bottom w:val="nil"/>
              <w:right w:val="nil"/>
            </w:tcBorders>
            <w:shd w:val="clear" w:color="auto" w:fill="auto"/>
            <w:noWrap/>
            <w:vAlign w:val="bottom"/>
            <w:hideMark/>
          </w:tcPr>
          <w:p w14:paraId="6D8280D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[0.014]</w:t>
            </w:r>
          </w:p>
        </w:tc>
      </w:tr>
      <w:tr w:rsidR="00350622" w:rsidRPr="00350622" w14:paraId="12DD4EFC"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2F1B992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0CF09C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31B7730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65C5D6C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71CD38F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340" w:type="dxa"/>
            <w:tcBorders>
              <w:top w:val="nil"/>
              <w:left w:val="nil"/>
              <w:bottom w:val="nil"/>
              <w:right w:val="nil"/>
            </w:tcBorders>
            <w:shd w:val="clear" w:color="auto" w:fill="auto"/>
            <w:noWrap/>
            <w:vAlign w:val="bottom"/>
            <w:hideMark/>
          </w:tcPr>
          <w:p w14:paraId="690FC0D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C66A37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289918F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1460942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58215C43"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r>
      <w:tr w:rsidR="00350622" w:rsidRPr="00350622" w14:paraId="7DA4A722"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4F2BC874"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 Dispensary License Applicants in 10 Mins</w:t>
            </w:r>
          </w:p>
        </w:tc>
        <w:tc>
          <w:tcPr>
            <w:tcW w:w="960" w:type="dxa"/>
            <w:tcBorders>
              <w:top w:val="nil"/>
              <w:left w:val="nil"/>
              <w:bottom w:val="nil"/>
              <w:right w:val="nil"/>
            </w:tcBorders>
            <w:shd w:val="clear" w:color="auto" w:fill="auto"/>
            <w:noWrap/>
            <w:vAlign w:val="bottom"/>
            <w:hideMark/>
          </w:tcPr>
          <w:p w14:paraId="5DB5D8BD"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448B94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14F7D05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200C917"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732F3A43"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DB2469"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10BBA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63FC5BC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3598DE0"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r>
      <w:tr w:rsidR="00350622" w:rsidRPr="00350622" w14:paraId="780E2426"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30ACBE9C"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School Locale Indicators and Year FEs</w:t>
            </w:r>
          </w:p>
        </w:tc>
        <w:tc>
          <w:tcPr>
            <w:tcW w:w="960" w:type="dxa"/>
            <w:tcBorders>
              <w:top w:val="nil"/>
              <w:left w:val="nil"/>
              <w:bottom w:val="nil"/>
              <w:right w:val="nil"/>
            </w:tcBorders>
            <w:shd w:val="clear" w:color="auto" w:fill="auto"/>
            <w:noWrap/>
            <w:vAlign w:val="bottom"/>
            <w:hideMark/>
          </w:tcPr>
          <w:p w14:paraId="6E1938DE"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8A78074"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F7B9E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36A2E17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21B0DF03"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96839D4"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7F3549"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2BFF00"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0FE24F70"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r>
      <w:tr w:rsidR="00350622" w:rsidRPr="00350622" w14:paraId="3294BA3D"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518DAE71"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Student Characteristics</w:t>
            </w:r>
          </w:p>
        </w:tc>
        <w:tc>
          <w:tcPr>
            <w:tcW w:w="960" w:type="dxa"/>
            <w:tcBorders>
              <w:top w:val="nil"/>
              <w:left w:val="nil"/>
              <w:bottom w:val="nil"/>
              <w:right w:val="nil"/>
            </w:tcBorders>
            <w:shd w:val="clear" w:color="auto" w:fill="auto"/>
            <w:noWrap/>
            <w:vAlign w:val="bottom"/>
            <w:hideMark/>
          </w:tcPr>
          <w:p w14:paraId="436A052F"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555B7A3"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472C0B4"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57A71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2AB1CDD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232523A"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89397C"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6F2FA7"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83EFD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r>
      <w:tr w:rsidR="00350622" w:rsidRPr="00350622" w14:paraId="5D810EC8"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0EB97361"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Dependent Mean Pre-Legalization</w:t>
            </w:r>
          </w:p>
        </w:tc>
        <w:tc>
          <w:tcPr>
            <w:tcW w:w="960" w:type="dxa"/>
            <w:tcBorders>
              <w:top w:val="nil"/>
              <w:left w:val="nil"/>
              <w:bottom w:val="nil"/>
              <w:right w:val="nil"/>
            </w:tcBorders>
            <w:shd w:val="clear" w:color="auto" w:fill="auto"/>
            <w:noWrap/>
            <w:vAlign w:val="bottom"/>
            <w:hideMark/>
          </w:tcPr>
          <w:p w14:paraId="7B8C131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47C49AA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5C6D5E3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6AC45F9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.021</w:t>
            </w:r>
          </w:p>
        </w:tc>
        <w:tc>
          <w:tcPr>
            <w:tcW w:w="340" w:type="dxa"/>
            <w:tcBorders>
              <w:top w:val="nil"/>
              <w:left w:val="nil"/>
              <w:bottom w:val="nil"/>
              <w:right w:val="nil"/>
            </w:tcBorders>
            <w:shd w:val="clear" w:color="auto" w:fill="auto"/>
            <w:noWrap/>
            <w:vAlign w:val="bottom"/>
            <w:hideMark/>
          </w:tcPr>
          <w:p w14:paraId="0A94D8A3"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B47AD8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.029</w:t>
            </w:r>
          </w:p>
        </w:tc>
        <w:tc>
          <w:tcPr>
            <w:tcW w:w="960" w:type="dxa"/>
            <w:tcBorders>
              <w:top w:val="nil"/>
              <w:left w:val="nil"/>
              <w:bottom w:val="nil"/>
              <w:right w:val="nil"/>
            </w:tcBorders>
            <w:shd w:val="clear" w:color="auto" w:fill="auto"/>
            <w:noWrap/>
            <w:vAlign w:val="bottom"/>
            <w:hideMark/>
          </w:tcPr>
          <w:p w14:paraId="57D8AC0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.029</w:t>
            </w:r>
          </w:p>
        </w:tc>
        <w:tc>
          <w:tcPr>
            <w:tcW w:w="960" w:type="dxa"/>
            <w:tcBorders>
              <w:top w:val="nil"/>
              <w:left w:val="nil"/>
              <w:bottom w:val="nil"/>
              <w:right w:val="nil"/>
            </w:tcBorders>
            <w:shd w:val="clear" w:color="auto" w:fill="auto"/>
            <w:noWrap/>
            <w:vAlign w:val="bottom"/>
            <w:hideMark/>
          </w:tcPr>
          <w:p w14:paraId="2E4C1A7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.029</w:t>
            </w:r>
          </w:p>
        </w:tc>
        <w:tc>
          <w:tcPr>
            <w:tcW w:w="960" w:type="dxa"/>
            <w:tcBorders>
              <w:top w:val="nil"/>
              <w:left w:val="nil"/>
              <w:bottom w:val="nil"/>
              <w:right w:val="nil"/>
            </w:tcBorders>
            <w:shd w:val="clear" w:color="auto" w:fill="auto"/>
            <w:noWrap/>
            <w:vAlign w:val="bottom"/>
            <w:hideMark/>
          </w:tcPr>
          <w:p w14:paraId="389F976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.029</w:t>
            </w:r>
          </w:p>
        </w:tc>
      </w:tr>
      <w:tr w:rsidR="00350622" w:rsidRPr="00350622" w14:paraId="0872EBCA"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3B20F4DC"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Observations</w:t>
            </w:r>
          </w:p>
        </w:tc>
        <w:tc>
          <w:tcPr>
            <w:tcW w:w="960" w:type="dxa"/>
            <w:tcBorders>
              <w:top w:val="nil"/>
              <w:left w:val="nil"/>
              <w:bottom w:val="nil"/>
              <w:right w:val="nil"/>
            </w:tcBorders>
            <w:shd w:val="clear" w:color="auto" w:fill="auto"/>
            <w:noWrap/>
            <w:vAlign w:val="bottom"/>
            <w:hideMark/>
          </w:tcPr>
          <w:p w14:paraId="7A5E6C77"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246</w:t>
            </w:r>
          </w:p>
        </w:tc>
        <w:tc>
          <w:tcPr>
            <w:tcW w:w="960" w:type="dxa"/>
            <w:tcBorders>
              <w:top w:val="nil"/>
              <w:left w:val="nil"/>
              <w:bottom w:val="nil"/>
              <w:right w:val="nil"/>
            </w:tcBorders>
            <w:shd w:val="clear" w:color="auto" w:fill="auto"/>
            <w:noWrap/>
            <w:vAlign w:val="bottom"/>
            <w:hideMark/>
          </w:tcPr>
          <w:p w14:paraId="13741B8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246</w:t>
            </w:r>
          </w:p>
        </w:tc>
        <w:tc>
          <w:tcPr>
            <w:tcW w:w="960" w:type="dxa"/>
            <w:tcBorders>
              <w:top w:val="nil"/>
              <w:left w:val="nil"/>
              <w:bottom w:val="nil"/>
              <w:right w:val="nil"/>
            </w:tcBorders>
            <w:shd w:val="clear" w:color="auto" w:fill="auto"/>
            <w:noWrap/>
            <w:vAlign w:val="bottom"/>
            <w:hideMark/>
          </w:tcPr>
          <w:p w14:paraId="6851AFA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246</w:t>
            </w:r>
          </w:p>
        </w:tc>
        <w:tc>
          <w:tcPr>
            <w:tcW w:w="960" w:type="dxa"/>
            <w:tcBorders>
              <w:top w:val="nil"/>
              <w:left w:val="nil"/>
              <w:bottom w:val="nil"/>
              <w:right w:val="nil"/>
            </w:tcBorders>
            <w:shd w:val="clear" w:color="auto" w:fill="auto"/>
            <w:noWrap/>
            <w:vAlign w:val="bottom"/>
            <w:hideMark/>
          </w:tcPr>
          <w:p w14:paraId="20CDC70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246</w:t>
            </w:r>
          </w:p>
        </w:tc>
        <w:tc>
          <w:tcPr>
            <w:tcW w:w="340" w:type="dxa"/>
            <w:tcBorders>
              <w:top w:val="nil"/>
              <w:left w:val="nil"/>
              <w:bottom w:val="nil"/>
              <w:right w:val="nil"/>
            </w:tcBorders>
            <w:shd w:val="clear" w:color="auto" w:fill="auto"/>
            <w:noWrap/>
            <w:vAlign w:val="bottom"/>
            <w:hideMark/>
          </w:tcPr>
          <w:p w14:paraId="115869E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7E4668B"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246</w:t>
            </w:r>
          </w:p>
        </w:tc>
        <w:tc>
          <w:tcPr>
            <w:tcW w:w="960" w:type="dxa"/>
            <w:tcBorders>
              <w:top w:val="nil"/>
              <w:left w:val="nil"/>
              <w:bottom w:val="nil"/>
              <w:right w:val="nil"/>
            </w:tcBorders>
            <w:shd w:val="clear" w:color="auto" w:fill="auto"/>
            <w:noWrap/>
            <w:vAlign w:val="bottom"/>
            <w:hideMark/>
          </w:tcPr>
          <w:p w14:paraId="603E93D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246</w:t>
            </w:r>
          </w:p>
        </w:tc>
        <w:tc>
          <w:tcPr>
            <w:tcW w:w="960" w:type="dxa"/>
            <w:tcBorders>
              <w:top w:val="nil"/>
              <w:left w:val="nil"/>
              <w:bottom w:val="nil"/>
              <w:right w:val="nil"/>
            </w:tcBorders>
            <w:shd w:val="clear" w:color="auto" w:fill="auto"/>
            <w:noWrap/>
            <w:vAlign w:val="bottom"/>
            <w:hideMark/>
          </w:tcPr>
          <w:p w14:paraId="5BBBC6C0"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246</w:t>
            </w:r>
          </w:p>
        </w:tc>
        <w:tc>
          <w:tcPr>
            <w:tcW w:w="960" w:type="dxa"/>
            <w:tcBorders>
              <w:top w:val="nil"/>
              <w:left w:val="nil"/>
              <w:bottom w:val="nil"/>
              <w:right w:val="nil"/>
            </w:tcBorders>
            <w:shd w:val="clear" w:color="auto" w:fill="auto"/>
            <w:noWrap/>
            <w:vAlign w:val="bottom"/>
            <w:hideMark/>
          </w:tcPr>
          <w:p w14:paraId="4DC48D70"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246</w:t>
            </w:r>
          </w:p>
        </w:tc>
      </w:tr>
      <w:tr w:rsidR="00350622" w:rsidRPr="00350622" w14:paraId="36583095"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3BCC5FA7"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A7E5725"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E1F93D"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2367FC"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590BAE"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472209F2"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E46CCA"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2E8674"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E900C3"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CEEC9D" w14:textId="77777777" w:rsidR="00350622" w:rsidRPr="00350622" w:rsidRDefault="00350622" w:rsidP="00350622">
            <w:pPr>
              <w:spacing w:after="0" w:line="240" w:lineRule="auto"/>
              <w:rPr>
                <w:rFonts w:ascii="Times New Roman" w:eastAsia="Times New Roman" w:hAnsi="Times New Roman" w:cs="Times New Roman"/>
                <w:sz w:val="20"/>
                <w:szCs w:val="20"/>
              </w:rPr>
            </w:pPr>
          </w:p>
        </w:tc>
      </w:tr>
      <w:tr w:rsidR="00350622" w:rsidRPr="00350622" w14:paraId="799B3B8E"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704C8D2E" w14:textId="77777777" w:rsidR="00350622" w:rsidRPr="00350622" w:rsidRDefault="00350622" w:rsidP="00350622">
            <w:pPr>
              <w:spacing w:after="0" w:line="240" w:lineRule="auto"/>
              <w:rPr>
                <w:rFonts w:ascii="Times New Roman" w:eastAsia="Times New Roman" w:hAnsi="Times New Roman" w:cs="Times New Roman"/>
                <w:i/>
                <w:iCs/>
                <w:color w:val="000000"/>
                <w:sz w:val="20"/>
                <w:szCs w:val="20"/>
              </w:rPr>
            </w:pPr>
            <w:r w:rsidRPr="00350622">
              <w:rPr>
                <w:rFonts w:ascii="Times New Roman" w:eastAsia="Times New Roman" w:hAnsi="Times New Roman" w:cs="Times New Roman"/>
                <w:i/>
                <w:iCs/>
                <w:color w:val="000000"/>
                <w:sz w:val="20"/>
                <w:szCs w:val="20"/>
              </w:rPr>
              <w:t>Panel B: 12th Grade</w:t>
            </w:r>
          </w:p>
        </w:tc>
        <w:tc>
          <w:tcPr>
            <w:tcW w:w="960" w:type="dxa"/>
            <w:tcBorders>
              <w:top w:val="nil"/>
              <w:left w:val="nil"/>
              <w:bottom w:val="nil"/>
              <w:right w:val="nil"/>
            </w:tcBorders>
            <w:shd w:val="clear" w:color="auto" w:fill="auto"/>
            <w:noWrap/>
            <w:vAlign w:val="bottom"/>
            <w:hideMark/>
          </w:tcPr>
          <w:p w14:paraId="43D121BC" w14:textId="77777777" w:rsidR="00350622" w:rsidRPr="00350622" w:rsidRDefault="00350622" w:rsidP="00350622">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4908053C"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3BDA3C4"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406F4B"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BFA68F7"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99819A"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0DE1C9"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9BCB23" w14:textId="77777777" w:rsidR="00350622" w:rsidRPr="00350622" w:rsidRDefault="00350622" w:rsidP="003506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CCE5DE" w14:textId="77777777" w:rsidR="00350622" w:rsidRPr="00350622" w:rsidRDefault="00350622" w:rsidP="00350622">
            <w:pPr>
              <w:spacing w:after="0" w:line="240" w:lineRule="auto"/>
              <w:rPr>
                <w:rFonts w:ascii="Times New Roman" w:eastAsia="Times New Roman" w:hAnsi="Times New Roman" w:cs="Times New Roman"/>
                <w:sz w:val="20"/>
                <w:szCs w:val="20"/>
              </w:rPr>
            </w:pPr>
          </w:p>
        </w:tc>
      </w:tr>
      <w:tr w:rsidR="00350622" w:rsidRPr="00350622" w14:paraId="51313CD4"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5348A27B"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School is within 10 Mins of a Lottery Winner</w:t>
            </w:r>
          </w:p>
        </w:tc>
        <w:tc>
          <w:tcPr>
            <w:tcW w:w="960" w:type="dxa"/>
            <w:tcBorders>
              <w:top w:val="nil"/>
              <w:left w:val="nil"/>
              <w:bottom w:val="nil"/>
              <w:right w:val="nil"/>
            </w:tcBorders>
            <w:shd w:val="clear" w:color="auto" w:fill="auto"/>
            <w:noWrap/>
            <w:vAlign w:val="bottom"/>
            <w:hideMark/>
          </w:tcPr>
          <w:p w14:paraId="248E381B"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0.011</w:t>
            </w:r>
          </w:p>
        </w:tc>
        <w:tc>
          <w:tcPr>
            <w:tcW w:w="960" w:type="dxa"/>
            <w:tcBorders>
              <w:top w:val="nil"/>
              <w:left w:val="nil"/>
              <w:bottom w:val="nil"/>
              <w:right w:val="nil"/>
            </w:tcBorders>
            <w:shd w:val="clear" w:color="auto" w:fill="auto"/>
            <w:noWrap/>
            <w:vAlign w:val="bottom"/>
            <w:hideMark/>
          </w:tcPr>
          <w:p w14:paraId="7F0B1B1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0.010</w:t>
            </w:r>
          </w:p>
        </w:tc>
        <w:tc>
          <w:tcPr>
            <w:tcW w:w="960" w:type="dxa"/>
            <w:tcBorders>
              <w:top w:val="nil"/>
              <w:left w:val="nil"/>
              <w:bottom w:val="nil"/>
              <w:right w:val="nil"/>
            </w:tcBorders>
            <w:shd w:val="clear" w:color="auto" w:fill="auto"/>
            <w:noWrap/>
            <w:vAlign w:val="bottom"/>
            <w:hideMark/>
          </w:tcPr>
          <w:p w14:paraId="681BB69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0.012</w:t>
            </w:r>
          </w:p>
        </w:tc>
        <w:tc>
          <w:tcPr>
            <w:tcW w:w="960" w:type="dxa"/>
            <w:tcBorders>
              <w:top w:val="nil"/>
              <w:left w:val="nil"/>
              <w:bottom w:val="nil"/>
              <w:right w:val="nil"/>
            </w:tcBorders>
            <w:shd w:val="clear" w:color="auto" w:fill="auto"/>
            <w:noWrap/>
            <w:vAlign w:val="bottom"/>
            <w:hideMark/>
          </w:tcPr>
          <w:p w14:paraId="0A38D2B1"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0.009</w:t>
            </w:r>
          </w:p>
        </w:tc>
        <w:tc>
          <w:tcPr>
            <w:tcW w:w="340" w:type="dxa"/>
            <w:tcBorders>
              <w:top w:val="nil"/>
              <w:left w:val="nil"/>
              <w:bottom w:val="nil"/>
              <w:right w:val="nil"/>
            </w:tcBorders>
            <w:shd w:val="clear" w:color="auto" w:fill="auto"/>
            <w:noWrap/>
            <w:vAlign w:val="bottom"/>
            <w:hideMark/>
          </w:tcPr>
          <w:p w14:paraId="40F7923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4B20201"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0.020</w:t>
            </w:r>
          </w:p>
        </w:tc>
        <w:tc>
          <w:tcPr>
            <w:tcW w:w="960" w:type="dxa"/>
            <w:tcBorders>
              <w:top w:val="nil"/>
              <w:left w:val="nil"/>
              <w:bottom w:val="nil"/>
              <w:right w:val="nil"/>
            </w:tcBorders>
            <w:shd w:val="clear" w:color="auto" w:fill="auto"/>
            <w:noWrap/>
            <w:vAlign w:val="bottom"/>
            <w:hideMark/>
          </w:tcPr>
          <w:p w14:paraId="6C03C40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0.022</w:t>
            </w:r>
          </w:p>
        </w:tc>
        <w:tc>
          <w:tcPr>
            <w:tcW w:w="960" w:type="dxa"/>
            <w:tcBorders>
              <w:top w:val="nil"/>
              <w:left w:val="nil"/>
              <w:bottom w:val="nil"/>
              <w:right w:val="nil"/>
            </w:tcBorders>
            <w:shd w:val="clear" w:color="auto" w:fill="auto"/>
            <w:noWrap/>
            <w:vAlign w:val="bottom"/>
            <w:hideMark/>
          </w:tcPr>
          <w:p w14:paraId="6783BDC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0.021</w:t>
            </w:r>
          </w:p>
        </w:tc>
        <w:tc>
          <w:tcPr>
            <w:tcW w:w="960" w:type="dxa"/>
            <w:tcBorders>
              <w:top w:val="nil"/>
              <w:left w:val="nil"/>
              <w:bottom w:val="nil"/>
              <w:right w:val="nil"/>
            </w:tcBorders>
            <w:shd w:val="clear" w:color="auto" w:fill="auto"/>
            <w:noWrap/>
            <w:vAlign w:val="bottom"/>
            <w:hideMark/>
          </w:tcPr>
          <w:p w14:paraId="4414133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0.017</w:t>
            </w:r>
          </w:p>
        </w:tc>
      </w:tr>
      <w:tr w:rsidR="00350622" w:rsidRPr="00350622" w14:paraId="0D792B49" w14:textId="77777777" w:rsidTr="00E23F97">
        <w:trPr>
          <w:trHeight w:val="300"/>
          <w:jc w:val="center"/>
        </w:trPr>
        <w:tc>
          <w:tcPr>
            <w:tcW w:w="3800" w:type="dxa"/>
            <w:tcBorders>
              <w:top w:val="nil"/>
              <w:left w:val="nil"/>
              <w:bottom w:val="nil"/>
              <w:right w:val="nil"/>
            </w:tcBorders>
            <w:shd w:val="clear" w:color="auto" w:fill="auto"/>
            <w:noWrap/>
            <w:vAlign w:val="center"/>
            <w:hideMark/>
          </w:tcPr>
          <w:p w14:paraId="68F77EC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9C7C2D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(0.0056)</w:t>
            </w:r>
          </w:p>
        </w:tc>
        <w:tc>
          <w:tcPr>
            <w:tcW w:w="960" w:type="dxa"/>
            <w:tcBorders>
              <w:top w:val="nil"/>
              <w:left w:val="nil"/>
              <w:bottom w:val="nil"/>
              <w:right w:val="nil"/>
            </w:tcBorders>
            <w:shd w:val="clear" w:color="auto" w:fill="auto"/>
            <w:noWrap/>
            <w:vAlign w:val="bottom"/>
            <w:hideMark/>
          </w:tcPr>
          <w:p w14:paraId="7F8A28B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(0.0057)</w:t>
            </w:r>
          </w:p>
        </w:tc>
        <w:tc>
          <w:tcPr>
            <w:tcW w:w="960" w:type="dxa"/>
            <w:tcBorders>
              <w:top w:val="nil"/>
              <w:left w:val="nil"/>
              <w:bottom w:val="nil"/>
              <w:right w:val="nil"/>
            </w:tcBorders>
            <w:shd w:val="clear" w:color="auto" w:fill="auto"/>
            <w:noWrap/>
            <w:vAlign w:val="bottom"/>
            <w:hideMark/>
          </w:tcPr>
          <w:p w14:paraId="7249BFE3"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(0.0056)</w:t>
            </w:r>
          </w:p>
        </w:tc>
        <w:tc>
          <w:tcPr>
            <w:tcW w:w="960" w:type="dxa"/>
            <w:tcBorders>
              <w:top w:val="nil"/>
              <w:left w:val="nil"/>
              <w:bottom w:val="nil"/>
              <w:right w:val="nil"/>
            </w:tcBorders>
            <w:shd w:val="clear" w:color="auto" w:fill="auto"/>
            <w:noWrap/>
            <w:vAlign w:val="bottom"/>
            <w:hideMark/>
          </w:tcPr>
          <w:p w14:paraId="1253509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(0.0053)</w:t>
            </w:r>
          </w:p>
        </w:tc>
        <w:tc>
          <w:tcPr>
            <w:tcW w:w="340" w:type="dxa"/>
            <w:tcBorders>
              <w:top w:val="nil"/>
              <w:left w:val="nil"/>
              <w:bottom w:val="nil"/>
              <w:right w:val="nil"/>
            </w:tcBorders>
            <w:shd w:val="clear" w:color="auto" w:fill="auto"/>
            <w:noWrap/>
            <w:vAlign w:val="bottom"/>
            <w:hideMark/>
          </w:tcPr>
          <w:p w14:paraId="214784B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FBAAAA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(0.0065)</w:t>
            </w:r>
          </w:p>
        </w:tc>
        <w:tc>
          <w:tcPr>
            <w:tcW w:w="960" w:type="dxa"/>
            <w:tcBorders>
              <w:top w:val="nil"/>
              <w:left w:val="nil"/>
              <w:bottom w:val="nil"/>
              <w:right w:val="nil"/>
            </w:tcBorders>
            <w:shd w:val="clear" w:color="auto" w:fill="auto"/>
            <w:noWrap/>
            <w:vAlign w:val="bottom"/>
            <w:hideMark/>
          </w:tcPr>
          <w:p w14:paraId="4732C561"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(0.0072)</w:t>
            </w:r>
          </w:p>
        </w:tc>
        <w:tc>
          <w:tcPr>
            <w:tcW w:w="960" w:type="dxa"/>
            <w:tcBorders>
              <w:top w:val="nil"/>
              <w:left w:val="nil"/>
              <w:bottom w:val="nil"/>
              <w:right w:val="nil"/>
            </w:tcBorders>
            <w:shd w:val="clear" w:color="auto" w:fill="auto"/>
            <w:noWrap/>
            <w:vAlign w:val="bottom"/>
            <w:hideMark/>
          </w:tcPr>
          <w:p w14:paraId="01CAF0D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(0.0066)</w:t>
            </w:r>
          </w:p>
        </w:tc>
        <w:tc>
          <w:tcPr>
            <w:tcW w:w="960" w:type="dxa"/>
            <w:tcBorders>
              <w:top w:val="nil"/>
              <w:left w:val="nil"/>
              <w:bottom w:val="nil"/>
              <w:right w:val="nil"/>
            </w:tcBorders>
            <w:shd w:val="clear" w:color="auto" w:fill="auto"/>
            <w:noWrap/>
            <w:vAlign w:val="bottom"/>
            <w:hideMark/>
          </w:tcPr>
          <w:p w14:paraId="6186DA7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(0.0067)</w:t>
            </w:r>
          </w:p>
        </w:tc>
      </w:tr>
      <w:tr w:rsidR="00350622" w:rsidRPr="00350622" w14:paraId="4926D0D6" w14:textId="77777777" w:rsidTr="00E23F97">
        <w:trPr>
          <w:trHeight w:val="300"/>
          <w:jc w:val="center"/>
        </w:trPr>
        <w:tc>
          <w:tcPr>
            <w:tcW w:w="3800" w:type="dxa"/>
            <w:tcBorders>
              <w:top w:val="nil"/>
              <w:left w:val="nil"/>
              <w:bottom w:val="nil"/>
              <w:right w:val="nil"/>
            </w:tcBorders>
            <w:shd w:val="clear" w:color="auto" w:fill="auto"/>
            <w:noWrap/>
            <w:vAlign w:val="bottom"/>
            <w:hideMark/>
          </w:tcPr>
          <w:p w14:paraId="7C7E3E4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227EA7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[0.023]</w:t>
            </w:r>
          </w:p>
        </w:tc>
        <w:tc>
          <w:tcPr>
            <w:tcW w:w="960" w:type="dxa"/>
            <w:tcBorders>
              <w:top w:val="nil"/>
              <w:left w:val="nil"/>
              <w:bottom w:val="nil"/>
              <w:right w:val="nil"/>
            </w:tcBorders>
            <w:shd w:val="clear" w:color="auto" w:fill="auto"/>
            <w:noWrap/>
            <w:vAlign w:val="bottom"/>
            <w:hideMark/>
          </w:tcPr>
          <w:p w14:paraId="205A5B0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[0.036]</w:t>
            </w:r>
          </w:p>
        </w:tc>
        <w:tc>
          <w:tcPr>
            <w:tcW w:w="960" w:type="dxa"/>
            <w:tcBorders>
              <w:top w:val="nil"/>
              <w:left w:val="nil"/>
              <w:bottom w:val="nil"/>
              <w:right w:val="nil"/>
            </w:tcBorders>
            <w:shd w:val="clear" w:color="auto" w:fill="auto"/>
            <w:noWrap/>
            <w:vAlign w:val="bottom"/>
            <w:hideMark/>
          </w:tcPr>
          <w:p w14:paraId="4563E5A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[0.015]</w:t>
            </w:r>
          </w:p>
        </w:tc>
        <w:tc>
          <w:tcPr>
            <w:tcW w:w="960" w:type="dxa"/>
            <w:tcBorders>
              <w:top w:val="nil"/>
              <w:left w:val="nil"/>
              <w:bottom w:val="nil"/>
              <w:right w:val="nil"/>
            </w:tcBorders>
            <w:shd w:val="clear" w:color="auto" w:fill="auto"/>
            <w:noWrap/>
            <w:vAlign w:val="bottom"/>
            <w:hideMark/>
          </w:tcPr>
          <w:p w14:paraId="246F0387"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[0.057]</w:t>
            </w:r>
          </w:p>
        </w:tc>
        <w:tc>
          <w:tcPr>
            <w:tcW w:w="340" w:type="dxa"/>
            <w:tcBorders>
              <w:top w:val="nil"/>
              <w:left w:val="nil"/>
              <w:bottom w:val="nil"/>
              <w:right w:val="nil"/>
            </w:tcBorders>
            <w:shd w:val="clear" w:color="auto" w:fill="auto"/>
            <w:noWrap/>
            <w:vAlign w:val="bottom"/>
            <w:hideMark/>
          </w:tcPr>
          <w:p w14:paraId="51E7182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99750CA"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2D03121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69D941A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4EB9CE2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r>
      <w:tr w:rsidR="00350622" w:rsidRPr="00350622" w14:paraId="5FB8D4D2"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712688B1"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E56DE2B"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1595F8C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{0.020}</w:t>
            </w:r>
          </w:p>
        </w:tc>
        <w:tc>
          <w:tcPr>
            <w:tcW w:w="960" w:type="dxa"/>
            <w:tcBorders>
              <w:top w:val="nil"/>
              <w:left w:val="nil"/>
              <w:bottom w:val="nil"/>
              <w:right w:val="nil"/>
            </w:tcBorders>
            <w:shd w:val="clear" w:color="auto" w:fill="auto"/>
            <w:noWrap/>
            <w:vAlign w:val="bottom"/>
            <w:hideMark/>
          </w:tcPr>
          <w:p w14:paraId="3576C0F1"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27D4A9AE"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{0.020}</w:t>
            </w:r>
          </w:p>
        </w:tc>
        <w:tc>
          <w:tcPr>
            <w:tcW w:w="340" w:type="dxa"/>
            <w:tcBorders>
              <w:top w:val="nil"/>
              <w:left w:val="nil"/>
              <w:bottom w:val="nil"/>
              <w:right w:val="nil"/>
            </w:tcBorders>
            <w:shd w:val="clear" w:color="auto" w:fill="auto"/>
            <w:noWrap/>
            <w:vAlign w:val="bottom"/>
            <w:hideMark/>
          </w:tcPr>
          <w:p w14:paraId="247E40AB"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A83AC67"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48799B7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7C4D4EC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3CD558B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{0.005}</w:t>
            </w:r>
          </w:p>
        </w:tc>
      </w:tr>
      <w:tr w:rsidR="00350622" w:rsidRPr="00350622" w14:paraId="7B7A5E71"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50C9578D"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 Dispensary License Applicants in 10 Mins</w:t>
            </w:r>
          </w:p>
        </w:tc>
        <w:tc>
          <w:tcPr>
            <w:tcW w:w="960" w:type="dxa"/>
            <w:tcBorders>
              <w:top w:val="nil"/>
              <w:left w:val="nil"/>
              <w:bottom w:val="nil"/>
              <w:right w:val="nil"/>
            </w:tcBorders>
            <w:shd w:val="clear" w:color="auto" w:fill="auto"/>
            <w:noWrap/>
            <w:vAlign w:val="bottom"/>
            <w:hideMark/>
          </w:tcPr>
          <w:p w14:paraId="57309F34"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F5865B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7D42A61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0EAE2BB"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4E08C4B9"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6FCE2A"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45083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6858C91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1288B72"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r>
      <w:tr w:rsidR="00350622" w:rsidRPr="00350622" w14:paraId="6FE68C46"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20860093"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School Locale Indicators and Year FEs</w:t>
            </w:r>
          </w:p>
        </w:tc>
        <w:tc>
          <w:tcPr>
            <w:tcW w:w="960" w:type="dxa"/>
            <w:tcBorders>
              <w:top w:val="nil"/>
              <w:left w:val="nil"/>
              <w:bottom w:val="nil"/>
              <w:right w:val="nil"/>
            </w:tcBorders>
            <w:shd w:val="clear" w:color="auto" w:fill="auto"/>
            <w:noWrap/>
            <w:vAlign w:val="bottom"/>
            <w:hideMark/>
          </w:tcPr>
          <w:p w14:paraId="4FD0D40E"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963EFF6"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9F95FC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5EDCEE1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5CA8135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6FC03DF"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2D4C1D"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DCDE70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6F24BFF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r>
      <w:tr w:rsidR="00350622" w:rsidRPr="00350622" w14:paraId="2E21E749" w14:textId="77777777" w:rsidTr="00E23F97">
        <w:trPr>
          <w:trHeight w:val="290"/>
          <w:jc w:val="center"/>
        </w:trPr>
        <w:tc>
          <w:tcPr>
            <w:tcW w:w="3800" w:type="dxa"/>
            <w:tcBorders>
              <w:top w:val="nil"/>
              <w:left w:val="nil"/>
              <w:bottom w:val="nil"/>
              <w:right w:val="nil"/>
            </w:tcBorders>
            <w:shd w:val="clear" w:color="auto" w:fill="auto"/>
            <w:noWrap/>
            <w:vAlign w:val="center"/>
            <w:hideMark/>
          </w:tcPr>
          <w:p w14:paraId="7AA05655"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Student Characteristics</w:t>
            </w:r>
          </w:p>
        </w:tc>
        <w:tc>
          <w:tcPr>
            <w:tcW w:w="960" w:type="dxa"/>
            <w:tcBorders>
              <w:top w:val="nil"/>
              <w:left w:val="nil"/>
              <w:bottom w:val="nil"/>
              <w:right w:val="nil"/>
            </w:tcBorders>
            <w:shd w:val="clear" w:color="auto" w:fill="auto"/>
            <w:noWrap/>
            <w:vAlign w:val="bottom"/>
            <w:hideMark/>
          </w:tcPr>
          <w:p w14:paraId="741CF349"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5AE33D4"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7070CAD"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7E3FA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3A5DF990"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23BCCC0"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2AA783"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E69042F" w14:textId="77777777" w:rsidR="00350622" w:rsidRPr="00350622" w:rsidRDefault="00350622" w:rsidP="003506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D276B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X</w:t>
            </w:r>
          </w:p>
        </w:tc>
      </w:tr>
      <w:tr w:rsidR="00350622" w:rsidRPr="00350622" w14:paraId="59D1CCE3" w14:textId="77777777" w:rsidTr="00E23F97">
        <w:trPr>
          <w:trHeight w:val="290"/>
          <w:jc w:val="center"/>
        </w:trPr>
        <w:tc>
          <w:tcPr>
            <w:tcW w:w="3800" w:type="dxa"/>
            <w:tcBorders>
              <w:top w:val="nil"/>
              <w:left w:val="nil"/>
              <w:bottom w:val="nil"/>
              <w:right w:val="nil"/>
            </w:tcBorders>
            <w:shd w:val="clear" w:color="auto" w:fill="auto"/>
            <w:noWrap/>
            <w:vAlign w:val="bottom"/>
            <w:hideMark/>
          </w:tcPr>
          <w:p w14:paraId="65B29EF4"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Dependent Mean Pre-Legalization</w:t>
            </w:r>
          </w:p>
        </w:tc>
        <w:tc>
          <w:tcPr>
            <w:tcW w:w="960" w:type="dxa"/>
            <w:tcBorders>
              <w:top w:val="nil"/>
              <w:left w:val="nil"/>
              <w:bottom w:val="nil"/>
              <w:right w:val="nil"/>
            </w:tcBorders>
            <w:shd w:val="clear" w:color="auto" w:fill="auto"/>
            <w:noWrap/>
            <w:vAlign w:val="bottom"/>
            <w:hideMark/>
          </w:tcPr>
          <w:p w14:paraId="1088E2C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0.041</w:t>
            </w:r>
          </w:p>
        </w:tc>
        <w:tc>
          <w:tcPr>
            <w:tcW w:w="960" w:type="dxa"/>
            <w:tcBorders>
              <w:top w:val="nil"/>
              <w:left w:val="nil"/>
              <w:bottom w:val="nil"/>
              <w:right w:val="nil"/>
            </w:tcBorders>
            <w:shd w:val="clear" w:color="auto" w:fill="auto"/>
            <w:noWrap/>
            <w:vAlign w:val="bottom"/>
            <w:hideMark/>
          </w:tcPr>
          <w:p w14:paraId="6E7030C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0.041</w:t>
            </w:r>
          </w:p>
        </w:tc>
        <w:tc>
          <w:tcPr>
            <w:tcW w:w="960" w:type="dxa"/>
            <w:tcBorders>
              <w:top w:val="nil"/>
              <w:left w:val="nil"/>
              <w:bottom w:val="nil"/>
              <w:right w:val="nil"/>
            </w:tcBorders>
            <w:shd w:val="clear" w:color="auto" w:fill="auto"/>
            <w:noWrap/>
            <w:vAlign w:val="bottom"/>
            <w:hideMark/>
          </w:tcPr>
          <w:p w14:paraId="610CF9C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0.041</w:t>
            </w:r>
          </w:p>
        </w:tc>
        <w:tc>
          <w:tcPr>
            <w:tcW w:w="960" w:type="dxa"/>
            <w:tcBorders>
              <w:top w:val="nil"/>
              <w:left w:val="nil"/>
              <w:bottom w:val="nil"/>
              <w:right w:val="nil"/>
            </w:tcBorders>
            <w:shd w:val="clear" w:color="auto" w:fill="auto"/>
            <w:noWrap/>
            <w:vAlign w:val="bottom"/>
            <w:hideMark/>
          </w:tcPr>
          <w:p w14:paraId="49D6D78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0.041</w:t>
            </w:r>
          </w:p>
        </w:tc>
        <w:tc>
          <w:tcPr>
            <w:tcW w:w="340" w:type="dxa"/>
            <w:tcBorders>
              <w:top w:val="nil"/>
              <w:left w:val="nil"/>
              <w:bottom w:val="nil"/>
              <w:right w:val="nil"/>
            </w:tcBorders>
            <w:shd w:val="clear" w:color="auto" w:fill="auto"/>
            <w:noWrap/>
            <w:vAlign w:val="bottom"/>
            <w:hideMark/>
          </w:tcPr>
          <w:p w14:paraId="5218260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37779F1"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0.059</w:t>
            </w:r>
          </w:p>
        </w:tc>
        <w:tc>
          <w:tcPr>
            <w:tcW w:w="960" w:type="dxa"/>
            <w:tcBorders>
              <w:top w:val="nil"/>
              <w:left w:val="nil"/>
              <w:bottom w:val="nil"/>
              <w:right w:val="nil"/>
            </w:tcBorders>
            <w:shd w:val="clear" w:color="auto" w:fill="auto"/>
            <w:noWrap/>
            <w:vAlign w:val="bottom"/>
            <w:hideMark/>
          </w:tcPr>
          <w:p w14:paraId="198DCA2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0.059</w:t>
            </w:r>
          </w:p>
        </w:tc>
        <w:tc>
          <w:tcPr>
            <w:tcW w:w="960" w:type="dxa"/>
            <w:tcBorders>
              <w:top w:val="nil"/>
              <w:left w:val="nil"/>
              <w:bottom w:val="nil"/>
              <w:right w:val="nil"/>
            </w:tcBorders>
            <w:shd w:val="clear" w:color="auto" w:fill="auto"/>
            <w:noWrap/>
            <w:vAlign w:val="bottom"/>
            <w:hideMark/>
          </w:tcPr>
          <w:p w14:paraId="6F90E51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0.059</w:t>
            </w:r>
          </w:p>
        </w:tc>
        <w:tc>
          <w:tcPr>
            <w:tcW w:w="960" w:type="dxa"/>
            <w:tcBorders>
              <w:top w:val="nil"/>
              <w:left w:val="nil"/>
              <w:bottom w:val="nil"/>
              <w:right w:val="nil"/>
            </w:tcBorders>
            <w:shd w:val="clear" w:color="auto" w:fill="auto"/>
            <w:noWrap/>
            <w:vAlign w:val="bottom"/>
            <w:hideMark/>
          </w:tcPr>
          <w:p w14:paraId="24B1F35C"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0.059</w:t>
            </w:r>
          </w:p>
        </w:tc>
      </w:tr>
      <w:tr w:rsidR="00350622" w:rsidRPr="00350622" w14:paraId="50F2E35E" w14:textId="77777777" w:rsidTr="00E23F97">
        <w:trPr>
          <w:trHeight w:val="290"/>
          <w:jc w:val="center"/>
        </w:trPr>
        <w:tc>
          <w:tcPr>
            <w:tcW w:w="3800" w:type="dxa"/>
            <w:tcBorders>
              <w:top w:val="nil"/>
              <w:left w:val="nil"/>
              <w:bottom w:val="single" w:sz="4" w:space="0" w:color="auto"/>
              <w:right w:val="nil"/>
            </w:tcBorders>
            <w:shd w:val="clear" w:color="auto" w:fill="auto"/>
            <w:noWrap/>
            <w:vAlign w:val="bottom"/>
            <w:hideMark/>
          </w:tcPr>
          <w:p w14:paraId="60AE10B5" w14:textId="77777777" w:rsidR="00350622" w:rsidRPr="00350622" w:rsidRDefault="00350622" w:rsidP="00350622">
            <w:pPr>
              <w:spacing w:after="0" w:line="240" w:lineRule="auto"/>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Observations</w:t>
            </w:r>
          </w:p>
        </w:tc>
        <w:tc>
          <w:tcPr>
            <w:tcW w:w="960" w:type="dxa"/>
            <w:tcBorders>
              <w:top w:val="nil"/>
              <w:left w:val="nil"/>
              <w:bottom w:val="single" w:sz="4" w:space="0" w:color="auto"/>
              <w:right w:val="nil"/>
            </w:tcBorders>
            <w:shd w:val="clear" w:color="auto" w:fill="auto"/>
            <w:noWrap/>
            <w:vAlign w:val="bottom"/>
            <w:hideMark/>
          </w:tcPr>
          <w:p w14:paraId="10C3CD5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333</w:t>
            </w:r>
          </w:p>
        </w:tc>
        <w:tc>
          <w:tcPr>
            <w:tcW w:w="960" w:type="dxa"/>
            <w:tcBorders>
              <w:top w:val="nil"/>
              <w:left w:val="nil"/>
              <w:bottom w:val="single" w:sz="4" w:space="0" w:color="auto"/>
              <w:right w:val="nil"/>
            </w:tcBorders>
            <w:shd w:val="clear" w:color="auto" w:fill="auto"/>
            <w:noWrap/>
            <w:vAlign w:val="bottom"/>
            <w:hideMark/>
          </w:tcPr>
          <w:p w14:paraId="42A9576D"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333</w:t>
            </w:r>
          </w:p>
        </w:tc>
        <w:tc>
          <w:tcPr>
            <w:tcW w:w="960" w:type="dxa"/>
            <w:tcBorders>
              <w:top w:val="nil"/>
              <w:left w:val="nil"/>
              <w:bottom w:val="single" w:sz="4" w:space="0" w:color="auto"/>
              <w:right w:val="nil"/>
            </w:tcBorders>
            <w:shd w:val="clear" w:color="auto" w:fill="auto"/>
            <w:noWrap/>
            <w:vAlign w:val="bottom"/>
            <w:hideMark/>
          </w:tcPr>
          <w:p w14:paraId="758BBBBF"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333</w:t>
            </w:r>
          </w:p>
        </w:tc>
        <w:tc>
          <w:tcPr>
            <w:tcW w:w="960" w:type="dxa"/>
            <w:tcBorders>
              <w:top w:val="nil"/>
              <w:left w:val="nil"/>
              <w:bottom w:val="single" w:sz="4" w:space="0" w:color="auto"/>
              <w:right w:val="nil"/>
            </w:tcBorders>
            <w:shd w:val="clear" w:color="auto" w:fill="auto"/>
            <w:noWrap/>
            <w:vAlign w:val="bottom"/>
            <w:hideMark/>
          </w:tcPr>
          <w:p w14:paraId="0CAE95B6"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333</w:t>
            </w:r>
          </w:p>
        </w:tc>
        <w:tc>
          <w:tcPr>
            <w:tcW w:w="340" w:type="dxa"/>
            <w:tcBorders>
              <w:top w:val="nil"/>
              <w:left w:val="nil"/>
              <w:bottom w:val="single" w:sz="4" w:space="0" w:color="auto"/>
              <w:right w:val="nil"/>
            </w:tcBorders>
            <w:shd w:val="clear" w:color="auto" w:fill="auto"/>
            <w:noWrap/>
            <w:vAlign w:val="bottom"/>
            <w:hideMark/>
          </w:tcPr>
          <w:p w14:paraId="20B21C65"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6BF807C9"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333</w:t>
            </w:r>
          </w:p>
        </w:tc>
        <w:tc>
          <w:tcPr>
            <w:tcW w:w="960" w:type="dxa"/>
            <w:tcBorders>
              <w:top w:val="nil"/>
              <w:left w:val="nil"/>
              <w:bottom w:val="single" w:sz="4" w:space="0" w:color="auto"/>
              <w:right w:val="nil"/>
            </w:tcBorders>
            <w:shd w:val="clear" w:color="auto" w:fill="auto"/>
            <w:noWrap/>
            <w:vAlign w:val="bottom"/>
            <w:hideMark/>
          </w:tcPr>
          <w:p w14:paraId="254F9398"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333</w:t>
            </w:r>
          </w:p>
        </w:tc>
        <w:tc>
          <w:tcPr>
            <w:tcW w:w="960" w:type="dxa"/>
            <w:tcBorders>
              <w:top w:val="nil"/>
              <w:left w:val="nil"/>
              <w:bottom w:val="single" w:sz="4" w:space="0" w:color="auto"/>
              <w:right w:val="nil"/>
            </w:tcBorders>
            <w:shd w:val="clear" w:color="auto" w:fill="auto"/>
            <w:noWrap/>
            <w:vAlign w:val="bottom"/>
            <w:hideMark/>
          </w:tcPr>
          <w:p w14:paraId="78DE0582"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333</w:t>
            </w:r>
          </w:p>
        </w:tc>
        <w:tc>
          <w:tcPr>
            <w:tcW w:w="960" w:type="dxa"/>
            <w:tcBorders>
              <w:top w:val="nil"/>
              <w:left w:val="nil"/>
              <w:bottom w:val="single" w:sz="4" w:space="0" w:color="auto"/>
              <w:right w:val="nil"/>
            </w:tcBorders>
            <w:shd w:val="clear" w:color="auto" w:fill="auto"/>
            <w:noWrap/>
            <w:vAlign w:val="bottom"/>
            <w:hideMark/>
          </w:tcPr>
          <w:p w14:paraId="78863D84" w14:textId="77777777" w:rsidR="00350622" w:rsidRPr="00350622" w:rsidRDefault="00350622" w:rsidP="00350622">
            <w:pPr>
              <w:spacing w:after="0" w:line="240" w:lineRule="auto"/>
              <w:jc w:val="center"/>
              <w:rPr>
                <w:rFonts w:ascii="Times New Roman" w:eastAsia="Times New Roman" w:hAnsi="Times New Roman" w:cs="Times New Roman"/>
                <w:color w:val="000000"/>
                <w:sz w:val="20"/>
                <w:szCs w:val="20"/>
              </w:rPr>
            </w:pPr>
            <w:r w:rsidRPr="00350622">
              <w:rPr>
                <w:rFonts w:ascii="Times New Roman" w:eastAsia="Times New Roman" w:hAnsi="Times New Roman" w:cs="Times New Roman"/>
                <w:color w:val="000000"/>
                <w:sz w:val="20"/>
                <w:szCs w:val="20"/>
              </w:rPr>
              <w:t>333</w:t>
            </w:r>
          </w:p>
        </w:tc>
      </w:tr>
      <w:tr w:rsidR="00457162" w:rsidRPr="00350622" w14:paraId="02C0C6DC" w14:textId="77777777" w:rsidTr="00E23F97">
        <w:trPr>
          <w:trHeight w:val="290"/>
          <w:jc w:val="center"/>
        </w:trPr>
        <w:tc>
          <w:tcPr>
            <w:tcW w:w="11820" w:type="dxa"/>
            <w:gridSpan w:val="10"/>
            <w:tcBorders>
              <w:top w:val="nil"/>
              <w:left w:val="nil"/>
              <w:bottom w:val="nil"/>
              <w:right w:val="nil"/>
            </w:tcBorders>
            <w:shd w:val="clear" w:color="auto" w:fill="auto"/>
            <w:noWrap/>
            <w:vAlign w:val="bottom"/>
            <w:hideMark/>
          </w:tcPr>
          <w:p w14:paraId="582E4959" w14:textId="6A02FD86" w:rsidR="00457162" w:rsidRPr="00350622" w:rsidRDefault="00457162" w:rsidP="00457162">
            <w:pPr>
              <w:spacing w:after="0" w:line="240" w:lineRule="auto"/>
              <w:jc w:val="both"/>
              <w:rPr>
                <w:rFonts w:ascii="Times New Roman" w:eastAsia="Times New Roman" w:hAnsi="Times New Roman" w:cs="Times New Roman"/>
                <w:sz w:val="20"/>
                <w:szCs w:val="20"/>
              </w:rPr>
            </w:pPr>
            <w:r w:rsidRPr="009F2721">
              <w:rPr>
                <w:rFonts w:ascii="Times New Roman" w:eastAsia="Times New Roman" w:hAnsi="Times New Roman" w:cs="Times New Roman"/>
                <w:i/>
                <w:iCs/>
                <w:sz w:val="20"/>
                <w:szCs w:val="20"/>
              </w:rPr>
              <w:t xml:space="preserve">Notes: </w:t>
            </w:r>
            <w:r w:rsidRPr="009F2721">
              <w:rPr>
                <w:rFonts w:ascii="Times New Roman" w:eastAsia="Times New Roman" w:hAnsi="Times New Roman" w:cs="Times New Roman"/>
                <w:sz w:val="20"/>
                <w:szCs w:val="20"/>
              </w:rPr>
              <w:t>This table reports marginal effects from the estimation of equation</w:t>
            </w:r>
            <w:r>
              <w:rPr>
                <w:rFonts w:ascii="Times New Roman" w:eastAsia="Times New Roman" w:hAnsi="Times New Roman" w:cs="Times New Roman"/>
                <w:sz w:val="20"/>
                <w:szCs w:val="20"/>
              </w:rPr>
              <w:t>s</w:t>
            </w:r>
            <w:r w:rsidRPr="009F2721">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 (2), and (3)</w:t>
            </w:r>
            <w:r w:rsidRPr="009F2721">
              <w:rPr>
                <w:rFonts w:ascii="Times New Roman" w:eastAsia="Times New Roman" w:hAnsi="Times New Roman" w:cs="Times New Roman"/>
                <w:sz w:val="20"/>
                <w:szCs w:val="20"/>
              </w:rPr>
              <w:t>. The preferred specifications are in columns (4) and (8). All specifications include the 2014-15 and 2015-16 school years. School locale indicators include those for city, suburb, and town, and the omitted category is rural. Student characteristics include the proportions of free-or-reduced-price lunch, Black, Hispanic, and Asian students. Standard errors clustered by school are in parentheses. One-sided p-values from the original estimation are in square brackets, while one-sided Romano-Wolf p-values correcting for multiple hypothesis testing are in curly brackets. Average dropout rates for the schools in the sample prior to recreational marijuana legalization (i.e., the 2011-12 through 2013-14 school years) are also included.</w:t>
            </w:r>
            <w:r w:rsidRPr="002F3179">
              <w:rPr>
                <w:rFonts w:ascii="Times New Roman" w:eastAsia="Times New Roman" w:hAnsi="Times New Roman" w:cs="Times New Roman"/>
                <w:color w:val="000000"/>
              </w:rPr>
              <w:t> </w:t>
            </w:r>
          </w:p>
        </w:tc>
      </w:tr>
    </w:tbl>
    <w:p w14:paraId="2B104D1D" w14:textId="77777777" w:rsidR="00CA4D21" w:rsidRDefault="00CA4D21" w:rsidP="00D750E1">
      <w:pPr>
        <w:rPr>
          <w:rFonts w:ascii="Times New Roman" w:hAnsi="Times New Roman" w:cs="Times New Roman"/>
          <w:b/>
          <w:bCs/>
          <w:sz w:val="32"/>
          <w:szCs w:val="32"/>
        </w:rPr>
        <w:sectPr w:rsidR="00CA4D21" w:rsidSect="00B67BEF">
          <w:headerReference w:type="default" r:id="rId35"/>
          <w:pgSz w:w="15840" w:h="12240" w:orient="landscape"/>
          <w:pgMar w:top="1440" w:right="1440" w:bottom="1440" w:left="1440" w:header="720" w:footer="720" w:gutter="0"/>
          <w:cols w:space="720"/>
          <w:docGrid w:linePitch="360"/>
        </w:sectPr>
      </w:pPr>
    </w:p>
    <w:tbl>
      <w:tblPr>
        <w:tblW w:w="12433" w:type="dxa"/>
        <w:jc w:val="center"/>
        <w:tblLook w:val="04A0" w:firstRow="1" w:lastRow="0" w:firstColumn="1" w:lastColumn="0" w:noHBand="0" w:noVBand="1"/>
      </w:tblPr>
      <w:tblGrid>
        <w:gridCol w:w="4413"/>
        <w:gridCol w:w="960"/>
        <w:gridCol w:w="960"/>
        <w:gridCol w:w="960"/>
        <w:gridCol w:w="960"/>
        <w:gridCol w:w="340"/>
        <w:gridCol w:w="960"/>
        <w:gridCol w:w="960"/>
        <w:gridCol w:w="960"/>
        <w:gridCol w:w="960"/>
      </w:tblGrid>
      <w:tr w:rsidR="00442B54" w:rsidRPr="00442B54" w14:paraId="55161433" w14:textId="77777777" w:rsidTr="00CA4D21">
        <w:trPr>
          <w:trHeight w:val="300"/>
          <w:jc w:val="center"/>
        </w:trPr>
        <w:tc>
          <w:tcPr>
            <w:tcW w:w="12433" w:type="dxa"/>
            <w:gridSpan w:val="10"/>
            <w:tcBorders>
              <w:top w:val="nil"/>
              <w:left w:val="nil"/>
              <w:bottom w:val="double" w:sz="6" w:space="0" w:color="auto"/>
              <w:right w:val="nil"/>
            </w:tcBorders>
            <w:shd w:val="clear" w:color="auto" w:fill="auto"/>
            <w:noWrap/>
            <w:vAlign w:val="bottom"/>
            <w:hideMark/>
          </w:tcPr>
          <w:p w14:paraId="617C5E4C" w14:textId="77777777" w:rsidR="00442B54" w:rsidRDefault="00442B54" w:rsidP="00442B54">
            <w:pPr>
              <w:spacing w:after="0" w:line="240" w:lineRule="auto"/>
              <w:jc w:val="center"/>
              <w:rPr>
                <w:rFonts w:ascii="Times New Roman" w:eastAsia="Times New Roman" w:hAnsi="Times New Roman" w:cs="Times New Roman"/>
                <w:color w:val="000000"/>
                <w:sz w:val="24"/>
                <w:szCs w:val="24"/>
              </w:rPr>
            </w:pPr>
            <w:r w:rsidRPr="00F66BE6">
              <w:rPr>
                <w:rFonts w:ascii="Calibri" w:eastAsia="Times New Roman" w:hAnsi="Calibri" w:cs="Calibri"/>
                <w:color w:val="000000"/>
              </w:rPr>
              <w:lastRenderedPageBreak/>
              <w:t> </w:t>
            </w:r>
            <w:r w:rsidRPr="003663B9">
              <w:rPr>
                <w:rFonts w:ascii="Times New Roman" w:eastAsia="Times New Roman" w:hAnsi="Times New Roman" w:cs="Times New Roman"/>
                <w:color w:val="000000"/>
                <w:sz w:val="24"/>
                <w:szCs w:val="24"/>
              </w:rPr>
              <w:t xml:space="preserve">Table </w:t>
            </w:r>
            <w:r>
              <w:rPr>
                <w:rFonts w:ascii="Times New Roman" w:eastAsia="Times New Roman" w:hAnsi="Times New Roman" w:cs="Times New Roman"/>
                <w:color w:val="000000"/>
                <w:sz w:val="24"/>
                <w:szCs w:val="24"/>
              </w:rPr>
              <w:t>3</w:t>
            </w:r>
            <w:r w:rsidRPr="003663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Reduced Form Estimates </w:t>
            </w:r>
            <w:r w:rsidRPr="003663B9">
              <w:rPr>
                <w:rFonts w:ascii="Times New Roman" w:eastAsia="Times New Roman" w:hAnsi="Times New Roman" w:cs="Times New Roman"/>
                <w:color w:val="000000"/>
                <w:sz w:val="24"/>
                <w:szCs w:val="24"/>
              </w:rPr>
              <w:t xml:space="preserve">of the Washington Marijuana Dispensary Lottery on </w:t>
            </w:r>
            <w:r>
              <w:rPr>
                <w:rFonts w:ascii="Times New Roman" w:eastAsia="Times New Roman" w:hAnsi="Times New Roman" w:cs="Times New Roman"/>
                <w:color w:val="000000"/>
                <w:sz w:val="24"/>
                <w:szCs w:val="24"/>
              </w:rPr>
              <w:t>Chronic Absenteeism</w:t>
            </w:r>
          </w:p>
          <w:p w14:paraId="4360CF84" w14:textId="77777777" w:rsidR="00CA4D21" w:rsidRPr="008C6471" w:rsidRDefault="00CA4D21" w:rsidP="00442B54">
            <w:pPr>
              <w:spacing w:after="0" w:line="240" w:lineRule="auto"/>
              <w:jc w:val="center"/>
              <w:rPr>
                <w:rFonts w:ascii="Times New Roman" w:eastAsia="Times New Roman" w:hAnsi="Times New Roman" w:cs="Times New Roman"/>
                <w:color w:val="000000"/>
                <w:sz w:val="24"/>
                <w:szCs w:val="24"/>
              </w:rPr>
            </w:pPr>
          </w:p>
          <w:p w14:paraId="5C1963CA" w14:textId="07A1B3D3" w:rsidR="00442B54" w:rsidRPr="00442B54" w:rsidRDefault="00442B54" w:rsidP="00442B54">
            <w:pPr>
              <w:spacing w:after="0" w:line="240" w:lineRule="auto"/>
              <w:rPr>
                <w:rFonts w:ascii="Calibri" w:eastAsia="Times New Roman" w:hAnsi="Calibri" w:cs="Calibri"/>
                <w:color w:val="000000"/>
              </w:rPr>
            </w:pPr>
          </w:p>
        </w:tc>
      </w:tr>
      <w:tr w:rsidR="00442B54" w:rsidRPr="00442B54" w14:paraId="4C156C4E" w14:textId="77777777" w:rsidTr="00CA4D21">
        <w:trPr>
          <w:trHeight w:val="300"/>
          <w:jc w:val="center"/>
        </w:trPr>
        <w:tc>
          <w:tcPr>
            <w:tcW w:w="4413" w:type="dxa"/>
            <w:tcBorders>
              <w:top w:val="nil"/>
              <w:left w:val="nil"/>
              <w:bottom w:val="nil"/>
              <w:right w:val="nil"/>
            </w:tcBorders>
            <w:shd w:val="clear" w:color="auto" w:fill="auto"/>
            <w:noWrap/>
            <w:vAlign w:val="bottom"/>
            <w:hideMark/>
          </w:tcPr>
          <w:p w14:paraId="4B11BDDF" w14:textId="77777777" w:rsidR="00442B54" w:rsidRPr="00442B54" w:rsidRDefault="00442B54" w:rsidP="00442B54">
            <w:pPr>
              <w:spacing w:after="0" w:line="240" w:lineRule="auto"/>
              <w:rPr>
                <w:rFonts w:ascii="Calibri" w:eastAsia="Times New Roman" w:hAnsi="Calibri" w:cs="Calibri"/>
                <w:color w:val="000000"/>
              </w:rPr>
            </w:pPr>
          </w:p>
        </w:tc>
        <w:tc>
          <w:tcPr>
            <w:tcW w:w="3840" w:type="dxa"/>
            <w:gridSpan w:val="4"/>
            <w:tcBorders>
              <w:top w:val="nil"/>
              <w:left w:val="nil"/>
              <w:bottom w:val="single" w:sz="4" w:space="0" w:color="auto"/>
              <w:right w:val="nil"/>
            </w:tcBorders>
            <w:shd w:val="clear" w:color="auto" w:fill="auto"/>
            <w:noWrap/>
            <w:vAlign w:val="bottom"/>
            <w:hideMark/>
          </w:tcPr>
          <w:p w14:paraId="02ADE995"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Female</w:t>
            </w:r>
          </w:p>
        </w:tc>
        <w:tc>
          <w:tcPr>
            <w:tcW w:w="340" w:type="dxa"/>
            <w:tcBorders>
              <w:top w:val="nil"/>
              <w:left w:val="nil"/>
              <w:bottom w:val="nil"/>
              <w:right w:val="nil"/>
            </w:tcBorders>
            <w:shd w:val="clear" w:color="auto" w:fill="auto"/>
            <w:noWrap/>
            <w:vAlign w:val="bottom"/>
            <w:hideMark/>
          </w:tcPr>
          <w:p w14:paraId="64E6BD3D"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3840" w:type="dxa"/>
            <w:gridSpan w:val="4"/>
            <w:tcBorders>
              <w:top w:val="nil"/>
              <w:left w:val="nil"/>
              <w:bottom w:val="single" w:sz="4" w:space="0" w:color="auto"/>
              <w:right w:val="nil"/>
            </w:tcBorders>
            <w:shd w:val="clear" w:color="auto" w:fill="auto"/>
            <w:noWrap/>
            <w:vAlign w:val="bottom"/>
            <w:hideMark/>
          </w:tcPr>
          <w:p w14:paraId="02F6AB47"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Male</w:t>
            </w:r>
          </w:p>
        </w:tc>
      </w:tr>
      <w:tr w:rsidR="00442B54" w:rsidRPr="00442B54" w14:paraId="5614A714" w14:textId="77777777" w:rsidTr="00CA4D21">
        <w:trPr>
          <w:trHeight w:val="290"/>
          <w:jc w:val="center"/>
        </w:trPr>
        <w:tc>
          <w:tcPr>
            <w:tcW w:w="4413" w:type="dxa"/>
            <w:tcBorders>
              <w:top w:val="nil"/>
              <w:left w:val="nil"/>
              <w:bottom w:val="single" w:sz="4" w:space="0" w:color="auto"/>
              <w:right w:val="nil"/>
            </w:tcBorders>
            <w:shd w:val="clear" w:color="auto" w:fill="auto"/>
            <w:noWrap/>
            <w:vAlign w:val="bottom"/>
            <w:hideMark/>
          </w:tcPr>
          <w:p w14:paraId="6CE8B7F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36E56D9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nil"/>
            </w:tcBorders>
            <w:shd w:val="clear" w:color="auto" w:fill="auto"/>
            <w:noWrap/>
            <w:vAlign w:val="bottom"/>
            <w:hideMark/>
          </w:tcPr>
          <w:p w14:paraId="1AAA405B"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nil"/>
            </w:tcBorders>
            <w:shd w:val="clear" w:color="auto" w:fill="auto"/>
            <w:noWrap/>
            <w:vAlign w:val="bottom"/>
            <w:hideMark/>
          </w:tcPr>
          <w:p w14:paraId="10739843"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nil"/>
            </w:tcBorders>
            <w:shd w:val="clear" w:color="auto" w:fill="auto"/>
            <w:noWrap/>
            <w:vAlign w:val="bottom"/>
            <w:hideMark/>
          </w:tcPr>
          <w:p w14:paraId="3DA4F47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(4)</w:t>
            </w:r>
          </w:p>
        </w:tc>
        <w:tc>
          <w:tcPr>
            <w:tcW w:w="340" w:type="dxa"/>
            <w:tcBorders>
              <w:top w:val="nil"/>
              <w:left w:val="nil"/>
              <w:bottom w:val="single" w:sz="4" w:space="0" w:color="auto"/>
              <w:right w:val="nil"/>
            </w:tcBorders>
            <w:shd w:val="clear" w:color="auto" w:fill="auto"/>
            <w:noWrap/>
            <w:vAlign w:val="bottom"/>
            <w:hideMark/>
          </w:tcPr>
          <w:p w14:paraId="7C4366E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40D068F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nil"/>
            </w:tcBorders>
            <w:shd w:val="clear" w:color="auto" w:fill="auto"/>
            <w:noWrap/>
            <w:vAlign w:val="bottom"/>
            <w:hideMark/>
          </w:tcPr>
          <w:p w14:paraId="1656AD1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nil"/>
            </w:tcBorders>
            <w:shd w:val="clear" w:color="auto" w:fill="auto"/>
            <w:noWrap/>
            <w:vAlign w:val="bottom"/>
            <w:hideMark/>
          </w:tcPr>
          <w:p w14:paraId="163BD08F"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nil"/>
            </w:tcBorders>
            <w:shd w:val="clear" w:color="auto" w:fill="auto"/>
            <w:noWrap/>
            <w:vAlign w:val="bottom"/>
            <w:hideMark/>
          </w:tcPr>
          <w:p w14:paraId="0FBCB91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(8)</w:t>
            </w:r>
          </w:p>
        </w:tc>
      </w:tr>
      <w:tr w:rsidR="00442B54" w:rsidRPr="00442B54" w14:paraId="2A6CC6CF"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715A854D" w14:textId="77777777" w:rsidR="00442B54" w:rsidRPr="00442B54" w:rsidRDefault="00442B54" w:rsidP="00442B54">
            <w:pPr>
              <w:spacing w:after="0" w:line="240" w:lineRule="auto"/>
              <w:rPr>
                <w:rFonts w:ascii="Times New Roman" w:eastAsia="Times New Roman" w:hAnsi="Times New Roman" w:cs="Times New Roman"/>
                <w:i/>
                <w:iCs/>
                <w:color w:val="000000"/>
                <w:sz w:val="20"/>
                <w:szCs w:val="20"/>
              </w:rPr>
            </w:pPr>
            <w:r w:rsidRPr="00442B54">
              <w:rPr>
                <w:rFonts w:ascii="Times New Roman" w:eastAsia="Times New Roman" w:hAnsi="Times New Roman" w:cs="Times New Roman"/>
                <w:i/>
                <w:iCs/>
                <w:color w:val="000000"/>
                <w:sz w:val="20"/>
                <w:szCs w:val="20"/>
              </w:rPr>
              <w:t>Panel A: 11th Grade</w:t>
            </w:r>
          </w:p>
        </w:tc>
        <w:tc>
          <w:tcPr>
            <w:tcW w:w="960" w:type="dxa"/>
            <w:tcBorders>
              <w:top w:val="nil"/>
              <w:left w:val="nil"/>
              <w:bottom w:val="nil"/>
              <w:right w:val="nil"/>
            </w:tcBorders>
            <w:shd w:val="clear" w:color="auto" w:fill="auto"/>
            <w:noWrap/>
            <w:vAlign w:val="bottom"/>
            <w:hideMark/>
          </w:tcPr>
          <w:p w14:paraId="38B8CF69" w14:textId="77777777" w:rsidR="00442B54" w:rsidRPr="00442B54" w:rsidRDefault="00442B54" w:rsidP="00442B54">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24F9D37A"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F32AB1E"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DB4F6C"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7982E4E8"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949018"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68AD47"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CC5E59"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4C6934" w14:textId="77777777" w:rsidR="00442B54" w:rsidRPr="00442B54" w:rsidRDefault="00442B54" w:rsidP="00442B54">
            <w:pPr>
              <w:spacing w:after="0" w:line="240" w:lineRule="auto"/>
              <w:rPr>
                <w:rFonts w:ascii="Times New Roman" w:eastAsia="Times New Roman" w:hAnsi="Times New Roman" w:cs="Times New Roman"/>
                <w:sz w:val="20"/>
                <w:szCs w:val="20"/>
              </w:rPr>
            </w:pPr>
          </w:p>
        </w:tc>
      </w:tr>
      <w:tr w:rsidR="00442B54" w:rsidRPr="00442B54" w14:paraId="07D8E8E1" w14:textId="77777777" w:rsidTr="00CA4D21">
        <w:trPr>
          <w:trHeight w:val="290"/>
          <w:jc w:val="center"/>
        </w:trPr>
        <w:tc>
          <w:tcPr>
            <w:tcW w:w="4413" w:type="dxa"/>
            <w:tcBorders>
              <w:top w:val="nil"/>
              <w:left w:val="nil"/>
              <w:bottom w:val="nil"/>
              <w:right w:val="nil"/>
            </w:tcBorders>
            <w:shd w:val="clear" w:color="auto" w:fill="auto"/>
            <w:noWrap/>
            <w:vAlign w:val="center"/>
            <w:hideMark/>
          </w:tcPr>
          <w:p w14:paraId="2A13C1A7"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School is within 10 Mins of a Lottery Winner</w:t>
            </w:r>
          </w:p>
        </w:tc>
        <w:tc>
          <w:tcPr>
            <w:tcW w:w="960" w:type="dxa"/>
            <w:tcBorders>
              <w:top w:val="nil"/>
              <w:left w:val="nil"/>
              <w:bottom w:val="nil"/>
              <w:right w:val="nil"/>
            </w:tcBorders>
            <w:shd w:val="clear" w:color="auto" w:fill="auto"/>
            <w:noWrap/>
            <w:vAlign w:val="bottom"/>
            <w:hideMark/>
          </w:tcPr>
          <w:p w14:paraId="52F8DDF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0.061</w:t>
            </w:r>
          </w:p>
        </w:tc>
        <w:tc>
          <w:tcPr>
            <w:tcW w:w="960" w:type="dxa"/>
            <w:tcBorders>
              <w:top w:val="nil"/>
              <w:left w:val="nil"/>
              <w:bottom w:val="nil"/>
              <w:right w:val="nil"/>
            </w:tcBorders>
            <w:shd w:val="clear" w:color="auto" w:fill="auto"/>
            <w:noWrap/>
            <w:vAlign w:val="bottom"/>
            <w:hideMark/>
          </w:tcPr>
          <w:p w14:paraId="30680C5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0.057</w:t>
            </w:r>
          </w:p>
        </w:tc>
        <w:tc>
          <w:tcPr>
            <w:tcW w:w="960" w:type="dxa"/>
            <w:tcBorders>
              <w:top w:val="nil"/>
              <w:left w:val="nil"/>
              <w:bottom w:val="nil"/>
              <w:right w:val="nil"/>
            </w:tcBorders>
            <w:shd w:val="clear" w:color="auto" w:fill="auto"/>
            <w:noWrap/>
            <w:vAlign w:val="bottom"/>
            <w:hideMark/>
          </w:tcPr>
          <w:p w14:paraId="22AE6DFA"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0.056</w:t>
            </w:r>
          </w:p>
        </w:tc>
        <w:tc>
          <w:tcPr>
            <w:tcW w:w="960" w:type="dxa"/>
            <w:tcBorders>
              <w:top w:val="nil"/>
              <w:left w:val="nil"/>
              <w:bottom w:val="nil"/>
              <w:right w:val="nil"/>
            </w:tcBorders>
            <w:shd w:val="clear" w:color="auto" w:fill="auto"/>
            <w:noWrap/>
            <w:vAlign w:val="bottom"/>
            <w:hideMark/>
          </w:tcPr>
          <w:p w14:paraId="18BDD9C7"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0.040</w:t>
            </w:r>
          </w:p>
        </w:tc>
        <w:tc>
          <w:tcPr>
            <w:tcW w:w="340" w:type="dxa"/>
            <w:tcBorders>
              <w:top w:val="nil"/>
              <w:left w:val="nil"/>
              <w:bottom w:val="nil"/>
              <w:right w:val="nil"/>
            </w:tcBorders>
            <w:shd w:val="clear" w:color="auto" w:fill="auto"/>
            <w:noWrap/>
            <w:vAlign w:val="bottom"/>
            <w:hideMark/>
          </w:tcPr>
          <w:p w14:paraId="4658657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83A16BF"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0.049</w:t>
            </w:r>
          </w:p>
        </w:tc>
        <w:tc>
          <w:tcPr>
            <w:tcW w:w="960" w:type="dxa"/>
            <w:tcBorders>
              <w:top w:val="nil"/>
              <w:left w:val="nil"/>
              <w:bottom w:val="nil"/>
              <w:right w:val="nil"/>
            </w:tcBorders>
            <w:shd w:val="clear" w:color="auto" w:fill="auto"/>
            <w:noWrap/>
            <w:vAlign w:val="bottom"/>
            <w:hideMark/>
          </w:tcPr>
          <w:p w14:paraId="778768E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0.035</w:t>
            </w:r>
          </w:p>
        </w:tc>
        <w:tc>
          <w:tcPr>
            <w:tcW w:w="960" w:type="dxa"/>
            <w:tcBorders>
              <w:top w:val="nil"/>
              <w:left w:val="nil"/>
              <w:bottom w:val="nil"/>
              <w:right w:val="nil"/>
            </w:tcBorders>
            <w:shd w:val="clear" w:color="auto" w:fill="auto"/>
            <w:noWrap/>
            <w:vAlign w:val="bottom"/>
            <w:hideMark/>
          </w:tcPr>
          <w:p w14:paraId="20D0B67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0.042</w:t>
            </w:r>
          </w:p>
        </w:tc>
        <w:tc>
          <w:tcPr>
            <w:tcW w:w="960" w:type="dxa"/>
            <w:tcBorders>
              <w:top w:val="nil"/>
              <w:left w:val="nil"/>
              <w:bottom w:val="nil"/>
              <w:right w:val="nil"/>
            </w:tcBorders>
            <w:shd w:val="clear" w:color="auto" w:fill="auto"/>
            <w:noWrap/>
            <w:vAlign w:val="bottom"/>
            <w:hideMark/>
          </w:tcPr>
          <w:p w14:paraId="01F3FA6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0.026</w:t>
            </w:r>
          </w:p>
        </w:tc>
      </w:tr>
      <w:tr w:rsidR="00442B54" w:rsidRPr="00442B54" w14:paraId="35DE9F28" w14:textId="77777777" w:rsidTr="00CA4D21">
        <w:trPr>
          <w:trHeight w:val="290"/>
          <w:jc w:val="center"/>
        </w:trPr>
        <w:tc>
          <w:tcPr>
            <w:tcW w:w="4413" w:type="dxa"/>
            <w:tcBorders>
              <w:top w:val="nil"/>
              <w:left w:val="nil"/>
              <w:bottom w:val="nil"/>
              <w:right w:val="nil"/>
            </w:tcBorders>
            <w:shd w:val="clear" w:color="auto" w:fill="auto"/>
            <w:noWrap/>
            <w:vAlign w:val="center"/>
            <w:hideMark/>
          </w:tcPr>
          <w:p w14:paraId="276AB577"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3C069C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(0.0188)</w:t>
            </w:r>
          </w:p>
        </w:tc>
        <w:tc>
          <w:tcPr>
            <w:tcW w:w="960" w:type="dxa"/>
            <w:tcBorders>
              <w:top w:val="nil"/>
              <w:left w:val="nil"/>
              <w:bottom w:val="nil"/>
              <w:right w:val="nil"/>
            </w:tcBorders>
            <w:shd w:val="clear" w:color="auto" w:fill="auto"/>
            <w:noWrap/>
            <w:vAlign w:val="bottom"/>
            <w:hideMark/>
          </w:tcPr>
          <w:p w14:paraId="47A6631A"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(0.0207)</w:t>
            </w:r>
          </w:p>
        </w:tc>
        <w:tc>
          <w:tcPr>
            <w:tcW w:w="960" w:type="dxa"/>
            <w:tcBorders>
              <w:top w:val="nil"/>
              <w:left w:val="nil"/>
              <w:bottom w:val="nil"/>
              <w:right w:val="nil"/>
            </w:tcBorders>
            <w:shd w:val="clear" w:color="auto" w:fill="auto"/>
            <w:noWrap/>
            <w:vAlign w:val="bottom"/>
            <w:hideMark/>
          </w:tcPr>
          <w:p w14:paraId="5534A4FA"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(0.0187)</w:t>
            </w:r>
          </w:p>
        </w:tc>
        <w:tc>
          <w:tcPr>
            <w:tcW w:w="960" w:type="dxa"/>
            <w:tcBorders>
              <w:top w:val="nil"/>
              <w:left w:val="nil"/>
              <w:bottom w:val="nil"/>
              <w:right w:val="nil"/>
            </w:tcBorders>
            <w:shd w:val="clear" w:color="auto" w:fill="auto"/>
            <w:noWrap/>
            <w:vAlign w:val="bottom"/>
            <w:hideMark/>
          </w:tcPr>
          <w:p w14:paraId="5FA9DE1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(0.0177)</w:t>
            </w:r>
          </w:p>
        </w:tc>
        <w:tc>
          <w:tcPr>
            <w:tcW w:w="340" w:type="dxa"/>
            <w:tcBorders>
              <w:top w:val="nil"/>
              <w:left w:val="nil"/>
              <w:bottom w:val="nil"/>
              <w:right w:val="nil"/>
            </w:tcBorders>
            <w:shd w:val="clear" w:color="auto" w:fill="auto"/>
            <w:noWrap/>
            <w:vAlign w:val="bottom"/>
            <w:hideMark/>
          </w:tcPr>
          <w:p w14:paraId="12B90473"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EEC742F"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(0.0173)</w:t>
            </w:r>
          </w:p>
        </w:tc>
        <w:tc>
          <w:tcPr>
            <w:tcW w:w="960" w:type="dxa"/>
            <w:tcBorders>
              <w:top w:val="nil"/>
              <w:left w:val="nil"/>
              <w:bottom w:val="nil"/>
              <w:right w:val="nil"/>
            </w:tcBorders>
            <w:shd w:val="clear" w:color="auto" w:fill="auto"/>
            <w:noWrap/>
            <w:vAlign w:val="bottom"/>
            <w:hideMark/>
          </w:tcPr>
          <w:p w14:paraId="3032290F"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(0.0188)</w:t>
            </w:r>
          </w:p>
        </w:tc>
        <w:tc>
          <w:tcPr>
            <w:tcW w:w="960" w:type="dxa"/>
            <w:tcBorders>
              <w:top w:val="nil"/>
              <w:left w:val="nil"/>
              <w:bottom w:val="nil"/>
              <w:right w:val="nil"/>
            </w:tcBorders>
            <w:shd w:val="clear" w:color="auto" w:fill="auto"/>
            <w:noWrap/>
            <w:vAlign w:val="bottom"/>
            <w:hideMark/>
          </w:tcPr>
          <w:p w14:paraId="0F5DF33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(0.0177)</w:t>
            </w:r>
          </w:p>
        </w:tc>
        <w:tc>
          <w:tcPr>
            <w:tcW w:w="960" w:type="dxa"/>
            <w:tcBorders>
              <w:top w:val="nil"/>
              <w:left w:val="nil"/>
              <w:bottom w:val="nil"/>
              <w:right w:val="nil"/>
            </w:tcBorders>
            <w:shd w:val="clear" w:color="auto" w:fill="auto"/>
            <w:noWrap/>
            <w:vAlign w:val="bottom"/>
            <w:hideMark/>
          </w:tcPr>
          <w:p w14:paraId="2247C1B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(0.0164)</w:t>
            </w:r>
          </w:p>
        </w:tc>
      </w:tr>
      <w:tr w:rsidR="00442B54" w:rsidRPr="00442B54" w14:paraId="70120BAA"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388CA50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6A42C8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634C095B"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[0.004]</w:t>
            </w:r>
          </w:p>
        </w:tc>
        <w:tc>
          <w:tcPr>
            <w:tcW w:w="960" w:type="dxa"/>
            <w:tcBorders>
              <w:top w:val="nil"/>
              <w:left w:val="nil"/>
              <w:bottom w:val="nil"/>
              <w:right w:val="nil"/>
            </w:tcBorders>
            <w:shd w:val="clear" w:color="auto" w:fill="auto"/>
            <w:noWrap/>
            <w:vAlign w:val="bottom"/>
            <w:hideMark/>
          </w:tcPr>
          <w:p w14:paraId="770FE69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[0.002]</w:t>
            </w:r>
          </w:p>
        </w:tc>
        <w:tc>
          <w:tcPr>
            <w:tcW w:w="960" w:type="dxa"/>
            <w:tcBorders>
              <w:top w:val="nil"/>
              <w:left w:val="nil"/>
              <w:bottom w:val="nil"/>
              <w:right w:val="nil"/>
            </w:tcBorders>
            <w:shd w:val="clear" w:color="auto" w:fill="auto"/>
            <w:noWrap/>
            <w:vAlign w:val="bottom"/>
            <w:hideMark/>
          </w:tcPr>
          <w:p w14:paraId="380EE6D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[0.012]</w:t>
            </w:r>
          </w:p>
        </w:tc>
        <w:tc>
          <w:tcPr>
            <w:tcW w:w="340" w:type="dxa"/>
            <w:tcBorders>
              <w:top w:val="nil"/>
              <w:left w:val="nil"/>
              <w:bottom w:val="nil"/>
              <w:right w:val="nil"/>
            </w:tcBorders>
            <w:shd w:val="clear" w:color="auto" w:fill="auto"/>
            <w:noWrap/>
            <w:vAlign w:val="bottom"/>
            <w:hideMark/>
          </w:tcPr>
          <w:p w14:paraId="2EBB46E3"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19B387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[0.003]</w:t>
            </w:r>
          </w:p>
        </w:tc>
        <w:tc>
          <w:tcPr>
            <w:tcW w:w="960" w:type="dxa"/>
            <w:tcBorders>
              <w:top w:val="nil"/>
              <w:left w:val="nil"/>
              <w:bottom w:val="nil"/>
              <w:right w:val="nil"/>
            </w:tcBorders>
            <w:shd w:val="clear" w:color="auto" w:fill="auto"/>
            <w:noWrap/>
            <w:vAlign w:val="bottom"/>
            <w:hideMark/>
          </w:tcPr>
          <w:p w14:paraId="1AD1604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[0.032]</w:t>
            </w:r>
          </w:p>
        </w:tc>
        <w:tc>
          <w:tcPr>
            <w:tcW w:w="960" w:type="dxa"/>
            <w:tcBorders>
              <w:top w:val="nil"/>
              <w:left w:val="nil"/>
              <w:bottom w:val="nil"/>
              <w:right w:val="nil"/>
            </w:tcBorders>
            <w:shd w:val="clear" w:color="auto" w:fill="auto"/>
            <w:noWrap/>
            <w:vAlign w:val="bottom"/>
            <w:hideMark/>
          </w:tcPr>
          <w:p w14:paraId="6D676F1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[0.010]</w:t>
            </w:r>
          </w:p>
        </w:tc>
        <w:tc>
          <w:tcPr>
            <w:tcW w:w="960" w:type="dxa"/>
            <w:tcBorders>
              <w:top w:val="nil"/>
              <w:left w:val="nil"/>
              <w:bottom w:val="nil"/>
              <w:right w:val="nil"/>
            </w:tcBorders>
            <w:shd w:val="clear" w:color="auto" w:fill="auto"/>
            <w:noWrap/>
            <w:vAlign w:val="bottom"/>
            <w:hideMark/>
          </w:tcPr>
          <w:p w14:paraId="341DA36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[0.059]</w:t>
            </w:r>
          </w:p>
        </w:tc>
      </w:tr>
      <w:tr w:rsidR="00442B54" w:rsidRPr="00442B54" w14:paraId="194FA2E1"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7F567EE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44E5CF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3D51913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7D3C3C1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0AD989F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340" w:type="dxa"/>
            <w:tcBorders>
              <w:top w:val="nil"/>
              <w:left w:val="nil"/>
              <w:bottom w:val="nil"/>
              <w:right w:val="nil"/>
            </w:tcBorders>
            <w:shd w:val="clear" w:color="auto" w:fill="auto"/>
            <w:noWrap/>
            <w:vAlign w:val="bottom"/>
            <w:hideMark/>
          </w:tcPr>
          <w:p w14:paraId="568F3D5F"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032418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33088D9E"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{0.010}</w:t>
            </w:r>
          </w:p>
        </w:tc>
        <w:tc>
          <w:tcPr>
            <w:tcW w:w="960" w:type="dxa"/>
            <w:tcBorders>
              <w:top w:val="nil"/>
              <w:left w:val="nil"/>
              <w:bottom w:val="nil"/>
              <w:right w:val="nil"/>
            </w:tcBorders>
            <w:shd w:val="clear" w:color="auto" w:fill="auto"/>
            <w:noWrap/>
            <w:vAlign w:val="bottom"/>
            <w:hideMark/>
          </w:tcPr>
          <w:p w14:paraId="6A2DBB5D"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7779DE3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{0.015}</w:t>
            </w:r>
          </w:p>
        </w:tc>
      </w:tr>
      <w:tr w:rsidR="00442B54" w:rsidRPr="00442B54" w14:paraId="6AD874BF" w14:textId="77777777" w:rsidTr="00CA4D21">
        <w:trPr>
          <w:trHeight w:val="290"/>
          <w:jc w:val="center"/>
        </w:trPr>
        <w:tc>
          <w:tcPr>
            <w:tcW w:w="4413" w:type="dxa"/>
            <w:tcBorders>
              <w:top w:val="nil"/>
              <w:left w:val="nil"/>
              <w:bottom w:val="nil"/>
              <w:right w:val="nil"/>
            </w:tcBorders>
            <w:shd w:val="clear" w:color="auto" w:fill="auto"/>
            <w:noWrap/>
            <w:vAlign w:val="center"/>
            <w:hideMark/>
          </w:tcPr>
          <w:p w14:paraId="1F28479D"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 Dispensary License Applicants in 10 Mins</w:t>
            </w:r>
          </w:p>
        </w:tc>
        <w:tc>
          <w:tcPr>
            <w:tcW w:w="960" w:type="dxa"/>
            <w:tcBorders>
              <w:top w:val="nil"/>
              <w:left w:val="nil"/>
              <w:bottom w:val="nil"/>
              <w:right w:val="nil"/>
            </w:tcBorders>
            <w:shd w:val="clear" w:color="auto" w:fill="auto"/>
            <w:noWrap/>
            <w:vAlign w:val="bottom"/>
            <w:hideMark/>
          </w:tcPr>
          <w:p w14:paraId="67501C83"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762BC9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71E8942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288DD69"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7A2CA01"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2C5F6F"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55F25B"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4C3F360B"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0092B8C"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r>
      <w:tr w:rsidR="00442B54" w:rsidRPr="00442B54" w14:paraId="3F5A204C" w14:textId="77777777" w:rsidTr="00CA4D21">
        <w:trPr>
          <w:trHeight w:val="290"/>
          <w:jc w:val="center"/>
        </w:trPr>
        <w:tc>
          <w:tcPr>
            <w:tcW w:w="4413" w:type="dxa"/>
            <w:tcBorders>
              <w:top w:val="nil"/>
              <w:left w:val="nil"/>
              <w:bottom w:val="nil"/>
              <w:right w:val="nil"/>
            </w:tcBorders>
            <w:shd w:val="clear" w:color="auto" w:fill="auto"/>
            <w:noWrap/>
            <w:vAlign w:val="center"/>
            <w:hideMark/>
          </w:tcPr>
          <w:p w14:paraId="0D03A9E4"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School Locale Indicators and Year FEs</w:t>
            </w:r>
          </w:p>
        </w:tc>
        <w:tc>
          <w:tcPr>
            <w:tcW w:w="960" w:type="dxa"/>
            <w:tcBorders>
              <w:top w:val="nil"/>
              <w:left w:val="nil"/>
              <w:bottom w:val="nil"/>
              <w:right w:val="nil"/>
            </w:tcBorders>
            <w:shd w:val="clear" w:color="auto" w:fill="auto"/>
            <w:noWrap/>
            <w:vAlign w:val="bottom"/>
            <w:hideMark/>
          </w:tcPr>
          <w:p w14:paraId="609955E2"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580B8EF"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43900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48F82E7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741C26C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707C6E7"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0667173"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1B010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28041303"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r>
      <w:tr w:rsidR="00442B54" w:rsidRPr="00442B54" w14:paraId="33364B6C" w14:textId="77777777" w:rsidTr="00CA4D21">
        <w:trPr>
          <w:trHeight w:val="290"/>
          <w:jc w:val="center"/>
        </w:trPr>
        <w:tc>
          <w:tcPr>
            <w:tcW w:w="4413" w:type="dxa"/>
            <w:tcBorders>
              <w:top w:val="nil"/>
              <w:left w:val="nil"/>
              <w:bottom w:val="nil"/>
              <w:right w:val="nil"/>
            </w:tcBorders>
            <w:shd w:val="clear" w:color="auto" w:fill="auto"/>
            <w:noWrap/>
            <w:vAlign w:val="center"/>
            <w:hideMark/>
          </w:tcPr>
          <w:p w14:paraId="7F95E503"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Student Characteristics</w:t>
            </w:r>
          </w:p>
        </w:tc>
        <w:tc>
          <w:tcPr>
            <w:tcW w:w="960" w:type="dxa"/>
            <w:tcBorders>
              <w:top w:val="nil"/>
              <w:left w:val="nil"/>
              <w:bottom w:val="nil"/>
              <w:right w:val="nil"/>
            </w:tcBorders>
            <w:shd w:val="clear" w:color="auto" w:fill="auto"/>
            <w:noWrap/>
            <w:vAlign w:val="bottom"/>
            <w:hideMark/>
          </w:tcPr>
          <w:p w14:paraId="347FA963"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0921A33"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03EB33"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62C0BE"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5489223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BF2BF72"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AA750FB"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FDA7B7C"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C016C5"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r>
      <w:tr w:rsidR="00442B54" w:rsidRPr="00442B54" w14:paraId="5C064F3C"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44F84F7E"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State-Level Mean Across Public High Schools in 2014</w:t>
            </w:r>
          </w:p>
        </w:tc>
        <w:tc>
          <w:tcPr>
            <w:tcW w:w="960" w:type="dxa"/>
            <w:tcBorders>
              <w:top w:val="nil"/>
              <w:left w:val="nil"/>
              <w:bottom w:val="nil"/>
              <w:right w:val="nil"/>
            </w:tcBorders>
            <w:shd w:val="clear" w:color="auto" w:fill="auto"/>
            <w:noWrap/>
            <w:vAlign w:val="bottom"/>
            <w:hideMark/>
          </w:tcPr>
          <w:p w14:paraId="050E65C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0.24</w:t>
            </w:r>
          </w:p>
        </w:tc>
        <w:tc>
          <w:tcPr>
            <w:tcW w:w="960" w:type="dxa"/>
            <w:tcBorders>
              <w:top w:val="nil"/>
              <w:left w:val="nil"/>
              <w:bottom w:val="nil"/>
              <w:right w:val="nil"/>
            </w:tcBorders>
            <w:shd w:val="clear" w:color="auto" w:fill="auto"/>
            <w:noWrap/>
            <w:vAlign w:val="bottom"/>
            <w:hideMark/>
          </w:tcPr>
          <w:p w14:paraId="14631DF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0.24</w:t>
            </w:r>
          </w:p>
        </w:tc>
        <w:tc>
          <w:tcPr>
            <w:tcW w:w="960" w:type="dxa"/>
            <w:tcBorders>
              <w:top w:val="nil"/>
              <w:left w:val="nil"/>
              <w:bottom w:val="nil"/>
              <w:right w:val="nil"/>
            </w:tcBorders>
            <w:shd w:val="clear" w:color="auto" w:fill="auto"/>
            <w:noWrap/>
            <w:vAlign w:val="bottom"/>
            <w:hideMark/>
          </w:tcPr>
          <w:p w14:paraId="3981800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0.24</w:t>
            </w:r>
          </w:p>
        </w:tc>
        <w:tc>
          <w:tcPr>
            <w:tcW w:w="960" w:type="dxa"/>
            <w:tcBorders>
              <w:top w:val="nil"/>
              <w:left w:val="nil"/>
              <w:bottom w:val="nil"/>
              <w:right w:val="nil"/>
            </w:tcBorders>
            <w:shd w:val="clear" w:color="auto" w:fill="auto"/>
            <w:noWrap/>
            <w:vAlign w:val="bottom"/>
            <w:hideMark/>
          </w:tcPr>
          <w:p w14:paraId="381A14BE"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0.24</w:t>
            </w:r>
          </w:p>
        </w:tc>
        <w:tc>
          <w:tcPr>
            <w:tcW w:w="340" w:type="dxa"/>
            <w:tcBorders>
              <w:top w:val="nil"/>
              <w:left w:val="nil"/>
              <w:bottom w:val="nil"/>
              <w:right w:val="nil"/>
            </w:tcBorders>
            <w:shd w:val="clear" w:color="auto" w:fill="auto"/>
            <w:noWrap/>
            <w:vAlign w:val="bottom"/>
            <w:hideMark/>
          </w:tcPr>
          <w:p w14:paraId="5B9A8255"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186D16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3C1BD35A"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1287FE5D"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0635E10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0.21</w:t>
            </w:r>
          </w:p>
        </w:tc>
      </w:tr>
      <w:tr w:rsidR="00442B54" w:rsidRPr="00442B54" w14:paraId="5743EAD1"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791AA981"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Observations</w:t>
            </w:r>
          </w:p>
        </w:tc>
        <w:tc>
          <w:tcPr>
            <w:tcW w:w="960" w:type="dxa"/>
            <w:tcBorders>
              <w:top w:val="nil"/>
              <w:left w:val="nil"/>
              <w:bottom w:val="nil"/>
              <w:right w:val="nil"/>
            </w:tcBorders>
            <w:shd w:val="clear" w:color="auto" w:fill="auto"/>
            <w:noWrap/>
            <w:vAlign w:val="bottom"/>
            <w:hideMark/>
          </w:tcPr>
          <w:p w14:paraId="0EE5AB9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316</w:t>
            </w:r>
          </w:p>
        </w:tc>
        <w:tc>
          <w:tcPr>
            <w:tcW w:w="960" w:type="dxa"/>
            <w:tcBorders>
              <w:top w:val="nil"/>
              <w:left w:val="nil"/>
              <w:bottom w:val="nil"/>
              <w:right w:val="nil"/>
            </w:tcBorders>
            <w:shd w:val="clear" w:color="auto" w:fill="auto"/>
            <w:noWrap/>
            <w:vAlign w:val="bottom"/>
            <w:hideMark/>
          </w:tcPr>
          <w:p w14:paraId="1BF528F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316</w:t>
            </w:r>
          </w:p>
        </w:tc>
        <w:tc>
          <w:tcPr>
            <w:tcW w:w="960" w:type="dxa"/>
            <w:tcBorders>
              <w:top w:val="nil"/>
              <w:left w:val="nil"/>
              <w:bottom w:val="nil"/>
              <w:right w:val="nil"/>
            </w:tcBorders>
            <w:shd w:val="clear" w:color="auto" w:fill="auto"/>
            <w:noWrap/>
            <w:vAlign w:val="bottom"/>
            <w:hideMark/>
          </w:tcPr>
          <w:p w14:paraId="27311C1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316</w:t>
            </w:r>
          </w:p>
        </w:tc>
        <w:tc>
          <w:tcPr>
            <w:tcW w:w="960" w:type="dxa"/>
            <w:tcBorders>
              <w:top w:val="nil"/>
              <w:left w:val="nil"/>
              <w:bottom w:val="nil"/>
              <w:right w:val="nil"/>
            </w:tcBorders>
            <w:shd w:val="clear" w:color="auto" w:fill="auto"/>
            <w:noWrap/>
            <w:vAlign w:val="bottom"/>
            <w:hideMark/>
          </w:tcPr>
          <w:p w14:paraId="220E8295"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316</w:t>
            </w:r>
          </w:p>
        </w:tc>
        <w:tc>
          <w:tcPr>
            <w:tcW w:w="340" w:type="dxa"/>
            <w:tcBorders>
              <w:top w:val="nil"/>
              <w:left w:val="nil"/>
              <w:bottom w:val="nil"/>
              <w:right w:val="nil"/>
            </w:tcBorders>
            <w:shd w:val="clear" w:color="auto" w:fill="auto"/>
            <w:noWrap/>
            <w:vAlign w:val="bottom"/>
            <w:hideMark/>
          </w:tcPr>
          <w:p w14:paraId="21B44FC5"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D64F08A"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316</w:t>
            </w:r>
          </w:p>
        </w:tc>
        <w:tc>
          <w:tcPr>
            <w:tcW w:w="960" w:type="dxa"/>
            <w:tcBorders>
              <w:top w:val="nil"/>
              <w:left w:val="nil"/>
              <w:bottom w:val="nil"/>
              <w:right w:val="nil"/>
            </w:tcBorders>
            <w:shd w:val="clear" w:color="auto" w:fill="auto"/>
            <w:noWrap/>
            <w:vAlign w:val="bottom"/>
            <w:hideMark/>
          </w:tcPr>
          <w:p w14:paraId="446CABE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316</w:t>
            </w:r>
          </w:p>
        </w:tc>
        <w:tc>
          <w:tcPr>
            <w:tcW w:w="960" w:type="dxa"/>
            <w:tcBorders>
              <w:top w:val="nil"/>
              <w:left w:val="nil"/>
              <w:bottom w:val="nil"/>
              <w:right w:val="nil"/>
            </w:tcBorders>
            <w:shd w:val="clear" w:color="auto" w:fill="auto"/>
            <w:noWrap/>
            <w:vAlign w:val="bottom"/>
            <w:hideMark/>
          </w:tcPr>
          <w:p w14:paraId="180BD1F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316</w:t>
            </w:r>
          </w:p>
        </w:tc>
        <w:tc>
          <w:tcPr>
            <w:tcW w:w="960" w:type="dxa"/>
            <w:tcBorders>
              <w:top w:val="nil"/>
              <w:left w:val="nil"/>
              <w:bottom w:val="nil"/>
              <w:right w:val="nil"/>
            </w:tcBorders>
            <w:shd w:val="clear" w:color="auto" w:fill="auto"/>
            <w:noWrap/>
            <w:vAlign w:val="bottom"/>
            <w:hideMark/>
          </w:tcPr>
          <w:p w14:paraId="18823BF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316</w:t>
            </w:r>
          </w:p>
        </w:tc>
      </w:tr>
      <w:tr w:rsidR="00442B54" w:rsidRPr="00442B54" w14:paraId="7A2E4FE4"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63943D93"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90B0E96"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3B76B2"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455B37"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C90A91"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AA768B7"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69210D"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25D121"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CD4BDEC"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86E5E5" w14:textId="77777777" w:rsidR="00442B54" w:rsidRPr="00442B54" w:rsidRDefault="00442B54" w:rsidP="00442B54">
            <w:pPr>
              <w:spacing w:after="0" w:line="240" w:lineRule="auto"/>
              <w:rPr>
                <w:rFonts w:ascii="Times New Roman" w:eastAsia="Times New Roman" w:hAnsi="Times New Roman" w:cs="Times New Roman"/>
                <w:sz w:val="20"/>
                <w:szCs w:val="20"/>
              </w:rPr>
            </w:pPr>
          </w:p>
        </w:tc>
      </w:tr>
      <w:tr w:rsidR="00442B54" w:rsidRPr="00442B54" w14:paraId="0AE58CF3"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5DBBC587" w14:textId="77777777" w:rsidR="00442B54" w:rsidRPr="00442B54" w:rsidRDefault="00442B54" w:rsidP="00442B54">
            <w:pPr>
              <w:spacing w:after="0" w:line="240" w:lineRule="auto"/>
              <w:rPr>
                <w:rFonts w:ascii="Times New Roman" w:eastAsia="Times New Roman" w:hAnsi="Times New Roman" w:cs="Times New Roman"/>
                <w:i/>
                <w:iCs/>
                <w:color w:val="000000"/>
                <w:sz w:val="20"/>
                <w:szCs w:val="20"/>
              </w:rPr>
            </w:pPr>
            <w:r w:rsidRPr="00442B54">
              <w:rPr>
                <w:rFonts w:ascii="Times New Roman" w:eastAsia="Times New Roman" w:hAnsi="Times New Roman" w:cs="Times New Roman"/>
                <w:i/>
                <w:iCs/>
                <w:color w:val="000000"/>
                <w:sz w:val="20"/>
                <w:szCs w:val="20"/>
              </w:rPr>
              <w:t>Panel B: 12th Grade</w:t>
            </w:r>
          </w:p>
        </w:tc>
        <w:tc>
          <w:tcPr>
            <w:tcW w:w="960" w:type="dxa"/>
            <w:tcBorders>
              <w:top w:val="nil"/>
              <w:left w:val="nil"/>
              <w:bottom w:val="nil"/>
              <w:right w:val="nil"/>
            </w:tcBorders>
            <w:shd w:val="clear" w:color="auto" w:fill="auto"/>
            <w:noWrap/>
            <w:vAlign w:val="bottom"/>
            <w:hideMark/>
          </w:tcPr>
          <w:p w14:paraId="0795B4DF" w14:textId="77777777" w:rsidR="00442B54" w:rsidRPr="00442B54" w:rsidRDefault="00442B54" w:rsidP="00442B54">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154886E9"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A6C5F74"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96B191"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226EC02"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38C484"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D7FA34"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A69FA3" w14:textId="77777777" w:rsidR="00442B54" w:rsidRPr="00442B54" w:rsidRDefault="00442B54" w:rsidP="00442B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472F12" w14:textId="77777777" w:rsidR="00442B54" w:rsidRPr="00442B54" w:rsidRDefault="00442B54" w:rsidP="00442B54">
            <w:pPr>
              <w:spacing w:after="0" w:line="240" w:lineRule="auto"/>
              <w:rPr>
                <w:rFonts w:ascii="Times New Roman" w:eastAsia="Times New Roman" w:hAnsi="Times New Roman" w:cs="Times New Roman"/>
                <w:sz w:val="20"/>
                <w:szCs w:val="20"/>
              </w:rPr>
            </w:pPr>
          </w:p>
        </w:tc>
      </w:tr>
      <w:tr w:rsidR="00442B54" w:rsidRPr="00442B54" w14:paraId="04B232B2" w14:textId="77777777" w:rsidTr="00CA4D21">
        <w:trPr>
          <w:trHeight w:val="300"/>
          <w:jc w:val="center"/>
        </w:trPr>
        <w:tc>
          <w:tcPr>
            <w:tcW w:w="4413" w:type="dxa"/>
            <w:tcBorders>
              <w:top w:val="nil"/>
              <w:left w:val="nil"/>
              <w:bottom w:val="nil"/>
              <w:right w:val="nil"/>
            </w:tcBorders>
            <w:shd w:val="clear" w:color="auto" w:fill="auto"/>
            <w:noWrap/>
            <w:vAlign w:val="center"/>
            <w:hideMark/>
          </w:tcPr>
          <w:p w14:paraId="235CFDBA"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School is within 10 Mins of a Lottery Winner</w:t>
            </w:r>
          </w:p>
        </w:tc>
        <w:tc>
          <w:tcPr>
            <w:tcW w:w="960" w:type="dxa"/>
            <w:tcBorders>
              <w:top w:val="nil"/>
              <w:left w:val="nil"/>
              <w:bottom w:val="nil"/>
              <w:right w:val="nil"/>
            </w:tcBorders>
            <w:shd w:val="clear" w:color="auto" w:fill="auto"/>
            <w:noWrap/>
            <w:vAlign w:val="bottom"/>
            <w:hideMark/>
          </w:tcPr>
          <w:p w14:paraId="417E8BEE"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0.067</w:t>
            </w:r>
          </w:p>
        </w:tc>
        <w:tc>
          <w:tcPr>
            <w:tcW w:w="960" w:type="dxa"/>
            <w:tcBorders>
              <w:top w:val="nil"/>
              <w:left w:val="nil"/>
              <w:bottom w:val="nil"/>
              <w:right w:val="nil"/>
            </w:tcBorders>
            <w:shd w:val="clear" w:color="auto" w:fill="auto"/>
            <w:noWrap/>
            <w:vAlign w:val="bottom"/>
            <w:hideMark/>
          </w:tcPr>
          <w:p w14:paraId="2ECB0E9E"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0.054</w:t>
            </w:r>
          </w:p>
        </w:tc>
        <w:tc>
          <w:tcPr>
            <w:tcW w:w="960" w:type="dxa"/>
            <w:tcBorders>
              <w:top w:val="nil"/>
              <w:left w:val="nil"/>
              <w:bottom w:val="nil"/>
              <w:right w:val="nil"/>
            </w:tcBorders>
            <w:shd w:val="clear" w:color="auto" w:fill="auto"/>
            <w:noWrap/>
            <w:vAlign w:val="bottom"/>
            <w:hideMark/>
          </w:tcPr>
          <w:p w14:paraId="3EFC7F1E"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0.058</w:t>
            </w:r>
          </w:p>
        </w:tc>
        <w:tc>
          <w:tcPr>
            <w:tcW w:w="960" w:type="dxa"/>
            <w:tcBorders>
              <w:top w:val="nil"/>
              <w:left w:val="nil"/>
              <w:bottom w:val="nil"/>
              <w:right w:val="nil"/>
            </w:tcBorders>
            <w:shd w:val="clear" w:color="auto" w:fill="auto"/>
            <w:noWrap/>
            <w:vAlign w:val="bottom"/>
            <w:hideMark/>
          </w:tcPr>
          <w:p w14:paraId="77A572D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0.047</w:t>
            </w:r>
          </w:p>
        </w:tc>
        <w:tc>
          <w:tcPr>
            <w:tcW w:w="340" w:type="dxa"/>
            <w:tcBorders>
              <w:top w:val="nil"/>
              <w:left w:val="nil"/>
              <w:bottom w:val="nil"/>
              <w:right w:val="nil"/>
            </w:tcBorders>
            <w:shd w:val="clear" w:color="auto" w:fill="auto"/>
            <w:noWrap/>
            <w:vAlign w:val="bottom"/>
            <w:hideMark/>
          </w:tcPr>
          <w:p w14:paraId="2132C2B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365045B"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0.051</w:t>
            </w:r>
          </w:p>
        </w:tc>
        <w:tc>
          <w:tcPr>
            <w:tcW w:w="960" w:type="dxa"/>
            <w:tcBorders>
              <w:top w:val="nil"/>
              <w:left w:val="nil"/>
              <w:bottom w:val="nil"/>
              <w:right w:val="nil"/>
            </w:tcBorders>
            <w:shd w:val="clear" w:color="auto" w:fill="auto"/>
            <w:noWrap/>
            <w:vAlign w:val="bottom"/>
            <w:hideMark/>
          </w:tcPr>
          <w:p w14:paraId="4564E60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0.036</w:t>
            </w:r>
          </w:p>
        </w:tc>
        <w:tc>
          <w:tcPr>
            <w:tcW w:w="960" w:type="dxa"/>
            <w:tcBorders>
              <w:top w:val="nil"/>
              <w:left w:val="nil"/>
              <w:bottom w:val="nil"/>
              <w:right w:val="nil"/>
            </w:tcBorders>
            <w:shd w:val="clear" w:color="auto" w:fill="auto"/>
            <w:noWrap/>
            <w:vAlign w:val="bottom"/>
            <w:hideMark/>
          </w:tcPr>
          <w:p w14:paraId="4AD9ABFA"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0.042</w:t>
            </w:r>
          </w:p>
        </w:tc>
        <w:tc>
          <w:tcPr>
            <w:tcW w:w="960" w:type="dxa"/>
            <w:tcBorders>
              <w:top w:val="nil"/>
              <w:left w:val="nil"/>
              <w:bottom w:val="nil"/>
              <w:right w:val="nil"/>
            </w:tcBorders>
            <w:shd w:val="clear" w:color="auto" w:fill="auto"/>
            <w:noWrap/>
            <w:vAlign w:val="bottom"/>
            <w:hideMark/>
          </w:tcPr>
          <w:p w14:paraId="1BA7855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0.032</w:t>
            </w:r>
          </w:p>
        </w:tc>
      </w:tr>
      <w:tr w:rsidR="00442B54" w:rsidRPr="00442B54" w14:paraId="605730A4" w14:textId="77777777" w:rsidTr="00CA4D21">
        <w:trPr>
          <w:trHeight w:val="300"/>
          <w:jc w:val="center"/>
        </w:trPr>
        <w:tc>
          <w:tcPr>
            <w:tcW w:w="4413" w:type="dxa"/>
            <w:tcBorders>
              <w:top w:val="nil"/>
              <w:left w:val="nil"/>
              <w:bottom w:val="nil"/>
              <w:right w:val="nil"/>
            </w:tcBorders>
            <w:shd w:val="clear" w:color="auto" w:fill="auto"/>
            <w:noWrap/>
            <w:vAlign w:val="center"/>
            <w:hideMark/>
          </w:tcPr>
          <w:p w14:paraId="434F87F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D1FFC8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(0.0205)</w:t>
            </w:r>
          </w:p>
        </w:tc>
        <w:tc>
          <w:tcPr>
            <w:tcW w:w="960" w:type="dxa"/>
            <w:tcBorders>
              <w:top w:val="nil"/>
              <w:left w:val="nil"/>
              <w:bottom w:val="nil"/>
              <w:right w:val="nil"/>
            </w:tcBorders>
            <w:shd w:val="clear" w:color="auto" w:fill="auto"/>
            <w:noWrap/>
            <w:vAlign w:val="bottom"/>
            <w:hideMark/>
          </w:tcPr>
          <w:p w14:paraId="2F26985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(0.0220)</w:t>
            </w:r>
          </w:p>
        </w:tc>
        <w:tc>
          <w:tcPr>
            <w:tcW w:w="960" w:type="dxa"/>
            <w:tcBorders>
              <w:top w:val="nil"/>
              <w:left w:val="nil"/>
              <w:bottom w:val="nil"/>
              <w:right w:val="nil"/>
            </w:tcBorders>
            <w:shd w:val="clear" w:color="auto" w:fill="auto"/>
            <w:noWrap/>
            <w:vAlign w:val="bottom"/>
            <w:hideMark/>
          </w:tcPr>
          <w:p w14:paraId="76ADF86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(0.0207)</w:t>
            </w:r>
          </w:p>
        </w:tc>
        <w:tc>
          <w:tcPr>
            <w:tcW w:w="960" w:type="dxa"/>
            <w:tcBorders>
              <w:top w:val="nil"/>
              <w:left w:val="nil"/>
              <w:bottom w:val="nil"/>
              <w:right w:val="nil"/>
            </w:tcBorders>
            <w:shd w:val="clear" w:color="auto" w:fill="auto"/>
            <w:noWrap/>
            <w:vAlign w:val="bottom"/>
            <w:hideMark/>
          </w:tcPr>
          <w:p w14:paraId="0B202C6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(0.0190)</w:t>
            </w:r>
          </w:p>
        </w:tc>
        <w:tc>
          <w:tcPr>
            <w:tcW w:w="340" w:type="dxa"/>
            <w:tcBorders>
              <w:top w:val="nil"/>
              <w:left w:val="nil"/>
              <w:bottom w:val="nil"/>
              <w:right w:val="nil"/>
            </w:tcBorders>
            <w:shd w:val="clear" w:color="auto" w:fill="auto"/>
            <w:noWrap/>
            <w:vAlign w:val="bottom"/>
            <w:hideMark/>
          </w:tcPr>
          <w:p w14:paraId="6C53B43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234C10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(0.0196)</w:t>
            </w:r>
          </w:p>
        </w:tc>
        <w:tc>
          <w:tcPr>
            <w:tcW w:w="960" w:type="dxa"/>
            <w:tcBorders>
              <w:top w:val="nil"/>
              <w:left w:val="nil"/>
              <w:bottom w:val="nil"/>
              <w:right w:val="nil"/>
            </w:tcBorders>
            <w:shd w:val="clear" w:color="auto" w:fill="auto"/>
            <w:noWrap/>
            <w:vAlign w:val="bottom"/>
            <w:hideMark/>
          </w:tcPr>
          <w:p w14:paraId="1CDDDB8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(0.0209)</w:t>
            </w:r>
          </w:p>
        </w:tc>
        <w:tc>
          <w:tcPr>
            <w:tcW w:w="960" w:type="dxa"/>
            <w:tcBorders>
              <w:top w:val="nil"/>
              <w:left w:val="nil"/>
              <w:bottom w:val="nil"/>
              <w:right w:val="nil"/>
            </w:tcBorders>
            <w:shd w:val="clear" w:color="auto" w:fill="auto"/>
            <w:noWrap/>
            <w:vAlign w:val="bottom"/>
            <w:hideMark/>
          </w:tcPr>
          <w:p w14:paraId="063B5D1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(0.0197)</w:t>
            </w:r>
          </w:p>
        </w:tc>
        <w:tc>
          <w:tcPr>
            <w:tcW w:w="960" w:type="dxa"/>
            <w:tcBorders>
              <w:top w:val="nil"/>
              <w:left w:val="nil"/>
              <w:bottom w:val="nil"/>
              <w:right w:val="nil"/>
            </w:tcBorders>
            <w:shd w:val="clear" w:color="auto" w:fill="auto"/>
            <w:noWrap/>
            <w:vAlign w:val="bottom"/>
            <w:hideMark/>
          </w:tcPr>
          <w:p w14:paraId="2E6E80FD"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(0.0182)</w:t>
            </w:r>
          </w:p>
        </w:tc>
      </w:tr>
      <w:tr w:rsidR="00442B54" w:rsidRPr="00442B54" w14:paraId="0CAF1E33"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0BF1EF67"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B7A048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730BAAA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[0.008]</w:t>
            </w:r>
          </w:p>
        </w:tc>
        <w:tc>
          <w:tcPr>
            <w:tcW w:w="960" w:type="dxa"/>
            <w:tcBorders>
              <w:top w:val="nil"/>
              <w:left w:val="nil"/>
              <w:bottom w:val="nil"/>
              <w:right w:val="nil"/>
            </w:tcBorders>
            <w:shd w:val="clear" w:color="auto" w:fill="auto"/>
            <w:noWrap/>
            <w:vAlign w:val="bottom"/>
            <w:hideMark/>
          </w:tcPr>
          <w:p w14:paraId="219E575B"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[0.003]</w:t>
            </w:r>
          </w:p>
        </w:tc>
        <w:tc>
          <w:tcPr>
            <w:tcW w:w="960" w:type="dxa"/>
            <w:tcBorders>
              <w:top w:val="nil"/>
              <w:left w:val="nil"/>
              <w:bottom w:val="nil"/>
              <w:right w:val="nil"/>
            </w:tcBorders>
            <w:shd w:val="clear" w:color="auto" w:fill="auto"/>
            <w:noWrap/>
            <w:vAlign w:val="bottom"/>
            <w:hideMark/>
          </w:tcPr>
          <w:p w14:paraId="528A089D"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[0.007]</w:t>
            </w:r>
          </w:p>
        </w:tc>
        <w:tc>
          <w:tcPr>
            <w:tcW w:w="340" w:type="dxa"/>
            <w:tcBorders>
              <w:top w:val="nil"/>
              <w:left w:val="nil"/>
              <w:bottom w:val="nil"/>
              <w:right w:val="nil"/>
            </w:tcBorders>
            <w:shd w:val="clear" w:color="auto" w:fill="auto"/>
            <w:noWrap/>
            <w:vAlign w:val="bottom"/>
            <w:hideMark/>
          </w:tcPr>
          <w:p w14:paraId="14793E9D"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A63BCC5"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2F4D79BB"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[0.044]</w:t>
            </w:r>
          </w:p>
        </w:tc>
        <w:tc>
          <w:tcPr>
            <w:tcW w:w="960" w:type="dxa"/>
            <w:tcBorders>
              <w:top w:val="nil"/>
              <w:left w:val="nil"/>
              <w:bottom w:val="nil"/>
              <w:right w:val="nil"/>
            </w:tcBorders>
            <w:shd w:val="clear" w:color="auto" w:fill="auto"/>
            <w:noWrap/>
            <w:vAlign w:val="bottom"/>
            <w:hideMark/>
          </w:tcPr>
          <w:p w14:paraId="4A43BC3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[0.018]</w:t>
            </w:r>
          </w:p>
        </w:tc>
        <w:tc>
          <w:tcPr>
            <w:tcW w:w="960" w:type="dxa"/>
            <w:tcBorders>
              <w:top w:val="nil"/>
              <w:left w:val="nil"/>
              <w:bottom w:val="nil"/>
              <w:right w:val="nil"/>
            </w:tcBorders>
            <w:shd w:val="clear" w:color="auto" w:fill="auto"/>
            <w:noWrap/>
            <w:vAlign w:val="bottom"/>
            <w:hideMark/>
          </w:tcPr>
          <w:p w14:paraId="2397AC0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[0.040]</w:t>
            </w:r>
          </w:p>
        </w:tc>
      </w:tr>
      <w:tr w:rsidR="00442B54" w:rsidRPr="00442B54" w14:paraId="3B84A2CD"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352650F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9FCBD5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0FF79F0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299B7CE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4D142CDF"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340" w:type="dxa"/>
            <w:tcBorders>
              <w:top w:val="nil"/>
              <w:left w:val="nil"/>
              <w:bottom w:val="nil"/>
              <w:right w:val="nil"/>
            </w:tcBorders>
            <w:shd w:val="clear" w:color="auto" w:fill="auto"/>
            <w:noWrap/>
            <w:vAlign w:val="bottom"/>
            <w:hideMark/>
          </w:tcPr>
          <w:p w14:paraId="1A0A3743"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4F6CD6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5B33780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{0.025}</w:t>
            </w:r>
          </w:p>
        </w:tc>
        <w:tc>
          <w:tcPr>
            <w:tcW w:w="960" w:type="dxa"/>
            <w:tcBorders>
              <w:top w:val="nil"/>
              <w:left w:val="nil"/>
              <w:bottom w:val="nil"/>
              <w:right w:val="nil"/>
            </w:tcBorders>
            <w:shd w:val="clear" w:color="auto" w:fill="auto"/>
            <w:noWrap/>
            <w:vAlign w:val="bottom"/>
            <w:hideMark/>
          </w:tcPr>
          <w:p w14:paraId="6090B5E7"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{0.010}</w:t>
            </w:r>
          </w:p>
        </w:tc>
        <w:tc>
          <w:tcPr>
            <w:tcW w:w="960" w:type="dxa"/>
            <w:tcBorders>
              <w:top w:val="nil"/>
              <w:left w:val="nil"/>
              <w:bottom w:val="nil"/>
              <w:right w:val="nil"/>
            </w:tcBorders>
            <w:shd w:val="clear" w:color="auto" w:fill="auto"/>
            <w:noWrap/>
            <w:vAlign w:val="bottom"/>
            <w:hideMark/>
          </w:tcPr>
          <w:p w14:paraId="2A9F477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{0.025}</w:t>
            </w:r>
          </w:p>
        </w:tc>
      </w:tr>
      <w:tr w:rsidR="00442B54" w:rsidRPr="00442B54" w14:paraId="3D79EC41" w14:textId="77777777" w:rsidTr="00CA4D21">
        <w:trPr>
          <w:trHeight w:val="290"/>
          <w:jc w:val="center"/>
        </w:trPr>
        <w:tc>
          <w:tcPr>
            <w:tcW w:w="4413" w:type="dxa"/>
            <w:tcBorders>
              <w:top w:val="nil"/>
              <w:left w:val="nil"/>
              <w:bottom w:val="nil"/>
              <w:right w:val="nil"/>
            </w:tcBorders>
            <w:shd w:val="clear" w:color="auto" w:fill="auto"/>
            <w:noWrap/>
            <w:vAlign w:val="center"/>
            <w:hideMark/>
          </w:tcPr>
          <w:p w14:paraId="6A6669C3"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 Dispensary License Applicants in 10 Mins</w:t>
            </w:r>
          </w:p>
        </w:tc>
        <w:tc>
          <w:tcPr>
            <w:tcW w:w="960" w:type="dxa"/>
            <w:tcBorders>
              <w:top w:val="nil"/>
              <w:left w:val="nil"/>
              <w:bottom w:val="nil"/>
              <w:right w:val="nil"/>
            </w:tcBorders>
            <w:shd w:val="clear" w:color="auto" w:fill="auto"/>
            <w:noWrap/>
            <w:vAlign w:val="bottom"/>
            <w:hideMark/>
          </w:tcPr>
          <w:p w14:paraId="75F44F21"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88C976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0499325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42D3157"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4CA8223"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EF6702"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4F9FF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27B8209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DC72F99"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r>
      <w:tr w:rsidR="00442B54" w:rsidRPr="00442B54" w14:paraId="135C99D8" w14:textId="77777777" w:rsidTr="00CA4D21">
        <w:trPr>
          <w:trHeight w:val="290"/>
          <w:jc w:val="center"/>
        </w:trPr>
        <w:tc>
          <w:tcPr>
            <w:tcW w:w="4413" w:type="dxa"/>
            <w:tcBorders>
              <w:top w:val="nil"/>
              <w:left w:val="nil"/>
              <w:bottom w:val="nil"/>
              <w:right w:val="nil"/>
            </w:tcBorders>
            <w:shd w:val="clear" w:color="auto" w:fill="auto"/>
            <w:noWrap/>
            <w:vAlign w:val="center"/>
            <w:hideMark/>
          </w:tcPr>
          <w:p w14:paraId="09695421"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School Locale Indicators and Year FEs</w:t>
            </w:r>
          </w:p>
        </w:tc>
        <w:tc>
          <w:tcPr>
            <w:tcW w:w="960" w:type="dxa"/>
            <w:tcBorders>
              <w:top w:val="nil"/>
              <w:left w:val="nil"/>
              <w:bottom w:val="nil"/>
              <w:right w:val="nil"/>
            </w:tcBorders>
            <w:shd w:val="clear" w:color="auto" w:fill="auto"/>
            <w:noWrap/>
            <w:vAlign w:val="bottom"/>
            <w:hideMark/>
          </w:tcPr>
          <w:p w14:paraId="28CD39A6"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4296FF7"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B94EB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740CAEB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2597C18E"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9E9300A"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1E4C61A"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909E7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171B74CD"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r>
      <w:tr w:rsidR="00442B54" w:rsidRPr="00442B54" w14:paraId="2CC0685A" w14:textId="77777777" w:rsidTr="00CA4D21">
        <w:trPr>
          <w:trHeight w:val="290"/>
          <w:jc w:val="center"/>
        </w:trPr>
        <w:tc>
          <w:tcPr>
            <w:tcW w:w="4413" w:type="dxa"/>
            <w:tcBorders>
              <w:top w:val="nil"/>
              <w:left w:val="nil"/>
              <w:bottom w:val="nil"/>
              <w:right w:val="nil"/>
            </w:tcBorders>
            <w:shd w:val="clear" w:color="auto" w:fill="auto"/>
            <w:noWrap/>
            <w:vAlign w:val="center"/>
            <w:hideMark/>
          </w:tcPr>
          <w:p w14:paraId="62869DE0"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Student Characteristics</w:t>
            </w:r>
          </w:p>
        </w:tc>
        <w:tc>
          <w:tcPr>
            <w:tcW w:w="960" w:type="dxa"/>
            <w:tcBorders>
              <w:top w:val="nil"/>
              <w:left w:val="nil"/>
              <w:bottom w:val="nil"/>
              <w:right w:val="nil"/>
            </w:tcBorders>
            <w:shd w:val="clear" w:color="auto" w:fill="auto"/>
            <w:noWrap/>
            <w:vAlign w:val="bottom"/>
            <w:hideMark/>
          </w:tcPr>
          <w:p w14:paraId="6163933C"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4143E1D"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79FA5CA"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A82C9F"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28C49B5E"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9892331"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17D190"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CF5515" w14:textId="77777777" w:rsidR="00442B54" w:rsidRPr="00442B54" w:rsidRDefault="00442B54" w:rsidP="00442B54">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FFE35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X</w:t>
            </w:r>
          </w:p>
        </w:tc>
      </w:tr>
      <w:tr w:rsidR="00442B54" w:rsidRPr="00442B54" w14:paraId="2B0CF755" w14:textId="77777777" w:rsidTr="00CA4D21">
        <w:trPr>
          <w:trHeight w:val="290"/>
          <w:jc w:val="center"/>
        </w:trPr>
        <w:tc>
          <w:tcPr>
            <w:tcW w:w="4413" w:type="dxa"/>
            <w:tcBorders>
              <w:top w:val="nil"/>
              <w:left w:val="nil"/>
              <w:bottom w:val="nil"/>
              <w:right w:val="nil"/>
            </w:tcBorders>
            <w:shd w:val="clear" w:color="auto" w:fill="auto"/>
            <w:noWrap/>
            <w:vAlign w:val="bottom"/>
            <w:hideMark/>
          </w:tcPr>
          <w:p w14:paraId="6C701AEF"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State-Level Mean Across Public High Schools in 2014</w:t>
            </w:r>
          </w:p>
        </w:tc>
        <w:tc>
          <w:tcPr>
            <w:tcW w:w="960" w:type="dxa"/>
            <w:tcBorders>
              <w:top w:val="nil"/>
              <w:left w:val="nil"/>
              <w:bottom w:val="nil"/>
              <w:right w:val="nil"/>
            </w:tcBorders>
            <w:shd w:val="clear" w:color="auto" w:fill="auto"/>
            <w:noWrap/>
            <w:vAlign w:val="bottom"/>
            <w:hideMark/>
          </w:tcPr>
          <w:p w14:paraId="23C645A7"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0.24</w:t>
            </w:r>
          </w:p>
        </w:tc>
        <w:tc>
          <w:tcPr>
            <w:tcW w:w="960" w:type="dxa"/>
            <w:tcBorders>
              <w:top w:val="nil"/>
              <w:left w:val="nil"/>
              <w:bottom w:val="nil"/>
              <w:right w:val="nil"/>
            </w:tcBorders>
            <w:shd w:val="clear" w:color="auto" w:fill="auto"/>
            <w:noWrap/>
            <w:vAlign w:val="bottom"/>
            <w:hideMark/>
          </w:tcPr>
          <w:p w14:paraId="086AD0D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0.24</w:t>
            </w:r>
          </w:p>
        </w:tc>
        <w:tc>
          <w:tcPr>
            <w:tcW w:w="960" w:type="dxa"/>
            <w:tcBorders>
              <w:top w:val="nil"/>
              <w:left w:val="nil"/>
              <w:bottom w:val="nil"/>
              <w:right w:val="nil"/>
            </w:tcBorders>
            <w:shd w:val="clear" w:color="auto" w:fill="auto"/>
            <w:noWrap/>
            <w:vAlign w:val="bottom"/>
            <w:hideMark/>
          </w:tcPr>
          <w:p w14:paraId="04DA924A"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0.24</w:t>
            </w:r>
          </w:p>
        </w:tc>
        <w:tc>
          <w:tcPr>
            <w:tcW w:w="960" w:type="dxa"/>
            <w:tcBorders>
              <w:top w:val="nil"/>
              <w:left w:val="nil"/>
              <w:bottom w:val="nil"/>
              <w:right w:val="nil"/>
            </w:tcBorders>
            <w:shd w:val="clear" w:color="auto" w:fill="auto"/>
            <w:noWrap/>
            <w:vAlign w:val="bottom"/>
            <w:hideMark/>
          </w:tcPr>
          <w:p w14:paraId="502ACD9D"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0.24</w:t>
            </w:r>
          </w:p>
        </w:tc>
        <w:tc>
          <w:tcPr>
            <w:tcW w:w="340" w:type="dxa"/>
            <w:tcBorders>
              <w:top w:val="nil"/>
              <w:left w:val="nil"/>
              <w:bottom w:val="nil"/>
              <w:right w:val="nil"/>
            </w:tcBorders>
            <w:shd w:val="clear" w:color="auto" w:fill="auto"/>
            <w:noWrap/>
            <w:vAlign w:val="bottom"/>
            <w:hideMark/>
          </w:tcPr>
          <w:p w14:paraId="151EEABC"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E1FFAF2"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0BEB0F27"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53B0FA9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478A9899"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0.21</w:t>
            </w:r>
          </w:p>
        </w:tc>
      </w:tr>
      <w:tr w:rsidR="00442B54" w:rsidRPr="00442B54" w14:paraId="63C53982" w14:textId="77777777" w:rsidTr="00CA4D21">
        <w:trPr>
          <w:trHeight w:val="290"/>
          <w:jc w:val="center"/>
        </w:trPr>
        <w:tc>
          <w:tcPr>
            <w:tcW w:w="4413" w:type="dxa"/>
            <w:tcBorders>
              <w:top w:val="nil"/>
              <w:left w:val="nil"/>
              <w:bottom w:val="single" w:sz="4" w:space="0" w:color="auto"/>
              <w:right w:val="nil"/>
            </w:tcBorders>
            <w:shd w:val="clear" w:color="auto" w:fill="auto"/>
            <w:noWrap/>
            <w:vAlign w:val="bottom"/>
            <w:hideMark/>
          </w:tcPr>
          <w:p w14:paraId="2B7931E0" w14:textId="77777777" w:rsidR="00442B54" w:rsidRPr="00442B54" w:rsidRDefault="00442B54" w:rsidP="00442B54">
            <w:pPr>
              <w:spacing w:after="0" w:line="240" w:lineRule="auto"/>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Observations</w:t>
            </w:r>
          </w:p>
        </w:tc>
        <w:tc>
          <w:tcPr>
            <w:tcW w:w="960" w:type="dxa"/>
            <w:tcBorders>
              <w:top w:val="nil"/>
              <w:left w:val="nil"/>
              <w:bottom w:val="single" w:sz="4" w:space="0" w:color="auto"/>
              <w:right w:val="nil"/>
            </w:tcBorders>
            <w:shd w:val="clear" w:color="auto" w:fill="auto"/>
            <w:noWrap/>
            <w:vAlign w:val="bottom"/>
            <w:hideMark/>
          </w:tcPr>
          <w:p w14:paraId="637B287A"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324</w:t>
            </w:r>
          </w:p>
        </w:tc>
        <w:tc>
          <w:tcPr>
            <w:tcW w:w="960" w:type="dxa"/>
            <w:tcBorders>
              <w:top w:val="nil"/>
              <w:left w:val="nil"/>
              <w:bottom w:val="single" w:sz="4" w:space="0" w:color="auto"/>
              <w:right w:val="nil"/>
            </w:tcBorders>
            <w:shd w:val="clear" w:color="auto" w:fill="auto"/>
            <w:noWrap/>
            <w:vAlign w:val="bottom"/>
            <w:hideMark/>
          </w:tcPr>
          <w:p w14:paraId="06CCC2D1"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324</w:t>
            </w:r>
          </w:p>
        </w:tc>
        <w:tc>
          <w:tcPr>
            <w:tcW w:w="960" w:type="dxa"/>
            <w:tcBorders>
              <w:top w:val="nil"/>
              <w:left w:val="nil"/>
              <w:bottom w:val="single" w:sz="4" w:space="0" w:color="auto"/>
              <w:right w:val="nil"/>
            </w:tcBorders>
            <w:shd w:val="clear" w:color="auto" w:fill="auto"/>
            <w:noWrap/>
            <w:vAlign w:val="bottom"/>
            <w:hideMark/>
          </w:tcPr>
          <w:p w14:paraId="785A6E04"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324</w:t>
            </w:r>
          </w:p>
        </w:tc>
        <w:tc>
          <w:tcPr>
            <w:tcW w:w="960" w:type="dxa"/>
            <w:tcBorders>
              <w:top w:val="nil"/>
              <w:left w:val="nil"/>
              <w:bottom w:val="single" w:sz="4" w:space="0" w:color="auto"/>
              <w:right w:val="nil"/>
            </w:tcBorders>
            <w:shd w:val="clear" w:color="auto" w:fill="auto"/>
            <w:noWrap/>
            <w:vAlign w:val="bottom"/>
            <w:hideMark/>
          </w:tcPr>
          <w:p w14:paraId="403B821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324</w:t>
            </w:r>
          </w:p>
        </w:tc>
        <w:tc>
          <w:tcPr>
            <w:tcW w:w="340" w:type="dxa"/>
            <w:tcBorders>
              <w:top w:val="nil"/>
              <w:left w:val="nil"/>
              <w:bottom w:val="single" w:sz="4" w:space="0" w:color="auto"/>
              <w:right w:val="nil"/>
            </w:tcBorders>
            <w:shd w:val="clear" w:color="auto" w:fill="auto"/>
            <w:noWrap/>
            <w:vAlign w:val="bottom"/>
            <w:hideMark/>
          </w:tcPr>
          <w:p w14:paraId="45FAA943"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3C3C4150"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324</w:t>
            </w:r>
          </w:p>
        </w:tc>
        <w:tc>
          <w:tcPr>
            <w:tcW w:w="960" w:type="dxa"/>
            <w:tcBorders>
              <w:top w:val="nil"/>
              <w:left w:val="nil"/>
              <w:bottom w:val="single" w:sz="4" w:space="0" w:color="auto"/>
              <w:right w:val="nil"/>
            </w:tcBorders>
            <w:shd w:val="clear" w:color="auto" w:fill="auto"/>
            <w:noWrap/>
            <w:vAlign w:val="bottom"/>
            <w:hideMark/>
          </w:tcPr>
          <w:p w14:paraId="6EA268F6"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324</w:t>
            </w:r>
          </w:p>
        </w:tc>
        <w:tc>
          <w:tcPr>
            <w:tcW w:w="960" w:type="dxa"/>
            <w:tcBorders>
              <w:top w:val="nil"/>
              <w:left w:val="nil"/>
              <w:bottom w:val="single" w:sz="4" w:space="0" w:color="auto"/>
              <w:right w:val="nil"/>
            </w:tcBorders>
            <w:shd w:val="clear" w:color="auto" w:fill="auto"/>
            <w:noWrap/>
            <w:vAlign w:val="bottom"/>
            <w:hideMark/>
          </w:tcPr>
          <w:p w14:paraId="67A18978"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324</w:t>
            </w:r>
          </w:p>
        </w:tc>
        <w:tc>
          <w:tcPr>
            <w:tcW w:w="960" w:type="dxa"/>
            <w:tcBorders>
              <w:top w:val="nil"/>
              <w:left w:val="nil"/>
              <w:bottom w:val="single" w:sz="4" w:space="0" w:color="auto"/>
              <w:right w:val="nil"/>
            </w:tcBorders>
            <w:shd w:val="clear" w:color="auto" w:fill="auto"/>
            <w:noWrap/>
            <w:vAlign w:val="bottom"/>
            <w:hideMark/>
          </w:tcPr>
          <w:p w14:paraId="3B23B435" w14:textId="77777777" w:rsidR="00442B54" w:rsidRPr="00442B54" w:rsidRDefault="00442B54" w:rsidP="00442B54">
            <w:pPr>
              <w:spacing w:after="0" w:line="240" w:lineRule="auto"/>
              <w:jc w:val="center"/>
              <w:rPr>
                <w:rFonts w:ascii="Times New Roman" w:eastAsia="Times New Roman" w:hAnsi="Times New Roman" w:cs="Times New Roman"/>
                <w:color w:val="000000"/>
                <w:sz w:val="20"/>
                <w:szCs w:val="20"/>
              </w:rPr>
            </w:pPr>
            <w:r w:rsidRPr="00442B54">
              <w:rPr>
                <w:rFonts w:ascii="Times New Roman" w:eastAsia="Times New Roman" w:hAnsi="Times New Roman" w:cs="Times New Roman"/>
                <w:color w:val="000000"/>
                <w:sz w:val="20"/>
                <w:szCs w:val="20"/>
              </w:rPr>
              <w:t>324</w:t>
            </w:r>
          </w:p>
        </w:tc>
      </w:tr>
      <w:tr w:rsidR="00442B54" w:rsidRPr="00442B54" w14:paraId="7585D0EB" w14:textId="77777777" w:rsidTr="00CA4D21">
        <w:trPr>
          <w:trHeight w:val="290"/>
          <w:jc w:val="center"/>
        </w:trPr>
        <w:tc>
          <w:tcPr>
            <w:tcW w:w="12433" w:type="dxa"/>
            <w:gridSpan w:val="10"/>
            <w:tcBorders>
              <w:top w:val="nil"/>
              <w:left w:val="nil"/>
              <w:bottom w:val="nil"/>
              <w:right w:val="nil"/>
            </w:tcBorders>
            <w:shd w:val="clear" w:color="auto" w:fill="auto"/>
            <w:noWrap/>
            <w:vAlign w:val="bottom"/>
            <w:hideMark/>
          </w:tcPr>
          <w:p w14:paraId="5B58B788" w14:textId="6E1FBFC0" w:rsidR="00442B54" w:rsidRPr="00442B54" w:rsidRDefault="00442B54" w:rsidP="00442B5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Notes: </w:t>
            </w:r>
            <w:r>
              <w:rPr>
                <w:rFonts w:ascii="Times New Roman" w:eastAsia="Times New Roman" w:hAnsi="Times New Roman" w:cs="Times New Roman"/>
                <w:sz w:val="20"/>
                <w:szCs w:val="20"/>
              </w:rPr>
              <w:t>This table reports marginal effects from the estimation of</w:t>
            </w:r>
            <w:r w:rsidRPr="009F2721">
              <w:rPr>
                <w:rFonts w:ascii="Times New Roman" w:eastAsia="Times New Roman" w:hAnsi="Times New Roman" w:cs="Times New Roman"/>
                <w:sz w:val="20"/>
                <w:szCs w:val="20"/>
              </w:rPr>
              <w:t xml:space="preserve"> equation</w:t>
            </w:r>
            <w:r>
              <w:rPr>
                <w:rFonts w:ascii="Times New Roman" w:eastAsia="Times New Roman" w:hAnsi="Times New Roman" w:cs="Times New Roman"/>
                <w:sz w:val="20"/>
                <w:szCs w:val="20"/>
              </w:rPr>
              <w:t>s</w:t>
            </w:r>
            <w:r w:rsidRPr="009F2721">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 (2), and (3)</w:t>
            </w:r>
            <w:r w:rsidRPr="009F27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preferred specifications are in columns (4) and (8). All specifications include the 2014-15 and 2015-16 school years. School locale indicators include those for city, suburb, and town, and the omitted category is rural. Student characteristics include the proportions of free-or-reduced-price lunch, Black, Hispanic, and Asian students. Standard errors clustered by school are in parentheses. One-sided p-values from the original estimation are in square brackets, while one-sided Romano-Wolf p-values correcting for multiple hypothesis testing are in curly brackets. Average high school chronic absenteeism rates from the 2013-14 school year across all public high schools in the state are also included.</w:t>
            </w:r>
          </w:p>
        </w:tc>
      </w:tr>
    </w:tbl>
    <w:p w14:paraId="764CB382" w14:textId="77777777" w:rsidR="00BD39A6" w:rsidRDefault="00BD39A6" w:rsidP="00D750E1">
      <w:pPr>
        <w:rPr>
          <w:rFonts w:ascii="Times New Roman" w:hAnsi="Times New Roman" w:cs="Times New Roman"/>
          <w:b/>
          <w:bCs/>
          <w:sz w:val="32"/>
          <w:szCs w:val="32"/>
        </w:rPr>
        <w:sectPr w:rsidR="00BD39A6" w:rsidSect="00B67BEF">
          <w:pgSz w:w="15840" w:h="12240" w:orient="landscape"/>
          <w:pgMar w:top="1440" w:right="1440" w:bottom="1440" w:left="1440" w:header="720" w:footer="720" w:gutter="0"/>
          <w:cols w:space="720"/>
          <w:docGrid w:linePitch="360"/>
        </w:sectPr>
      </w:pPr>
    </w:p>
    <w:tbl>
      <w:tblPr>
        <w:tblW w:w="11820" w:type="dxa"/>
        <w:jc w:val="center"/>
        <w:tblLook w:val="04A0" w:firstRow="1" w:lastRow="0" w:firstColumn="1" w:lastColumn="0" w:noHBand="0" w:noVBand="1"/>
      </w:tblPr>
      <w:tblGrid>
        <w:gridCol w:w="3800"/>
        <w:gridCol w:w="960"/>
        <w:gridCol w:w="960"/>
        <w:gridCol w:w="960"/>
        <w:gridCol w:w="960"/>
        <w:gridCol w:w="340"/>
        <w:gridCol w:w="960"/>
        <w:gridCol w:w="960"/>
        <w:gridCol w:w="960"/>
        <w:gridCol w:w="960"/>
      </w:tblGrid>
      <w:tr w:rsidR="00BD39A6" w:rsidRPr="00BD39A6" w14:paraId="2116842B" w14:textId="77777777" w:rsidTr="00674808">
        <w:trPr>
          <w:trHeight w:val="300"/>
          <w:jc w:val="center"/>
        </w:trPr>
        <w:tc>
          <w:tcPr>
            <w:tcW w:w="11820" w:type="dxa"/>
            <w:gridSpan w:val="10"/>
            <w:tcBorders>
              <w:top w:val="nil"/>
              <w:left w:val="nil"/>
              <w:bottom w:val="double" w:sz="6" w:space="0" w:color="auto"/>
              <w:right w:val="nil"/>
            </w:tcBorders>
            <w:shd w:val="clear" w:color="auto" w:fill="auto"/>
            <w:noWrap/>
            <w:vAlign w:val="bottom"/>
            <w:hideMark/>
          </w:tcPr>
          <w:p w14:paraId="0C4D996F" w14:textId="77777777" w:rsidR="00BD39A6" w:rsidRDefault="00BD39A6" w:rsidP="00BD39A6">
            <w:pPr>
              <w:spacing w:after="0" w:line="240" w:lineRule="auto"/>
              <w:jc w:val="center"/>
              <w:rPr>
                <w:rFonts w:ascii="Times New Roman" w:eastAsia="Times New Roman" w:hAnsi="Times New Roman" w:cs="Times New Roman"/>
                <w:color w:val="000000"/>
                <w:sz w:val="24"/>
                <w:szCs w:val="24"/>
              </w:rPr>
            </w:pPr>
            <w:r w:rsidRPr="003663B9">
              <w:rPr>
                <w:rFonts w:ascii="Times New Roman" w:eastAsia="Times New Roman" w:hAnsi="Times New Roman" w:cs="Times New Roman"/>
                <w:color w:val="000000"/>
                <w:sz w:val="24"/>
                <w:szCs w:val="24"/>
              </w:rPr>
              <w:lastRenderedPageBreak/>
              <w:t xml:space="preserve">Table </w:t>
            </w:r>
            <w:r>
              <w:rPr>
                <w:rFonts w:ascii="Times New Roman" w:eastAsia="Times New Roman" w:hAnsi="Times New Roman" w:cs="Times New Roman"/>
                <w:color w:val="000000"/>
                <w:sz w:val="24"/>
                <w:szCs w:val="24"/>
              </w:rPr>
              <w:t>4</w:t>
            </w:r>
            <w:r w:rsidRPr="003663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Reduced Form Estimates </w:t>
            </w:r>
            <w:r w:rsidRPr="003663B9">
              <w:rPr>
                <w:rFonts w:ascii="Times New Roman" w:eastAsia="Times New Roman" w:hAnsi="Times New Roman" w:cs="Times New Roman"/>
                <w:color w:val="000000"/>
                <w:sz w:val="24"/>
                <w:szCs w:val="24"/>
              </w:rPr>
              <w:t xml:space="preserve">of the Washington Marijuana Dispensary Lottery on </w:t>
            </w:r>
            <w:r>
              <w:rPr>
                <w:rFonts w:ascii="Times New Roman" w:eastAsia="Times New Roman" w:hAnsi="Times New Roman" w:cs="Times New Roman"/>
                <w:color w:val="000000"/>
                <w:sz w:val="24"/>
                <w:szCs w:val="24"/>
              </w:rPr>
              <w:t>Discipline Rates</w:t>
            </w:r>
          </w:p>
          <w:p w14:paraId="325FD260" w14:textId="68D9F309" w:rsidR="00BD39A6" w:rsidRPr="00BD39A6" w:rsidRDefault="00BD39A6" w:rsidP="00BD39A6">
            <w:pPr>
              <w:spacing w:after="0" w:line="240" w:lineRule="auto"/>
              <w:rPr>
                <w:rFonts w:ascii="Calibri" w:eastAsia="Times New Roman" w:hAnsi="Calibri" w:cs="Calibri"/>
                <w:color w:val="000000"/>
              </w:rPr>
            </w:pPr>
          </w:p>
        </w:tc>
      </w:tr>
      <w:tr w:rsidR="00BD39A6" w:rsidRPr="00BD39A6" w14:paraId="6238977E" w14:textId="77777777" w:rsidTr="00BD39A6">
        <w:trPr>
          <w:trHeight w:val="300"/>
          <w:jc w:val="center"/>
        </w:trPr>
        <w:tc>
          <w:tcPr>
            <w:tcW w:w="3800" w:type="dxa"/>
            <w:tcBorders>
              <w:top w:val="nil"/>
              <w:left w:val="nil"/>
              <w:bottom w:val="nil"/>
              <w:right w:val="nil"/>
            </w:tcBorders>
            <w:shd w:val="clear" w:color="auto" w:fill="auto"/>
            <w:noWrap/>
            <w:vAlign w:val="bottom"/>
            <w:hideMark/>
          </w:tcPr>
          <w:p w14:paraId="77D9308C" w14:textId="77777777" w:rsidR="00BD39A6" w:rsidRPr="00BD39A6" w:rsidRDefault="00BD39A6" w:rsidP="00BD39A6">
            <w:pPr>
              <w:spacing w:after="0" w:line="240" w:lineRule="auto"/>
              <w:rPr>
                <w:rFonts w:ascii="Calibri" w:eastAsia="Times New Roman" w:hAnsi="Calibri" w:cs="Calibri"/>
                <w:color w:val="000000"/>
              </w:rPr>
            </w:pPr>
          </w:p>
        </w:tc>
        <w:tc>
          <w:tcPr>
            <w:tcW w:w="3840" w:type="dxa"/>
            <w:gridSpan w:val="4"/>
            <w:tcBorders>
              <w:top w:val="nil"/>
              <w:left w:val="nil"/>
              <w:bottom w:val="single" w:sz="4" w:space="0" w:color="auto"/>
              <w:right w:val="nil"/>
            </w:tcBorders>
            <w:shd w:val="clear" w:color="auto" w:fill="auto"/>
            <w:noWrap/>
            <w:vAlign w:val="bottom"/>
            <w:hideMark/>
          </w:tcPr>
          <w:p w14:paraId="62285D4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Female</w:t>
            </w:r>
          </w:p>
        </w:tc>
        <w:tc>
          <w:tcPr>
            <w:tcW w:w="340" w:type="dxa"/>
            <w:tcBorders>
              <w:top w:val="nil"/>
              <w:left w:val="nil"/>
              <w:bottom w:val="nil"/>
              <w:right w:val="nil"/>
            </w:tcBorders>
            <w:shd w:val="clear" w:color="auto" w:fill="auto"/>
            <w:noWrap/>
            <w:vAlign w:val="bottom"/>
            <w:hideMark/>
          </w:tcPr>
          <w:p w14:paraId="418F2E5B"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3840" w:type="dxa"/>
            <w:gridSpan w:val="4"/>
            <w:tcBorders>
              <w:top w:val="nil"/>
              <w:left w:val="nil"/>
              <w:bottom w:val="single" w:sz="4" w:space="0" w:color="auto"/>
              <w:right w:val="nil"/>
            </w:tcBorders>
            <w:shd w:val="clear" w:color="auto" w:fill="auto"/>
            <w:noWrap/>
            <w:vAlign w:val="bottom"/>
            <w:hideMark/>
          </w:tcPr>
          <w:p w14:paraId="2CF2306D"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Male</w:t>
            </w:r>
          </w:p>
        </w:tc>
      </w:tr>
      <w:tr w:rsidR="00BD39A6" w:rsidRPr="00BD39A6" w14:paraId="4A91F3A5" w14:textId="77777777" w:rsidTr="00BD39A6">
        <w:trPr>
          <w:trHeight w:val="290"/>
          <w:jc w:val="center"/>
        </w:trPr>
        <w:tc>
          <w:tcPr>
            <w:tcW w:w="3800" w:type="dxa"/>
            <w:tcBorders>
              <w:top w:val="nil"/>
              <w:left w:val="nil"/>
              <w:bottom w:val="single" w:sz="4" w:space="0" w:color="auto"/>
              <w:right w:val="nil"/>
            </w:tcBorders>
            <w:shd w:val="clear" w:color="auto" w:fill="auto"/>
            <w:noWrap/>
            <w:vAlign w:val="bottom"/>
            <w:hideMark/>
          </w:tcPr>
          <w:p w14:paraId="3018AB12"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3D67936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nil"/>
            </w:tcBorders>
            <w:shd w:val="clear" w:color="auto" w:fill="auto"/>
            <w:noWrap/>
            <w:vAlign w:val="bottom"/>
            <w:hideMark/>
          </w:tcPr>
          <w:p w14:paraId="498EA34B"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nil"/>
            </w:tcBorders>
            <w:shd w:val="clear" w:color="auto" w:fill="auto"/>
            <w:noWrap/>
            <w:vAlign w:val="bottom"/>
            <w:hideMark/>
          </w:tcPr>
          <w:p w14:paraId="001B5C0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nil"/>
            </w:tcBorders>
            <w:shd w:val="clear" w:color="auto" w:fill="auto"/>
            <w:noWrap/>
            <w:vAlign w:val="bottom"/>
            <w:hideMark/>
          </w:tcPr>
          <w:p w14:paraId="34A61B9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w:t>
            </w:r>
          </w:p>
        </w:tc>
        <w:tc>
          <w:tcPr>
            <w:tcW w:w="340" w:type="dxa"/>
            <w:tcBorders>
              <w:top w:val="nil"/>
              <w:left w:val="nil"/>
              <w:bottom w:val="single" w:sz="4" w:space="0" w:color="auto"/>
              <w:right w:val="nil"/>
            </w:tcBorders>
            <w:shd w:val="clear" w:color="auto" w:fill="auto"/>
            <w:noWrap/>
            <w:vAlign w:val="bottom"/>
            <w:hideMark/>
          </w:tcPr>
          <w:p w14:paraId="637E09C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754B4621"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nil"/>
            </w:tcBorders>
            <w:shd w:val="clear" w:color="auto" w:fill="auto"/>
            <w:noWrap/>
            <w:vAlign w:val="bottom"/>
            <w:hideMark/>
          </w:tcPr>
          <w:p w14:paraId="63CE4A7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nil"/>
            </w:tcBorders>
            <w:shd w:val="clear" w:color="auto" w:fill="auto"/>
            <w:noWrap/>
            <w:vAlign w:val="bottom"/>
            <w:hideMark/>
          </w:tcPr>
          <w:p w14:paraId="7C0B6F0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nil"/>
            </w:tcBorders>
            <w:shd w:val="clear" w:color="auto" w:fill="auto"/>
            <w:noWrap/>
            <w:vAlign w:val="bottom"/>
            <w:hideMark/>
          </w:tcPr>
          <w:p w14:paraId="5DB02BE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(8)</w:t>
            </w:r>
          </w:p>
        </w:tc>
      </w:tr>
      <w:tr w:rsidR="00BD39A6" w:rsidRPr="00BD39A6" w14:paraId="7B2D8EFF" w14:textId="77777777" w:rsidTr="00BD39A6">
        <w:trPr>
          <w:trHeight w:val="290"/>
          <w:jc w:val="center"/>
        </w:trPr>
        <w:tc>
          <w:tcPr>
            <w:tcW w:w="3800" w:type="dxa"/>
            <w:tcBorders>
              <w:top w:val="nil"/>
              <w:left w:val="nil"/>
              <w:bottom w:val="nil"/>
              <w:right w:val="nil"/>
            </w:tcBorders>
            <w:shd w:val="clear" w:color="auto" w:fill="auto"/>
            <w:noWrap/>
            <w:vAlign w:val="bottom"/>
            <w:hideMark/>
          </w:tcPr>
          <w:p w14:paraId="5C3CE4E5" w14:textId="77777777" w:rsidR="00BD39A6" w:rsidRPr="00BD39A6" w:rsidRDefault="00BD39A6" w:rsidP="00BD39A6">
            <w:pPr>
              <w:spacing w:after="0" w:line="240" w:lineRule="auto"/>
              <w:rPr>
                <w:rFonts w:ascii="Times New Roman" w:eastAsia="Times New Roman" w:hAnsi="Times New Roman" w:cs="Times New Roman"/>
                <w:i/>
                <w:iCs/>
                <w:color w:val="000000"/>
                <w:sz w:val="20"/>
                <w:szCs w:val="20"/>
              </w:rPr>
            </w:pPr>
            <w:r w:rsidRPr="00BD39A6">
              <w:rPr>
                <w:rFonts w:ascii="Times New Roman" w:eastAsia="Times New Roman" w:hAnsi="Times New Roman" w:cs="Times New Roman"/>
                <w:i/>
                <w:iCs/>
                <w:color w:val="000000"/>
                <w:sz w:val="20"/>
                <w:szCs w:val="20"/>
              </w:rPr>
              <w:t>Panel A: 11th Grade</w:t>
            </w:r>
          </w:p>
        </w:tc>
        <w:tc>
          <w:tcPr>
            <w:tcW w:w="960" w:type="dxa"/>
            <w:tcBorders>
              <w:top w:val="nil"/>
              <w:left w:val="nil"/>
              <w:bottom w:val="nil"/>
              <w:right w:val="nil"/>
            </w:tcBorders>
            <w:shd w:val="clear" w:color="auto" w:fill="auto"/>
            <w:noWrap/>
            <w:vAlign w:val="bottom"/>
            <w:hideMark/>
          </w:tcPr>
          <w:p w14:paraId="27260ADF" w14:textId="77777777" w:rsidR="00BD39A6" w:rsidRPr="00BD39A6" w:rsidRDefault="00BD39A6" w:rsidP="00BD39A6">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797BD324"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600CE2"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5DAF6DE"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C3D8867"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A6A484"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0258A2"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0F2247"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A2FF6C" w14:textId="77777777" w:rsidR="00BD39A6" w:rsidRPr="00BD39A6" w:rsidRDefault="00BD39A6" w:rsidP="00BD39A6">
            <w:pPr>
              <w:spacing w:after="0" w:line="240" w:lineRule="auto"/>
              <w:rPr>
                <w:rFonts w:ascii="Times New Roman" w:eastAsia="Times New Roman" w:hAnsi="Times New Roman" w:cs="Times New Roman"/>
                <w:sz w:val="20"/>
                <w:szCs w:val="20"/>
              </w:rPr>
            </w:pPr>
          </w:p>
        </w:tc>
      </w:tr>
      <w:tr w:rsidR="00BD39A6" w:rsidRPr="00BD39A6" w14:paraId="037CAED8" w14:textId="77777777" w:rsidTr="00BD39A6">
        <w:trPr>
          <w:trHeight w:val="290"/>
          <w:jc w:val="center"/>
        </w:trPr>
        <w:tc>
          <w:tcPr>
            <w:tcW w:w="3800" w:type="dxa"/>
            <w:tcBorders>
              <w:top w:val="nil"/>
              <w:left w:val="nil"/>
              <w:bottom w:val="nil"/>
              <w:right w:val="nil"/>
            </w:tcBorders>
            <w:shd w:val="clear" w:color="auto" w:fill="auto"/>
            <w:noWrap/>
            <w:vAlign w:val="center"/>
            <w:hideMark/>
          </w:tcPr>
          <w:p w14:paraId="1DD3D8C1"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School is within 10 Mins of a Lottery Winner</w:t>
            </w:r>
          </w:p>
        </w:tc>
        <w:tc>
          <w:tcPr>
            <w:tcW w:w="960" w:type="dxa"/>
            <w:tcBorders>
              <w:top w:val="nil"/>
              <w:left w:val="nil"/>
              <w:bottom w:val="nil"/>
              <w:right w:val="nil"/>
            </w:tcBorders>
            <w:shd w:val="clear" w:color="auto" w:fill="auto"/>
            <w:noWrap/>
            <w:vAlign w:val="bottom"/>
            <w:hideMark/>
          </w:tcPr>
          <w:p w14:paraId="632F315D"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2485A10B"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-0.0003</w:t>
            </w:r>
          </w:p>
        </w:tc>
        <w:tc>
          <w:tcPr>
            <w:tcW w:w="960" w:type="dxa"/>
            <w:tcBorders>
              <w:top w:val="nil"/>
              <w:left w:val="nil"/>
              <w:bottom w:val="nil"/>
              <w:right w:val="nil"/>
            </w:tcBorders>
            <w:shd w:val="clear" w:color="auto" w:fill="auto"/>
            <w:noWrap/>
            <w:vAlign w:val="bottom"/>
            <w:hideMark/>
          </w:tcPr>
          <w:p w14:paraId="357FD7D2"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04876F4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0.003</w:t>
            </w:r>
          </w:p>
        </w:tc>
        <w:tc>
          <w:tcPr>
            <w:tcW w:w="340" w:type="dxa"/>
            <w:tcBorders>
              <w:top w:val="nil"/>
              <w:left w:val="nil"/>
              <w:bottom w:val="nil"/>
              <w:right w:val="nil"/>
            </w:tcBorders>
            <w:shd w:val="clear" w:color="auto" w:fill="auto"/>
            <w:noWrap/>
            <w:vAlign w:val="bottom"/>
            <w:hideMark/>
          </w:tcPr>
          <w:p w14:paraId="5AC5B8E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E53979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17EC3B21"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5CA5136A"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0.010</w:t>
            </w:r>
          </w:p>
        </w:tc>
        <w:tc>
          <w:tcPr>
            <w:tcW w:w="960" w:type="dxa"/>
            <w:tcBorders>
              <w:top w:val="nil"/>
              <w:left w:val="nil"/>
              <w:bottom w:val="nil"/>
              <w:right w:val="nil"/>
            </w:tcBorders>
            <w:shd w:val="clear" w:color="auto" w:fill="auto"/>
            <w:noWrap/>
            <w:vAlign w:val="bottom"/>
            <w:hideMark/>
          </w:tcPr>
          <w:p w14:paraId="43E6ACB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0.006</w:t>
            </w:r>
          </w:p>
        </w:tc>
      </w:tr>
      <w:tr w:rsidR="00BD39A6" w:rsidRPr="00BD39A6" w14:paraId="6EC648B6" w14:textId="77777777" w:rsidTr="00BD39A6">
        <w:trPr>
          <w:trHeight w:val="290"/>
          <w:jc w:val="center"/>
        </w:trPr>
        <w:tc>
          <w:tcPr>
            <w:tcW w:w="3800" w:type="dxa"/>
            <w:tcBorders>
              <w:top w:val="nil"/>
              <w:left w:val="nil"/>
              <w:bottom w:val="nil"/>
              <w:right w:val="nil"/>
            </w:tcBorders>
            <w:shd w:val="clear" w:color="auto" w:fill="auto"/>
            <w:noWrap/>
            <w:vAlign w:val="center"/>
            <w:hideMark/>
          </w:tcPr>
          <w:p w14:paraId="614C371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3EA1DA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(0.0054)</w:t>
            </w:r>
          </w:p>
        </w:tc>
        <w:tc>
          <w:tcPr>
            <w:tcW w:w="960" w:type="dxa"/>
            <w:tcBorders>
              <w:top w:val="nil"/>
              <w:left w:val="nil"/>
              <w:bottom w:val="nil"/>
              <w:right w:val="nil"/>
            </w:tcBorders>
            <w:shd w:val="clear" w:color="auto" w:fill="auto"/>
            <w:noWrap/>
            <w:vAlign w:val="bottom"/>
            <w:hideMark/>
          </w:tcPr>
          <w:p w14:paraId="0781A27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(0.0056)</w:t>
            </w:r>
          </w:p>
        </w:tc>
        <w:tc>
          <w:tcPr>
            <w:tcW w:w="960" w:type="dxa"/>
            <w:tcBorders>
              <w:top w:val="nil"/>
              <w:left w:val="nil"/>
              <w:bottom w:val="nil"/>
              <w:right w:val="nil"/>
            </w:tcBorders>
            <w:shd w:val="clear" w:color="auto" w:fill="auto"/>
            <w:noWrap/>
            <w:vAlign w:val="bottom"/>
            <w:hideMark/>
          </w:tcPr>
          <w:p w14:paraId="134335B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(0.0043)</w:t>
            </w:r>
          </w:p>
        </w:tc>
        <w:tc>
          <w:tcPr>
            <w:tcW w:w="960" w:type="dxa"/>
            <w:tcBorders>
              <w:top w:val="nil"/>
              <w:left w:val="nil"/>
              <w:bottom w:val="nil"/>
              <w:right w:val="nil"/>
            </w:tcBorders>
            <w:shd w:val="clear" w:color="auto" w:fill="auto"/>
            <w:noWrap/>
            <w:vAlign w:val="bottom"/>
            <w:hideMark/>
          </w:tcPr>
          <w:p w14:paraId="14701F3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(0.0043)</w:t>
            </w:r>
          </w:p>
        </w:tc>
        <w:tc>
          <w:tcPr>
            <w:tcW w:w="340" w:type="dxa"/>
            <w:tcBorders>
              <w:top w:val="nil"/>
              <w:left w:val="nil"/>
              <w:bottom w:val="nil"/>
              <w:right w:val="nil"/>
            </w:tcBorders>
            <w:shd w:val="clear" w:color="auto" w:fill="auto"/>
            <w:noWrap/>
            <w:vAlign w:val="bottom"/>
            <w:hideMark/>
          </w:tcPr>
          <w:p w14:paraId="2C6B7A1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237CC20"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(0.0058)</w:t>
            </w:r>
          </w:p>
        </w:tc>
        <w:tc>
          <w:tcPr>
            <w:tcW w:w="960" w:type="dxa"/>
            <w:tcBorders>
              <w:top w:val="nil"/>
              <w:left w:val="nil"/>
              <w:bottom w:val="nil"/>
              <w:right w:val="nil"/>
            </w:tcBorders>
            <w:shd w:val="clear" w:color="auto" w:fill="auto"/>
            <w:noWrap/>
            <w:vAlign w:val="bottom"/>
            <w:hideMark/>
          </w:tcPr>
          <w:p w14:paraId="219EC690"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(0.0066)</w:t>
            </w:r>
          </w:p>
        </w:tc>
        <w:tc>
          <w:tcPr>
            <w:tcW w:w="960" w:type="dxa"/>
            <w:tcBorders>
              <w:top w:val="nil"/>
              <w:left w:val="nil"/>
              <w:bottom w:val="nil"/>
              <w:right w:val="nil"/>
            </w:tcBorders>
            <w:shd w:val="clear" w:color="auto" w:fill="auto"/>
            <w:noWrap/>
            <w:vAlign w:val="bottom"/>
            <w:hideMark/>
          </w:tcPr>
          <w:p w14:paraId="63343B1B"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(0.0058)</w:t>
            </w:r>
          </w:p>
        </w:tc>
        <w:tc>
          <w:tcPr>
            <w:tcW w:w="960" w:type="dxa"/>
            <w:tcBorders>
              <w:top w:val="nil"/>
              <w:left w:val="nil"/>
              <w:bottom w:val="nil"/>
              <w:right w:val="nil"/>
            </w:tcBorders>
            <w:shd w:val="clear" w:color="auto" w:fill="auto"/>
            <w:noWrap/>
            <w:vAlign w:val="bottom"/>
            <w:hideMark/>
          </w:tcPr>
          <w:p w14:paraId="65CC6ED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(0.0054)</w:t>
            </w:r>
          </w:p>
        </w:tc>
      </w:tr>
      <w:tr w:rsidR="00BD39A6" w:rsidRPr="00BD39A6" w14:paraId="5774732F" w14:textId="77777777" w:rsidTr="00BD39A6">
        <w:trPr>
          <w:trHeight w:val="290"/>
          <w:jc w:val="center"/>
        </w:trPr>
        <w:tc>
          <w:tcPr>
            <w:tcW w:w="3800" w:type="dxa"/>
            <w:tcBorders>
              <w:top w:val="nil"/>
              <w:left w:val="nil"/>
              <w:bottom w:val="nil"/>
              <w:right w:val="nil"/>
            </w:tcBorders>
            <w:shd w:val="clear" w:color="auto" w:fill="auto"/>
            <w:noWrap/>
            <w:vAlign w:val="bottom"/>
            <w:hideMark/>
          </w:tcPr>
          <w:p w14:paraId="47E056F1"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47439E4"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[0.459]</w:t>
            </w:r>
          </w:p>
        </w:tc>
        <w:tc>
          <w:tcPr>
            <w:tcW w:w="960" w:type="dxa"/>
            <w:tcBorders>
              <w:top w:val="nil"/>
              <w:left w:val="nil"/>
              <w:bottom w:val="nil"/>
              <w:right w:val="nil"/>
            </w:tcBorders>
            <w:shd w:val="clear" w:color="auto" w:fill="auto"/>
            <w:noWrap/>
            <w:vAlign w:val="bottom"/>
            <w:hideMark/>
          </w:tcPr>
          <w:p w14:paraId="79DD873D"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[0.476]</w:t>
            </w:r>
          </w:p>
        </w:tc>
        <w:tc>
          <w:tcPr>
            <w:tcW w:w="960" w:type="dxa"/>
            <w:tcBorders>
              <w:top w:val="nil"/>
              <w:left w:val="nil"/>
              <w:bottom w:val="nil"/>
              <w:right w:val="nil"/>
            </w:tcBorders>
            <w:shd w:val="clear" w:color="auto" w:fill="auto"/>
            <w:noWrap/>
            <w:vAlign w:val="bottom"/>
            <w:hideMark/>
          </w:tcPr>
          <w:p w14:paraId="429A1DD4"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[0.132]</w:t>
            </w:r>
          </w:p>
        </w:tc>
        <w:tc>
          <w:tcPr>
            <w:tcW w:w="960" w:type="dxa"/>
            <w:tcBorders>
              <w:top w:val="nil"/>
              <w:left w:val="nil"/>
              <w:bottom w:val="nil"/>
              <w:right w:val="nil"/>
            </w:tcBorders>
            <w:shd w:val="clear" w:color="auto" w:fill="auto"/>
            <w:noWrap/>
            <w:vAlign w:val="bottom"/>
            <w:hideMark/>
          </w:tcPr>
          <w:p w14:paraId="2D7732C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[0.255]</w:t>
            </w:r>
          </w:p>
        </w:tc>
        <w:tc>
          <w:tcPr>
            <w:tcW w:w="340" w:type="dxa"/>
            <w:tcBorders>
              <w:top w:val="nil"/>
              <w:left w:val="nil"/>
              <w:bottom w:val="nil"/>
              <w:right w:val="nil"/>
            </w:tcBorders>
            <w:shd w:val="clear" w:color="auto" w:fill="auto"/>
            <w:noWrap/>
            <w:vAlign w:val="bottom"/>
            <w:hideMark/>
          </w:tcPr>
          <w:p w14:paraId="50E47B5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85CEAD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[0.172]</w:t>
            </w:r>
          </w:p>
        </w:tc>
        <w:tc>
          <w:tcPr>
            <w:tcW w:w="960" w:type="dxa"/>
            <w:tcBorders>
              <w:top w:val="nil"/>
              <w:left w:val="nil"/>
              <w:bottom w:val="nil"/>
              <w:right w:val="nil"/>
            </w:tcBorders>
            <w:shd w:val="clear" w:color="auto" w:fill="auto"/>
            <w:noWrap/>
            <w:vAlign w:val="bottom"/>
            <w:hideMark/>
          </w:tcPr>
          <w:p w14:paraId="4FAAD87B"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[0.213]</w:t>
            </w:r>
          </w:p>
        </w:tc>
        <w:tc>
          <w:tcPr>
            <w:tcW w:w="960" w:type="dxa"/>
            <w:tcBorders>
              <w:top w:val="nil"/>
              <w:left w:val="nil"/>
              <w:bottom w:val="nil"/>
              <w:right w:val="nil"/>
            </w:tcBorders>
            <w:shd w:val="clear" w:color="auto" w:fill="auto"/>
            <w:noWrap/>
            <w:vAlign w:val="bottom"/>
            <w:hideMark/>
          </w:tcPr>
          <w:p w14:paraId="683FC95D"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[0.049]</w:t>
            </w:r>
          </w:p>
        </w:tc>
        <w:tc>
          <w:tcPr>
            <w:tcW w:w="960" w:type="dxa"/>
            <w:tcBorders>
              <w:top w:val="nil"/>
              <w:left w:val="nil"/>
              <w:bottom w:val="nil"/>
              <w:right w:val="nil"/>
            </w:tcBorders>
            <w:shd w:val="clear" w:color="auto" w:fill="auto"/>
            <w:noWrap/>
            <w:vAlign w:val="bottom"/>
            <w:hideMark/>
          </w:tcPr>
          <w:p w14:paraId="721CD71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[0.123]</w:t>
            </w:r>
          </w:p>
        </w:tc>
      </w:tr>
      <w:tr w:rsidR="00BD39A6" w:rsidRPr="00BD39A6" w14:paraId="5DC9E82D" w14:textId="77777777" w:rsidTr="00BD39A6">
        <w:trPr>
          <w:trHeight w:val="290"/>
          <w:jc w:val="center"/>
        </w:trPr>
        <w:tc>
          <w:tcPr>
            <w:tcW w:w="3800" w:type="dxa"/>
            <w:tcBorders>
              <w:top w:val="nil"/>
              <w:left w:val="nil"/>
              <w:bottom w:val="nil"/>
              <w:right w:val="nil"/>
            </w:tcBorders>
            <w:shd w:val="clear" w:color="auto" w:fill="auto"/>
            <w:noWrap/>
            <w:vAlign w:val="bottom"/>
            <w:hideMark/>
          </w:tcPr>
          <w:p w14:paraId="2973A63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4BC8B82"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{0.465}</w:t>
            </w:r>
          </w:p>
        </w:tc>
        <w:tc>
          <w:tcPr>
            <w:tcW w:w="960" w:type="dxa"/>
            <w:tcBorders>
              <w:top w:val="nil"/>
              <w:left w:val="nil"/>
              <w:bottom w:val="nil"/>
              <w:right w:val="nil"/>
            </w:tcBorders>
            <w:shd w:val="clear" w:color="auto" w:fill="auto"/>
            <w:noWrap/>
            <w:vAlign w:val="bottom"/>
            <w:hideMark/>
          </w:tcPr>
          <w:p w14:paraId="6040D9E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{0.475}</w:t>
            </w:r>
          </w:p>
        </w:tc>
        <w:tc>
          <w:tcPr>
            <w:tcW w:w="960" w:type="dxa"/>
            <w:tcBorders>
              <w:top w:val="nil"/>
              <w:left w:val="nil"/>
              <w:bottom w:val="nil"/>
              <w:right w:val="nil"/>
            </w:tcBorders>
            <w:shd w:val="clear" w:color="auto" w:fill="auto"/>
            <w:noWrap/>
            <w:vAlign w:val="bottom"/>
            <w:hideMark/>
          </w:tcPr>
          <w:p w14:paraId="32F497C3"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{0.144}</w:t>
            </w:r>
          </w:p>
        </w:tc>
        <w:tc>
          <w:tcPr>
            <w:tcW w:w="960" w:type="dxa"/>
            <w:tcBorders>
              <w:top w:val="nil"/>
              <w:left w:val="nil"/>
              <w:bottom w:val="nil"/>
              <w:right w:val="nil"/>
            </w:tcBorders>
            <w:shd w:val="clear" w:color="auto" w:fill="auto"/>
            <w:noWrap/>
            <w:vAlign w:val="bottom"/>
            <w:hideMark/>
          </w:tcPr>
          <w:p w14:paraId="6C6EDEB1"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{0.292}</w:t>
            </w:r>
          </w:p>
        </w:tc>
        <w:tc>
          <w:tcPr>
            <w:tcW w:w="340" w:type="dxa"/>
            <w:tcBorders>
              <w:top w:val="nil"/>
              <w:left w:val="nil"/>
              <w:bottom w:val="nil"/>
              <w:right w:val="nil"/>
            </w:tcBorders>
            <w:shd w:val="clear" w:color="auto" w:fill="auto"/>
            <w:noWrap/>
            <w:vAlign w:val="bottom"/>
            <w:hideMark/>
          </w:tcPr>
          <w:p w14:paraId="746217B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235E681"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{0.233}</w:t>
            </w:r>
          </w:p>
        </w:tc>
        <w:tc>
          <w:tcPr>
            <w:tcW w:w="960" w:type="dxa"/>
            <w:tcBorders>
              <w:top w:val="nil"/>
              <w:left w:val="nil"/>
              <w:bottom w:val="nil"/>
              <w:right w:val="nil"/>
            </w:tcBorders>
            <w:shd w:val="clear" w:color="auto" w:fill="auto"/>
            <w:noWrap/>
            <w:vAlign w:val="bottom"/>
            <w:hideMark/>
          </w:tcPr>
          <w:p w14:paraId="18D8E744"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{0.292}</w:t>
            </w:r>
          </w:p>
        </w:tc>
        <w:tc>
          <w:tcPr>
            <w:tcW w:w="960" w:type="dxa"/>
            <w:tcBorders>
              <w:top w:val="nil"/>
              <w:left w:val="nil"/>
              <w:bottom w:val="nil"/>
              <w:right w:val="nil"/>
            </w:tcBorders>
            <w:shd w:val="clear" w:color="auto" w:fill="auto"/>
            <w:noWrap/>
            <w:vAlign w:val="bottom"/>
            <w:hideMark/>
          </w:tcPr>
          <w:p w14:paraId="542CCDA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{0.035}</w:t>
            </w:r>
          </w:p>
        </w:tc>
        <w:tc>
          <w:tcPr>
            <w:tcW w:w="960" w:type="dxa"/>
            <w:tcBorders>
              <w:top w:val="nil"/>
              <w:left w:val="nil"/>
              <w:bottom w:val="nil"/>
              <w:right w:val="nil"/>
            </w:tcBorders>
            <w:shd w:val="clear" w:color="auto" w:fill="auto"/>
            <w:noWrap/>
            <w:vAlign w:val="bottom"/>
            <w:hideMark/>
          </w:tcPr>
          <w:p w14:paraId="55DB6BF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{0.144}</w:t>
            </w:r>
          </w:p>
        </w:tc>
      </w:tr>
      <w:tr w:rsidR="00BD39A6" w:rsidRPr="00BD39A6" w14:paraId="5415291A" w14:textId="77777777" w:rsidTr="00BD39A6">
        <w:trPr>
          <w:trHeight w:val="290"/>
          <w:jc w:val="center"/>
        </w:trPr>
        <w:tc>
          <w:tcPr>
            <w:tcW w:w="3800" w:type="dxa"/>
            <w:tcBorders>
              <w:top w:val="nil"/>
              <w:left w:val="nil"/>
              <w:bottom w:val="nil"/>
              <w:right w:val="nil"/>
            </w:tcBorders>
            <w:shd w:val="clear" w:color="auto" w:fill="auto"/>
            <w:noWrap/>
            <w:vAlign w:val="center"/>
            <w:hideMark/>
          </w:tcPr>
          <w:p w14:paraId="25DCF372"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 Dispensary License Applicants in 10 Mins</w:t>
            </w:r>
          </w:p>
        </w:tc>
        <w:tc>
          <w:tcPr>
            <w:tcW w:w="960" w:type="dxa"/>
            <w:tcBorders>
              <w:top w:val="nil"/>
              <w:left w:val="nil"/>
              <w:bottom w:val="nil"/>
              <w:right w:val="nil"/>
            </w:tcBorders>
            <w:shd w:val="clear" w:color="auto" w:fill="auto"/>
            <w:noWrap/>
            <w:vAlign w:val="bottom"/>
            <w:hideMark/>
          </w:tcPr>
          <w:p w14:paraId="287421E0"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A44507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79CFA0A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D52DBB8"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5EC3EC65"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0D4A2"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0F9FA9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510EF4A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5CC924B"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r>
      <w:tr w:rsidR="00BD39A6" w:rsidRPr="00BD39A6" w14:paraId="7BD67A58" w14:textId="77777777" w:rsidTr="00BD39A6">
        <w:trPr>
          <w:trHeight w:val="290"/>
          <w:jc w:val="center"/>
        </w:trPr>
        <w:tc>
          <w:tcPr>
            <w:tcW w:w="3800" w:type="dxa"/>
            <w:tcBorders>
              <w:top w:val="nil"/>
              <w:left w:val="nil"/>
              <w:bottom w:val="nil"/>
              <w:right w:val="nil"/>
            </w:tcBorders>
            <w:shd w:val="clear" w:color="auto" w:fill="auto"/>
            <w:noWrap/>
            <w:vAlign w:val="center"/>
            <w:hideMark/>
          </w:tcPr>
          <w:p w14:paraId="4AD6ACD3"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School Locale Indicators and Year FEs</w:t>
            </w:r>
          </w:p>
        </w:tc>
        <w:tc>
          <w:tcPr>
            <w:tcW w:w="960" w:type="dxa"/>
            <w:tcBorders>
              <w:top w:val="nil"/>
              <w:left w:val="nil"/>
              <w:bottom w:val="nil"/>
              <w:right w:val="nil"/>
            </w:tcBorders>
            <w:shd w:val="clear" w:color="auto" w:fill="auto"/>
            <w:noWrap/>
            <w:vAlign w:val="bottom"/>
            <w:hideMark/>
          </w:tcPr>
          <w:p w14:paraId="28B10773"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A7796BA"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DE3024"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0EE9B55D"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36DF73E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56EF4FC"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B92FA0"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65034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293BF29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r>
      <w:tr w:rsidR="00BD39A6" w:rsidRPr="00BD39A6" w14:paraId="35D2E30A" w14:textId="77777777" w:rsidTr="00BD39A6">
        <w:trPr>
          <w:trHeight w:val="290"/>
          <w:jc w:val="center"/>
        </w:trPr>
        <w:tc>
          <w:tcPr>
            <w:tcW w:w="3800" w:type="dxa"/>
            <w:tcBorders>
              <w:top w:val="nil"/>
              <w:left w:val="nil"/>
              <w:bottom w:val="nil"/>
              <w:right w:val="nil"/>
            </w:tcBorders>
            <w:shd w:val="clear" w:color="auto" w:fill="auto"/>
            <w:noWrap/>
            <w:vAlign w:val="center"/>
            <w:hideMark/>
          </w:tcPr>
          <w:p w14:paraId="6E208CF5"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Student Characteristics</w:t>
            </w:r>
          </w:p>
        </w:tc>
        <w:tc>
          <w:tcPr>
            <w:tcW w:w="960" w:type="dxa"/>
            <w:tcBorders>
              <w:top w:val="nil"/>
              <w:left w:val="nil"/>
              <w:bottom w:val="nil"/>
              <w:right w:val="nil"/>
            </w:tcBorders>
            <w:shd w:val="clear" w:color="auto" w:fill="auto"/>
            <w:noWrap/>
            <w:vAlign w:val="bottom"/>
            <w:hideMark/>
          </w:tcPr>
          <w:p w14:paraId="71CC911B"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FE7AD9F"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5FC8D7F"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CD07B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08ADFBB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59EFF44"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B38E60"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69B4F7"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0505B7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r>
      <w:tr w:rsidR="00BD39A6" w:rsidRPr="00BD39A6" w14:paraId="08FFE646" w14:textId="77777777" w:rsidTr="00BD39A6">
        <w:trPr>
          <w:trHeight w:val="290"/>
          <w:jc w:val="center"/>
        </w:trPr>
        <w:tc>
          <w:tcPr>
            <w:tcW w:w="3800" w:type="dxa"/>
            <w:tcBorders>
              <w:top w:val="nil"/>
              <w:left w:val="nil"/>
              <w:bottom w:val="nil"/>
              <w:right w:val="nil"/>
            </w:tcBorders>
            <w:shd w:val="clear" w:color="auto" w:fill="auto"/>
            <w:noWrap/>
            <w:vAlign w:val="bottom"/>
            <w:hideMark/>
          </w:tcPr>
          <w:p w14:paraId="765CD08B"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Observations</w:t>
            </w:r>
          </w:p>
        </w:tc>
        <w:tc>
          <w:tcPr>
            <w:tcW w:w="960" w:type="dxa"/>
            <w:tcBorders>
              <w:top w:val="nil"/>
              <w:left w:val="nil"/>
              <w:bottom w:val="nil"/>
              <w:right w:val="nil"/>
            </w:tcBorders>
            <w:shd w:val="clear" w:color="auto" w:fill="auto"/>
            <w:noWrap/>
            <w:vAlign w:val="bottom"/>
            <w:hideMark/>
          </w:tcPr>
          <w:p w14:paraId="61B9637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nil"/>
              <w:right w:val="nil"/>
            </w:tcBorders>
            <w:shd w:val="clear" w:color="auto" w:fill="auto"/>
            <w:noWrap/>
            <w:vAlign w:val="bottom"/>
            <w:hideMark/>
          </w:tcPr>
          <w:p w14:paraId="202AFAD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nil"/>
              <w:right w:val="nil"/>
            </w:tcBorders>
            <w:shd w:val="clear" w:color="auto" w:fill="auto"/>
            <w:noWrap/>
            <w:vAlign w:val="bottom"/>
            <w:hideMark/>
          </w:tcPr>
          <w:p w14:paraId="2BE6060A"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nil"/>
              <w:right w:val="nil"/>
            </w:tcBorders>
            <w:shd w:val="clear" w:color="auto" w:fill="auto"/>
            <w:noWrap/>
            <w:vAlign w:val="bottom"/>
            <w:hideMark/>
          </w:tcPr>
          <w:p w14:paraId="328271B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340" w:type="dxa"/>
            <w:tcBorders>
              <w:top w:val="nil"/>
              <w:left w:val="nil"/>
              <w:bottom w:val="nil"/>
              <w:right w:val="nil"/>
            </w:tcBorders>
            <w:shd w:val="clear" w:color="auto" w:fill="auto"/>
            <w:noWrap/>
            <w:vAlign w:val="bottom"/>
            <w:hideMark/>
          </w:tcPr>
          <w:p w14:paraId="51526422"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0D84B9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nil"/>
              <w:right w:val="nil"/>
            </w:tcBorders>
            <w:shd w:val="clear" w:color="auto" w:fill="auto"/>
            <w:noWrap/>
            <w:vAlign w:val="bottom"/>
            <w:hideMark/>
          </w:tcPr>
          <w:p w14:paraId="64D88E2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nil"/>
              <w:right w:val="nil"/>
            </w:tcBorders>
            <w:shd w:val="clear" w:color="auto" w:fill="auto"/>
            <w:noWrap/>
            <w:vAlign w:val="bottom"/>
            <w:hideMark/>
          </w:tcPr>
          <w:p w14:paraId="62D29E7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nil"/>
              <w:right w:val="nil"/>
            </w:tcBorders>
            <w:shd w:val="clear" w:color="auto" w:fill="auto"/>
            <w:noWrap/>
            <w:vAlign w:val="bottom"/>
            <w:hideMark/>
          </w:tcPr>
          <w:p w14:paraId="4516712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r>
      <w:tr w:rsidR="00BD39A6" w:rsidRPr="00BD39A6" w14:paraId="1B72A8DE" w14:textId="77777777" w:rsidTr="00BD39A6">
        <w:trPr>
          <w:trHeight w:val="290"/>
          <w:jc w:val="center"/>
        </w:trPr>
        <w:tc>
          <w:tcPr>
            <w:tcW w:w="3800" w:type="dxa"/>
            <w:tcBorders>
              <w:top w:val="nil"/>
              <w:left w:val="nil"/>
              <w:bottom w:val="nil"/>
              <w:right w:val="nil"/>
            </w:tcBorders>
            <w:shd w:val="clear" w:color="auto" w:fill="auto"/>
            <w:noWrap/>
            <w:vAlign w:val="bottom"/>
            <w:hideMark/>
          </w:tcPr>
          <w:p w14:paraId="5C31BDA1"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B44BE26"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73FB0E4"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71E2B0"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1234D6"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1A81A061"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F275C6"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59D2EE4"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1CD018"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681ECF" w14:textId="77777777" w:rsidR="00BD39A6" w:rsidRPr="00BD39A6" w:rsidRDefault="00BD39A6" w:rsidP="00BD39A6">
            <w:pPr>
              <w:spacing w:after="0" w:line="240" w:lineRule="auto"/>
              <w:rPr>
                <w:rFonts w:ascii="Times New Roman" w:eastAsia="Times New Roman" w:hAnsi="Times New Roman" w:cs="Times New Roman"/>
                <w:sz w:val="20"/>
                <w:szCs w:val="20"/>
              </w:rPr>
            </w:pPr>
          </w:p>
        </w:tc>
      </w:tr>
      <w:tr w:rsidR="00BD39A6" w:rsidRPr="00BD39A6" w14:paraId="66ECBC3E" w14:textId="77777777" w:rsidTr="00BD39A6">
        <w:trPr>
          <w:trHeight w:val="290"/>
          <w:jc w:val="center"/>
        </w:trPr>
        <w:tc>
          <w:tcPr>
            <w:tcW w:w="3800" w:type="dxa"/>
            <w:tcBorders>
              <w:top w:val="nil"/>
              <w:left w:val="nil"/>
              <w:bottom w:val="nil"/>
              <w:right w:val="nil"/>
            </w:tcBorders>
            <w:shd w:val="clear" w:color="auto" w:fill="auto"/>
            <w:noWrap/>
            <w:vAlign w:val="bottom"/>
            <w:hideMark/>
          </w:tcPr>
          <w:p w14:paraId="18C512EF" w14:textId="77777777" w:rsidR="00BD39A6" w:rsidRPr="00BD39A6" w:rsidRDefault="00BD39A6" w:rsidP="00BD39A6">
            <w:pPr>
              <w:spacing w:after="0" w:line="240" w:lineRule="auto"/>
              <w:rPr>
                <w:rFonts w:ascii="Times New Roman" w:eastAsia="Times New Roman" w:hAnsi="Times New Roman" w:cs="Times New Roman"/>
                <w:i/>
                <w:iCs/>
                <w:color w:val="000000"/>
                <w:sz w:val="20"/>
                <w:szCs w:val="20"/>
              </w:rPr>
            </w:pPr>
            <w:r w:rsidRPr="00BD39A6">
              <w:rPr>
                <w:rFonts w:ascii="Times New Roman" w:eastAsia="Times New Roman" w:hAnsi="Times New Roman" w:cs="Times New Roman"/>
                <w:i/>
                <w:iCs/>
                <w:color w:val="000000"/>
                <w:sz w:val="20"/>
                <w:szCs w:val="20"/>
              </w:rPr>
              <w:t>Panel B: 12th Grade</w:t>
            </w:r>
          </w:p>
        </w:tc>
        <w:tc>
          <w:tcPr>
            <w:tcW w:w="960" w:type="dxa"/>
            <w:tcBorders>
              <w:top w:val="nil"/>
              <w:left w:val="nil"/>
              <w:bottom w:val="nil"/>
              <w:right w:val="nil"/>
            </w:tcBorders>
            <w:shd w:val="clear" w:color="auto" w:fill="auto"/>
            <w:noWrap/>
            <w:vAlign w:val="bottom"/>
            <w:hideMark/>
          </w:tcPr>
          <w:p w14:paraId="5B741CD6" w14:textId="77777777" w:rsidR="00BD39A6" w:rsidRPr="00BD39A6" w:rsidRDefault="00BD39A6" w:rsidP="00BD39A6">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1083188F"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51DF1F"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E97271"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29D82C26"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5227223"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819BBA"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4027CF" w14:textId="77777777" w:rsidR="00BD39A6" w:rsidRPr="00BD39A6" w:rsidRDefault="00BD39A6" w:rsidP="00BD39A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43DFC8" w14:textId="77777777" w:rsidR="00BD39A6" w:rsidRPr="00BD39A6" w:rsidRDefault="00BD39A6" w:rsidP="00BD39A6">
            <w:pPr>
              <w:spacing w:after="0" w:line="240" w:lineRule="auto"/>
              <w:rPr>
                <w:rFonts w:ascii="Times New Roman" w:eastAsia="Times New Roman" w:hAnsi="Times New Roman" w:cs="Times New Roman"/>
                <w:sz w:val="20"/>
                <w:szCs w:val="20"/>
              </w:rPr>
            </w:pPr>
          </w:p>
        </w:tc>
      </w:tr>
      <w:tr w:rsidR="00BD39A6" w:rsidRPr="00BD39A6" w14:paraId="6901603E" w14:textId="77777777" w:rsidTr="00BD39A6">
        <w:trPr>
          <w:trHeight w:val="300"/>
          <w:jc w:val="center"/>
        </w:trPr>
        <w:tc>
          <w:tcPr>
            <w:tcW w:w="3800" w:type="dxa"/>
            <w:tcBorders>
              <w:top w:val="nil"/>
              <w:left w:val="nil"/>
              <w:bottom w:val="nil"/>
              <w:right w:val="nil"/>
            </w:tcBorders>
            <w:shd w:val="clear" w:color="auto" w:fill="auto"/>
            <w:noWrap/>
            <w:vAlign w:val="center"/>
            <w:hideMark/>
          </w:tcPr>
          <w:p w14:paraId="22FE8665"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School is within 10 Mins of a Lottery Winner</w:t>
            </w:r>
          </w:p>
        </w:tc>
        <w:tc>
          <w:tcPr>
            <w:tcW w:w="960" w:type="dxa"/>
            <w:tcBorders>
              <w:top w:val="nil"/>
              <w:left w:val="nil"/>
              <w:bottom w:val="nil"/>
              <w:right w:val="nil"/>
            </w:tcBorders>
            <w:shd w:val="clear" w:color="auto" w:fill="auto"/>
            <w:noWrap/>
            <w:vAlign w:val="bottom"/>
            <w:hideMark/>
          </w:tcPr>
          <w:p w14:paraId="19768B70"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73D00AB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-0.001</w:t>
            </w:r>
          </w:p>
        </w:tc>
        <w:tc>
          <w:tcPr>
            <w:tcW w:w="960" w:type="dxa"/>
            <w:tcBorders>
              <w:top w:val="nil"/>
              <w:left w:val="nil"/>
              <w:bottom w:val="nil"/>
              <w:right w:val="nil"/>
            </w:tcBorders>
            <w:shd w:val="clear" w:color="auto" w:fill="auto"/>
            <w:noWrap/>
            <w:vAlign w:val="bottom"/>
            <w:hideMark/>
          </w:tcPr>
          <w:p w14:paraId="0F39310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w:t>
            </w:r>
          </w:p>
        </w:tc>
        <w:tc>
          <w:tcPr>
            <w:tcW w:w="960" w:type="dxa"/>
            <w:tcBorders>
              <w:top w:val="nil"/>
              <w:left w:val="nil"/>
              <w:bottom w:val="nil"/>
              <w:right w:val="nil"/>
            </w:tcBorders>
            <w:shd w:val="clear" w:color="auto" w:fill="auto"/>
            <w:noWrap/>
            <w:vAlign w:val="bottom"/>
            <w:hideMark/>
          </w:tcPr>
          <w:p w14:paraId="201ACC43"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w:t>
            </w:r>
          </w:p>
        </w:tc>
        <w:tc>
          <w:tcPr>
            <w:tcW w:w="340" w:type="dxa"/>
            <w:tcBorders>
              <w:top w:val="nil"/>
              <w:left w:val="nil"/>
              <w:bottom w:val="nil"/>
              <w:right w:val="nil"/>
            </w:tcBorders>
            <w:shd w:val="clear" w:color="auto" w:fill="auto"/>
            <w:noWrap/>
            <w:vAlign w:val="bottom"/>
            <w:hideMark/>
          </w:tcPr>
          <w:p w14:paraId="3F1ADD5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4AA128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w:t>
            </w:r>
          </w:p>
        </w:tc>
        <w:tc>
          <w:tcPr>
            <w:tcW w:w="960" w:type="dxa"/>
            <w:tcBorders>
              <w:top w:val="nil"/>
              <w:left w:val="nil"/>
              <w:bottom w:val="nil"/>
              <w:right w:val="nil"/>
            </w:tcBorders>
            <w:shd w:val="clear" w:color="auto" w:fill="auto"/>
            <w:noWrap/>
            <w:vAlign w:val="bottom"/>
            <w:hideMark/>
          </w:tcPr>
          <w:p w14:paraId="0B954FD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w:t>
            </w:r>
          </w:p>
        </w:tc>
        <w:tc>
          <w:tcPr>
            <w:tcW w:w="960" w:type="dxa"/>
            <w:tcBorders>
              <w:top w:val="nil"/>
              <w:left w:val="nil"/>
              <w:bottom w:val="nil"/>
              <w:right w:val="nil"/>
            </w:tcBorders>
            <w:shd w:val="clear" w:color="auto" w:fill="auto"/>
            <w:noWrap/>
            <w:vAlign w:val="bottom"/>
            <w:hideMark/>
          </w:tcPr>
          <w:p w14:paraId="7A247E3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0.009</w:t>
            </w:r>
          </w:p>
        </w:tc>
        <w:tc>
          <w:tcPr>
            <w:tcW w:w="960" w:type="dxa"/>
            <w:tcBorders>
              <w:top w:val="nil"/>
              <w:left w:val="nil"/>
              <w:bottom w:val="nil"/>
              <w:right w:val="nil"/>
            </w:tcBorders>
            <w:shd w:val="clear" w:color="auto" w:fill="auto"/>
            <w:noWrap/>
            <w:vAlign w:val="bottom"/>
            <w:hideMark/>
          </w:tcPr>
          <w:p w14:paraId="650AC3AB"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0.007</w:t>
            </w:r>
          </w:p>
        </w:tc>
      </w:tr>
      <w:tr w:rsidR="00BD39A6" w:rsidRPr="00BD39A6" w14:paraId="18971B6E" w14:textId="77777777" w:rsidTr="00BD39A6">
        <w:trPr>
          <w:trHeight w:val="300"/>
          <w:jc w:val="center"/>
        </w:trPr>
        <w:tc>
          <w:tcPr>
            <w:tcW w:w="3800" w:type="dxa"/>
            <w:tcBorders>
              <w:top w:val="nil"/>
              <w:left w:val="nil"/>
              <w:bottom w:val="nil"/>
              <w:right w:val="nil"/>
            </w:tcBorders>
            <w:shd w:val="clear" w:color="auto" w:fill="auto"/>
            <w:noWrap/>
            <w:vAlign w:val="center"/>
            <w:hideMark/>
          </w:tcPr>
          <w:p w14:paraId="74D624A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6491DB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(0.0056)</w:t>
            </w:r>
          </w:p>
        </w:tc>
        <w:tc>
          <w:tcPr>
            <w:tcW w:w="960" w:type="dxa"/>
            <w:tcBorders>
              <w:top w:val="nil"/>
              <w:left w:val="nil"/>
              <w:bottom w:val="nil"/>
              <w:right w:val="nil"/>
            </w:tcBorders>
            <w:shd w:val="clear" w:color="auto" w:fill="auto"/>
            <w:noWrap/>
            <w:vAlign w:val="bottom"/>
            <w:hideMark/>
          </w:tcPr>
          <w:p w14:paraId="4E05E9D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(0.0058)</w:t>
            </w:r>
          </w:p>
        </w:tc>
        <w:tc>
          <w:tcPr>
            <w:tcW w:w="960" w:type="dxa"/>
            <w:tcBorders>
              <w:top w:val="nil"/>
              <w:left w:val="nil"/>
              <w:bottom w:val="nil"/>
              <w:right w:val="nil"/>
            </w:tcBorders>
            <w:shd w:val="clear" w:color="auto" w:fill="auto"/>
            <w:noWrap/>
            <w:vAlign w:val="bottom"/>
            <w:hideMark/>
          </w:tcPr>
          <w:p w14:paraId="53E8E0A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(0.0042)</w:t>
            </w:r>
          </w:p>
        </w:tc>
        <w:tc>
          <w:tcPr>
            <w:tcW w:w="960" w:type="dxa"/>
            <w:tcBorders>
              <w:top w:val="nil"/>
              <w:left w:val="nil"/>
              <w:bottom w:val="nil"/>
              <w:right w:val="nil"/>
            </w:tcBorders>
            <w:shd w:val="clear" w:color="auto" w:fill="auto"/>
            <w:noWrap/>
            <w:vAlign w:val="bottom"/>
            <w:hideMark/>
          </w:tcPr>
          <w:p w14:paraId="28004B8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(0.0043)</w:t>
            </w:r>
          </w:p>
        </w:tc>
        <w:tc>
          <w:tcPr>
            <w:tcW w:w="340" w:type="dxa"/>
            <w:tcBorders>
              <w:top w:val="nil"/>
              <w:left w:val="nil"/>
              <w:bottom w:val="nil"/>
              <w:right w:val="nil"/>
            </w:tcBorders>
            <w:shd w:val="clear" w:color="auto" w:fill="auto"/>
            <w:noWrap/>
            <w:vAlign w:val="bottom"/>
            <w:hideMark/>
          </w:tcPr>
          <w:p w14:paraId="2E5F3FFB"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7265F4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(0.0048)</w:t>
            </w:r>
          </w:p>
        </w:tc>
        <w:tc>
          <w:tcPr>
            <w:tcW w:w="960" w:type="dxa"/>
            <w:tcBorders>
              <w:top w:val="nil"/>
              <w:left w:val="nil"/>
              <w:bottom w:val="nil"/>
              <w:right w:val="nil"/>
            </w:tcBorders>
            <w:shd w:val="clear" w:color="auto" w:fill="auto"/>
            <w:noWrap/>
            <w:vAlign w:val="bottom"/>
            <w:hideMark/>
          </w:tcPr>
          <w:p w14:paraId="3621A0CD"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(0.0054)</w:t>
            </w:r>
          </w:p>
        </w:tc>
        <w:tc>
          <w:tcPr>
            <w:tcW w:w="960" w:type="dxa"/>
            <w:tcBorders>
              <w:top w:val="nil"/>
              <w:left w:val="nil"/>
              <w:bottom w:val="nil"/>
              <w:right w:val="nil"/>
            </w:tcBorders>
            <w:shd w:val="clear" w:color="auto" w:fill="auto"/>
            <w:noWrap/>
            <w:vAlign w:val="bottom"/>
            <w:hideMark/>
          </w:tcPr>
          <w:p w14:paraId="43229DE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(0.0045)</w:t>
            </w:r>
          </w:p>
        </w:tc>
        <w:tc>
          <w:tcPr>
            <w:tcW w:w="960" w:type="dxa"/>
            <w:tcBorders>
              <w:top w:val="nil"/>
              <w:left w:val="nil"/>
              <w:bottom w:val="nil"/>
              <w:right w:val="nil"/>
            </w:tcBorders>
            <w:shd w:val="clear" w:color="auto" w:fill="auto"/>
            <w:noWrap/>
            <w:vAlign w:val="bottom"/>
            <w:hideMark/>
          </w:tcPr>
          <w:p w14:paraId="22119BEA"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(0.0045)</w:t>
            </w:r>
          </w:p>
        </w:tc>
      </w:tr>
      <w:tr w:rsidR="00BD39A6" w:rsidRPr="00BD39A6" w14:paraId="52DE29B3" w14:textId="77777777" w:rsidTr="00BD39A6">
        <w:trPr>
          <w:trHeight w:val="290"/>
          <w:jc w:val="center"/>
        </w:trPr>
        <w:tc>
          <w:tcPr>
            <w:tcW w:w="3800" w:type="dxa"/>
            <w:tcBorders>
              <w:top w:val="nil"/>
              <w:left w:val="nil"/>
              <w:bottom w:val="nil"/>
              <w:right w:val="nil"/>
            </w:tcBorders>
            <w:shd w:val="clear" w:color="auto" w:fill="auto"/>
            <w:noWrap/>
            <w:vAlign w:val="bottom"/>
            <w:hideMark/>
          </w:tcPr>
          <w:p w14:paraId="78040002"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C813DA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[0.436]</w:t>
            </w:r>
          </w:p>
        </w:tc>
        <w:tc>
          <w:tcPr>
            <w:tcW w:w="960" w:type="dxa"/>
            <w:tcBorders>
              <w:top w:val="nil"/>
              <w:left w:val="nil"/>
              <w:bottom w:val="nil"/>
              <w:right w:val="nil"/>
            </w:tcBorders>
            <w:shd w:val="clear" w:color="auto" w:fill="auto"/>
            <w:noWrap/>
            <w:vAlign w:val="bottom"/>
            <w:hideMark/>
          </w:tcPr>
          <w:p w14:paraId="1526B29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[0.415]</w:t>
            </w:r>
          </w:p>
        </w:tc>
        <w:tc>
          <w:tcPr>
            <w:tcW w:w="960" w:type="dxa"/>
            <w:tcBorders>
              <w:top w:val="nil"/>
              <w:left w:val="nil"/>
              <w:bottom w:val="nil"/>
              <w:right w:val="nil"/>
            </w:tcBorders>
            <w:shd w:val="clear" w:color="auto" w:fill="auto"/>
            <w:noWrap/>
            <w:vAlign w:val="bottom"/>
            <w:hideMark/>
          </w:tcPr>
          <w:p w14:paraId="089E27E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[0.149]</w:t>
            </w:r>
          </w:p>
        </w:tc>
        <w:tc>
          <w:tcPr>
            <w:tcW w:w="960" w:type="dxa"/>
            <w:tcBorders>
              <w:top w:val="nil"/>
              <w:left w:val="nil"/>
              <w:bottom w:val="nil"/>
              <w:right w:val="nil"/>
            </w:tcBorders>
            <w:shd w:val="clear" w:color="auto" w:fill="auto"/>
            <w:noWrap/>
            <w:vAlign w:val="bottom"/>
            <w:hideMark/>
          </w:tcPr>
          <w:p w14:paraId="366E2CC7"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[0.199]</w:t>
            </w:r>
          </w:p>
        </w:tc>
        <w:tc>
          <w:tcPr>
            <w:tcW w:w="340" w:type="dxa"/>
            <w:tcBorders>
              <w:top w:val="nil"/>
              <w:left w:val="nil"/>
              <w:bottom w:val="nil"/>
              <w:right w:val="nil"/>
            </w:tcBorders>
            <w:shd w:val="clear" w:color="auto" w:fill="auto"/>
            <w:noWrap/>
            <w:vAlign w:val="bottom"/>
            <w:hideMark/>
          </w:tcPr>
          <w:p w14:paraId="3BB88FE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2767BC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[0.217]</w:t>
            </w:r>
          </w:p>
        </w:tc>
        <w:tc>
          <w:tcPr>
            <w:tcW w:w="960" w:type="dxa"/>
            <w:tcBorders>
              <w:top w:val="nil"/>
              <w:left w:val="nil"/>
              <w:bottom w:val="nil"/>
              <w:right w:val="nil"/>
            </w:tcBorders>
            <w:shd w:val="clear" w:color="auto" w:fill="auto"/>
            <w:noWrap/>
            <w:vAlign w:val="bottom"/>
            <w:hideMark/>
          </w:tcPr>
          <w:p w14:paraId="06780EE4"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[0.209]</w:t>
            </w:r>
          </w:p>
        </w:tc>
        <w:tc>
          <w:tcPr>
            <w:tcW w:w="960" w:type="dxa"/>
            <w:tcBorders>
              <w:top w:val="nil"/>
              <w:left w:val="nil"/>
              <w:bottom w:val="nil"/>
              <w:right w:val="nil"/>
            </w:tcBorders>
            <w:shd w:val="clear" w:color="auto" w:fill="auto"/>
            <w:noWrap/>
            <w:vAlign w:val="bottom"/>
            <w:hideMark/>
          </w:tcPr>
          <w:p w14:paraId="46DFE2C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[0.023]</w:t>
            </w:r>
          </w:p>
        </w:tc>
        <w:tc>
          <w:tcPr>
            <w:tcW w:w="960" w:type="dxa"/>
            <w:tcBorders>
              <w:top w:val="nil"/>
              <w:left w:val="nil"/>
              <w:bottom w:val="nil"/>
              <w:right w:val="nil"/>
            </w:tcBorders>
            <w:shd w:val="clear" w:color="auto" w:fill="auto"/>
            <w:noWrap/>
            <w:vAlign w:val="bottom"/>
            <w:hideMark/>
          </w:tcPr>
          <w:p w14:paraId="160B844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[0.069]</w:t>
            </w:r>
          </w:p>
        </w:tc>
      </w:tr>
      <w:tr w:rsidR="00BD39A6" w:rsidRPr="00BD39A6" w14:paraId="64BEF500" w14:textId="77777777" w:rsidTr="00BD39A6">
        <w:trPr>
          <w:trHeight w:val="290"/>
          <w:jc w:val="center"/>
        </w:trPr>
        <w:tc>
          <w:tcPr>
            <w:tcW w:w="3800" w:type="dxa"/>
            <w:tcBorders>
              <w:top w:val="nil"/>
              <w:left w:val="nil"/>
              <w:bottom w:val="nil"/>
              <w:right w:val="nil"/>
            </w:tcBorders>
            <w:shd w:val="clear" w:color="auto" w:fill="auto"/>
            <w:noWrap/>
            <w:vAlign w:val="bottom"/>
            <w:hideMark/>
          </w:tcPr>
          <w:p w14:paraId="2FF2A1AD"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A31480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{0.436}</w:t>
            </w:r>
          </w:p>
        </w:tc>
        <w:tc>
          <w:tcPr>
            <w:tcW w:w="960" w:type="dxa"/>
            <w:tcBorders>
              <w:top w:val="nil"/>
              <w:left w:val="nil"/>
              <w:bottom w:val="nil"/>
              <w:right w:val="nil"/>
            </w:tcBorders>
            <w:shd w:val="clear" w:color="auto" w:fill="auto"/>
            <w:noWrap/>
            <w:vAlign w:val="bottom"/>
            <w:hideMark/>
          </w:tcPr>
          <w:p w14:paraId="1FA5411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{0.436}</w:t>
            </w:r>
          </w:p>
        </w:tc>
        <w:tc>
          <w:tcPr>
            <w:tcW w:w="960" w:type="dxa"/>
            <w:tcBorders>
              <w:top w:val="nil"/>
              <w:left w:val="nil"/>
              <w:bottom w:val="nil"/>
              <w:right w:val="nil"/>
            </w:tcBorders>
            <w:shd w:val="clear" w:color="auto" w:fill="auto"/>
            <w:noWrap/>
            <w:vAlign w:val="bottom"/>
            <w:hideMark/>
          </w:tcPr>
          <w:p w14:paraId="21BF9FB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{0.158}</w:t>
            </w:r>
          </w:p>
        </w:tc>
        <w:tc>
          <w:tcPr>
            <w:tcW w:w="960" w:type="dxa"/>
            <w:tcBorders>
              <w:top w:val="nil"/>
              <w:left w:val="nil"/>
              <w:bottom w:val="nil"/>
              <w:right w:val="nil"/>
            </w:tcBorders>
            <w:shd w:val="clear" w:color="auto" w:fill="auto"/>
            <w:noWrap/>
            <w:vAlign w:val="bottom"/>
            <w:hideMark/>
          </w:tcPr>
          <w:p w14:paraId="4F5F39CC"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{0.243}</w:t>
            </w:r>
          </w:p>
        </w:tc>
        <w:tc>
          <w:tcPr>
            <w:tcW w:w="340" w:type="dxa"/>
            <w:tcBorders>
              <w:top w:val="nil"/>
              <w:left w:val="nil"/>
              <w:bottom w:val="nil"/>
              <w:right w:val="nil"/>
            </w:tcBorders>
            <w:shd w:val="clear" w:color="auto" w:fill="auto"/>
            <w:noWrap/>
            <w:vAlign w:val="bottom"/>
            <w:hideMark/>
          </w:tcPr>
          <w:p w14:paraId="13392CCA"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378078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{0.243}</w:t>
            </w:r>
          </w:p>
        </w:tc>
        <w:tc>
          <w:tcPr>
            <w:tcW w:w="960" w:type="dxa"/>
            <w:tcBorders>
              <w:top w:val="nil"/>
              <w:left w:val="nil"/>
              <w:bottom w:val="nil"/>
              <w:right w:val="nil"/>
            </w:tcBorders>
            <w:shd w:val="clear" w:color="auto" w:fill="auto"/>
            <w:noWrap/>
            <w:vAlign w:val="bottom"/>
            <w:hideMark/>
          </w:tcPr>
          <w:p w14:paraId="7EC52D63"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{0.243}</w:t>
            </w:r>
          </w:p>
        </w:tc>
        <w:tc>
          <w:tcPr>
            <w:tcW w:w="960" w:type="dxa"/>
            <w:tcBorders>
              <w:top w:val="nil"/>
              <w:left w:val="nil"/>
              <w:bottom w:val="nil"/>
              <w:right w:val="nil"/>
            </w:tcBorders>
            <w:shd w:val="clear" w:color="auto" w:fill="auto"/>
            <w:noWrap/>
            <w:vAlign w:val="bottom"/>
            <w:hideMark/>
          </w:tcPr>
          <w:p w14:paraId="6D6B3862"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{0.010}</w:t>
            </w:r>
          </w:p>
        </w:tc>
        <w:tc>
          <w:tcPr>
            <w:tcW w:w="960" w:type="dxa"/>
            <w:tcBorders>
              <w:top w:val="nil"/>
              <w:left w:val="nil"/>
              <w:bottom w:val="nil"/>
              <w:right w:val="nil"/>
            </w:tcBorders>
            <w:shd w:val="clear" w:color="auto" w:fill="auto"/>
            <w:noWrap/>
            <w:vAlign w:val="bottom"/>
            <w:hideMark/>
          </w:tcPr>
          <w:p w14:paraId="455EE689"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{0.035}</w:t>
            </w:r>
          </w:p>
        </w:tc>
      </w:tr>
      <w:tr w:rsidR="00BD39A6" w:rsidRPr="00BD39A6" w14:paraId="2BBE1772" w14:textId="77777777" w:rsidTr="00BD39A6">
        <w:trPr>
          <w:trHeight w:val="290"/>
          <w:jc w:val="center"/>
        </w:trPr>
        <w:tc>
          <w:tcPr>
            <w:tcW w:w="3800" w:type="dxa"/>
            <w:tcBorders>
              <w:top w:val="nil"/>
              <w:left w:val="nil"/>
              <w:bottom w:val="nil"/>
              <w:right w:val="nil"/>
            </w:tcBorders>
            <w:shd w:val="clear" w:color="auto" w:fill="auto"/>
            <w:noWrap/>
            <w:vAlign w:val="center"/>
            <w:hideMark/>
          </w:tcPr>
          <w:p w14:paraId="0CC9FC09"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 Dispensary License Applicants in 10 Mins</w:t>
            </w:r>
          </w:p>
        </w:tc>
        <w:tc>
          <w:tcPr>
            <w:tcW w:w="960" w:type="dxa"/>
            <w:tcBorders>
              <w:top w:val="nil"/>
              <w:left w:val="nil"/>
              <w:bottom w:val="nil"/>
              <w:right w:val="nil"/>
            </w:tcBorders>
            <w:shd w:val="clear" w:color="auto" w:fill="auto"/>
            <w:noWrap/>
            <w:vAlign w:val="bottom"/>
            <w:hideMark/>
          </w:tcPr>
          <w:p w14:paraId="3BD6A27D"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424583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715A439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EE129B1"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F0939C1"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F95B68"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348AC2"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16BC168F"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8BA3CDF"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r>
      <w:tr w:rsidR="00BD39A6" w:rsidRPr="00BD39A6" w14:paraId="06FB64CF" w14:textId="77777777" w:rsidTr="00BD39A6">
        <w:trPr>
          <w:trHeight w:val="290"/>
          <w:jc w:val="center"/>
        </w:trPr>
        <w:tc>
          <w:tcPr>
            <w:tcW w:w="3800" w:type="dxa"/>
            <w:tcBorders>
              <w:top w:val="nil"/>
              <w:left w:val="nil"/>
              <w:bottom w:val="nil"/>
              <w:right w:val="nil"/>
            </w:tcBorders>
            <w:shd w:val="clear" w:color="auto" w:fill="auto"/>
            <w:noWrap/>
            <w:vAlign w:val="center"/>
            <w:hideMark/>
          </w:tcPr>
          <w:p w14:paraId="3696417D"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School Locale Indicators and Year FEs</w:t>
            </w:r>
          </w:p>
        </w:tc>
        <w:tc>
          <w:tcPr>
            <w:tcW w:w="960" w:type="dxa"/>
            <w:tcBorders>
              <w:top w:val="nil"/>
              <w:left w:val="nil"/>
              <w:bottom w:val="nil"/>
              <w:right w:val="nil"/>
            </w:tcBorders>
            <w:shd w:val="clear" w:color="auto" w:fill="auto"/>
            <w:noWrap/>
            <w:vAlign w:val="bottom"/>
            <w:hideMark/>
          </w:tcPr>
          <w:p w14:paraId="3D5B206B"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BF771B3"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D1CF2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2204A6AB"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277ABB00"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A64B06A"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D09BEF"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FB2054"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5113FDC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r>
      <w:tr w:rsidR="00BD39A6" w:rsidRPr="00BD39A6" w14:paraId="14887990" w14:textId="77777777" w:rsidTr="00BD39A6">
        <w:trPr>
          <w:trHeight w:val="290"/>
          <w:jc w:val="center"/>
        </w:trPr>
        <w:tc>
          <w:tcPr>
            <w:tcW w:w="3800" w:type="dxa"/>
            <w:tcBorders>
              <w:top w:val="nil"/>
              <w:left w:val="nil"/>
              <w:bottom w:val="nil"/>
              <w:right w:val="nil"/>
            </w:tcBorders>
            <w:shd w:val="clear" w:color="auto" w:fill="auto"/>
            <w:noWrap/>
            <w:vAlign w:val="center"/>
            <w:hideMark/>
          </w:tcPr>
          <w:p w14:paraId="7556FE70"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Student Characteristics</w:t>
            </w:r>
          </w:p>
        </w:tc>
        <w:tc>
          <w:tcPr>
            <w:tcW w:w="960" w:type="dxa"/>
            <w:tcBorders>
              <w:top w:val="nil"/>
              <w:left w:val="nil"/>
              <w:bottom w:val="nil"/>
              <w:right w:val="nil"/>
            </w:tcBorders>
            <w:shd w:val="clear" w:color="auto" w:fill="auto"/>
            <w:noWrap/>
            <w:vAlign w:val="bottom"/>
            <w:hideMark/>
          </w:tcPr>
          <w:p w14:paraId="256BF318"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959A27B"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BB1C74"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3F6AD4"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3AF214F1"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41A37CA"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DB4336"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2AE27C9" w14:textId="77777777" w:rsidR="00BD39A6" w:rsidRPr="00BD39A6" w:rsidRDefault="00BD39A6" w:rsidP="00BD39A6">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393A90"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X</w:t>
            </w:r>
          </w:p>
        </w:tc>
      </w:tr>
      <w:tr w:rsidR="00BD39A6" w:rsidRPr="00BD39A6" w14:paraId="49A9DA11" w14:textId="77777777" w:rsidTr="00BD39A6">
        <w:trPr>
          <w:trHeight w:val="290"/>
          <w:jc w:val="center"/>
        </w:trPr>
        <w:tc>
          <w:tcPr>
            <w:tcW w:w="3800" w:type="dxa"/>
            <w:tcBorders>
              <w:top w:val="nil"/>
              <w:left w:val="nil"/>
              <w:bottom w:val="single" w:sz="4" w:space="0" w:color="auto"/>
              <w:right w:val="nil"/>
            </w:tcBorders>
            <w:shd w:val="clear" w:color="auto" w:fill="auto"/>
            <w:noWrap/>
            <w:vAlign w:val="bottom"/>
            <w:hideMark/>
          </w:tcPr>
          <w:p w14:paraId="52AC3538" w14:textId="77777777" w:rsidR="00BD39A6" w:rsidRPr="00BD39A6" w:rsidRDefault="00BD39A6" w:rsidP="00BD39A6">
            <w:pPr>
              <w:spacing w:after="0" w:line="240" w:lineRule="auto"/>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Observations</w:t>
            </w:r>
          </w:p>
        </w:tc>
        <w:tc>
          <w:tcPr>
            <w:tcW w:w="960" w:type="dxa"/>
            <w:tcBorders>
              <w:top w:val="nil"/>
              <w:left w:val="nil"/>
              <w:bottom w:val="single" w:sz="4" w:space="0" w:color="auto"/>
              <w:right w:val="nil"/>
            </w:tcBorders>
            <w:shd w:val="clear" w:color="auto" w:fill="auto"/>
            <w:noWrap/>
            <w:vAlign w:val="bottom"/>
            <w:hideMark/>
          </w:tcPr>
          <w:p w14:paraId="3382901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single" w:sz="4" w:space="0" w:color="auto"/>
              <w:right w:val="nil"/>
            </w:tcBorders>
            <w:shd w:val="clear" w:color="auto" w:fill="auto"/>
            <w:noWrap/>
            <w:vAlign w:val="bottom"/>
            <w:hideMark/>
          </w:tcPr>
          <w:p w14:paraId="32DFA285"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single" w:sz="4" w:space="0" w:color="auto"/>
              <w:right w:val="nil"/>
            </w:tcBorders>
            <w:shd w:val="clear" w:color="auto" w:fill="auto"/>
            <w:noWrap/>
            <w:vAlign w:val="bottom"/>
            <w:hideMark/>
          </w:tcPr>
          <w:p w14:paraId="486A9711"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single" w:sz="4" w:space="0" w:color="auto"/>
              <w:right w:val="nil"/>
            </w:tcBorders>
            <w:shd w:val="clear" w:color="auto" w:fill="auto"/>
            <w:noWrap/>
            <w:vAlign w:val="bottom"/>
            <w:hideMark/>
          </w:tcPr>
          <w:p w14:paraId="3C323D58"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340" w:type="dxa"/>
            <w:tcBorders>
              <w:top w:val="nil"/>
              <w:left w:val="nil"/>
              <w:bottom w:val="single" w:sz="4" w:space="0" w:color="auto"/>
              <w:right w:val="nil"/>
            </w:tcBorders>
            <w:shd w:val="clear" w:color="auto" w:fill="auto"/>
            <w:noWrap/>
            <w:vAlign w:val="bottom"/>
            <w:hideMark/>
          </w:tcPr>
          <w:p w14:paraId="6E682E76"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2DCB4860"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single" w:sz="4" w:space="0" w:color="auto"/>
              <w:right w:val="nil"/>
            </w:tcBorders>
            <w:shd w:val="clear" w:color="auto" w:fill="auto"/>
            <w:noWrap/>
            <w:vAlign w:val="bottom"/>
            <w:hideMark/>
          </w:tcPr>
          <w:p w14:paraId="6AA446BE"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single" w:sz="4" w:space="0" w:color="auto"/>
              <w:right w:val="nil"/>
            </w:tcBorders>
            <w:shd w:val="clear" w:color="auto" w:fill="auto"/>
            <w:noWrap/>
            <w:vAlign w:val="bottom"/>
            <w:hideMark/>
          </w:tcPr>
          <w:p w14:paraId="3B3AC5E2"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c>
          <w:tcPr>
            <w:tcW w:w="960" w:type="dxa"/>
            <w:tcBorders>
              <w:top w:val="nil"/>
              <w:left w:val="nil"/>
              <w:bottom w:val="single" w:sz="4" w:space="0" w:color="auto"/>
              <w:right w:val="nil"/>
            </w:tcBorders>
            <w:shd w:val="clear" w:color="auto" w:fill="auto"/>
            <w:noWrap/>
            <w:vAlign w:val="bottom"/>
            <w:hideMark/>
          </w:tcPr>
          <w:p w14:paraId="58C6474A" w14:textId="77777777" w:rsidR="00BD39A6" w:rsidRPr="00BD39A6" w:rsidRDefault="00BD39A6" w:rsidP="00BD39A6">
            <w:pPr>
              <w:spacing w:after="0" w:line="240" w:lineRule="auto"/>
              <w:jc w:val="center"/>
              <w:rPr>
                <w:rFonts w:ascii="Times New Roman" w:eastAsia="Times New Roman" w:hAnsi="Times New Roman" w:cs="Times New Roman"/>
                <w:color w:val="000000"/>
                <w:sz w:val="20"/>
                <w:szCs w:val="20"/>
              </w:rPr>
            </w:pPr>
            <w:r w:rsidRPr="00BD39A6">
              <w:rPr>
                <w:rFonts w:ascii="Times New Roman" w:eastAsia="Times New Roman" w:hAnsi="Times New Roman" w:cs="Times New Roman"/>
                <w:color w:val="000000"/>
                <w:sz w:val="20"/>
                <w:szCs w:val="20"/>
              </w:rPr>
              <w:t>422</w:t>
            </w:r>
          </w:p>
        </w:tc>
      </w:tr>
      <w:tr w:rsidR="00BD39A6" w:rsidRPr="00BD39A6" w14:paraId="501DCE15" w14:textId="77777777" w:rsidTr="00D72C83">
        <w:trPr>
          <w:trHeight w:val="290"/>
          <w:jc w:val="center"/>
        </w:trPr>
        <w:tc>
          <w:tcPr>
            <w:tcW w:w="11820" w:type="dxa"/>
            <w:gridSpan w:val="10"/>
            <w:tcBorders>
              <w:top w:val="nil"/>
              <w:left w:val="nil"/>
              <w:bottom w:val="nil"/>
              <w:right w:val="nil"/>
            </w:tcBorders>
            <w:shd w:val="clear" w:color="auto" w:fill="auto"/>
            <w:noWrap/>
            <w:vAlign w:val="bottom"/>
            <w:hideMark/>
          </w:tcPr>
          <w:p w14:paraId="57CC3518" w14:textId="5276589D" w:rsidR="00BD39A6" w:rsidRPr="00BD39A6" w:rsidRDefault="00BD39A6" w:rsidP="00BD39A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Notes: </w:t>
            </w:r>
            <w:r>
              <w:rPr>
                <w:rFonts w:ascii="Times New Roman" w:eastAsia="Times New Roman" w:hAnsi="Times New Roman" w:cs="Times New Roman"/>
                <w:sz w:val="20"/>
                <w:szCs w:val="20"/>
              </w:rPr>
              <w:t xml:space="preserve">This table reports marginal effects from the estimation of </w:t>
            </w:r>
            <w:r w:rsidRPr="009F2721">
              <w:rPr>
                <w:rFonts w:ascii="Times New Roman" w:eastAsia="Times New Roman" w:hAnsi="Times New Roman" w:cs="Times New Roman"/>
                <w:sz w:val="20"/>
                <w:szCs w:val="20"/>
              </w:rPr>
              <w:t>equation</w:t>
            </w:r>
            <w:r>
              <w:rPr>
                <w:rFonts w:ascii="Times New Roman" w:eastAsia="Times New Roman" w:hAnsi="Times New Roman" w:cs="Times New Roman"/>
                <w:sz w:val="20"/>
                <w:szCs w:val="20"/>
              </w:rPr>
              <w:t>s</w:t>
            </w:r>
            <w:r w:rsidRPr="009F2721">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 (2), and (3)</w:t>
            </w:r>
            <w:r w:rsidRPr="009F27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preferred specifications are in columns (4) and (8). All specifications include the 2014-15 and 2015-16 school years. School locale indicators include those for city, suburb, and town, and the omitted category is rural. Student characteristics include the proportions of free-or-reduced-price lunch, Black, Hispanic, and Asian students. Standard errors clustered by school are in parentheses. One-sided p-values from the original estimation are in square brackets, while one-sided Romano-Wolf p-values correcting for multiple hypothesis testing are in curly brackets.</w:t>
            </w:r>
          </w:p>
        </w:tc>
      </w:tr>
    </w:tbl>
    <w:p w14:paraId="7B9C1B19" w14:textId="77777777" w:rsidR="00BF2AAC" w:rsidRDefault="00BF2AAC" w:rsidP="00D750E1">
      <w:pPr>
        <w:rPr>
          <w:rFonts w:ascii="Times New Roman" w:hAnsi="Times New Roman" w:cs="Times New Roman"/>
          <w:b/>
          <w:bCs/>
          <w:sz w:val="32"/>
          <w:szCs w:val="32"/>
        </w:rPr>
      </w:pPr>
    </w:p>
    <w:p w14:paraId="5BBD1E3B" w14:textId="77777777" w:rsidR="001F0515" w:rsidRDefault="001F0515" w:rsidP="00D750E1">
      <w:pPr>
        <w:rPr>
          <w:rFonts w:ascii="Times New Roman" w:hAnsi="Times New Roman" w:cs="Times New Roman"/>
          <w:b/>
          <w:bCs/>
          <w:sz w:val="32"/>
          <w:szCs w:val="32"/>
        </w:rPr>
      </w:pPr>
    </w:p>
    <w:p w14:paraId="61F9A9DF" w14:textId="2EC87855" w:rsidR="001F0515" w:rsidRDefault="001F0515" w:rsidP="00D750E1">
      <w:pPr>
        <w:rPr>
          <w:rFonts w:ascii="Times New Roman" w:hAnsi="Times New Roman" w:cs="Times New Roman"/>
          <w:b/>
          <w:bCs/>
          <w:sz w:val="32"/>
          <w:szCs w:val="32"/>
        </w:rPr>
        <w:sectPr w:rsidR="001F0515" w:rsidSect="00B67BEF">
          <w:pgSz w:w="15840" w:h="12240" w:orient="landscape"/>
          <w:pgMar w:top="1440" w:right="1440" w:bottom="1440" w:left="1440" w:header="720" w:footer="720" w:gutter="0"/>
          <w:cols w:space="720"/>
          <w:docGrid w:linePitch="360"/>
        </w:sectPr>
      </w:pPr>
    </w:p>
    <w:tbl>
      <w:tblPr>
        <w:tblW w:w="11820" w:type="dxa"/>
        <w:jc w:val="center"/>
        <w:tblLook w:val="04A0" w:firstRow="1" w:lastRow="0" w:firstColumn="1" w:lastColumn="0" w:noHBand="0" w:noVBand="1"/>
      </w:tblPr>
      <w:tblGrid>
        <w:gridCol w:w="3800"/>
        <w:gridCol w:w="960"/>
        <w:gridCol w:w="960"/>
        <w:gridCol w:w="960"/>
        <w:gridCol w:w="960"/>
        <w:gridCol w:w="340"/>
        <w:gridCol w:w="960"/>
        <w:gridCol w:w="960"/>
        <w:gridCol w:w="960"/>
        <w:gridCol w:w="960"/>
      </w:tblGrid>
      <w:tr w:rsidR="0014472F" w:rsidRPr="0014472F" w14:paraId="55A44D48" w14:textId="77777777" w:rsidTr="00612AA9">
        <w:trPr>
          <w:trHeight w:val="300"/>
          <w:jc w:val="center"/>
        </w:trPr>
        <w:tc>
          <w:tcPr>
            <w:tcW w:w="11820" w:type="dxa"/>
            <w:gridSpan w:val="10"/>
            <w:tcBorders>
              <w:top w:val="nil"/>
              <w:left w:val="nil"/>
              <w:bottom w:val="double" w:sz="6" w:space="0" w:color="auto"/>
              <w:right w:val="nil"/>
            </w:tcBorders>
            <w:shd w:val="clear" w:color="auto" w:fill="auto"/>
            <w:noWrap/>
            <w:vAlign w:val="bottom"/>
            <w:hideMark/>
          </w:tcPr>
          <w:p w14:paraId="6A2AE52A" w14:textId="77777777" w:rsidR="0014472F" w:rsidRDefault="0014472F" w:rsidP="0014472F">
            <w:pPr>
              <w:spacing w:after="0" w:line="240" w:lineRule="auto"/>
              <w:jc w:val="center"/>
              <w:rPr>
                <w:rFonts w:ascii="Times New Roman" w:eastAsia="Times New Roman" w:hAnsi="Times New Roman" w:cs="Times New Roman"/>
                <w:color w:val="000000"/>
                <w:sz w:val="24"/>
                <w:szCs w:val="24"/>
              </w:rPr>
            </w:pPr>
            <w:r w:rsidRPr="003663B9">
              <w:rPr>
                <w:rFonts w:ascii="Times New Roman" w:eastAsia="Times New Roman" w:hAnsi="Times New Roman" w:cs="Times New Roman"/>
                <w:color w:val="000000"/>
                <w:sz w:val="24"/>
                <w:szCs w:val="24"/>
              </w:rPr>
              <w:lastRenderedPageBreak/>
              <w:t xml:space="preserve">Table </w:t>
            </w:r>
            <w:r>
              <w:rPr>
                <w:rFonts w:ascii="Times New Roman" w:eastAsia="Times New Roman" w:hAnsi="Times New Roman" w:cs="Times New Roman"/>
                <w:color w:val="000000"/>
                <w:sz w:val="24"/>
                <w:szCs w:val="24"/>
              </w:rPr>
              <w:t>5</w:t>
            </w:r>
            <w:r w:rsidRPr="003663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Reduced Form Estimates </w:t>
            </w:r>
            <w:r w:rsidRPr="003663B9">
              <w:rPr>
                <w:rFonts w:ascii="Times New Roman" w:eastAsia="Times New Roman" w:hAnsi="Times New Roman" w:cs="Times New Roman"/>
                <w:color w:val="000000"/>
                <w:sz w:val="24"/>
                <w:szCs w:val="24"/>
              </w:rPr>
              <w:t xml:space="preserve">of the Washington Marijuana Dispensary Lottery on </w:t>
            </w:r>
            <w:r>
              <w:rPr>
                <w:rFonts w:ascii="Times New Roman" w:eastAsia="Times New Roman" w:hAnsi="Times New Roman" w:cs="Times New Roman"/>
                <w:color w:val="000000"/>
                <w:sz w:val="24"/>
                <w:szCs w:val="24"/>
              </w:rPr>
              <w:t>the Share of</w:t>
            </w:r>
            <w:r w:rsidRPr="003663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11</w:t>
            </w:r>
            <w:r w:rsidRPr="00B67BEF">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-Graders who are Not Proficient in Math and ELA</w:t>
            </w:r>
          </w:p>
          <w:p w14:paraId="2B5E2453" w14:textId="5B8721DC" w:rsidR="0014472F" w:rsidRPr="0014472F" w:rsidRDefault="0014472F" w:rsidP="0014472F">
            <w:pPr>
              <w:spacing w:after="0" w:line="240" w:lineRule="auto"/>
              <w:rPr>
                <w:rFonts w:ascii="Calibri" w:eastAsia="Times New Roman" w:hAnsi="Calibri" w:cs="Calibri"/>
                <w:color w:val="000000"/>
              </w:rPr>
            </w:pPr>
          </w:p>
        </w:tc>
      </w:tr>
      <w:tr w:rsidR="0014472F" w:rsidRPr="0014472F" w14:paraId="2B2018F7" w14:textId="77777777" w:rsidTr="0014472F">
        <w:trPr>
          <w:trHeight w:val="300"/>
          <w:jc w:val="center"/>
        </w:trPr>
        <w:tc>
          <w:tcPr>
            <w:tcW w:w="3800" w:type="dxa"/>
            <w:tcBorders>
              <w:top w:val="nil"/>
              <w:left w:val="nil"/>
              <w:bottom w:val="nil"/>
              <w:right w:val="nil"/>
            </w:tcBorders>
            <w:shd w:val="clear" w:color="auto" w:fill="auto"/>
            <w:noWrap/>
            <w:vAlign w:val="bottom"/>
            <w:hideMark/>
          </w:tcPr>
          <w:p w14:paraId="1B35A7CA" w14:textId="77777777" w:rsidR="0014472F" w:rsidRPr="0014472F" w:rsidRDefault="0014472F" w:rsidP="0014472F">
            <w:pPr>
              <w:spacing w:after="0" w:line="240" w:lineRule="auto"/>
              <w:rPr>
                <w:rFonts w:ascii="Calibri" w:eastAsia="Times New Roman" w:hAnsi="Calibri" w:cs="Calibri"/>
                <w:color w:val="000000"/>
              </w:rPr>
            </w:pPr>
          </w:p>
        </w:tc>
        <w:tc>
          <w:tcPr>
            <w:tcW w:w="3840" w:type="dxa"/>
            <w:gridSpan w:val="4"/>
            <w:tcBorders>
              <w:top w:val="nil"/>
              <w:left w:val="nil"/>
              <w:bottom w:val="single" w:sz="4" w:space="0" w:color="auto"/>
              <w:right w:val="nil"/>
            </w:tcBorders>
            <w:shd w:val="clear" w:color="auto" w:fill="auto"/>
            <w:noWrap/>
            <w:vAlign w:val="bottom"/>
            <w:hideMark/>
          </w:tcPr>
          <w:p w14:paraId="7472A1A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Female</w:t>
            </w:r>
          </w:p>
        </w:tc>
        <w:tc>
          <w:tcPr>
            <w:tcW w:w="340" w:type="dxa"/>
            <w:tcBorders>
              <w:top w:val="nil"/>
              <w:left w:val="nil"/>
              <w:bottom w:val="nil"/>
              <w:right w:val="nil"/>
            </w:tcBorders>
            <w:shd w:val="clear" w:color="auto" w:fill="auto"/>
            <w:noWrap/>
            <w:vAlign w:val="bottom"/>
            <w:hideMark/>
          </w:tcPr>
          <w:p w14:paraId="6CB1A457"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3840" w:type="dxa"/>
            <w:gridSpan w:val="4"/>
            <w:tcBorders>
              <w:top w:val="nil"/>
              <w:left w:val="nil"/>
              <w:bottom w:val="single" w:sz="4" w:space="0" w:color="auto"/>
              <w:right w:val="nil"/>
            </w:tcBorders>
            <w:shd w:val="clear" w:color="auto" w:fill="auto"/>
            <w:noWrap/>
            <w:vAlign w:val="bottom"/>
            <w:hideMark/>
          </w:tcPr>
          <w:p w14:paraId="75FAA1D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Male</w:t>
            </w:r>
          </w:p>
        </w:tc>
      </w:tr>
      <w:tr w:rsidR="0014472F" w:rsidRPr="0014472F" w14:paraId="1FFB1986" w14:textId="77777777" w:rsidTr="0014472F">
        <w:trPr>
          <w:trHeight w:val="290"/>
          <w:jc w:val="center"/>
        </w:trPr>
        <w:tc>
          <w:tcPr>
            <w:tcW w:w="3800" w:type="dxa"/>
            <w:tcBorders>
              <w:top w:val="nil"/>
              <w:left w:val="nil"/>
              <w:bottom w:val="single" w:sz="4" w:space="0" w:color="auto"/>
              <w:right w:val="nil"/>
            </w:tcBorders>
            <w:shd w:val="clear" w:color="auto" w:fill="auto"/>
            <w:noWrap/>
            <w:vAlign w:val="bottom"/>
            <w:hideMark/>
          </w:tcPr>
          <w:p w14:paraId="096A7D72"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555B3D5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nil"/>
            </w:tcBorders>
            <w:shd w:val="clear" w:color="auto" w:fill="auto"/>
            <w:noWrap/>
            <w:vAlign w:val="bottom"/>
            <w:hideMark/>
          </w:tcPr>
          <w:p w14:paraId="284D95B7"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(2)</w:t>
            </w:r>
          </w:p>
        </w:tc>
        <w:tc>
          <w:tcPr>
            <w:tcW w:w="960" w:type="dxa"/>
            <w:tcBorders>
              <w:top w:val="nil"/>
              <w:left w:val="nil"/>
              <w:bottom w:val="single" w:sz="4" w:space="0" w:color="auto"/>
              <w:right w:val="nil"/>
            </w:tcBorders>
            <w:shd w:val="clear" w:color="auto" w:fill="auto"/>
            <w:noWrap/>
            <w:vAlign w:val="bottom"/>
            <w:hideMark/>
          </w:tcPr>
          <w:p w14:paraId="4375562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nil"/>
            </w:tcBorders>
            <w:shd w:val="clear" w:color="auto" w:fill="auto"/>
            <w:noWrap/>
            <w:vAlign w:val="bottom"/>
            <w:hideMark/>
          </w:tcPr>
          <w:p w14:paraId="0777441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(4)</w:t>
            </w:r>
          </w:p>
        </w:tc>
        <w:tc>
          <w:tcPr>
            <w:tcW w:w="340" w:type="dxa"/>
            <w:tcBorders>
              <w:top w:val="nil"/>
              <w:left w:val="nil"/>
              <w:bottom w:val="single" w:sz="4" w:space="0" w:color="auto"/>
              <w:right w:val="nil"/>
            </w:tcBorders>
            <w:shd w:val="clear" w:color="auto" w:fill="auto"/>
            <w:noWrap/>
            <w:vAlign w:val="bottom"/>
            <w:hideMark/>
          </w:tcPr>
          <w:p w14:paraId="057B7D4C"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6D8291C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nil"/>
            </w:tcBorders>
            <w:shd w:val="clear" w:color="auto" w:fill="auto"/>
            <w:noWrap/>
            <w:vAlign w:val="bottom"/>
            <w:hideMark/>
          </w:tcPr>
          <w:p w14:paraId="451EFF2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(6)</w:t>
            </w:r>
          </w:p>
        </w:tc>
        <w:tc>
          <w:tcPr>
            <w:tcW w:w="960" w:type="dxa"/>
            <w:tcBorders>
              <w:top w:val="nil"/>
              <w:left w:val="nil"/>
              <w:bottom w:val="single" w:sz="4" w:space="0" w:color="auto"/>
              <w:right w:val="nil"/>
            </w:tcBorders>
            <w:shd w:val="clear" w:color="auto" w:fill="auto"/>
            <w:noWrap/>
            <w:vAlign w:val="bottom"/>
            <w:hideMark/>
          </w:tcPr>
          <w:p w14:paraId="512EFA7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nil"/>
            </w:tcBorders>
            <w:shd w:val="clear" w:color="auto" w:fill="auto"/>
            <w:noWrap/>
            <w:vAlign w:val="bottom"/>
            <w:hideMark/>
          </w:tcPr>
          <w:p w14:paraId="124C9BA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(8)</w:t>
            </w:r>
          </w:p>
        </w:tc>
      </w:tr>
      <w:tr w:rsidR="0014472F" w:rsidRPr="0014472F" w14:paraId="736192F2"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7F0EFFB2" w14:textId="77777777" w:rsidR="0014472F" w:rsidRPr="0014472F" w:rsidRDefault="0014472F" w:rsidP="0014472F">
            <w:pPr>
              <w:spacing w:after="0" w:line="240" w:lineRule="auto"/>
              <w:rPr>
                <w:rFonts w:ascii="Times New Roman" w:eastAsia="Times New Roman" w:hAnsi="Times New Roman" w:cs="Times New Roman"/>
                <w:i/>
                <w:iCs/>
                <w:color w:val="000000"/>
                <w:sz w:val="20"/>
                <w:szCs w:val="20"/>
              </w:rPr>
            </w:pPr>
            <w:r w:rsidRPr="0014472F">
              <w:rPr>
                <w:rFonts w:ascii="Times New Roman" w:eastAsia="Times New Roman" w:hAnsi="Times New Roman" w:cs="Times New Roman"/>
                <w:i/>
                <w:iCs/>
                <w:color w:val="000000"/>
                <w:sz w:val="20"/>
                <w:szCs w:val="20"/>
              </w:rPr>
              <w:t>Panel A: Math</w:t>
            </w:r>
          </w:p>
        </w:tc>
        <w:tc>
          <w:tcPr>
            <w:tcW w:w="960" w:type="dxa"/>
            <w:tcBorders>
              <w:top w:val="nil"/>
              <w:left w:val="nil"/>
              <w:bottom w:val="nil"/>
              <w:right w:val="nil"/>
            </w:tcBorders>
            <w:shd w:val="clear" w:color="auto" w:fill="auto"/>
            <w:noWrap/>
            <w:vAlign w:val="bottom"/>
            <w:hideMark/>
          </w:tcPr>
          <w:p w14:paraId="7D743D95" w14:textId="77777777" w:rsidR="0014472F" w:rsidRPr="0014472F" w:rsidRDefault="0014472F" w:rsidP="0014472F">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6F6B68F3"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A61ACE"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5F134C"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337428DF"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A50B9D3"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F579B7"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4B45CF"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C1F85A" w14:textId="77777777" w:rsidR="0014472F" w:rsidRPr="0014472F" w:rsidRDefault="0014472F" w:rsidP="0014472F">
            <w:pPr>
              <w:spacing w:after="0" w:line="240" w:lineRule="auto"/>
              <w:rPr>
                <w:rFonts w:ascii="Times New Roman" w:eastAsia="Times New Roman" w:hAnsi="Times New Roman" w:cs="Times New Roman"/>
                <w:sz w:val="20"/>
                <w:szCs w:val="20"/>
              </w:rPr>
            </w:pPr>
          </w:p>
        </w:tc>
      </w:tr>
      <w:tr w:rsidR="0014472F" w:rsidRPr="0014472F" w14:paraId="7E9309F7" w14:textId="77777777" w:rsidTr="0014472F">
        <w:trPr>
          <w:trHeight w:val="290"/>
          <w:jc w:val="center"/>
        </w:trPr>
        <w:tc>
          <w:tcPr>
            <w:tcW w:w="3800" w:type="dxa"/>
            <w:tcBorders>
              <w:top w:val="nil"/>
              <w:left w:val="nil"/>
              <w:bottom w:val="nil"/>
              <w:right w:val="nil"/>
            </w:tcBorders>
            <w:shd w:val="clear" w:color="auto" w:fill="auto"/>
            <w:noWrap/>
            <w:vAlign w:val="center"/>
            <w:hideMark/>
          </w:tcPr>
          <w:p w14:paraId="014F50AB"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School is within 10 Mins of a Lottery Winner</w:t>
            </w:r>
          </w:p>
        </w:tc>
        <w:tc>
          <w:tcPr>
            <w:tcW w:w="960" w:type="dxa"/>
            <w:tcBorders>
              <w:top w:val="nil"/>
              <w:left w:val="nil"/>
              <w:bottom w:val="nil"/>
              <w:right w:val="nil"/>
            </w:tcBorders>
            <w:shd w:val="clear" w:color="auto" w:fill="auto"/>
            <w:noWrap/>
            <w:vAlign w:val="bottom"/>
            <w:hideMark/>
          </w:tcPr>
          <w:p w14:paraId="5AD6623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-0.041</w:t>
            </w:r>
          </w:p>
        </w:tc>
        <w:tc>
          <w:tcPr>
            <w:tcW w:w="960" w:type="dxa"/>
            <w:tcBorders>
              <w:top w:val="nil"/>
              <w:left w:val="nil"/>
              <w:bottom w:val="nil"/>
              <w:right w:val="nil"/>
            </w:tcBorders>
            <w:shd w:val="clear" w:color="auto" w:fill="auto"/>
            <w:noWrap/>
            <w:vAlign w:val="bottom"/>
            <w:hideMark/>
          </w:tcPr>
          <w:p w14:paraId="6D83F89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-0.018</w:t>
            </w:r>
          </w:p>
        </w:tc>
        <w:tc>
          <w:tcPr>
            <w:tcW w:w="960" w:type="dxa"/>
            <w:tcBorders>
              <w:top w:val="nil"/>
              <w:left w:val="nil"/>
              <w:bottom w:val="nil"/>
              <w:right w:val="nil"/>
            </w:tcBorders>
            <w:shd w:val="clear" w:color="auto" w:fill="auto"/>
            <w:noWrap/>
            <w:vAlign w:val="bottom"/>
            <w:hideMark/>
          </w:tcPr>
          <w:p w14:paraId="7AE44E6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-0.022</w:t>
            </w:r>
          </w:p>
        </w:tc>
        <w:tc>
          <w:tcPr>
            <w:tcW w:w="960" w:type="dxa"/>
            <w:tcBorders>
              <w:top w:val="nil"/>
              <w:left w:val="nil"/>
              <w:bottom w:val="nil"/>
              <w:right w:val="nil"/>
            </w:tcBorders>
            <w:shd w:val="clear" w:color="auto" w:fill="auto"/>
            <w:noWrap/>
            <w:vAlign w:val="bottom"/>
            <w:hideMark/>
          </w:tcPr>
          <w:p w14:paraId="23A1DE27"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-0.015</w:t>
            </w:r>
          </w:p>
        </w:tc>
        <w:tc>
          <w:tcPr>
            <w:tcW w:w="340" w:type="dxa"/>
            <w:tcBorders>
              <w:top w:val="nil"/>
              <w:left w:val="nil"/>
              <w:bottom w:val="nil"/>
              <w:right w:val="nil"/>
            </w:tcBorders>
            <w:shd w:val="clear" w:color="auto" w:fill="auto"/>
            <w:noWrap/>
            <w:vAlign w:val="bottom"/>
            <w:hideMark/>
          </w:tcPr>
          <w:p w14:paraId="13D4525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366A03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-0.058</w:t>
            </w:r>
          </w:p>
        </w:tc>
        <w:tc>
          <w:tcPr>
            <w:tcW w:w="960" w:type="dxa"/>
            <w:tcBorders>
              <w:top w:val="nil"/>
              <w:left w:val="nil"/>
              <w:bottom w:val="nil"/>
              <w:right w:val="nil"/>
            </w:tcBorders>
            <w:shd w:val="clear" w:color="auto" w:fill="auto"/>
            <w:noWrap/>
            <w:vAlign w:val="bottom"/>
            <w:hideMark/>
          </w:tcPr>
          <w:p w14:paraId="231DB0C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-0.034</w:t>
            </w:r>
          </w:p>
        </w:tc>
        <w:tc>
          <w:tcPr>
            <w:tcW w:w="960" w:type="dxa"/>
            <w:tcBorders>
              <w:top w:val="nil"/>
              <w:left w:val="nil"/>
              <w:bottom w:val="nil"/>
              <w:right w:val="nil"/>
            </w:tcBorders>
            <w:shd w:val="clear" w:color="auto" w:fill="auto"/>
            <w:noWrap/>
            <w:vAlign w:val="bottom"/>
            <w:hideMark/>
          </w:tcPr>
          <w:p w14:paraId="4512B43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-0.037</w:t>
            </w:r>
          </w:p>
        </w:tc>
        <w:tc>
          <w:tcPr>
            <w:tcW w:w="960" w:type="dxa"/>
            <w:tcBorders>
              <w:top w:val="nil"/>
              <w:left w:val="nil"/>
              <w:bottom w:val="nil"/>
              <w:right w:val="nil"/>
            </w:tcBorders>
            <w:shd w:val="clear" w:color="auto" w:fill="auto"/>
            <w:noWrap/>
            <w:vAlign w:val="bottom"/>
            <w:hideMark/>
          </w:tcPr>
          <w:p w14:paraId="7999064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-0.029</w:t>
            </w:r>
          </w:p>
        </w:tc>
      </w:tr>
      <w:tr w:rsidR="0014472F" w:rsidRPr="0014472F" w14:paraId="0D40B0B2" w14:textId="77777777" w:rsidTr="0014472F">
        <w:trPr>
          <w:trHeight w:val="290"/>
          <w:jc w:val="center"/>
        </w:trPr>
        <w:tc>
          <w:tcPr>
            <w:tcW w:w="3800" w:type="dxa"/>
            <w:tcBorders>
              <w:top w:val="nil"/>
              <w:left w:val="nil"/>
              <w:bottom w:val="nil"/>
              <w:right w:val="nil"/>
            </w:tcBorders>
            <w:shd w:val="clear" w:color="auto" w:fill="auto"/>
            <w:noWrap/>
            <w:vAlign w:val="center"/>
            <w:hideMark/>
          </w:tcPr>
          <w:p w14:paraId="69F234D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BE26D3C"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(0.0389)</w:t>
            </w:r>
          </w:p>
        </w:tc>
        <w:tc>
          <w:tcPr>
            <w:tcW w:w="960" w:type="dxa"/>
            <w:tcBorders>
              <w:top w:val="nil"/>
              <w:left w:val="nil"/>
              <w:bottom w:val="nil"/>
              <w:right w:val="nil"/>
            </w:tcBorders>
            <w:shd w:val="clear" w:color="auto" w:fill="auto"/>
            <w:noWrap/>
            <w:vAlign w:val="bottom"/>
            <w:hideMark/>
          </w:tcPr>
          <w:p w14:paraId="088548B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(0.0410)</w:t>
            </w:r>
          </w:p>
        </w:tc>
        <w:tc>
          <w:tcPr>
            <w:tcW w:w="960" w:type="dxa"/>
            <w:tcBorders>
              <w:top w:val="nil"/>
              <w:left w:val="nil"/>
              <w:bottom w:val="nil"/>
              <w:right w:val="nil"/>
            </w:tcBorders>
            <w:shd w:val="clear" w:color="auto" w:fill="auto"/>
            <w:noWrap/>
            <w:vAlign w:val="bottom"/>
            <w:hideMark/>
          </w:tcPr>
          <w:p w14:paraId="7C42D3D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(0.0361)</w:t>
            </w:r>
          </w:p>
        </w:tc>
        <w:tc>
          <w:tcPr>
            <w:tcW w:w="960" w:type="dxa"/>
            <w:tcBorders>
              <w:top w:val="nil"/>
              <w:left w:val="nil"/>
              <w:bottom w:val="nil"/>
              <w:right w:val="nil"/>
            </w:tcBorders>
            <w:shd w:val="clear" w:color="auto" w:fill="auto"/>
            <w:noWrap/>
            <w:vAlign w:val="bottom"/>
            <w:hideMark/>
          </w:tcPr>
          <w:p w14:paraId="2AC4DC22"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(0.0273)</w:t>
            </w:r>
          </w:p>
        </w:tc>
        <w:tc>
          <w:tcPr>
            <w:tcW w:w="340" w:type="dxa"/>
            <w:tcBorders>
              <w:top w:val="nil"/>
              <w:left w:val="nil"/>
              <w:bottom w:val="nil"/>
              <w:right w:val="nil"/>
            </w:tcBorders>
            <w:shd w:val="clear" w:color="auto" w:fill="auto"/>
            <w:noWrap/>
            <w:vAlign w:val="bottom"/>
            <w:hideMark/>
          </w:tcPr>
          <w:p w14:paraId="5D3DCAB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696711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(0.0375)</w:t>
            </w:r>
          </w:p>
        </w:tc>
        <w:tc>
          <w:tcPr>
            <w:tcW w:w="960" w:type="dxa"/>
            <w:tcBorders>
              <w:top w:val="nil"/>
              <w:left w:val="nil"/>
              <w:bottom w:val="nil"/>
              <w:right w:val="nil"/>
            </w:tcBorders>
            <w:shd w:val="clear" w:color="auto" w:fill="auto"/>
            <w:noWrap/>
            <w:vAlign w:val="bottom"/>
            <w:hideMark/>
          </w:tcPr>
          <w:p w14:paraId="747DA2C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(0.0395)</w:t>
            </w:r>
          </w:p>
        </w:tc>
        <w:tc>
          <w:tcPr>
            <w:tcW w:w="960" w:type="dxa"/>
            <w:tcBorders>
              <w:top w:val="nil"/>
              <w:left w:val="nil"/>
              <w:bottom w:val="nil"/>
              <w:right w:val="nil"/>
            </w:tcBorders>
            <w:shd w:val="clear" w:color="auto" w:fill="auto"/>
            <w:noWrap/>
            <w:vAlign w:val="bottom"/>
            <w:hideMark/>
          </w:tcPr>
          <w:p w14:paraId="12DA65D7"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(0.0354)</w:t>
            </w:r>
          </w:p>
        </w:tc>
        <w:tc>
          <w:tcPr>
            <w:tcW w:w="960" w:type="dxa"/>
            <w:tcBorders>
              <w:top w:val="nil"/>
              <w:left w:val="nil"/>
              <w:bottom w:val="nil"/>
              <w:right w:val="nil"/>
            </w:tcBorders>
            <w:shd w:val="clear" w:color="auto" w:fill="auto"/>
            <w:noWrap/>
            <w:vAlign w:val="bottom"/>
            <w:hideMark/>
          </w:tcPr>
          <w:p w14:paraId="5F81AFC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(0.0269)</w:t>
            </w:r>
          </w:p>
        </w:tc>
      </w:tr>
      <w:tr w:rsidR="0014472F" w:rsidRPr="0014472F" w14:paraId="05FD2103"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05C762E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D28E66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[0.146]</w:t>
            </w:r>
          </w:p>
        </w:tc>
        <w:tc>
          <w:tcPr>
            <w:tcW w:w="960" w:type="dxa"/>
            <w:tcBorders>
              <w:top w:val="nil"/>
              <w:left w:val="nil"/>
              <w:bottom w:val="nil"/>
              <w:right w:val="nil"/>
            </w:tcBorders>
            <w:shd w:val="clear" w:color="auto" w:fill="auto"/>
            <w:noWrap/>
            <w:vAlign w:val="bottom"/>
            <w:hideMark/>
          </w:tcPr>
          <w:p w14:paraId="351C75C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[0.335]</w:t>
            </w:r>
          </w:p>
        </w:tc>
        <w:tc>
          <w:tcPr>
            <w:tcW w:w="960" w:type="dxa"/>
            <w:tcBorders>
              <w:top w:val="nil"/>
              <w:left w:val="nil"/>
              <w:bottom w:val="nil"/>
              <w:right w:val="nil"/>
            </w:tcBorders>
            <w:shd w:val="clear" w:color="auto" w:fill="auto"/>
            <w:noWrap/>
            <w:vAlign w:val="bottom"/>
            <w:hideMark/>
          </w:tcPr>
          <w:p w14:paraId="1FE03EF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[0.268]</w:t>
            </w:r>
          </w:p>
        </w:tc>
        <w:tc>
          <w:tcPr>
            <w:tcW w:w="960" w:type="dxa"/>
            <w:tcBorders>
              <w:top w:val="nil"/>
              <w:left w:val="nil"/>
              <w:bottom w:val="nil"/>
              <w:right w:val="nil"/>
            </w:tcBorders>
            <w:shd w:val="clear" w:color="auto" w:fill="auto"/>
            <w:noWrap/>
            <w:vAlign w:val="bottom"/>
            <w:hideMark/>
          </w:tcPr>
          <w:p w14:paraId="78DD8A56"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[0.294]</w:t>
            </w:r>
          </w:p>
        </w:tc>
        <w:tc>
          <w:tcPr>
            <w:tcW w:w="340" w:type="dxa"/>
            <w:tcBorders>
              <w:top w:val="nil"/>
              <w:left w:val="nil"/>
              <w:bottom w:val="nil"/>
              <w:right w:val="nil"/>
            </w:tcBorders>
            <w:shd w:val="clear" w:color="auto" w:fill="auto"/>
            <w:noWrap/>
            <w:vAlign w:val="bottom"/>
            <w:hideMark/>
          </w:tcPr>
          <w:p w14:paraId="6610ECF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25EC26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[0.063]</w:t>
            </w:r>
          </w:p>
        </w:tc>
        <w:tc>
          <w:tcPr>
            <w:tcW w:w="960" w:type="dxa"/>
            <w:tcBorders>
              <w:top w:val="nil"/>
              <w:left w:val="nil"/>
              <w:bottom w:val="nil"/>
              <w:right w:val="nil"/>
            </w:tcBorders>
            <w:shd w:val="clear" w:color="auto" w:fill="auto"/>
            <w:noWrap/>
            <w:vAlign w:val="bottom"/>
            <w:hideMark/>
          </w:tcPr>
          <w:p w14:paraId="7853BB22"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[0.199]</w:t>
            </w:r>
          </w:p>
        </w:tc>
        <w:tc>
          <w:tcPr>
            <w:tcW w:w="960" w:type="dxa"/>
            <w:tcBorders>
              <w:top w:val="nil"/>
              <w:left w:val="nil"/>
              <w:bottom w:val="nil"/>
              <w:right w:val="nil"/>
            </w:tcBorders>
            <w:shd w:val="clear" w:color="auto" w:fill="auto"/>
            <w:noWrap/>
            <w:vAlign w:val="bottom"/>
            <w:hideMark/>
          </w:tcPr>
          <w:p w14:paraId="3F3EF486"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[0.149]</w:t>
            </w:r>
          </w:p>
        </w:tc>
        <w:tc>
          <w:tcPr>
            <w:tcW w:w="960" w:type="dxa"/>
            <w:tcBorders>
              <w:top w:val="nil"/>
              <w:left w:val="nil"/>
              <w:bottom w:val="nil"/>
              <w:right w:val="nil"/>
            </w:tcBorders>
            <w:shd w:val="clear" w:color="auto" w:fill="auto"/>
            <w:noWrap/>
            <w:vAlign w:val="bottom"/>
            <w:hideMark/>
          </w:tcPr>
          <w:p w14:paraId="6D37852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[0.138]</w:t>
            </w:r>
          </w:p>
        </w:tc>
      </w:tr>
      <w:tr w:rsidR="0014472F" w:rsidRPr="0014472F" w14:paraId="57EFFCA7"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5AE827C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74A3C1C"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{0.149}</w:t>
            </w:r>
          </w:p>
        </w:tc>
        <w:tc>
          <w:tcPr>
            <w:tcW w:w="960" w:type="dxa"/>
            <w:tcBorders>
              <w:top w:val="nil"/>
              <w:left w:val="nil"/>
              <w:bottom w:val="nil"/>
              <w:right w:val="nil"/>
            </w:tcBorders>
            <w:shd w:val="clear" w:color="auto" w:fill="auto"/>
            <w:noWrap/>
            <w:vAlign w:val="bottom"/>
            <w:hideMark/>
          </w:tcPr>
          <w:p w14:paraId="15F0B09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{0.297}</w:t>
            </w:r>
          </w:p>
        </w:tc>
        <w:tc>
          <w:tcPr>
            <w:tcW w:w="960" w:type="dxa"/>
            <w:tcBorders>
              <w:top w:val="nil"/>
              <w:left w:val="nil"/>
              <w:bottom w:val="nil"/>
              <w:right w:val="nil"/>
            </w:tcBorders>
            <w:shd w:val="clear" w:color="auto" w:fill="auto"/>
            <w:noWrap/>
            <w:vAlign w:val="bottom"/>
            <w:hideMark/>
          </w:tcPr>
          <w:p w14:paraId="4DB3C0C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{0.282}</w:t>
            </w:r>
          </w:p>
        </w:tc>
        <w:tc>
          <w:tcPr>
            <w:tcW w:w="960" w:type="dxa"/>
            <w:tcBorders>
              <w:top w:val="nil"/>
              <w:left w:val="nil"/>
              <w:bottom w:val="nil"/>
              <w:right w:val="nil"/>
            </w:tcBorders>
            <w:shd w:val="clear" w:color="auto" w:fill="auto"/>
            <w:noWrap/>
            <w:vAlign w:val="bottom"/>
            <w:hideMark/>
          </w:tcPr>
          <w:p w14:paraId="03F7CBB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{0.297}</w:t>
            </w:r>
          </w:p>
        </w:tc>
        <w:tc>
          <w:tcPr>
            <w:tcW w:w="340" w:type="dxa"/>
            <w:tcBorders>
              <w:top w:val="nil"/>
              <w:left w:val="nil"/>
              <w:bottom w:val="nil"/>
              <w:right w:val="nil"/>
            </w:tcBorders>
            <w:shd w:val="clear" w:color="auto" w:fill="auto"/>
            <w:noWrap/>
            <w:vAlign w:val="bottom"/>
            <w:hideMark/>
          </w:tcPr>
          <w:p w14:paraId="5450010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C435A0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{0.025}</w:t>
            </w:r>
          </w:p>
        </w:tc>
        <w:tc>
          <w:tcPr>
            <w:tcW w:w="960" w:type="dxa"/>
            <w:tcBorders>
              <w:top w:val="nil"/>
              <w:left w:val="nil"/>
              <w:bottom w:val="nil"/>
              <w:right w:val="nil"/>
            </w:tcBorders>
            <w:shd w:val="clear" w:color="auto" w:fill="auto"/>
            <w:noWrap/>
            <w:vAlign w:val="bottom"/>
            <w:hideMark/>
          </w:tcPr>
          <w:p w14:paraId="5EE2AAF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{0.193}</w:t>
            </w:r>
          </w:p>
        </w:tc>
        <w:tc>
          <w:tcPr>
            <w:tcW w:w="960" w:type="dxa"/>
            <w:tcBorders>
              <w:top w:val="nil"/>
              <w:left w:val="nil"/>
              <w:bottom w:val="nil"/>
              <w:right w:val="nil"/>
            </w:tcBorders>
            <w:shd w:val="clear" w:color="auto" w:fill="auto"/>
            <w:noWrap/>
            <w:vAlign w:val="bottom"/>
            <w:hideMark/>
          </w:tcPr>
          <w:p w14:paraId="38C6BF4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{0.153}</w:t>
            </w:r>
          </w:p>
        </w:tc>
        <w:tc>
          <w:tcPr>
            <w:tcW w:w="960" w:type="dxa"/>
            <w:tcBorders>
              <w:top w:val="nil"/>
              <w:left w:val="nil"/>
              <w:bottom w:val="nil"/>
              <w:right w:val="nil"/>
            </w:tcBorders>
            <w:shd w:val="clear" w:color="auto" w:fill="auto"/>
            <w:noWrap/>
            <w:vAlign w:val="bottom"/>
            <w:hideMark/>
          </w:tcPr>
          <w:p w14:paraId="3BA5851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{0.144}</w:t>
            </w:r>
          </w:p>
        </w:tc>
      </w:tr>
      <w:tr w:rsidR="0014472F" w:rsidRPr="0014472F" w14:paraId="69F5F02E" w14:textId="77777777" w:rsidTr="0014472F">
        <w:trPr>
          <w:trHeight w:val="290"/>
          <w:jc w:val="center"/>
        </w:trPr>
        <w:tc>
          <w:tcPr>
            <w:tcW w:w="3800" w:type="dxa"/>
            <w:tcBorders>
              <w:top w:val="nil"/>
              <w:left w:val="nil"/>
              <w:bottom w:val="nil"/>
              <w:right w:val="nil"/>
            </w:tcBorders>
            <w:shd w:val="clear" w:color="auto" w:fill="auto"/>
            <w:noWrap/>
            <w:vAlign w:val="center"/>
            <w:hideMark/>
          </w:tcPr>
          <w:p w14:paraId="2CBC7414"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 Dispensary License Applicants in 10 Mins</w:t>
            </w:r>
          </w:p>
        </w:tc>
        <w:tc>
          <w:tcPr>
            <w:tcW w:w="960" w:type="dxa"/>
            <w:tcBorders>
              <w:top w:val="nil"/>
              <w:left w:val="nil"/>
              <w:bottom w:val="nil"/>
              <w:right w:val="nil"/>
            </w:tcBorders>
            <w:shd w:val="clear" w:color="auto" w:fill="auto"/>
            <w:noWrap/>
            <w:vAlign w:val="bottom"/>
            <w:hideMark/>
          </w:tcPr>
          <w:p w14:paraId="54BDDBD6"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2A77FE7"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3EE28E9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4862B1A"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7A3046E7"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91D108B"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106B7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1FF71B82"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5E6FFF3"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r>
      <w:tr w:rsidR="0014472F" w:rsidRPr="0014472F" w14:paraId="0FA96E4D" w14:textId="77777777" w:rsidTr="0014472F">
        <w:trPr>
          <w:trHeight w:val="290"/>
          <w:jc w:val="center"/>
        </w:trPr>
        <w:tc>
          <w:tcPr>
            <w:tcW w:w="3800" w:type="dxa"/>
            <w:tcBorders>
              <w:top w:val="nil"/>
              <w:left w:val="nil"/>
              <w:bottom w:val="nil"/>
              <w:right w:val="nil"/>
            </w:tcBorders>
            <w:shd w:val="clear" w:color="auto" w:fill="auto"/>
            <w:noWrap/>
            <w:vAlign w:val="center"/>
            <w:hideMark/>
          </w:tcPr>
          <w:p w14:paraId="1B0C0BED"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School Locale Indicators and Year FEs</w:t>
            </w:r>
          </w:p>
        </w:tc>
        <w:tc>
          <w:tcPr>
            <w:tcW w:w="960" w:type="dxa"/>
            <w:tcBorders>
              <w:top w:val="nil"/>
              <w:left w:val="nil"/>
              <w:bottom w:val="nil"/>
              <w:right w:val="nil"/>
            </w:tcBorders>
            <w:shd w:val="clear" w:color="auto" w:fill="auto"/>
            <w:noWrap/>
            <w:vAlign w:val="bottom"/>
            <w:hideMark/>
          </w:tcPr>
          <w:p w14:paraId="38323633"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95617B8"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D8DBD6"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7876937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7803CCF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4DA0082"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5255A9"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AD3DD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6829337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r>
      <w:tr w:rsidR="0014472F" w:rsidRPr="0014472F" w14:paraId="76556DBE" w14:textId="77777777" w:rsidTr="0014472F">
        <w:trPr>
          <w:trHeight w:val="290"/>
          <w:jc w:val="center"/>
        </w:trPr>
        <w:tc>
          <w:tcPr>
            <w:tcW w:w="3800" w:type="dxa"/>
            <w:tcBorders>
              <w:top w:val="nil"/>
              <w:left w:val="nil"/>
              <w:bottom w:val="nil"/>
              <w:right w:val="nil"/>
            </w:tcBorders>
            <w:shd w:val="clear" w:color="auto" w:fill="auto"/>
            <w:noWrap/>
            <w:vAlign w:val="center"/>
            <w:hideMark/>
          </w:tcPr>
          <w:p w14:paraId="71F9274F"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Student Characteristics</w:t>
            </w:r>
          </w:p>
        </w:tc>
        <w:tc>
          <w:tcPr>
            <w:tcW w:w="960" w:type="dxa"/>
            <w:tcBorders>
              <w:top w:val="nil"/>
              <w:left w:val="nil"/>
              <w:bottom w:val="nil"/>
              <w:right w:val="nil"/>
            </w:tcBorders>
            <w:shd w:val="clear" w:color="auto" w:fill="auto"/>
            <w:noWrap/>
            <w:vAlign w:val="bottom"/>
            <w:hideMark/>
          </w:tcPr>
          <w:p w14:paraId="7E65E966"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6B7D6E2"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BB5412"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952AA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2B931DA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5E5F566"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042073"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5D9FD1"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C8C5B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r>
      <w:tr w:rsidR="0014472F" w:rsidRPr="0014472F" w14:paraId="01DED45B"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46600CAE"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Observations</w:t>
            </w:r>
          </w:p>
        </w:tc>
        <w:tc>
          <w:tcPr>
            <w:tcW w:w="960" w:type="dxa"/>
            <w:tcBorders>
              <w:top w:val="nil"/>
              <w:left w:val="nil"/>
              <w:bottom w:val="nil"/>
              <w:right w:val="nil"/>
            </w:tcBorders>
            <w:shd w:val="clear" w:color="auto" w:fill="auto"/>
            <w:noWrap/>
            <w:vAlign w:val="bottom"/>
            <w:hideMark/>
          </w:tcPr>
          <w:p w14:paraId="6DD35662"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338</w:t>
            </w:r>
          </w:p>
        </w:tc>
        <w:tc>
          <w:tcPr>
            <w:tcW w:w="960" w:type="dxa"/>
            <w:tcBorders>
              <w:top w:val="nil"/>
              <w:left w:val="nil"/>
              <w:bottom w:val="nil"/>
              <w:right w:val="nil"/>
            </w:tcBorders>
            <w:shd w:val="clear" w:color="auto" w:fill="auto"/>
            <w:noWrap/>
            <w:vAlign w:val="bottom"/>
            <w:hideMark/>
          </w:tcPr>
          <w:p w14:paraId="5FA5F25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338</w:t>
            </w:r>
          </w:p>
        </w:tc>
        <w:tc>
          <w:tcPr>
            <w:tcW w:w="960" w:type="dxa"/>
            <w:tcBorders>
              <w:top w:val="nil"/>
              <w:left w:val="nil"/>
              <w:bottom w:val="nil"/>
              <w:right w:val="nil"/>
            </w:tcBorders>
            <w:shd w:val="clear" w:color="auto" w:fill="auto"/>
            <w:noWrap/>
            <w:vAlign w:val="bottom"/>
            <w:hideMark/>
          </w:tcPr>
          <w:p w14:paraId="7C50219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338</w:t>
            </w:r>
          </w:p>
        </w:tc>
        <w:tc>
          <w:tcPr>
            <w:tcW w:w="960" w:type="dxa"/>
            <w:tcBorders>
              <w:top w:val="nil"/>
              <w:left w:val="nil"/>
              <w:bottom w:val="nil"/>
              <w:right w:val="nil"/>
            </w:tcBorders>
            <w:shd w:val="clear" w:color="auto" w:fill="auto"/>
            <w:noWrap/>
            <w:vAlign w:val="bottom"/>
            <w:hideMark/>
          </w:tcPr>
          <w:p w14:paraId="292694F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338</w:t>
            </w:r>
          </w:p>
        </w:tc>
        <w:tc>
          <w:tcPr>
            <w:tcW w:w="340" w:type="dxa"/>
            <w:tcBorders>
              <w:top w:val="nil"/>
              <w:left w:val="nil"/>
              <w:bottom w:val="nil"/>
              <w:right w:val="nil"/>
            </w:tcBorders>
            <w:shd w:val="clear" w:color="auto" w:fill="auto"/>
            <w:noWrap/>
            <w:vAlign w:val="bottom"/>
            <w:hideMark/>
          </w:tcPr>
          <w:p w14:paraId="482CED2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E92672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338</w:t>
            </w:r>
          </w:p>
        </w:tc>
        <w:tc>
          <w:tcPr>
            <w:tcW w:w="960" w:type="dxa"/>
            <w:tcBorders>
              <w:top w:val="nil"/>
              <w:left w:val="nil"/>
              <w:bottom w:val="nil"/>
              <w:right w:val="nil"/>
            </w:tcBorders>
            <w:shd w:val="clear" w:color="auto" w:fill="auto"/>
            <w:noWrap/>
            <w:vAlign w:val="bottom"/>
            <w:hideMark/>
          </w:tcPr>
          <w:p w14:paraId="518B29C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338</w:t>
            </w:r>
          </w:p>
        </w:tc>
        <w:tc>
          <w:tcPr>
            <w:tcW w:w="960" w:type="dxa"/>
            <w:tcBorders>
              <w:top w:val="nil"/>
              <w:left w:val="nil"/>
              <w:bottom w:val="nil"/>
              <w:right w:val="nil"/>
            </w:tcBorders>
            <w:shd w:val="clear" w:color="auto" w:fill="auto"/>
            <w:noWrap/>
            <w:vAlign w:val="bottom"/>
            <w:hideMark/>
          </w:tcPr>
          <w:p w14:paraId="62CF0B4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338</w:t>
            </w:r>
          </w:p>
        </w:tc>
        <w:tc>
          <w:tcPr>
            <w:tcW w:w="960" w:type="dxa"/>
            <w:tcBorders>
              <w:top w:val="nil"/>
              <w:left w:val="nil"/>
              <w:bottom w:val="nil"/>
              <w:right w:val="nil"/>
            </w:tcBorders>
            <w:shd w:val="clear" w:color="auto" w:fill="auto"/>
            <w:noWrap/>
            <w:vAlign w:val="bottom"/>
            <w:hideMark/>
          </w:tcPr>
          <w:p w14:paraId="3BF0043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338</w:t>
            </w:r>
          </w:p>
        </w:tc>
      </w:tr>
      <w:tr w:rsidR="0014472F" w:rsidRPr="0014472F" w14:paraId="30E86562"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5C854BC6"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0B8C4ED"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6761FB"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26C8A1"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BA3C0"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04F5DFBC"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94E0BF"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7EFB18"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739D4A"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565E3FF" w14:textId="77777777" w:rsidR="0014472F" w:rsidRPr="0014472F" w:rsidRDefault="0014472F" w:rsidP="0014472F">
            <w:pPr>
              <w:spacing w:after="0" w:line="240" w:lineRule="auto"/>
              <w:rPr>
                <w:rFonts w:ascii="Times New Roman" w:eastAsia="Times New Roman" w:hAnsi="Times New Roman" w:cs="Times New Roman"/>
                <w:sz w:val="20"/>
                <w:szCs w:val="20"/>
              </w:rPr>
            </w:pPr>
          </w:p>
        </w:tc>
      </w:tr>
      <w:tr w:rsidR="0014472F" w:rsidRPr="0014472F" w14:paraId="42603B6C"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5E863FD5" w14:textId="77777777" w:rsidR="0014472F" w:rsidRPr="0014472F" w:rsidRDefault="0014472F" w:rsidP="0014472F">
            <w:pPr>
              <w:spacing w:after="0" w:line="240" w:lineRule="auto"/>
              <w:rPr>
                <w:rFonts w:ascii="Times New Roman" w:eastAsia="Times New Roman" w:hAnsi="Times New Roman" w:cs="Times New Roman"/>
                <w:i/>
                <w:iCs/>
                <w:color w:val="000000"/>
                <w:sz w:val="20"/>
                <w:szCs w:val="20"/>
              </w:rPr>
            </w:pPr>
            <w:r w:rsidRPr="0014472F">
              <w:rPr>
                <w:rFonts w:ascii="Times New Roman" w:eastAsia="Times New Roman" w:hAnsi="Times New Roman" w:cs="Times New Roman"/>
                <w:i/>
                <w:iCs/>
                <w:color w:val="000000"/>
                <w:sz w:val="20"/>
                <w:szCs w:val="20"/>
              </w:rPr>
              <w:t>Panel B: ELA</w:t>
            </w:r>
          </w:p>
        </w:tc>
        <w:tc>
          <w:tcPr>
            <w:tcW w:w="960" w:type="dxa"/>
            <w:tcBorders>
              <w:top w:val="nil"/>
              <w:left w:val="nil"/>
              <w:bottom w:val="nil"/>
              <w:right w:val="nil"/>
            </w:tcBorders>
            <w:shd w:val="clear" w:color="auto" w:fill="auto"/>
            <w:noWrap/>
            <w:vAlign w:val="bottom"/>
            <w:hideMark/>
          </w:tcPr>
          <w:p w14:paraId="5F4BC969" w14:textId="77777777" w:rsidR="0014472F" w:rsidRPr="0014472F" w:rsidRDefault="0014472F" w:rsidP="0014472F">
            <w:pPr>
              <w:spacing w:after="0" w:line="240" w:lineRule="auto"/>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797AA4B9"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10E3667"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4A0E85"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391BDCF5"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F87845"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2AE407"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7ACF35" w14:textId="77777777" w:rsidR="0014472F" w:rsidRPr="0014472F" w:rsidRDefault="0014472F" w:rsidP="0014472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56C2F53" w14:textId="77777777" w:rsidR="0014472F" w:rsidRPr="0014472F" w:rsidRDefault="0014472F" w:rsidP="0014472F">
            <w:pPr>
              <w:spacing w:after="0" w:line="240" w:lineRule="auto"/>
              <w:rPr>
                <w:rFonts w:ascii="Times New Roman" w:eastAsia="Times New Roman" w:hAnsi="Times New Roman" w:cs="Times New Roman"/>
                <w:sz w:val="20"/>
                <w:szCs w:val="20"/>
              </w:rPr>
            </w:pPr>
          </w:p>
        </w:tc>
      </w:tr>
      <w:tr w:rsidR="0014472F" w:rsidRPr="0014472F" w14:paraId="38CAF616" w14:textId="77777777" w:rsidTr="0014472F">
        <w:trPr>
          <w:trHeight w:val="300"/>
          <w:jc w:val="center"/>
        </w:trPr>
        <w:tc>
          <w:tcPr>
            <w:tcW w:w="3800" w:type="dxa"/>
            <w:tcBorders>
              <w:top w:val="nil"/>
              <w:left w:val="nil"/>
              <w:bottom w:val="nil"/>
              <w:right w:val="nil"/>
            </w:tcBorders>
            <w:shd w:val="clear" w:color="auto" w:fill="auto"/>
            <w:noWrap/>
            <w:vAlign w:val="center"/>
            <w:hideMark/>
          </w:tcPr>
          <w:p w14:paraId="00D487E3"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School is within 10 Mins of a Lottery Winner</w:t>
            </w:r>
          </w:p>
        </w:tc>
        <w:tc>
          <w:tcPr>
            <w:tcW w:w="960" w:type="dxa"/>
            <w:tcBorders>
              <w:top w:val="nil"/>
              <w:left w:val="nil"/>
              <w:bottom w:val="nil"/>
              <w:right w:val="nil"/>
            </w:tcBorders>
            <w:shd w:val="clear" w:color="auto" w:fill="auto"/>
            <w:noWrap/>
            <w:vAlign w:val="bottom"/>
            <w:hideMark/>
          </w:tcPr>
          <w:p w14:paraId="746DC74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-0.013</w:t>
            </w:r>
          </w:p>
        </w:tc>
        <w:tc>
          <w:tcPr>
            <w:tcW w:w="960" w:type="dxa"/>
            <w:tcBorders>
              <w:top w:val="nil"/>
              <w:left w:val="nil"/>
              <w:bottom w:val="nil"/>
              <w:right w:val="nil"/>
            </w:tcBorders>
            <w:shd w:val="clear" w:color="auto" w:fill="auto"/>
            <w:noWrap/>
            <w:vAlign w:val="bottom"/>
            <w:hideMark/>
          </w:tcPr>
          <w:p w14:paraId="328321B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-0.009</w:t>
            </w:r>
          </w:p>
        </w:tc>
        <w:tc>
          <w:tcPr>
            <w:tcW w:w="960" w:type="dxa"/>
            <w:tcBorders>
              <w:top w:val="nil"/>
              <w:left w:val="nil"/>
              <w:bottom w:val="nil"/>
              <w:right w:val="nil"/>
            </w:tcBorders>
            <w:shd w:val="clear" w:color="auto" w:fill="auto"/>
            <w:noWrap/>
            <w:vAlign w:val="bottom"/>
            <w:hideMark/>
          </w:tcPr>
          <w:p w14:paraId="6BB1924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0.004</w:t>
            </w:r>
          </w:p>
        </w:tc>
        <w:tc>
          <w:tcPr>
            <w:tcW w:w="960" w:type="dxa"/>
            <w:tcBorders>
              <w:top w:val="nil"/>
              <w:left w:val="nil"/>
              <w:bottom w:val="nil"/>
              <w:right w:val="nil"/>
            </w:tcBorders>
            <w:shd w:val="clear" w:color="auto" w:fill="auto"/>
            <w:noWrap/>
            <w:vAlign w:val="bottom"/>
            <w:hideMark/>
          </w:tcPr>
          <w:p w14:paraId="16462A28"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0.003</w:t>
            </w:r>
          </w:p>
        </w:tc>
        <w:tc>
          <w:tcPr>
            <w:tcW w:w="340" w:type="dxa"/>
            <w:tcBorders>
              <w:top w:val="nil"/>
              <w:left w:val="nil"/>
              <w:bottom w:val="nil"/>
              <w:right w:val="nil"/>
            </w:tcBorders>
            <w:shd w:val="clear" w:color="auto" w:fill="auto"/>
            <w:noWrap/>
            <w:vAlign w:val="bottom"/>
            <w:hideMark/>
          </w:tcPr>
          <w:p w14:paraId="1CCBEB0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603D1E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-0.022</w:t>
            </w:r>
          </w:p>
        </w:tc>
        <w:tc>
          <w:tcPr>
            <w:tcW w:w="960" w:type="dxa"/>
            <w:tcBorders>
              <w:top w:val="nil"/>
              <w:left w:val="nil"/>
              <w:bottom w:val="nil"/>
              <w:right w:val="nil"/>
            </w:tcBorders>
            <w:shd w:val="clear" w:color="auto" w:fill="auto"/>
            <w:noWrap/>
            <w:vAlign w:val="bottom"/>
            <w:hideMark/>
          </w:tcPr>
          <w:p w14:paraId="6B98F99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-0.016</w:t>
            </w:r>
          </w:p>
        </w:tc>
        <w:tc>
          <w:tcPr>
            <w:tcW w:w="960" w:type="dxa"/>
            <w:tcBorders>
              <w:top w:val="nil"/>
              <w:left w:val="nil"/>
              <w:bottom w:val="nil"/>
              <w:right w:val="nil"/>
            </w:tcBorders>
            <w:shd w:val="clear" w:color="auto" w:fill="auto"/>
            <w:noWrap/>
            <w:vAlign w:val="bottom"/>
            <w:hideMark/>
          </w:tcPr>
          <w:p w14:paraId="66AAF74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-0.008</w:t>
            </w:r>
          </w:p>
        </w:tc>
        <w:tc>
          <w:tcPr>
            <w:tcW w:w="960" w:type="dxa"/>
            <w:tcBorders>
              <w:top w:val="nil"/>
              <w:left w:val="nil"/>
              <w:bottom w:val="nil"/>
              <w:right w:val="nil"/>
            </w:tcBorders>
            <w:shd w:val="clear" w:color="auto" w:fill="auto"/>
            <w:noWrap/>
            <w:vAlign w:val="bottom"/>
            <w:hideMark/>
          </w:tcPr>
          <w:p w14:paraId="47DE5E0D"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-0.009</w:t>
            </w:r>
          </w:p>
        </w:tc>
      </w:tr>
      <w:tr w:rsidR="0014472F" w:rsidRPr="0014472F" w14:paraId="72DB82FA" w14:textId="77777777" w:rsidTr="0014472F">
        <w:trPr>
          <w:trHeight w:val="300"/>
          <w:jc w:val="center"/>
        </w:trPr>
        <w:tc>
          <w:tcPr>
            <w:tcW w:w="3800" w:type="dxa"/>
            <w:tcBorders>
              <w:top w:val="nil"/>
              <w:left w:val="nil"/>
              <w:bottom w:val="nil"/>
              <w:right w:val="nil"/>
            </w:tcBorders>
            <w:shd w:val="clear" w:color="auto" w:fill="auto"/>
            <w:noWrap/>
            <w:vAlign w:val="center"/>
            <w:hideMark/>
          </w:tcPr>
          <w:p w14:paraId="5D4F69E8"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A9EC0CC"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(0.0336)</w:t>
            </w:r>
          </w:p>
        </w:tc>
        <w:tc>
          <w:tcPr>
            <w:tcW w:w="960" w:type="dxa"/>
            <w:tcBorders>
              <w:top w:val="nil"/>
              <w:left w:val="nil"/>
              <w:bottom w:val="nil"/>
              <w:right w:val="nil"/>
            </w:tcBorders>
            <w:shd w:val="clear" w:color="auto" w:fill="auto"/>
            <w:noWrap/>
            <w:vAlign w:val="bottom"/>
            <w:hideMark/>
          </w:tcPr>
          <w:p w14:paraId="475731F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(0.0349)</w:t>
            </w:r>
          </w:p>
        </w:tc>
        <w:tc>
          <w:tcPr>
            <w:tcW w:w="960" w:type="dxa"/>
            <w:tcBorders>
              <w:top w:val="nil"/>
              <w:left w:val="nil"/>
              <w:bottom w:val="nil"/>
              <w:right w:val="nil"/>
            </w:tcBorders>
            <w:shd w:val="clear" w:color="auto" w:fill="auto"/>
            <w:noWrap/>
            <w:vAlign w:val="bottom"/>
            <w:hideMark/>
          </w:tcPr>
          <w:p w14:paraId="7723D09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(0.0315)</w:t>
            </w:r>
          </w:p>
        </w:tc>
        <w:tc>
          <w:tcPr>
            <w:tcW w:w="960" w:type="dxa"/>
            <w:tcBorders>
              <w:top w:val="nil"/>
              <w:left w:val="nil"/>
              <w:bottom w:val="nil"/>
              <w:right w:val="nil"/>
            </w:tcBorders>
            <w:shd w:val="clear" w:color="auto" w:fill="auto"/>
            <w:noWrap/>
            <w:vAlign w:val="bottom"/>
            <w:hideMark/>
          </w:tcPr>
          <w:p w14:paraId="34068CEC"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(0.0244)</w:t>
            </w:r>
          </w:p>
        </w:tc>
        <w:tc>
          <w:tcPr>
            <w:tcW w:w="340" w:type="dxa"/>
            <w:tcBorders>
              <w:top w:val="nil"/>
              <w:left w:val="nil"/>
              <w:bottom w:val="nil"/>
              <w:right w:val="nil"/>
            </w:tcBorders>
            <w:shd w:val="clear" w:color="auto" w:fill="auto"/>
            <w:noWrap/>
            <w:vAlign w:val="bottom"/>
            <w:hideMark/>
          </w:tcPr>
          <w:p w14:paraId="7A58FFA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354227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(0.0346)</w:t>
            </w:r>
          </w:p>
        </w:tc>
        <w:tc>
          <w:tcPr>
            <w:tcW w:w="960" w:type="dxa"/>
            <w:tcBorders>
              <w:top w:val="nil"/>
              <w:left w:val="nil"/>
              <w:bottom w:val="nil"/>
              <w:right w:val="nil"/>
            </w:tcBorders>
            <w:shd w:val="clear" w:color="auto" w:fill="auto"/>
            <w:noWrap/>
            <w:vAlign w:val="bottom"/>
            <w:hideMark/>
          </w:tcPr>
          <w:p w14:paraId="0DBB6B6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(0.0367)</w:t>
            </w:r>
          </w:p>
        </w:tc>
        <w:tc>
          <w:tcPr>
            <w:tcW w:w="960" w:type="dxa"/>
            <w:tcBorders>
              <w:top w:val="nil"/>
              <w:left w:val="nil"/>
              <w:bottom w:val="nil"/>
              <w:right w:val="nil"/>
            </w:tcBorders>
            <w:shd w:val="clear" w:color="auto" w:fill="auto"/>
            <w:noWrap/>
            <w:vAlign w:val="bottom"/>
            <w:hideMark/>
          </w:tcPr>
          <w:p w14:paraId="6A131F88"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(0.0342)</w:t>
            </w:r>
          </w:p>
        </w:tc>
        <w:tc>
          <w:tcPr>
            <w:tcW w:w="960" w:type="dxa"/>
            <w:tcBorders>
              <w:top w:val="nil"/>
              <w:left w:val="nil"/>
              <w:bottom w:val="nil"/>
              <w:right w:val="nil"/>
            </w:tcBorders>
            <w:shd w:val="clear" w:color="auto" w:fill="auto"/>
            <w:noWrap/>
            <w:vAlign w:val="bottom"/>
            <w:hideMark/>
          </w:tcPr>
          <w:p w14:paraId="7AADA68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(0.0278)</w:t>
            </w:r>
          </w:p>
        </w:tc>
      </w:tr>
      <w:tr w:rsidR="0014472F" w:rsidRPr="0014472F" w14:paraId="59EA33AF"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6A3CB88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67F77F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[0.345]</w:t>
            </w:r>
          </w:p>
        </w:tc>
        <w:tc>
          <w:tcPr>
            <w:tcW w:w="960" w:type="dxa"/>
            <w:tcBorders>
              <w:top w:val="nil"/>
              <w:left w:val="nil"/>
              <w:bottom w:val="nil"/>
              <w:right w:val="nil"/>
            </w:tcBorders>
            <w:shd w:val="clear" w:color="auto" w:fill="auto"/>
            <w:noWrap/>
            <w:vAlign w:val="bottom"/>
            <w:hideMark/>
          </w:tcPr>
          <w:p w14:paraId="532B358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[0.395]</w:t>
            </w:r>
          </w:p>
        </w:tc>
        <w:tc>
          <w:tcPr>
            <w:tcW w:w="960" w:type="dxa"/>
            <w:tcBorders>
              <w:top w:val="nil"/>
              <w:left w:val="nil"/>
              <w:bottom w:val="nil"/>
              <w:right w:val="nil"/>
            </w:tcBorders>
            <w:shd w:val="clear" w:color="auto" w:fill="auto"/>
            <w:noWrap/>
            <w:vAlign w:val="bottom"/>
            <w:hideMark/>
          </w:tcPr>
          <w:p w14:paraId="3BB11EE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[0.456]</w:t>
            </w:r>
          </w:p>
        </w:tc>
        <w:tc>
          <w:tcPr>
            <w:tcW w:w="960" w:type="dxa"/>
            <w:tcBorders>
              <w:top w:val="nil"/>
              <w:left w:val="nil"/>
              <w:bottom w:val="nil"/>
              <w:right w:val="nil"/>
            </w:tcBorders>
            <w:shd w:val="clear" w:color="auto" w:fill="auto"/>
            <w:noWrap/>
            <w:vAlign w:val="bottom"/>
            <w:hideMark/>
          </w:tcPr>
          <w:p w14:paraId="14FAAFB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[0.445]</w:t>
            </w:r>
          </w:p>
        </w:tc>
        <w:tc>
          <w:tcPr>
            <w:tcW w:w="340" w:type="dxa"/>
            <w:tcBorders>
              <w:top w:val="nil"/>
              <w:left w:val="nil"/>
              <w:bottom w:val="nil"/>
              <w:right w:val="nil"/>
            </w:tcBorders>
            <w:shd w:val="clear" w:color="auto" w:fill="auto"/>
            <w:noWrap/>
            <w:vAlign w:val="bottom"/>
            <w:hideMark/>
          </w:tcPr>
          <w:p w14:paraId="70333992"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834842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[0.261]</w:t>
            </w:r>
          </w:p>
        </w:tc>
        <w:tc>
          <w:tcPr>
            <w:tcW w:w="960" w:type="dxa"/>
            <w:tcBorders>
              <w:top w:val="nil"/>
              <w:left w:val="nil"/>
              <w:bottom w:val="nil"/>
              <w:right w:val="nil"/>
            </w:tcBorders>
            <w:shd w:val="clear" w:color="auto" w:fill="auto"/>
            <w:noWrap/>
            <w:vAlign w:val="bottom"/>
            <w:hideMark/>
          </w:tcPr>
          <w:p w14:paraId="11BFD98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[0.332]</w:t>
            </w:r>
          </w:p>
        </w:tc>
        <w:tc>
          <w:tcPr>
            <w:tcW w:w="960" w:type="dxa"/>
            <w:tcBorders>
              <w:top w:val="nil"/>
              <w:left w:val="nil"/>
              <w:bottom w:val="nil"/>
              <w:right w:val="nil"/>
            </w:tcBorders>
            <w:shd w:val="clear" w:color="auto" w:fill="auto"/>
            <w:noWrap/>
            <w:vAlign w:val="bottom"/>
            <w:hideMark/>
          </w:tcPr>
          <w:p w14:paraId="080859B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[0.403]</w:t>
            </w:r>
          </w:p>
        </w:tc>
        <w:tc>
          <w:tcPr>
            <w:tcW w:w="960" w:type="dxa"/>
            <w:tcBorders>
              <w:top w:val="nil"/>
              <w:left w:val="nil"/>
              <w:bottom w:val="nil"/>
              <w:right w:val="nil"/>
            </w:tcBorders>
            <w:shd w:val="clear" w:color="auto" w:fill="auto"/>
            <w:noWrap/>
            <w:vAlign w:val="bottom"/>
            <w:hideMark/>
          </w:tcPr>
          <w:p w14:paraId="4366CD9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[0.370]</w:t>
            </w:r>
          </w:p>
        </w:tc>
      </w:tr>
      <w:tr w:rsidR="0014472F" w:rsidRPr="0014472F" w14:paraId="650CE719"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08CD96E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2228C42"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{0.451}</w:t>
            </w:r>
          </w:p>
        </w:tc>
        <w:tc>
          <w:tcPr>
            <w:tcW w:w="960" w:type="dxa"/>
            <w:tcBorders>
              <w:top w:val="nil"/>
              <w:left w:val="nil"/>
              <w:bottom w:val="nil"/>
              <w:right w:val="nil"/>
            </w:tcBorders>
            <w:shd w:val="clear" w:color="auto" w:fill="auto"/>
            <w:noWrap/>
            <w:vAlign w:val="bottom"/>
            <w:hideMark/>
          </w:tcPr>
          <w:p w14:paraId="126B9B3E"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{0.475}</w:t>
            </w:r>
          </w:p>
        </w:tc>
        <w:tc>
          <w:tcPr>
            <w:tcW w:w="960" w:type="dxa"/>
            <w:tcBorders>
              <w:top w:val="nil"/>
              <w:left w:val="nil"/>
              <w:bottom w:val="nil"/>
              <w:right w:val="nil"/>
            </w:tcBorders>
            <w:shd w:val="clear" w:color="auto" w:fill="auto"/>
            <w:noWrap/>
            <w:vAlign w:val="bottom"/>
            <w:hideMark/>
          </w:tcPr>
          <w:p w14:paraId="452F562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{0.495}</w:t>
            </w:r>
          </w:p>
        </w:tc>
        <w:tc>
          <w:tcPr>
            <w:tcW w:w="960" w:type="dxa"/>
            <w:tcBorders>
              <w:top w:val="nil"/>
              <w:left w:val="nil"/>
              <w:bottom w:val="nil"/>
              <w:right w:val="nil"/>
            </w:tcBorders>
            <w:shd w:val="clear" w:color="auto" w:fill="auto"/>
            <w:noWrap/>
            <w:vAlign w:val="bottom"/>
            <w:hideMark/>
          </w:tcPr>
          <w:p w14:paraId="44087AE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{0.495}</w:t>
            </w:r>
          </w:p>
        </w:tc>
        <w:tc>
          <w:tcPr>
            <w:tcW w:w="340" w:type="dxa"/>
            <w:tcBorders>
              <w:top w:val="nil"/>
              <w:left w:val="nil"/>
              <w:bottom w:val="nil"/>
              <w:right w:val="nil"/>
            </w:tcBorders>
            <w:shd w:val="clear" w:color="auto" w:fill="auto"/>
            <w:noWrap/>
            <w:vAlign w:val="bottom"/>
            <w:hideMark/>
          </w:tcPr>
          <w:p w14:paraId="145F788A"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D9FF557"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{0.352}</w:t>
            </w:r>
          </w:p>
        </w:tc>
        <w:tc>
          <w:tcPr>
            <w:tcW w:w="960" w:type="dxa"/>
            <w:tcBorders>
              <w:top w:val="nil"/>
              <w:left w:val="nil"/>
              <w:bottom w:val="nil"/>
              <w:right w:val="nil"/>
            </w:tcBorders>
            <w:shd w:val="clear" w:color="auto" w:fill="auto"/>
            <w:noWrap/>
            <w:vAlign w:val="bottom"/>
            <w:hideMark/>
          </w:tcPr>
          <w:p w14:paraId="6C93CEB7"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{0.436}</w:t>
            </w:r>
          </w:p>
        </w:tc>
        <w:tc>
          <w:tcPr>
            <w:tcW w:w="960" w:type="dxa"/>
            <w:tcBorders>
              <w:top w:val="nil"/>
              <w:left w:val="nil"/>
              <w:bottom w:val="nil"/>
              <w:right w:val="nil"/>
            </w:tcBorders>
            <w:shd w:val="clear" w:color="auto" w:fill="auto"/>
            <w:noWrap/>
            <w:vAlign w:val="bottom"/>
            <w:hideMark/>
          </w:tcPr>
          <w:p w14:paraId="7D6E2096"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{0.475}</w:t>
            </w:r>
          </w:p>
        </w:tc>
        <w:tc>
          <w:tcPr>
            <w:tcW w:w="960" w:type="dxa"/>
            <w:tcBorders>
              <w:top w:val="nil"/>
              <w:left w:val="nil"/>
              <w:bottom w:val="nil"/>
              <w:right w:val="nil"/>
            </w:tcBorders>
            <w:shd w:val="clear" w:color="auto" w:fill="auto"/>
            <w:noWrap/>
            <w:vAlign w:val="bottom"/>
            <w:hideMark/>
          </w:tcPr>
          <w:p w14:paraId="04E52018"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{0.475}</w:t>
            </w:r>
          </w:p>
        </w:tc>
      </w:tr>
      <w:tr w:rsidR="0014472F" w:rsidRPr="0014472F" w14:paraId="3D06F301" w14:textId="77777777" w:rsidTr="0014472F">
        <w:trPr>
          <w:trHeight w:val="290"/>
          <w:jc w:val="center"/>
        </w:trPr>
        <w:tc>
          <w:tcPr>
            <w:tcW w:w="3800" w:type="dxa"/>
            <w:tcBorders>
              <w:top w:val="nil"/>
              <w:left w:val="nil"/>
              <w:bottom w:val="nil"/>
              <w:right w:val="nil"/>
            </w:tcBorders>
            <w:shd w:val="clear" w:color="auto" w:fill="auto"/>
            <w:noWrap/>
            <w:vAlign w:val="center"/>
            <w:hideMark/>
          </w:tcPr>
          <w:p w14:paraId="3B0A94A1"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 Dispensary License Applicants in 10 Mins</w:t>
            </w:r>
          </w:p>
        </w:tc>
        <w:tc>
          <w:tcPr>
            <w:tcW w:w="960" w:type="dxa"/>
            <w:tcBorders>
              <w:top w:val="nil"/>
              <w:left w:val="nil"/>
              <w:bottom w:val="nil"/>
              <w:right w:val="nil"/>
            </w:tcBorders>
            <w:shd w:val="clear" w:color="auto" w:fill="auto"/>
            <w:noWrap/>
            <w:vAlign w:val="bottom"/>
            <w:hideMark/>
          </w:tcPr>
          <w:p w14:paraId="1FF4C992"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CE59AC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5F700C6D"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89991A7"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14:paraId="6675AEA0"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B90CBC"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2A759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18EF08C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52FFCEE"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r>
      <w:tr w:rsidR="0014472F" w:rsidRPr="0014472F" w14:paraId="13D22295" w14:textId="77777777" w:rsidTr="0014472F">
        <w:trPr>
          <w:trHeight w:val="290"/>
          <w:jc w:val="center"/>
        </w:trPr>
        <w:tc>
          <w:tcPr>
            <w:tcW w:w="3800" w:type="dxa"/>
            <w:tcBorders>
              <w:top w:val="nil"/>
              <w:left w:val="nil"/>
              <w:bottom w:val="nil"/>
              <w:right w:val="nil"/>
            </w:tcBorders>
            <w:shd w:val="clear" w:color="auto" w:fill="auto"/>
            <w:noWrap/>
            <w:vAlign w:val="center"/>
            <w:hideMark/>
          </w:tcPr>
          <w:p w14:paraId="4EA53E36"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School Locale Indicators and Year FEs</w:t>
            </w:r>
          </w:p>
        </w:tc>
        <w:tc>
          <w:tcPr>
            <w:tcW w:w="960" w:type="dxa"/>
            <w:tcBorders>
              <w:top w:val="nil"/>
              <w:left w:val="nil"/>
              <w:bottom w:val="nil"/>
              <w:right w:val="nil"/>
            </w:tcBorders>
            <w:shd w:val="clear" w:color="auto" w:fill="auto"/>
            <w:noWrap/>
            <w:vAlign w:val="bottom"/>
            <w:hideMark/>
          </w:tcPr>
          <w:p w14:paraId="34507715"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DF535D3"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1EA74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1A0467E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3611B36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01B29CA"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1F01E7"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98B46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960" w:type="dxa"/>
            <w:tcBorders>
              <w:top w:val="nil"/>
              <w:left w:val="nil"/>
              <w:bottom w:val="nil"/>
              <w:right w:val="nil"/>
            </w:tcBorders>
            <w:shd w:val="clear" w:color="auto" w:fill="auto"/>
            <w:noWrap/>
            <w:vAlign w:val="bottom"/>
            <w:hideMark/>
          </w:tcPr>
          <w:p w14:paraId="724D200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r>
      <w:tr w:rsidR="0014472F" w:rsidRPr="0014472F" w14:paraId="7B00BFB7" w14:textId="77777777" w:rsidTr="0014472F">
        <w:trPr>
          <w:trHeight w:val="290"/>
          <w:jc w:val="center"/>
        </w:trPr>
        <w:tc>
          <w:tcPr>
            <w:tcW w:w="3800" w:type="dxa"/>
            <w:tcBorders>
              <w:top w:val="nil"/>
              <w:left w:val="nil"/>
              <w:bottom w:val="nil"/>
              <w:right w:val="nil"/>
            </w:tcBorders>
            <w:shd w:val="clear" w:color="auto" w:fill="auto"/>
            <w:noWrap/>
            <w:vAlign w:val="center"/>
            <w:hideMark/>
          </w:tcPr>
          <w:p w14:paraId="7F855B9B"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Student Characteristics</w:t>
            </w:r>
          </w:p>
        </w:tc>
        <w:tc>
          <w:tcPr>
            <w:tcW w:w="960" w:type="dxa"/>
            <w:tcBorders>
              <w:top w:val="nil"/>
              <w:left w:val="nil"/>
              <w:bottom w:val="nil"/>
              <w:right w:val="nil"/>
            </w:tcBorders>
            <w:shd w:val="clear" w:color="auto" w:fill="auto"/>
            <w:noWrap/>
            <w:vAlign w:val="bottom"/>
            <w:hideMark/>
          </w:tcPr>
          <w:p w14:paraId="3A185354"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2418778"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F6EB26"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9A7E18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c>
          <w:tcPr>
            <w:tcW w:w="340" w:type="dxa"/>
            <w:tcBorders>
              <w:top w:val="nil"/>
              <w:left w:val="nil"/>
              <w:bottom w:val="nil"/>
              <w:right w:val="nil"/>
            </w:tcBorders>
            <w:shd w:val="clear" w:color="auto" w:fill="auto"/>
            <w:noWrap/>
            <w:vAlign w:val="bottom"/>
            <w:hideMark/>
          </w:tcPr>
          <w:p w14:paraId="7882DD6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F7422C3"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668029"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4F7F42" w14:textId="77777777" w:rsidR="0014472F" w:rsidRPr="0014472F" w:rsidRDefault="0014472F" w:rsidP="0014472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D1E31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X</w:t>
            </w:r>
          </w:p>
        </w:tc>
      </w:tr>
      <w:tr w:rsidR="0014472F" w:rsidRPr="0014472F" w14:paraId="504BB4CC" w14:textId="77777777" w:rsidTr="0014472F">
        <w:trPr>
          <w:trHeight w:val="290"/>
          <w:jc w:val="center"/>
        </w:trPr>
        <w:tc>
          <w:tcPr>
            <w:tcW w:w="3800" w:type="dxa"/>
            <w:tcBorders>
              <w:top w:val="nil"/>
              <w:left w:val="nil"/>
              <w:bottom w:val="nil"/>
              <w:right w:val="nil"/>
            </w:tcBorders>
            <w:shd w:val="clear" w:color="auto" w:fill="auto"/>
            <w:noWrap/>
            <w:vAlign w:val="bottom"/>
            <w:hideMark/>
          </w:tcPr>
          <w:p w14:paraId="66C7C6B0"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Dependent Mean Pre-Legalization</w:t>
            </w:r>
          </w:p>
        </w:tc>
        <w:tc>
          <w:tcPr>
            <w:tcW w:w="960" w:type="dxa"/>
            <w:tcBorders>
              <w:top w:val="nil"/>
              <w:left w:val="nil"/>
              <w:bottom w:val="nil"/>
              <w:right w:val="nil"/>
            </w:tcBorders>
            <w:shd w:val="clear" w:color="auto" w:fill="auto"/>
            <w:noWrap/>
            <w:vAlign w:val="bottom"/>
            <w:hideMark/>
          </w:tcPr>
          <w:p w14:paraId="191E4DD8"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0.12</w:t>
            </w:r>
          </w:p>
        </w:tc>
        <w:tc>
          <w:tcPr>
            <w:tcW w:w="960" w:type="dxa"/>
            <w:tcBorders>
              <w:top w:val="nil"/>
              <w:left w:val="nil"/>
              <w:bottom w:val="nil"/>
              <w:right w:val="nil"/>
            </w:tcBorders>
            <w:shd w:val="clear" w:color="auto" w:fill="auto"/>
            <w:noWrap/>
            <w:vAlign w:val="bottom"/>
            <w:hideMark/>
          </w:tcPr>
          <w:p w14:paraId="3A9D0D45"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0.12</w:t>
            </w:r>
          </w:p>
        </w:tc>
        <w:tc>
          <w:tcPr>
            <w:tcW w:w="960" w:type="dxa"/>
            <w:tcBorders>
              <w:top w:val="nil"/>
              <w:left w:val="nil"/>
              <w:bottom w:val="nil"/>
              <w:right w:val="nil"/>
            </w:tcBorders>
            <w:shd w:val="clear" w:color="auto" w:fill="auto"/>
            <w:noWrap/>
            <w:vAlign w:val="bottom"/>
            <w:hideMark/>
          </w:tcPr>
          <w:p w14:paraId="3612D39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0.12</w:t>
            </w:r>
          </w:p>
        </w:tc>
        <w:tc>
          <w:tcPr>
            <w:tcW w:w="960" w:type="dxa"/>
            <w:tcBorders>
              <w:top w:val="nil"/>
              <w:left w:val="nil"/>
              <w:bottom w:val="nil"/>
              <w:right w:val="nil"/>
            </w:tcBorders>
            <w:shd w:val="clear" w:color="auto" w:fill="auto"/>
            <w:noWrap/>
            <w:vAlign w:val="bottom"/>
            <w:hideMark/>
          </w:tcPr>
          <w:p w14:paraId="0B4BA17F"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0.12</w:t>
            </w:r>
          </w:p>
        </w:tc>
        <w:tc>
          <w:tcPr>
            <w:tcW w:w="340" w:type="dxa"/>
            <w:tcBorders>
              <w:top w:val="nil"/>
              <w:left w:val="nil"/>
              <w:bottom w:val="nil"/>
              <w:right w:val="nil"/>
            </w:tcBorders>
            <w:shd w:val="clear" w:color="auto" w:fill="auto"/>
            <w:noWrap/>
            <w:vAlign w:val="bottom"/>
            <w:hideMark/>
          </w:tcPr>
          <w:p w14:paraId="6F7F389C"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EABB0B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0.18</w:t>
            </w:r>
          </w:p>
        </w:tc>
        <w:tc>
          <w:tcPr>
            <w:tcW w:w="960" w:type="dxa"/>
            <w:tcBorders>
              <w:top w:val="nil"/>
              <w:left w:val="nil"/>
              <w:bottom w:val="nil"/>
              <w:right w:val="nil"/>
            </w:tcBorders>
            <w:shd w:val="clear" w:color="auto" w:fill="auto"/>
            <w:noWrap/>
            <w:vAlign w:val="bottom"/>
            <w:hideMark/>
          </w:tcPr>
          <w:p w14:paraId="1BA6E94C"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0.18</w:t>
            </w:r>
          </w:p>
        </w:tc>
        <w:tc>
          <w:tcPr>
            <w:tcW w:w="960" w:type="dxa"/>
            <w:tcBorders>
              <w:top w:val="nil"/>
              <w:left w:val="nil"/>
              <w:bottom w:val="nil"/>
              <w:right w:val="nil"/>
            </w:tcBorders>
            <w:shd w:val="clear" w:color="auto" w:fill="auto"/>
            <w:noWrap/>
            <w:vAlign w:val="bottom"/>
            <w:hideMark/>
          </w:tcPr>
          <w:p w14:paraId="6D50BE7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0.18</w:t>
            </w:r>
          </w:p>
        </w:tc>
        <w:tc>
          <w:tcPr>
            <w:tcW w:w="960" w:type="dxa"/>
            <w:tcBorders>
              <w:top w:val="nil"/>
              <w:left w:val="nil"/>
              <w:bottom w:val="nil"/>
              <w:right w:val="nil"/>
            </w:tcBorders>
            <w:shd w:val="clear" w:color="auto" w:fill="auto"/>
            <w:noWrap/>
            <w:vAlign w:val="bottom"/>
            <w:hideMark/>
          </w:tcPr>
          <w:p w14:paraId="4DA86586"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0.18</w:t>
            </w:r>
          </w:p>
        </w:tc>
      </w:tr>
      <w:tr w:rsidR="0014472F" w:rsidRPr="0014472F" w14:paraId="6B8EA6AD" w14:textId="77777777" w:rsidTr="0014472F">
        <w:trPr>
          <w:trHeight w:val="290"/>
          <w:jc w:val="center"/>
        </w:trPr>
        <w:tc>
          <w:tcPr>
            <w:tcW w:w="3800" w:type="dxa"/>
            <w:tcBorders>
              <w:top w:val="nil"/>
              <w:left w:val="nil"/>
              <w:bottom w:val="single" w:sz="4" w:space="0" w:color="auto"/>
              <w:right w:val="nil"/>
            </w:tcBorders>
            <w:shd w:val="clear" w:color="auto" w:fill="auto"/>
            <w:noWrap/>
            <w:vAlign w:val="bottom"/>
            <w:hideMark/>
          </w:tcPr>
          <w:p w14:paraId="0363DE44" w14:textId="77777777" w:rsidR="0014472F" w:rsidRPr="0014472F" w:rsidRDefault="0014472F" w:rsidP="0014472F">
            <w:pPr>
              <w:spacing w:after="0" w:line="240" w:lineRule="auto"/>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Observations</w:t>
            </w:r>
          </w:p>
        </w:tc>
        <w:tc>
          <w:tcPr>
            <w:tcW w:w="960" w:type="dxa"/>
            <w:tcBorders>
              <w:top w:val="nil"/>
              <w:left w:val="nil"/>
              <w:bottom w:val="single" w:sz="4" w:space="0" w:color="auto"/>
              <w:right w:val="nil"/>
            </w:tcBorders>
            <w:shd w:val="clear" w:color="auto" w:fill="auto"/>
            <w:noWrap/>
            <w:vAlign w:val="bottom"/>
            <w:hideMark/>
          </w:tcPr>
          <w:p w14:paraId="2952764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320</w:t>
            </w:r>
          </w:p>
        </w:tc>
        <w:tc>
          <w:tcPr>
            <w:tcW w:w="960" w:type="dxa"/>
            <w:tcBorders>
              <w:top w:val="nil"/>
              <w:left w:val="nil"/>
              <w:bottom w:val="single" w:sz="4" w:space="0" w:color="auto"/>
              <w:right w:val="nil"/>
            </w:tcBorders>
            <w:shd w:val="clear" w:color="auto" w:fill="auto"/>
            <w:noWrap/>
            <w:vAlign w:val="bottom"/>
            <w:hideMark/>
          </w:tcPr>
          <w:p w14:paraId="5B8F3AC8"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320</w:t>
            </w:r>
          </w:p>
        </w:tc>
        <w:tc>
          <w:tcPr>
            <w:tcW w:w="960" w:type="dxa"/>
            <w:tcBorders>
              <w:top w:val="nil"/>
              <w:left w:val="nil"/>
              <w:bottom w:val="single" w:sz="4" w:space="0" w:color="auto"/>
              <w:right w:val="nil"/>
            </w:tcBorders>
            <w:shd w:val="clear" w:color="auto" w:fill="auto"/>
            <w:noWrap/>
            <w:vAlign w:val="bottom"/>
            <w:hideMark/>
          </w:tcPr>
          <w:p w14:paraId="20CEFA14"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320</w:t>
            </w:r>
          </w:p>
        </w:tc>
        <w:tc>
          <w:tcPr>
            <w:tcW w:w="960" w:type="dxa"/>
            <w:tcBorders>
              <w:top w:val="nil"/>
              <w:left w:val="nil"/>
              <w:bottom w:val="single" w:sz="4" w:space="0" w:color="auto"/>
              <w:right w:val="nil"/>
            </w:tcBorders>
            <w:shd w:val="clear" w:color="auto" w:fill="auto"/>
            <w:noWrap/>
            <w:vAlign w:val="bottom"/>
            <w:hideMark/>
          </w:tcPr>
          <w:p w14:paraId="3F5C8890"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320</w:t>
            </w:r>
          </w:p>
        </w:tc>
        <w:tc>
          <w:tcPr>
            <w:tcW w:w="340" w:type="dxa"/>
            <w:tcBorders>
              <w:top w:val="nil"/>
              <w:left w:val="nil"/>
              <w:bottom w:val="single" w:sz="4" w:space="0" w:color="auto"/>
              <w:right w:val="nil"/>
            </w:tcBorders>
            <w:shd w:val="clear" w:color="auto" w:fill="auto"/>
            <w:noWrap/>
            <w:vAlign w:val="bottom"/>
            <w:hideMark/>
          </w:tcPr>
          <w:p w14:paraId="5BEFD819"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1B42247B"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320</w:t>
            </w:r>
          </w:p>
        </w:tc>
        <w:tc>
          <w:tcPr>
            <w:tcW w:w="960" w:type="dxa"/>
            <w:tcBorders>
              <w:top w:val="nil"/>
              <w:left w:val="nil"/>
              <w:bottom w:val="single" w:sz="4" w:space="0" w:color="auto"/>
              <w:right w:val="nil"/>
            </w:tcBorders>
            <w:shd w:val="clear" w:color="auto" w:fill="auto"/>
            <w:noWrap/>
            <w:vAlign w:val="bottom"/>
            <w:hideMark/>
          </w:tcPr>
          <w:p w14:paraId="537E3DA7"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320</w:t>
            </w:r>
          </w:p>
        </w:tc>
        <w:tc>
          <w:tcPr>
            <w:tcW w:w="960" w:type="dxa"/>
            <w:tcBorders>
              <w:top w:val="nil"/>
              <w:left w:val="nil"/>
              <w:bottom w:val="single" w:sz="4" w:space="0" w:color="auto"/>
              <w:right w:val="nil"/>
            </w:tcBorders>
            <w:shd w:val="clear" w:color="auto" w:fill="auto"/>
            <w:noWrap/>
            <w:vAlign w:val="bottom"/>
            <w:hideMark/>
          </w:tcPr>
          <w:p w14:paraId="2D1007A3"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320</w:t>
            </w:r>
          </w:p>
        </w:tc>
        <w:tc>
          <w:tcPr>
            <w:tcW w:w="960" w:type="dxa"/>
            <w:tcBorders>
              <w:top w:val="nil"/>
              <w:left w:val="nil"/>
              <w:bottom w:val="single" w:sz="4" w:space="0" w:color="auto"/>
              <w:right w:val="nil"/>
            </w:tcBorders>
            <w:shd w:val="clear" w:color="auto" w:fill="auto"/>
            <w:noWrap/>
            <w:vAlign w:val="bottom"/>
            <w:hideMark/>
          </w:tcPr>
          <w:p w14:paraId="5B01B521" w14:textId="77777777" w:rsidR="0014472F" w:rsidRPr="0014472F" w:rsidRDefault="0014472F" w:rsidP="0014472F">
            <w:pPr>
              <w:spacing w:after="0" w:line="240" w:lineRule="auto"/>
              <w:jc w:val="center"/>
              <w:rPr>
                <w:rFonts w:ascii="Times New Roman" w:eastAsia="Times New Roman" w:hAnsi="Times New Roman" w:cs="Times New Roman"/>
                <w:color w:val="000000"/>
                <w:sz w:val="20"/>
                <w:szCs w:val="20"/>
              </w:rPr>
            </w:pPr>
            <w:r w:rsidRPr="0014472F">
              <w:rPr>
                <w:rFonts w:ascii="Times New Roman" w:eastAsia="Times New Roman" w:hAnsi="Times New Roman" w:cs="Times New Roman"/>
                <w:color w:val="000000"/>
                <w:sz w:val="20"/>
                <w:szCs w:val="20"/>
              </w:rPr>
              <w:t>320</w:t>
            </w:r>
          </w:p>
        </w:tc>
      </w:tr>
      <w:tr w:rsidR="0014472F" w:rsidRPr="0014472F" w14:paraId="59775738" w14:textId="77777777" w:rsidTr="001044B6">
        <w:trPr>
          <w:trHeight w:val="290"/>
          <w:jc w:val="center"/>
        </w:trPr>
        <w:tc>
          <w:tcPr>
            <w:tcW w:w="11820" w:type="dxa"/>
            <w:gridSpan w:val="10"/>
            <w:tcBorders>
              <w:top w:val="nil"/>
              <w:left w:val="nil"/>
              <w:bottom w:val="nil"/>
              <w:right w:val="nil"/>
            </w:tcBorders>
            <w:shd w:val="clear" w:color="auto" w:fill="auto"/>
            <w:noWrap/>
            <w:vAlign w:val="bottom"/>
            <w:hideMark/>
          </w:tcPr>
          <w:p w14:paraId="3CC7D65C" w14:textId="156E2986" w:rsidR="0014472F" w:rsidRPr="0014472F" w:rsidRDefault="0014472F" w:rsidP="0014472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Notes: </w:t>
            </w:r>
            <w:r>
              <w:rPr>
                <w:rFonts w:ascii="Times New Roman" w:eastAsia="Times New Roman" w:hAnsi="Times New Roman" w:cs="Times New Roman"/>
                <w:sz w:val="20"/>
                <w:szCs w:val="20"/>
              </w:rPr>
              <w:t xml:space="preserve">This table reports marginal effects from the estimation of </w:t>
            </w:r>
            <w:r w:rsidRPr="009F2721">
              <w:rPr>
                <w:rFonts w:ascii="Times New Roman" w:eastAsia="Times New Roman" w:hAnsi="Times New Roman" w:cs="Times New Roman"/>
                <w:sz w:val="20"/>
                <w:szCs w:val="20"/>
              </w:rPr>
              <w:t>equation</w:t>
            </w:r>
            <w:r>
              <w:rPr>
                <w:rFonts w:ascii="Times New Roman" w:eastAsia="Times New Roman" w:hAnsi="Times New Roman" w:cs="Times New Roman"/>
                <w:sz w:val="20"/>
                <w:szCs w:val="20"/>
              </w:rPr>
              <w:t>s</w:t>
            </w:r>
            <w:r w:rsidRPr="009F2721">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 (2), and (3)</w:t>
            </w:r>
            <w:r w:rsidRPr="009F27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preferred specifications are in columns (4) and (8). The dependent variable is the proportion of 11</w:t>
            </w:r>
            <w:r w:rsidRPr="00F105F7">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-grade students </w:t>
            </w:r>
            <w:r>
              <w:rPr>
                <w:rFonts w:ascii="Times New Roman" w:eastAsia="Times New Roman" w:hAnsi="Times New Roman" w:cs="Times New Roman"/>
                <w:i/>
                <w:iCs/>
                <w:sz w:val="20"/>
                <w:szCs w:val="20"/>
              </w:rPr>
              <w:t xml:space="preserve">not </w:t>
            </w:r>
            <w:r>
              <w:rPr>
                <w:rFonts w:ascii="Times New Roman" w:eastAsia="Times New Roman" w:hAnsi="Times New Roman" w:cs="Times New Roman"/>
                <w:sz w:val="20"/>
                <w:szCs w:val="20"/>
              </w:rPr>
              <w:t xml:space="preserve">proficient in math or ELA. All specifications include the 2014-15 and 2015-16 school years. School locale indicators include those for city, suburb, and town, and the omitted category is rural. Student characteristics include the proportions of free-or-reduced-price lunch, Black, Hispanic, and Asian students. Standard errors clustered by school are in parentheses. One-sided p-values from the original estimation are in square brackets, while one-sided Romano-Wolf p-values correcting for multiple hypothesis testing are in curly brackets. Average proportions of students not proficient in ELA for the schools in the sample prior to recreational marijuana legalization (i.e., the 2012-13 school year) are also included. Pre-period averages for math are not available. </w:t>
            </w:r>
          </w:p>
        </w:tc>
      </w:tr>
    </w:tbl>
    <w:p w14:paraId="6818A694" w14:textId="77777777" w:rsidR="0014472F" w:rsidRDefault="0014472F" w:rsidP="00D750E1">
      <w:pPr>
        <w:rPr>
          <w:rFonts w:ascii="Times New Roman" w:hAnsi="Times New Roman" w:cs="Times New Roman"/>
          <w:b/>
          <w:bCs/>
          <w:sz w:val="32"/>
          <w:szCs w:val="32"/>
        </w:rPr>
        <w:sectPr w:rsidR="0014472F" w:rsidSect="00B67BEF">
          <w:headerReference w:type="default" r:id="rId36"/>
          <w:pgSz w:w="15840" w:h="12240" w:orient="landscape"/>
          <w:pgMar w:top="1440" w:right="1440" w:bottom="1440" w:left="1440" w:header="720" w:footer="720" w:gutter="0"/>
          <w:cols w:space="720"/>
          <w:docGrid w:linePitch="360"/>
        </w:sectPr>
      </w:pPr>
    </w:p>
    <w:tbl>
      <w:tblPr>
        <w:tblW w:w="7800" w:type="dxa"/>
        <w:jc w:val="center"/>
        <w:tblLook w:val="04A0" w:firstRow="1" w:lastRow="0" w:firstColumn="1" w:lastColumn="0" w:noHBand="0" w:noVBand="1"/>
      </w:tblPr>
      <w:tblGrid>
        <w:gridCol w:w="5100"/>
        <w:gridCol w:w="900"/>
        <w:gridCol w:w="900"/>
        <w:gridCol w:w="900"/>
      </w:tblGrid>
      <w:tr w:rsidR="006E172D" w:rsidRPr="006E172D" w14:paraId="77D13305" w14:textId="77777777" w:rsidTr="007E7AB9">
        <w:trPr>
          <w:trHeight w:val="270"/>
          <w:jc w:val="center"/>
        </w:trPr>
        <w:tc>
          <w:tcPr>
            <w:tcW w:w="7800" w:type="dxa"/>
            <w:gridSpan w:val="4"/>
            <w:tcBorders>
              <w:top w:val="nil"/>
              <w:left w:val="nil"/>
              <w:bottom w:val="double" w:sz="6" w:space="0" w:color="auto"/>
              <w:right w:val="nil"/>
            </w:tcBorders>
            <w:shd w:val="clear" w:color="auto" w:fill="auto"/>
            <w:noWrap/>
            <w:vAlign w:val="bottom"/>
            <w:hideMark/>
          </w:tcPr>
          <w:p w14:paraId="6FBFC348" w14:textId="6B13B74B" w:rsidR="006E172D" w:rsidRDefault="006E172D" w:rsidP="006E172D">
            <w:pPr>
              <w:spacing w:after="0" w:line="240" w:lineRule="auto"/>
              <w:jc w:val="center"/>
              <w:rPr>
                <w:rFonts w:ascii="Times New Roman" w:eastAsia="Times New Roman" w:hAnsi="Times New Roman" w:cs="Times New Roman"/>
                <w:color w:val="000000"/>
                <w:sz w:val="24"/>
                <w:szCs w:val="24"/>
              </w:rPr>
            </w:pPr>
            <w:r w:rsidRPr="006E172D">
              <w:rPr>
                <w:rFonts w:ascii="Times New Roman" w:eastAsia="Times New Roman" w:hAnsi="Times New Roman" w:cs="Times New Roman"/>
                <w:color w:val="000000"/>
                <w:sz w:val="24"/>
                <w:szCs w:val="24"/>
              </w:rPr>
              <w:lastRenderedPageBreak/>
              <w:t xml:space="preserve">Table </w:t>
            </w:r>
            <w:r w:rsidR="00513DF3">
              <w:rPr>
                <w:rFonts w:ascii="Times New Roman" w:eastAsia="Times New Roman" w:hAnsi="Times New Roman" w:cs="Times New Roman"/>
                <w:color w:val="000000"/>
                <w:sz w:val="24"/>
                <w:szCs w:val="24"/>
              </w:rPr>
              <w:t>6</w:t>
            </w:r>
            <w:r w:rsidRPr="006E172D">
              <w:rPr>
                <w:rFonts w:ascii="Times New Roman" w:eastAsia="Times New Roman" w:hAnsi="Times New Roman" w:cs="Times New Roman"/>
                <w:color w:val="000000"/>
                <w:sz w:val="24"/>
                <w:szCs w:val="24"/>
              </w:rPr>
              <w:t xml:space="preserve">: First-Stage Regression Estimates of whether a School is within 10 Minutes of an Open Dispensary on whether a School is within 10 Minutes of a Lottery Winner for the Sample Used in the </w:t>
            </w:r>
            <w:r>
              <w:rPr>
                <w:rFonts w:ascii="Times New Roman" w:eastAsia="Times New Roman" w:hAnsi="Times New Roman" w:cs="Times New Roman"/>
                <w:color w:val="000000"/>
                <w:sz w:val="24"/>
                <w:szCs w:val="24"/>
              </w:rPr>
              <w:t>11</w:t>
            </w:r>
            <w:r w:rsidRPr="006E172D">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-Grade </w:t>
            </w:r>
            <w:r w:rsidRPr="006E172D">
              <w:rPr>
                <w:rFonts w:ascii="Times New Roman" w:eastAsia="Times New Roman" w:hAnsi="Times New Roman" w:cs="Times New Roman"/>
                <w:color w:val="000000"/>
                <w:sz w:val="24"/>
                <w:szCs w:val="24"/>
              </w:rPr>
              <w:t>Dropout Rate Regressions</w:t>
            </w:r>
          </w:p>
          <w:p w14:paraId="288BFDC1" w14:textId="77777777" w:rsidR="001A0BBA" w:rsidRDefault="001A0BBA" w:rsidP="006E172D">
            <w:pPr>
              <w:spacing w:after="0" w:line="240" w:lineRule="auto"/>
              <w:jc w:val="center"/>
              <w:rPr>
                <w:rFonts w:ascii="Times New Roman" w:eastAsia="Times New Roman" w:hAnsi="Times New Roman" w:cs="Times New Roman"/>
                <w:color w:val="000000"/>
                <w:sz w:val="24"/>
                <w:szCs w:val="24"/>
              </w:rPr>
            </w:pPr>
          </w:p>
          <w:p w14:paraId="7364BE97" w14:textId="52DFD373" w:rsidR="006E172D" w:rsidRPr="006E172D" w:rsidRDefault="006E172D" w:rsidP="006E172D">
            <w:pPr>
              <w:spacing w:after="0" w:line="240" w:lineRule="auto"/>
              <w:jc w:val="center"/>
              <w:rPr>
                <w:rFonts w:ascii="Times New Roman" w:eastAsia="Times New Roman" w:hAnsi="Times New Roman" w:cs="Times New Roman"/>
                <w:color w:val="000000"/>
                <w:sz w:val="24"/>
                <w:szCs w:val="24"/>
              </w:rPr>
            </w:pPr>
          </w:p>
        </w:tc>
      </w:tr>
      <w:tr w:rsidR="006E172D" w:rsidRPr="006E172D" w14:paraId="3A65CDF6" w14:textId="77777777" w:rsidTr="006E172D">
        <w:trPr>
          <w:trHeight w:val="260"/>
          <w:jc w:val="center"/>
        </w:trPr>
        <w:tc>
          <w:tcPr>
            <w:tcW w:w="5100" w:type="dxa"/>
            <w:tcBorders>
              <w:top w:val="nil"/>
              <w:left w:val="nil"/>
              <w:bottom w:val="single" w:sz="4" w:space="0" w:color="auto"/>
              <w:right w:val="nil"/>
            </w:tcBorders>
            <w:shd w:val="clear" w:color="auto" w:fill="auto"/>
            <w:noWrap/>
            <w:vAlign w:val="bottom"/>
            <w:hideMark/>
          </w:tcPr>
          <w:p w14:paraId="4921E164" w14:textId="77777777" w:rsidR="006E172D" w:rsidRPr="006E172D" w:rsidRDefault="006E172D" w:rsidP="006E172D">
            <w:pPr>
              <w:spacing w:after="0" w:line="240" w:lineRule="auto"/>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33D0A41A"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nil"/>
            </w:tcBorders>
            <w:shd w:val="clear" w:color="auto" w:fill="auto"/>
            <w:noWrap/>
            <w:vAlign w:val="bottom"/>
            <w:hideMark/>
          </w:tcPr>
          <w:p w14:paraId="66344D10"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nil"/>
            </w:tcBorders>
            <w:shd w:val="clear" w:color="auto" w:fill="auto"/>
            <w:noWrap/>
            <w:vAlign w:val="bottom"/>
            <w:hideMark/>
          </w:tcPr>
          <w:p w14:paraId="7F7D53EC"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(3)</w:t>
            </w:r>
          </w:p>
        </w:tc>
      </w:tr>
      <w:tr w:rsidR="006E172D" w:rsidRPr="006E172D" w14:paraId="0B1B7DB9" w14:textId="77777777" w:rsidTr="006E172D">
        <w:trPr>
          <w:trHeight w:val="260"/>
          <w:jc w:val="center"/>
        </w:trPr>
        <w:tc>
          <w:tcPr>
            <w:tcW w:w="5100" w:type="dxa"/>
            <w:tcBorders>
              <w:top w:val="nil"/>
              <w:left w:val="nil"/>
              <w:bottom w:val="nil"/>
              <w:right w:val="nil"/>
            </w:tcBorders>
            <w:shd w:val="clear" w:color="auto" w:fill="auto"/>
            <w:noWrap/>
            <w:vAlign w:val="bottom"/>
            <w:hideMark/>
          </w:tcPr>
          <w:p w14:paraId="6E9B2783" w14:textId="77777777" w:rsidR="006E172D" w:rsidRPr="006E172D" w:rsidRDefault="006E172D" w:rsidP="006E172D">
            <w:pPr>
              <w:spacing w:after="0" w:line="240" w:lineRule="auto"/>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School is within 10 Mins of an Open Dispensary</w:t>
            </w:r>
          </w:p>
        </w:tc>
        <w:tc>
          <w:tcPr>
            <w:tcW w:w="900" w:type="dxa"/>
            <w:tcBorders>
              <w:top w:val="nil"/>
              <w:left w:val="nil"/>
              <w:bottom w:val="nil"/>
              <w:right w:val="nil"/>
            </w:tcBorders>
            <w:shd w:val="clear" w:color="auto" w:fill="auto"/>
            <w:noWrap/>
            <w:vAlign w:val="bottom"/>
            <w:hideMark/>
          </w:tcPr>
          <w:p w14:paraId="5147C1ED"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0.387</w:t>
            </w:r>
          </w:p>
        </w:tc>
        <w:tc>
          <w:tcPr>
            <w:tcW w:w="900" w:type="dxa"/>
            <w:tcBorders>
              <w:top w:val="nil"/>
              <w:left w:val="nil"/>
              <w:bottom w:val="nil"/>
              <w:right w:val="nil"/>
            </w:tcBorders>
            <w:shd w:val="clear" w:color="auto" w:fill="auto"/>
            <w:noWrap/>
            <w:vAlign w:val="bottom"/>
            <w:hideMark/>
          </w:tcPr>
          <w:p w14:paraId="48E78C52"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0.260</w:t>
            </w:r>
          </w:p>
        </w:tc>
        <w:tc>
          <w:tcPr>
            <w:tcW w:w="900" w:type="dxa"/>
            <w:tcBorders>
              <w:top w:val="nil"/>
              <w:left w:val="nil"/>
              <w:bottom w:val="nil"/>
              <w:right w:val="nil"/>
            </w:tcBorders>
            <w:shd w:val="clear" w:color="auto" w:fill="auto"/>
            <w:noWrap/>
            <w:vAlign w:val="bottom"/>
            <w:hideMark/>
          </w:tcPr>
          <w:p w14:paraId="75FEFCDA"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0.348</w:t>
            </w:r>
          </w:p>
        </w:tc>
      </w:tr>
      <w:tr w:rsidR="006E172D" w:rsidRPr="006E172D" w14:paraId="5AA0DDF7" w14:textId="77777777" w:rsidTr="006E172D">
        <w:trPr>
          <w:trHeight w:val="260"/>
          <w:jc w:val="center"/>
        </w:trPr>
        <w:tc>
          <w:tcPr>
            <w:tcW w:w="5100" w:type="dxa"/>
            <w:tcBorders>
              <w:top w:val="nil"/>
              <w:left w:val="nil"/>
              <w:bottom w:val="nil"/>
              <w:right w:val="nil"/>
            </w:tcBorders>
            <w:shd w:val="clear" w:color="auto" w:fill="auto"/>
            <w:noWrap/>
            <w:vAlign w:val="bottom"/>
            <w:hideMark/>
          </w:tcPr>
          <w:p w14:paraId="38B2E0A0"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160195D"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(0.1029)</w:t>
            </w:r>
          </w:p>
        </w:tc>
        <w:tc>
          <w:tcPr>
            <w:tcW w:w="900" w:type="dxa"/>
            <w:tcBorders>
              <w:top w:val="nil"/>
              <w:left w:val="nil"/>
              <w:bottom w:val="nil"/>
              <w:right w:val="nil"/>
            </w:tcBorders>
            <w:shd w:val="clear" w:color="auto" w:fill="auto"/>
            <w:noWrap/>
            <w:vAlign w:val="bottom"/>
            <w:hideMark/>
          </w:tcPr>
          <w:p w14:paraId="1EB9EA51"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(0.1109)</w:t>
            </w:r>
          </w:p>
        </w:tc>
        <w:tc>
          <w:tcPr>
            <w:tcW w:w="900" w:type="dxa"/>
            <w:tcBorders>
              <w:top w:val="nil"/>
              <w:left w:val="nil"/>
              <w:bottom w:val="nil"/>
              <w:right w:val="nil"/>
            </w:tcBorders>
            <w:shd w:val="clear" w:color="auto" w:fill="auto"/>
            <w:noWrap/>
            <w:vAlign w:val="bottom"/>
            <w:hideMark/>
          </w:tcPr>
          <w:p w14:paraId="5D5EDD9F"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(0.1036)</w:t>
            </w:r>
          </w:p>
        </w:tc>
      </w:tr>
      <w:tr w:rsidR="006E172D" w:rsidRPr="006E172D" w14:paraId="7C23995A" w14:textId="77777777" w:rsidTr="006E172D">
        <w:trPr>
          <w:trHeight w:val="260"/>
          <w:jc w:val="center"/>
        </w:trPr>
        <w:tc>
          <w:tcPr>
            <w:tcW w:w="5100" w:type="dxa"/>
            <w:tcBorders>
              <w:top w:val="nil"/>
              <w:left w:val="nil"/>
              <w:bottom w:val="nil"/>
              <w:right w:val="nil"/>
            </w:tcBorders>
            <w:shd w:val="clear" w:color="auto" w:fill="auto"/>
            <w:noWrap/>
            <w:vAlign w:val="bottom"/>
            <w:hideMark/>
          </w:tcPr>
          <w:p w14:paraId="68703088" w14:textId="77777777" w:rsidR="006E172D" w:rsidRPr="006E172D" w:rsidRDefault="006E172D" w:rsidP="006E172D">
            <w:pPr>
              <w:spacing w:after="0" w:line="240" w:lineRule="auto"/>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 Dispensary License Applicants in 10 Mins</w:t>
            </w:r>
          </w:p>
        </w:tc>
        <w:tc>
          <w:tcPr>
            <w:tcW w:w="900" w:type="dxa"/>
            <w:tcBorders>
              <w:top w:val="nil"/>
              <w:left w:val="nil"/>
              <w:bottom w:val="nil"/>
              <w:right w:val="nil"/>
            </w:tcBorders>
            <w:shd w:val="clear" w:color="auto" w:fill="auto"/>
            <w:noWrap/>
            <w:vAlign w:val="bottom"/>
            <w:hideMark/>
          </w:tcPr>
          <w:p w14:paraId="3302CF83" w14:textId="77777777" w:rsidR="006E172D" w:rsidRPr="006E172D" w:rsidRDefault="006E172D" w:rsidP="006E172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DDFA2F8"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577BB76B"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p>
        </w:tc>
      </w:tr>
      <w:tr w:rsidR="006E172D" w:rsidRPr="006E172D" w14:paraId="22610242" w14:textId="77777777" w:rsidTr="006E172D">
        <w:trPr>
          <w:trHeight w:val="260"/>
          <w:jc w:val="center"/>
        </w:trPr>
        <w:tc>
          <w:tcPr>
            <w:tcW w:w="5100" w:type="dxa"/>
            <w:tcBorders>
              <w:top w:val="nil"/>
              <w:left w:val="nil"/>
              <w:bottom w:val="nil"/>
              <w:right w:val="nil"/>
            </w:tcBorders>
            <w:shd w:val="clear" w:color="auto" w:fill="auto"/>
            <w:noWrap/>
            <w:vAlign w:val="center"/>
            <w:hideMark/>
          </w:tcPr>
          <w:p w14:paraId="7CBF1531" w14:textId="77777777" w:rsidR="006E172D" w:rsidRPr="006E172D" w:rsidRDefault="006E172D" w:rsidP="006E172D">
            <w:pPr>
              <w:spacing w:after="0" w:line="240" w:lineRule="auto"/>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School Locale Indicators, Student Characteristics, Year FEs</w:t>
            </w:r>
          </w:p>
        </w:tc>
        <w:tc>
          <w:tcPr>
            <w:tcW w:w="900" w:type="dxa"/>
            <w:tcBorders>
              <w:top w:val="nil"/>
              <w:left w:val="nil"/>
              <w:bottom w:val="nil"/>
              <w:right w:val="nil"/>
            </w:tcBorders>
            <w:shd w:val="clear" w:color="auto" w:fill="auto"/>
            <w:noWrap/>
            <w:vAlign w:val="bottom"/>
            <w:hideMark/>
          </w:tcPr>
          <w:p w14:paraId="499CF09C" w14:textId="77777777" w:rsidR="006E172D" w:rsidRPr="006E172D" w:rsidRDefault="006E172D" w:rsidP="006E172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4C77B99" w14:textId="77777777" w:rsidR="006E172D" w:rsidRPr="006E172D" w:rsidRDefault="006E172D" w:rsidP="006E172D">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13DD57C7"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X</w:t>
            </w:r>
          </w:p>
        </w:tc>
      </w:tr>
      <w:tr w:rsidR="006E172D" w:rsidRPr="006E172D" w14:paraId="2AD69C4A" w14:textId="77777777" w:rsidTr="006E172D">
        <w:trPr>
          <w:trHeight w:val="260"/>
          <w:jc w:val="center"/>
        </w:trPr>
        <w:tc>
          <w:tcPr>
            <w:tcW w:w="5100" w:type="dxa"/>
            <w:tcBorders>
              <w:top w:val="nil"/>
              <w:left w:val="nil"/>
              <w:bottom w:val="nil"/>
              <w:right w:val="nil"/>
            </w:tcBorders>
            <w:shd w:val="clear" w:color="auto" w:fill="auto"/>
            <w:noWrap/>
            <w:vAlign w:val="bottom"/>
            <w:hideMark/>
          </w:tcPr>
          <w:p w14:paraId="7EA059B1"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689DD296" w14:textId="77777777" w:rsidR="006E172D" w:rsidRPr="006E172D" w:rsidRDefault="006E172D" w:rsidP="006E172D">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9A4A4EE" w14:textId="77777777" w:rsidR="006E172D" w:rsidRPr="006E172D" w:rsidRDefault="006E172D" w:rsidP="006E172D">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C57E92C" w14:textId="77777777" w:rsidR="006E172D" w:rsidRPr="006E172D" w:rsidRDefault="006E172D" w:rsidP="006E172D">
            <w:pPr>
              <w:spacing w:after="0" w:line="240" w:lineRule="auto"/>
              <w:jc w:val="center"/>
              <w:rPr>
                <w:rFonts w:ascii="Times New Roman" w:eastAsia="Times New Roman" w:hAnsi="Times New Roman" w:cs="Times New Roman"/>
                <w:sz w:val="20"/>
                <w:szCs w:val="20"/>
              </w:rPr>
            </w:pPr>
          </w:p>
        </w:tc>
      </w:tr>
      <w:tr w:rsidR="006E172D" w:rsidRPr="006E172D" w14:paraId="3DB8F753" w14:textId="77777777" w:rsidTr="005526B7">
        <w:trPr>
          <w:trHeight w:val="260"/>
          <w:jc w:val="center"/>
        </w:trPr>
        <w:tc>
          <w:tcPr>
            <w:tcW w:w="5100" w:type="dxa"/>
            <w:tcBorders>
              <w:top w:val="nil"/>
              <w:left w:val="nil"/>
              <w:right w:val="nil"/>
            </w:tcBorders>
            <w:shd w:val="clear" w:color="auto" w:fill="auto"/>
            <w:noWrap/>
            <w:vAlign w:val="bottom"/>
            <w:hideMark/>
          </w:tcPr>
          <w:p w14:paraId="0636965B" w14:textId="77777777" w:rsidR="006E172D" w:rsidRPr="006E172D" w:rsidRDefault="006E172D" w:rsidP="006E172D">
            <w:pPr>
              <w:spacing w:after="0" w:line="240" w:lineRule="auto"/>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First-Stage F-statistic</w:t>
            </w:r>
          </w:p>
        </w:tc>
        <w:tc>
          <w:tcPr>
            <w:tcW w:w="900" w:type="dxa"/>
            <w:tcBorders>
              <w:top w:val="nil"/>
              <w:left w:val="nil"/>
              <w:right w:val="nil"/>
            </w:tcBorders>
            <w:shd w:val="clear" w:color="auto" w:fill="auto"/>
            <w:noWrap/>
            <w:vAlign w:val="bottom"/>
            <w:hideMark/>
          </w:tcPr>
          <w:p w14:paraId="7732E1DE"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14.10</w:t>
            </w:r>
          </w:p>
        </w:tc>
        <w:tc>
          <w:tcPr>
            <w:tcW w:w="900" w:type="dxa"/>
            <w:tcBorders>
              <w:top w:val="nil"/>
              <w:left w:val="nil"/>
              <w:right w:val="nil"/>
            </w:tcBorders>
            <w:shd w:val="clear" w:color="auto" w:fill="auto"/>
            <w:noWrap/>
            <w:vAlign w:val="bottom"/>
            <w:hideMark/>
          </w:tcPr>
          <w:p w14:paraId="7610066B"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5.50</w:t>
            </w:r>
          </w:p>
        </w:tc>
        <w:tc>
          <w:tcPr>
            <w:tcW w:w="900" w:type="dxa"/>
            <w:tcBorders>
              <w:top w:val="nil"/>
              <w:left w:val="nil"/>
              <w:right w:val="nil"/>
            </w:tcBorders>
            <w:shd w:val="clear" w:color="auto" w:fill="auto"/>
            <w:noWrap/>
            <w:vAlign w:val="bottom"/>
            <w:hideMark/>
          </w:tcPr>
          <w:p w14:paraId="5FD331FA"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11.28</w:t>
            </w:r>
          </w:p>
        </w:tc>
      </w:tr>
      <w:tr w:rsidR="006E172D" w:rsidRPr="006E172D" w14:paraId="7D55E08E" w14:textId="77777777" w:rsidTr="005526B7">
        <w:trPr>
          <w:trHeight w:val="260"/>
          <w:jc w:val="center"/>
        </w:trPr>
        <w:tc>
          <w:tcPr>
            <w:tcW w:w="5100" w:type="dxa"/>
            <w:tcBorders>
              <w:top w:val="nil"/>
              <w:left w:val="nil"/>
              <w:bottom w:val="single" w:sz="4" w:space="0" w:color="auto"/>
              <w:right w:val="nil"/>
            </w:tcBorders>
            <w:shd w:val="clear" w:color="auto" w:fill="auto"/>
            <w:noWrap/>
            <w:vAlign w:val="bottom"/>
            <w:hideMark/>
          </w:tcPr>
          <w:p w14:paraId="7BF51180" w14:textId="77777777" w:rsidR="006E172D" w:rsidRPr="006E172D" w:rsidRDefault="006E172D" w:rsidP="006E172D">
            <w:pPr>
              <w:spacing w:after="0" w:line="240" w:lineRule="auto"/>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Observations</w:t>
            </w:r>
          </w:p>
        </w:tc>
        <w:tc>
          <w:tcPr>
            <w:tcW w:w="900" w:type="dxa"/>
            <w:tcBorders>
              <w:top w:val="nil"/>
              <w:left w:val="nil"/>
              <w:bottom w:val="single" w:sz="4" w:space="0" w:color="auto"/>
              <w:right w:val="nil"/>
            </w:tcBorders>
            <w:shd w:val="clear" w:color="auto" w:fill="auto"/>
            <w:noWrap/>
            <w:vAlign w:val="bottom"/>
            <w:hideMark/>
          </w:tcPr>
          <w:p w14:paraId="03AD605A"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246</w:t>
            </w:r>
          </w:p>
        </w:tc>
        <w:tc>
          <w:tcPr>
            <w:tcW w:w="900" w:type="dxa"/>
            <w:tcBorders>
              <w:top w:val="nil"/>
              <w:left w:val="nil"/>
              <w:bottom w:val="single" w:sz="4" w:space="0" w:color="auto"/>
              <w:right w:val="nil"/>
            </w:tcBorders>
            <w:shd w:val="clear" w:color="auto" w:fill="auto"/>
            <w:noWrap/>
            <w:vAlign w:val="bottom"/>
            <w:hideMark/>
          </w:tcPr>
          <w:p w14:paraId="2D56121F"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246</w:t>
            </w:r>
          </w:p>
        </w:tc>
        <w:tc>
          <w:tcPr>
            <w:tcW w:w="900" w:type="dxa"/>
            <w:tcBorders>
              <w:top w:val="nil"/>
              <w:left w:val="nil"/>
              <w:bottom w:val="single" w:sz="4" w:space="0" w:color="auto"/>
              <w:right w:val="nil"/>
            </w:tcBorders>
            <w:shd w:val="clear" w:color="auto" w:fill="auto"/>
            <w:noWrap/>
            <w:vAlign w:val="bottom"/>
            <w:hideMark/>
          </w:tcPr>
          <w:p w14:paraId="5A01F64B" w14:textId="77777777" w:rsidR="006E172D" w:rsidRPr="006E172D" w:rsidRDefault="006E172D" w:rsidP="006E172D">
            <w:pPr>
              <w:spacing w:after="0" w:line="240" w:lineRule="auto"/>
              <w:jc w:val="center"/>
              <w:rPr>
                <w:rFonts w:ascii="Times New Roman" w:eastAsia="Times New Roman" w:hAnsi="Times New Roman" w:cs="Times New Roman"/>
                <w:color w:val="000000"/>
                <w:sz w:val="20"/>
                <w:szCs w:val="20"/>
              </w:rPr>
            </w:pPr>
            <w:r w:rsidRPr="006E172D">
              <w:rPr>
                <w:rFonts w:ascii="Times New Roman" w:eastAsia="Times New Roman" w:hAnsi="Times New Roman" w:cs="Times New Roman"/>
                <w:color w:val="000000"/>
                <w:sz w:val="20"/>
                <w:szCs w:val="20"/>
              </w:rPr>
              <w:t>246</w:t>
            </w:r>
          </w:p>
        </w:tc>
      </w:tr>
      <w:tr w:rsidR="001A0BBA" w:rsidRPr="006E172D" w14:paraId="78C4F863" w14:textId="77777777" w:rsidTr="005526B7">
        <w:trPr>
          <w:trHeight w:val="260"/>
          <w:jc w:val="center"/>
        </w:trPr>
        <w:tc>
          <w:tcPr>
            <w:tcW w:w="7800" w:type="dxa"/>
            <w:gridSpan w:val="4"/>
            <w:tcBorders>
              <w:top w:val="single" w:sz="4" w:space="0" w:color="auto"/>
              <w:left w:val="nil"/>
              <w:right w:val="nil"/>
            </w:tcBorders>
            <w:shd w:val="clear" w:color="auto" w:fill="auto"/>
            <w:noWrap/>
            <w:vAlign w:val="bottom"/>
          </w:tcPr>
          <w:p w14:paraId="11294EE9" w14:textId="0D584B3E" w:rsidR="001A0BBA" w:rsidRPr="006E172D" w:rsidRDefault="001A0BBA" w:rsidP="001A0BBA">
            <w:pPr>
              <w:spacing w:after="0" w:line="240" w:lineRule="auto"/>
              <w:jc w:val="both"/>
              <w:rPr>
                <w:rFonts w:ascii="Times New Roman" w:eastAsia="Times New Roman" w:hAnsi="Times New Roman" w:cs="Times New Roman"/>
                <w:color w:val="000000"/>
                <w:sz w:val="20"/>
                <w:szCs w:val="20"/>
              </w:rPr>
            </w:pPr>
            <w:r w:rsidRPr="00E674E0">
              <w:rPr>
                <w:rFonts w:ascii="Times New Roman" w:eastAsia="Times New Roman" w:hAnsi="Times New Roman" w:cs="Times New Roman"/>
                <w:i/>
                <w:iCs/>
                <w:sz w:val="20"/>
                <w:szCs w:val="20"/>
              </w:rPr>
              <w:t xml:space="preserve">Notes: </w:t>
            </w:r>
            <w:r w:rsidRPr="00E674E0">
              <w:rPr>
                <w:rFonts w:ascii="Times New Roman" w:eastAsia="Times New Roman" w:hAnsi="Times New Roman" w:cs="Times New Roman"/>
                <w:sz w:val="20"/>
                <w:szCs w:val="20"/>
              </w:rPr>
              <w:t>This table reports marginal effects from the estimation of the first stage of the IV estimation of equation (</w:t>
            </w:r>
            <w:r w:rsidR="00257730">
              <w:rPr>
                <w:rFonts w:ascii="Times New Roman" w:eastAsia="Times New Roman" w:hAnsi="Times New Roman" w:cs="Times New Roman"/>
                <w:sz w:val="20"/>
                <w:szCs w:val="20"/>
              </w:rPr>
              <w:t>4</w:t>
            </w:r>
            <w:r w:rsidRPr="00E674E0">
              <w:rPr>
                <w:rFonts w:ascii="Times New Roman" w:eastAsia="Times New Roman" w:hAnsi="Times New Roman" w:cs="Times New Roman"/>
                <w:sz w:val="20"/>
                <w:szCs w:val="20"/>
              </w:rPr>
              <w:t>). Each column represents a regression of 10MinsOpen on 10MinsLottery and covariates for the sample of schools used in the dropout rate regressions for</w:t>
            </w:r>
            <w:r w:rsidR="000D20CA">
              <w:rPr>
                <w:rFonts w:ascii="Times New Roman" w:eastAsia="Times New Roman" w:hAnsi="Times New Roman" w:cs="Times New Roman"/>
                <w:sz w:val="20"/>
                <w:szCs w:val="20"/>
              </w:rPr>
              <w:t xml:space="preserve"> </w:t>
            </w:r>
            <w:r w:rsidRPr="00E674E0">
              <w:rPr>
                <w:rFonts w:ascii="Times New Roman" w:eastAsia="Times New Roman" w:hAnsi="Times New Roman" w:cs="Times New Roman"/>
                <w:sz w:val="20"/>
                <w:szCs w:val="20"/>
              </w:rPr>
              <w:t>11</w:t>
            </w:r>
            <w:r w:rsidRPr="00E674E0">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grade</w:t>
            </w:r>
            <w:r w:rsidR="000D20CA">
              <w:rPr>
                <w:rFonts w:ascii="Times New Roman" w:eastAsia="Times New Roman" w:hAnsi="Times New Roman" w:cs="Times New Roman"/>
                <w:sz w:val="20"/>
                <w:szCs w:val="20"/>
              </w:rPr>
              <w:t>rs</w:t>
            </w:r>
            <w:r w:rsidRPr="00E674E0">
              <w:rPr>
                <w:rFonts w:ascii="Times New Roman" w:eastAsia="Times New Roman" w:hAnsi="Times New Roman" w:cs="Times New Roman"/>
                <w:sz w:val="20"/>
                <w:szCs w:val="20"/>
              </w:rPr>
              <w:t xml:space="preserve">. Linear probability models are used for estimation. All specifications include the 2014-15 and 2015-16 school years. School controls include the proportions of free-or-reduced-price lunch, Black, Hispanic, and Asian students, and indicators for whether the school is in a city, town, or suburb. The omitted locale is rural. Standard errors clustered by school are in parentheses. </w:t>
            </w:r>
            <w:proofErr w:type="spellStart"/>
            <w:r w:rsidRPr="00E674E0">
              <w:rPr>
                <w:rFonts w:ascii="Times New Roman" w:eastAsia="Times New Roman" w:hAnsi="Times New Roman" w:cs="Times New Roman"/>
                <w:sz w:val="20"/>
                <w:szCs w:val="20"/>
              </w:rPr>
              <w:t>Kleibergen-Paap</w:t>
            </w:r>
            <w:proofErr w:type="spellEnd"/>
            <w:r w:rsidRPr="00E674E0">
              <w:rPr>
                <w:rFonts w:ascii="Times New Roman" w:eastAsia="Times New Roman" w:hAnsi="Times New Roman" w:cs="Times New Roman"/>
                <w:sz w:val="20"/>
                <w:szCs w:val="20"/>
              </w:rPr>
              <w:t xml:space="preserve"> F-statistics from a test for weak instruments are also reported.</w:t>
            </w:r>
          </w:p>
        </w:tc>
      </w:tr>
    </w:tbl>
    <w:p w14:paraId="6EC9B7B4" w14:textId="1065165E" w:rsidR="001A0BBA" w:rsidRDefault="001A0BBA" w:rsidP="00D750E1">
      <w:pPr>
        <w:rPr>
          <w:rFonts w:ascii="Times New Roman" w:hAnsi="Times New Roman" w:cs="Times New Roman"/>
          <w:b/>
          <w:bCs/>
          <w:sz w:val="32"/>
          <w:szCs w:val="32"/>
        </w:rPr>
        <w:sectPr w:rsidR="001A0BBA" w:rsidSect="006E172D">
          <w:headerReference w:type="default" r:id="rId37"/>
          <w:pgSz w:w="12240" w:h="15840"/>
          <w:pgMar w:top="1440" w:right="1440" w:bottom="1440" w:left="1440" w:header="720" w:footer="720" w:gutter="0"/>
          <w:cols w:space="720"/>
          <w:docGrid w:linePitch="360"/>
        </w:sectPr>
      </w:pPr>
    </w:p>
    <w:tbl>
      <w:tblPr>
        <w:tblW w:w="12820" w:type="dxa"/>
        <w:jc w:val="center"/>
        <w:tblLook w:val="04A0" w:firstRow="1" w:lastRow="0" w:firstColumn="1" w:lastColumn="0" w:noHBand="0" w:noVBand="1"/>
      </w:tblPr>
      <w:tblGrid>
        <w:gridCol w:w="4200"/>
        <w:gridCol w:w="960"/>
        <w:gridCol w:w="960"/>
        <w:gridCol w:w="320"/>
        <w:gridCol w:w="960"/>
        <w:gridCol w:w="960"/>
        <w:gridCol w:w="300"/>
        <w:gridCol w:w="960"/>
        <w:gridCol w:w="960"/>
        <w:gridCol w:w="320"/>
        <w:gridCol w:w="960"/>
        <w:gridCol w:w="960"/>
      </w:tblGrid>
      <w:tr w:rsidR="00A976FE" w:rsidRPr="00A976FE" w14:paraId="1B1D4C9C" w14:textId="77777777" w:rsidTr="00F11AB7">
        <w:trPr>
          <w:trHeight w:val="300"/>
          <w:jc w:val="center"/>
        </w:trPr>
        <w:tc>
          <w:tcPr>
            <w:tcW w:w="12820" w:type="dxa"/>
            <w:gridSpan w:val="12"/>
            <w:tcBorders>
              <w:top w:val="nil"/>
              <w:left w:val="nil"/>
              <w:bottom w:val="double" w:sz="6" w:space="0" w:color="auto"/>
              <w:right w:val="nil"/>
            </w:tcBorders>
            <w:shd w:val="clear" w:color="auto" w:fill="auto"/>
            <w:noWrap/>
            <w:vAlign w:val="bottom"/>
            <w:hideMark/>
          </w:tcPr>
          <w:p w14:paraId="04E86A92" w14:textId="160A1CD5" w:rsidR="00A976FE" w:rsidRDefault="00A976FE" w:rsidP="00A976FE">
            <w:pPr>
              <w:spacing w:after="0" w:line="240" w:lineRule="auto"/>
              <w:jc w:val="center"/>
              <w:rPr>
                <w:rFonts w:ascii="Times New Roman" w:eastAsia="Times New Roman" w:hAnsi="Times New Roman" w:cs="Times New Roman"/>
                <w:color w:val="000000"/>
                <w:sz w:val="24"/>
                <w:szCs w:val="24"/>
              </w:rPr>
            </w:pPr>
            <w:r w:rsidRPr="003F7BF8">
              <w:rPr>
                <w:rFonts w:ascii="Times New Roman" w:eastAsia="Times New Roman" w:hAnsi="Times New Roman" w:cs="Times New Roman"/>
                <w:color w:val="000000"/>
                <w:sz w:val="24"/>
                <w:szCs w:val="24"/>
              </w:rPr>
              <w:lastRenderedPageBreak/>
              <w:t xml:space="preserve">Table </w:t>
            </w:r>
            <w:r w:rsidR="00CB76AD">
              <w:rPr>
                <w:rFonts w:ascii="Times New Roman" w:eastAsia="Times New Roman" w:hAnsi="Times New Roman" w:cs="Times New Roman"/>
                <w:color w:val="000000"/>
                <w:sz w:val="24"/>
                <w:szCs w:val="24"/>
              </w:rPr>
              <w:t>7</w:t>
            </w:r>
            <w:r w:rsidRPr="003F7BF8">
              <w:rPr>
                <w:rFonts w:ascii="Times New Roman" w:eastAsia="Times New Roman" w:hAnsi="Times New Roman" w:cs="Times New Roman"/>
                <w:color w:val="000000"/>
                <w:sz w:val="24"/>
                <w:szCs w:val="24"/>
              </w:rPr>
              <w:t>: Ordinary Least Squares</w:t>
            </w:r>
            <w:r>
              <w:rPr>
                <w:rFonts w:ascii="Times New Roman" w:eastAsia="Times New Roman" w:hAnsi="Times New Roman" w:cs="Times New Roman"/>
                <w:color w:val="000000"/>
                <w:sz w:val="24"/>
                <w:szCs w:val="24"/>
              </w:rPr>
              <w:t xml:space="preserve"> and</w:t>
            </w:r>
            <w:r w:rsidRPr="003F7BF8">
              <w:rPr>
                <w:rFonts w:ascii="Times New Roman" w:eastAsia="Times New Roman" w:hAnsi="Times New Roman" w:cs="Times New Roman"/>
                <w:color w:val="000000"/>
                <w:sz w:val="24"/>
                <w:szCs w:val="24"/>
              </w:rPr>
              <w:t xml:space="preserve"> Instrumental Variable</w:t>
            </w:r>
            <w:r>
              <w:rPr>
                <w:rFonts w:ascii="Times New Roman" w:eastAsia="Times New Roman" w:hAnsi="Times New Roman" w:cs="Times New Roman"/>
                <w:color w:val="000000"/>
                <w:sz w:val="24"/>
                <w:szCs w:val="24"/>
              </w:rPr>
              <w:t xml:space="preserve"> </w:t>
            </w:r>
            <w:r w:rsidRPr="003F7BF8">
              <w:rPr>
                <w:rFonts w:ascii="Times New Roman" w:eastAsia="Times New Roman" w:hAnsi="Times New Roman" w:cs="Times New Roman"/>
                <w:color w:val="000000"/>
                <w:sz w:val="24"/>
                <w:szCs w:val="24"/>
              </w:rPr>
              <w:t>Estimates of the Effects of Recreational Marijuana Dispensaries on Dropout Rates</w:t>
            </w:r>
          </w:p>
          <w:p w14:paraId="071CB50A" w14:textId="77777777" w:rsidR="00DF0C4A" w:rsidRDefault="00DF0C4A" w:rsidP="00A976FE">
            <w:pPr>
              <w:spacing w:after="0" w:line="240" w:lineRule="auto"/>
              <w:jc w:val="center"/>
              <w:rPr>
                <w:rFonts w:ascii="Times New Roman" w:eastAsia="Times New Roman" w:hAnsi="Times New Roman" w:cs="Times New Roman"/>
                <w:color w:val="000000"/>
                <w:sz w:val="24"/>
                <w:szCs w:val="24"/>
              </w:rPr>
            </w:pPr>
          </w:p>
          <w:p w14:paraId="5E1307C1" w14:textId="2DFE03E6" w:rsidR="00A976FE" w:rsidRPr="00A976FE" w:rsidRDefault="00A976FE" w:rsidP="00A976FE">
            <w:pPr>
              <w:spacing w:after="0" w:line="240" w:lineRule="auto"/>
              <w:jc w:val="center"/>
              <w:rPr>
                <w:rFonts w:ascii="Calibri" w:eastAsia="Times New Roman" w:hAnsi="Calibri" w:cs="Calibri"/>
                <w:color w:val="000000"/>
              </w:rPr>
            </w:pPr>
          </w:p>
        </w:tc>
      </w:tr>
      <w:tr w:rsidR="00A976FE" w:rsidRPr="00A976FE" w14:paraId="11A5AE11" w14:textId="77777777" w:rsidTr="00A976FE">
        <w:trPr>
          <w:trHeight w:val="300"/>
          <w:jc w:val="center"/>
        </w:trPr>
        <w:tc>
          <w:tcPr>
            <w:tcW w:w="4200" w:type="dxa"/>
            <w:tcBorders>
              <w:top w:val="nil"/>
              <w:left w:val="nil"/>
              <w:bottom w:val="nil"/>
              <w:right w:val="nil"/>
            </w:tcBorders>
            <w:shd w:val="clear" w:color="auto" w:fill="auto"/>
            <w:noWrap/>
            <w:vAlign w:val="bottom"/>
            <w:hideMark/>
          </w:tcPr>
          <w:p w14:paraId="4E10B9D0" w14:textId="77777777" w:rsidR="00A976FE" w:rsidRPr="00A976FE" w:rsidRDefault="00A976FE" w:rsidP="00A976FE">
            <w:pPr>
              <w:spacing w:after="0" w:line="240" w:lineRule="auto"/>
              <w:rPr>
                <w:rFonts w:ascii="Calibri" w:eastAsia="Times New Roman" w:hAnsi="Calibri" w:cs="Calibri"/>
                <w:color w:val="000000"/>
              </w:rPr>
            </w:pPr>
          </w:p>
        </w:tc>
        <w:tc>
          <w:tcPr>
            <w:tcW w:w="4160" w:type="dxa"/>
            <w:gridSpan w:val="5"/>
            <w:tcBorders>
              <w:top w:val="nil"/>
              <w:left w:val="nil"/>
              <w:bottom w:val="single" w:sz="4" w:space="0" w:color="auto"/>
              <w:right w:val="nil"/>
            </w:tcBorders>
            <w:shd w:val="clear" w:color="auto" w:fill="auto"/>
            <w:noWrap/>
            <w:vAlign w:val="bottom"/>
            <w:hideMark/>
          </w:tcPr>
          <w:p w14:paraId="72B542CA"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11th Grade</w:t>
            </w:r>
          </w:p>
        </w:tc>
        <w:tc>
          <w:tcPr>
            <w:tcW w:w="300" w:type="dxa"/>
            <w:tcBorders>
              <w:top w:val="nil"/>
              <w:left w:val="nil"/>
              <w:bottom w:val="nil"/>
              <w:right w:val="nil"/>
            </w:tcBorders>
            <w:shd w:val="clear" w:color="auto" w:fill="auto"/>
            <w:noWrap/>
            <w:vAlign w:val="bottom"/>
            <w:hideMark/>
          </w:tcPr>
          <w:p w14:paraId="2ED0449B"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4160" w:type="dxa"/>
            <w:gridSpan w:val="5"/>
            <w:tcBorders>
              <w:top w:val="double" w:sz="6" w:space="0" w:color="auto"/>
              <w:left w:val="nil"/>
              <w:bottom w:val="single" w:sz="4" w:space="0" w:color="auto"/>
              <w:right w:val="nil"/>
            </w:tcBorders>
            <w:shd w:val="clear" w:color="auto" w:fill="auto"/>
            <w:noWrap/>
            <w:vAlign w:val="bottom"/>
            <w:hideMark/>
          </w:tcPr>
          <w:p w14:paraId="06E4C6A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12th Grade</w:t>
            </w:r>
          </w:p>
        </w:tc>
      </w:tr>
      <w:tr w:rsidR="00A976FE" w:rsidRPr="00A976FE" w14:paraId="58442F09" w14:textId="77777777" w:rsidTr="00A976FE">
        <w:trPr>
          <w:trHeight w:val="300"/>
          <w:jc w:val="center"/>
        </w:trPr>
        <w:tc>
          <w:tcPr>
            <w:tcW w:w="4200" w:type="dxa"/>
            <w:tcBorders>
              <w:top w:val="nil"/>
              <w:left w:val="nil"/>
              <w:bottom w:val="nil"/>
              <w:right w:val="nil"/>
            </w:tcBorders>
            <w:shd w:val="clear" w:color="auto" w:fill="auto"/>
            <w:noWrap/>
            <w:vAlign w:val="bottom"/>
            <w:hideMark/>
          </w:tcPr>
          <w:p w14:paraId="1C137AE6"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325E904A"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Female</w:t>
            </w:r>
          </w:p>
        </w:tc>
        <w:tc>
          <w:tcPr>
            <w:tcW w:w="320" w:type="dxa"/>
            <w:tcBorders>
              <w:top w:val="nil"/>
              <w:left w:val="nil"/>
              <w:bottom w:val="nil"/>
              <w:right w:val="nil"/>
            </w:tcBorders>
            <w:shd w:val="clear" w:color="auto" w:fill="auto"/>
            <w:noWrap/>
            <w:vAlign w:val="bottom"/>
            <w:hideMark/>
          </w:tcPr>
          <w:p w14:paraId="70D22C5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49FBEE0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Male</w:t>
            </w:r>
          </w:p>
        </w:tc>
        <w:tc>
          <w:tcPr>
            <w:tcW w:w="300" w:type="dxa"/>
            <w:tcBorders>
              <w:top w:val="nil"/>
              <w:left w:val="nil"/>
              <w:bottom w:val="nil"/>
              <w:right w:val="nil"/>
            </w:tcBorders>
            <w:shd w:val="clear" w:color="auto" w:fill="auto"/>
            <w:noWrap/>
            <w:vAlign w:val="bottom"/>
            <w:hideMark/>
          </w:tcPr>
          <w:p w14:paraId="60E8710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50448FCD"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Female</w:t>
            </w:r>
          </w:p>
        </w:tc>
        <w:tc>
          <w:tcPr>
            <w:tcW w:w="320" w:type="dxa"/>
            <w:tcBorders>
              <w:top w:val="nil"/>
              <w:left w:val="nil"/>
              <w:bottom w:val="nil"/>
              <w:right w:val="nil"/>
            </w:tcBorders>
            <w:shd w:val="clear" w:color="auto" w:fill="auto"/>
            <w:noWrap/>
            <w:vAlign w:val="bottom"/>
            <w:hideMark/>
          </w:tcPr>
          <w:p w14:paraId="714D942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48394621"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Male</w:t>
            </w:r>
          </w:p>
        </w:tc>
      </w:tr>
      <w:tr w:rsidR="00A976FE" w:rsidRPr="00A976FE" w14:paraId="763FC799" w14:textId="77777777" w:rsidTr="00A976FE">
        <w:trPr>
          <w:trHeight w:val="300"/>
          <w:jc w:val="center"/>
        </w:trPr>
        <w:tc>
          <w:tcPr>
            <w:tcW w:w="4200" w:type="dxa"/>
            <w:tcBorders>
              <w:top w:val="nil"/>
              <w:left w:val="nil"/>
              <w:bottom w:val="nil"/>
              <w:right w:val="nil"/>
            </w:tcBorders>
            <w:shd w:val="clear" w:color="auto" w:fill="auto"/>
            <w:noWrap/>
            <w:vAlign w:val="bottom"/>
            <w:hideMark/>
          </w:tcPr>
          <w:p w14:paraId="4ACD5E4F"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3A7E812"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r w:rsidRPr="00A976FE">
              <w:rPr>
                <w:rFonts w:ascii="Times New Roman" w:eastAsia="Times New Roman" w:hAnsi="Times New Roman" w:cs="Times New Roman"/>
                <w:color w:val="000000"/>
                <w:sz w:val="20"/>
                <w:szCs w:val="20"/>
                <w:u w:val="single"/>
              </w:rPr>
              <w:t>OLS</w:t>
            </w:r>
          </w:p>
        </w:tc>
        <w:tc>
          <w:tcPr>
            <w:tcW w:w="960" w:type="dxa"/>
            <w:tcBorders>
              <w:top w:val="nil"/>
              <w:left w:val="nil"/>
              <w:bottom w:val="nil"/>
              <w:right w:val="nil"/>
            </w:tcBorders>
            <w:shd w:val="clear" w:color="auto" w:fill="auto"/>
            <w:noWrap/>
            <w:vAlign w:val="bottom"/>
            <w:hideMark/>
          </w:tcPr>
          <w:p w14:paraId="1B7EDF8C"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r w:rsidRPr="00A976FE">
              <w:rPr>
                <w:rFonts w:ascii="Times New Roman" w:eastAsia="Times New Roman" w:hAnsi="Times New Roman" w:cs="Times New Roman"/>
                <w:color w:val="000000"/>
                <w:sz w:val="20"/>
                <w:szCs w:val="20"/>
                <w:u w:val="single"/>
              </w:rPr>
              <w:t>IV</w:t>
            </w:r>
          </w:p>
        </w:tc>
        <w:tc>
          <w:tcPr>
            <w:tcW w:w="320" w:type="dxa"/>
            <w:tcBorders>
              <w:top w:val="nil"/>
              <w:left w:val="nil"/>
              <w:bottom w:val="nil"/>
              <w:right w:val="nil"/>
            </w:tcBorders>
            <w:shd w:val="clear" w:color="auto" w:fill="auto"/>
            <w:noWrap/>
            <w:vAlign w:val="bottom"/>
            <w:hideMark/>
          </w:tcPr>
          <w:p w14:paraId="6D52ABA3"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p>
        </w:tc>
        <w:tc>
          <w:tcPr>
            <w:tcW w:w="960" w:type="dxa"/>
            <w:tcBorders>
              <w:top w:val="nil"/>
              <w:left w:val="nil"/>
              <w:bottom w:val="nil"/>
              <w:right w:val="nil"/>
            </w:tcBorders>
            <w:shd w:val="clear" w:color="auto" w:fill="auto"/>
            <w:noWrap/>
            <w:vAlign w:val="bottom"/>
            <w:hideMark/>
          </w:tcPr>
          <w:p w14:paraId="178F8BBF"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r w:rsidRPr="00A976FE">
              <w:rPr>
                <w:rFonts w:ascii="Times New Roman" w:eastAsia="Times New Roman" w:hAnsi="Times New Roman" w:cs="Times New Roman"/>
                <w:color w:val="000000"/>
                <w:sz w:val="20"/>
                <w:szCs w:val="20"/>
                <w:u w:val="single"/>
              </w:rPr>
              <w:t>OLS</w:t>
            </w:r>
          </w:p>
        </w:tc>
        <w:tc>
          <w:tcPr>
            <w:tcW w:w="960" w:type="dxa"/>
            <w:tcBorders>
              <w:top w:val="nil"/>
              <w:left w:val="nil"/>
              <w:bottom w:val="nil"/>
              <w:right w:val="nil"/>
            </w:tcBorders>
            <w:shd w:val="clear" w:color="auto" w:fill="auto"/>
            <w:noWrap/>
            <w:vAlign w:val="bottom"/>
            <w:hideMark/>
          </w:tcPr>
          <w:p w14:paraId="78F0D7DB"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r w:rsidRPr="00A976FE">
              <w:rPr>
                <w:rFonts w:ascii="Times New Roman" w:eastAsia="Times New Roman" w:hAnsi="Times New Roman" w:cs="Times New Roman"/>
                <w:color w:val="000000"/>
                <w:sz w:val="20"/>
                <w:szCs w:val="20"/>
                <w:u w:val="single"/>
              </w:rPr>
              <w:t>IV</w:t>
            </w:r>
          </w:p>
        </w:tc>
        <w:tc>
          <w:tcPr>
            <w:tcW w:w="300" w:type="dxa"/>
            <w:tcBorders>
              <w:top w:val="nil"/>
              <w:left w:val="nil"/>
              <w:bottom w:val="nil"/>
              <w:right w:val="nil"/>
            </w:tcBorders>
            <w:shd w:val="clear" w:color="auto" w:fill="auto"/>
            <w:noWrap/>
            <w:vAlign w:val="bottom"/>
            <w:hideMark/>
          </w:tcPr>
          <w:p w14:paraId="4A95D29C"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p>
        </w:tc>
        <w:tc>
          <w:tcPr>
            <w:tcW w:w="960" w:type="dxa"/>
            <w:tcBorders>
              <w:top w:val="nil"/>
              <w:left w:val="nil"/>
              <w:bottom w:val="nil"/>
              <w:right w:val="nil"/>
            </w:tcBorders>
            <w:shd w:val="clear" w:color="auto" w:fill="auto"/>
            <w:noWrap/>
            <w:vAlign w:val="bottom"/>
            <w:hideMark/>
          </w:tcPr>
          <w:p w14:paraId="70BD93CB"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r w:rsidRPr="00A976FE">
              <w:rPr>
                <w:rFonts w:ascii="Times New Roman" w:eastAsia="Times New Roman" w:hAnsi="Times New Roman" w:cs="Times New Roman"/>
                <w:color w:val="000000"/>
                <w:sz w:val="20"/>
                <w:szCs w:val="20"/>
                <w:u w:val="single"/>
              </w:rPr>
              <w:t>OLS</w:t>
            </w:r>
          </w:p>
        </w:tc>
        <w:tc>
          <w:tcPr>
            <w:tcW w:w="960" w:type="dxa"/>
            <w:tcBorders>
              <w:top w:val="nil"/>
              <w:left w:val="nil"/>
              <w:bottom w:val="nil"/>
              <w:right w:val="nil"/>
            </w:tcBorders>
            <w:shd w:val="clear" w:color="auto" w:fill="auto"/>
            <w:noWrap/>
            <w:vAlign w:val="bottom"/>
            <w:hideMark/>
          </w:tcPr>
          <w:p w14:paraId="33DBCCE1"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r w:rsidRPr="00A976FE">
              <w:rPr>
                <w:rFonts w:ascii="Times New Roman" w:eastAsia="Times New Roman" w:hAnsi="Times New Roman" w:cs="Times New Roman"/>
                <w:color w:val="000000"/>
                <w:sz w:val="20"/>
                <w:szCs w:val="20"/>
                <w:u w:val="single"/>
              </w:rPr>
              <w:t>IV</w:t>
            </w:r>
          </w:p>
        </w:tc>
        <w:tc>
          <w:tcPr>
            <w:tcW w:w="320" w:type="dxa"/>
            <w:tcBorders>
              <w:top w:val="nil"/>
              <w:left w:val="nil"/>
              <w:bottom w:val="nil"/>
              <w:right w:val="nil"/>
            </w:tcBorders>
            <w:shd w:val="clear" w:color="auto" w:fill="auto"/>
            <w:noWrap/>
            <w:vAlign w:val="bottom"/>
            <w:hideMark/>
          </w:tcPr>
          <w:p w14:paraId="124FB09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p>
        </w:tc>
        <w:tc>
          <w:tcPr>
            <w:tcW w:w="960" w:type="dxa"/>
            <w:tcBorders>
              <w:top w:val="nil"/>
              <w:left w:val="nil"/>
              <w:bottom w:val="nil"/>
              <w:right w:val="nil"/>
            </w:tcBorders>
            <w:shd w:val="clear" w:color="auto" w:fill="auto"/>
            <w:noWrap/>
            <w:vAlign w:val="bottom"/>
            <w:hideMark/>
          </w:tcPr>
          <w:p w14:paraId="1635D34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r w:rsidRPr="00A976FE">
              <w:rPr>
                <w:rFonts w:ascii="Times New Roman" w:eastAsia="Times New Roman" w:hAnsi="Times New Roman" w:cs="Times New Roman"/>
                <w:color w:val="000000"/>
                <w:sz w:val="20"/>
                <w:szCs w:val="20"/>
                <w:u w:val="single"/>
              </w:rPr>
              <w:t>OLS</w:t>
            </w:r>
          </w:p>
        </w:tc>
        <w:tc>
          <w:tcPr>
            <w:tcW w:w="960" w:type="dxa"/>
            <w:tcBorders>
              <w:top w:val="nil"/>
              <w:left w:val="nil"/>
              <w:bottom w:val="nil"/>
              <w:right w:val="nil"/>
            </w:tcBorders>
            <w:shd w:val="clear" w:color="auto" w:fill="auto"/>
            <w:noWrap/>
            <w:vAlign w:val="bottom"/>
            <w:hideMark/>
          </w:tcPr>
          <w:p w14:paraId="29F6A5B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u w:val="single"/>
              </w:rPr>
            </w:pPr>
            <w:r w:rsidRPr="00A976FE">
              <w:rPr>
                <w:rFonts w:ascii="Times New Roman" w:eastAsia="Times New Roman" w:hAnsi="Times New Roman" w:cs="Times New Roman"/>
                <w:color w:val="000000"/>
                <w:sz w:val="20"/>
                <w:szCs w:val="20"/>
                <w:u w:val="single"/>
              </w:rPr>
              <w:t>IV</w:t>
            </w:r>
          </w:p>
        </w:tc>
      </w:tr>
      <w:tr w:rsidR="00A976FE" w:rsidRPr="00A976FE" w14:paraId="4C2ED707" w14:textId="77777777" w:rsidTr="00A976FE">
        <w:trPr>
          <w:trHeight w:val="290"/>
          <w:jc w:val="center"/>
        </w:trPr>
        <w:tc>
          <w:tcPr>
            <w:tcW w:w="4200" w:type="dxa"/>
            <w:tcBorders>
              <w:top w:val="nil"/>
              <w:left w:val="nil"/>
              <w:bottom w:val="single" w:sz="4" w:space="0" w:color="auto"/>
              <w:right w:val="nil"/>
            </w:tcBorders>
            <w:shd w:val="clear" w:color="auto" w:fill="auto"/>
            <w:noWrap/>
            <w:vAlign w:val="bottom"/>
            <w:hideMark/>
          </w:tcPr>
          <w:p w14:paraId="07D9374A"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332ACB5B"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nil"/>
            </w:tcBorders>
            <w:shd w:val="clear" w:color="auto" w:fill="auto"/>
            <w:noWrap/>
            <w:vAlign w:val="bottom"/>
            <w:hideMark/>
          </w:tcPr>
          <w:p w14:paraId="0BC821C0"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(2)</w:t>
            </w:r>
          </w:p>
        </w:tc>
        <w:tc>
          <w:tcPr>
            <w:tcW w:w="320" w:type="dxa"/>
            <w:tcBorders>
              <w:top w:val="nil"/>
              <w:left w:val="nil"/>
              <w:bottom w:val="single" w:sz="4" w:space="0" w:color="auto"/>
              <w:right w:val="nil"/>
            </w:tcBorders>
            <w:shd w:val="clear" w:color="auto" w:fill="auto"/>
            <w:noWrap/>
            <w:vAlign w:val="bottom"/>
            <w:hideMark/>
          </w:tcPr>
          <w:p w14:paraId="17C3855D"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42E0069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nil"/>
            </w:tcBorders>
            <w:shd w:val="clear" w:color="auto" w:fill="auto"/>
            <w:noWrap/>
            <w:vAlign w:val="bottom"/>
            <w:hideMark/>
          </w:tcPr>
          <w:p w14:paraId="276AC05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(4)</w:t>
            </w:r>
          </w:p>
        </w:tc>
        <w:tc>
          <w:tcPr>
            <w:tcW w:w="300" w:type="dxa"/>
            <w:tcBorders>
              <w:top w:val="nil"/>
              <w:left w:val="nil"/>
              <w:bottom w:val="single" w:sz="4" w:space="0" w:color="auto"/>
              <w:right w:val="nil"/>
            </w:tcBorders>
            <w:shd w:val="clear" w:color="auto" w:fill="auto"/>
            <w:noWrap/>
            <w:vAlign w:val="bottom"/>
            <w:hideMark/>
          </w:tcPr>
          <w:p w14:paraId="456123B1" w14:textId="77777777" w:rsidR="00A976FE" w:rsidRPr="00A976FE" w:rsidRDefault="00A976FE" w:rsidP="00A976FE">
            <w:pPr>
              <w:spacing w:after="0" w:line="240" w:lineRule="auto"/>
              <w:rPr>
                <w:rFonts w:ascii="Calibri" w:eastAsia="Times New Roman" w:hAnsi="Calibri" w:cs="Calibri"/>
                <w:color w:val="000000"/>
              </w:rPr>
            </w:pPr>
            <w:r w:rsidRPr="00A976FE">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AA31A96"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nil"/>
            </w:tcBorders>
            <w:shd w:val="clear" w:color="auto" w:fill="auto"/>
            <w:noWrap/>
            <w:vAlign w:val="bottom"/>
            <w:hideMark/>
          </w:tcPr>
          <w:p w14:paraId="1E3FCBC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(6)</w:t>
            </w:r>
          </w:p>
        </w:tc>
        <w:tc>
          <w:tcPr>
            <w:tcW w:w="320" w:type="dxa"/>
            <w:tcBorders>
              <w:top w:val="nil"/>
              <w:left w:val="nil"/>
              <w:bottom w:val="single" w:sz="4" w:space="0" w:color="auto"/>
              <w:right w:val="nil"/>
            </w:tcBorders>
            <w:shd w:val="clear" w:color="auto" w:fill="auto"/>
            <w:noWrap/>
            <w:vAlign w:val="bottom"/>
            <w:hideMark/>
          </w:tcPr>
          <w:p w14:paraId="107A531D"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3FD338A1"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nil"/>
            </w:tcBorders>
            <w:shd w:val="clear" w:color="auto" w:fill="auto"/>
            <w:noWrap/>
            <w:vAlign w:val="bottom"/>
            <w:hideMark/>
          </w:tcPr>
          <w:p w14:paraId="25306210"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(8)</w:t>
            </w:r>
          </w:p>
        </w:tc>
      </w:tr>
      <w:tr w:rsidR="00A976FE" w:rsidRPr="00A976FE" w14:paraId="2CFA5E05" w14:textId="77777777" w:rsidTr="00A976FE">
        <w:trPr>
          <w:trHeight w:val="290"/>
          <w:jc w:val="center"/>
        </w:trPr>
        <w:tc>
          <w:tcPr>
            <w:tcW w:w="4200" w:type="dxa"/>
            <w:tcBorders>
              <w:top w:val="nil"/>
              <w:left w:val="nil"/>
              <w:bottom w:val="nil"/>
              <w:right w:val="nil"/>
            </w:tcBorders>
            <w:shd w:val="clear" w:color="auto" w:fill="auto"/>
            <w:noWrap/>
            <w:vAlign w:val="bottom"/>
            <w:hideMark/>
          </w:tcPr>
          <w:p w14:paraId="3BFC11DE"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 xml:space="preserve">School is within 10 Mins of an Open Dispensary </w:t>
            </w:r>
          </w:p>
        </w:tc>
        <w:tc>
          <w:tcPr>
            <w:tcW w:w="960" w:type="dxa"/>
            <w:tcBorders>
              <w:top w:val="nil"/>
              <w:left w:val="nil"/>
              <w:bottom w:val="nil"/>
              <w:right w:val="nil"/>
            </w:tcBorders>
            <w:shd w:val="clear" w:color="auto" w:fill="auto"/>
            <w:noWrap/>
            <w:vAlign w:val="bottom"/>
            <w:hideMark/>
          </w:tcPr>
          <w:p w14:paraId="504641D2"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3257FCC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0.029</w:t>
            </w:r>
          </w:p>
        </w:tc>
        <w:tc>
          <w:tcPr>
            <w:tcW w:w="320" w:type="dxa"/>
            <w:tcBorders>
              <w:top w:val="nil"/>
              <w:left w:val="nil"/>
              <w:bottom w:val="nil"/>
              <w:right w:val="nil"/>
            </w:tcBorders>
            <w:shd w:val="clear" w:color="auto" w:fill="auto"/>
            <w:noWrap/>
            <w:vAlign w:val="bottom"/>
            <w:hideMark/>
          </w:tcPr>
          <w:p w14:paraId="7488BF1F"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D18F2E3"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012AB43A"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0.033</w:t>
            </w:r>
          </w:p>
        </w:tc>
        <w:tc>
          <w:tcPr>
            <w:tcW w:w="300" w:type="dxa"/>
            <w:tcBorders>
              <w:top w:val="nil"/>
              <w:left w:val="nil"/>
              <w:bottom w:val="nil"/>
              <w:right w:val="nil"/>
            </w:tcBorders>
            <w:shd w:val="clear" w:color="auto" w:fill="auto"/>
            <w:noWrap/>
            <w:vAlign w:val="bottom"/>
            <w:hideMark/>
          </w:tcPr>
          <w:p w14:paraId="5E50CCAA"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CC88D6B"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14E62A40"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0.028</w:t>
            </w:r>
          </w:p>
        </w:tc>
        <w:tc>
          <w:tcPr>
            <w:tcW w:w="320" w:type="dxa"/>
            <w:tcBorders>
              <w:top w:val="nil"/>
              <w:left w:val="nil"/>
              <w:bottom w:val="nil"/>
              <w:right w:val="nil"/>
            </w:tcBorders>
            <w:shd w:val="clear" w:color="auto" w:fill="auto"/>
            <w:noWrap/>
            <w:vAlign w:val="bottom"/>
            <w:hideMark/>
          </w:tcPr>
          <w:p w14:paraId="5CEF8DB3"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D1BEB8F"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0.010</w:t>
            </w:r>
          </w:p>
        </w:tc>
        <w:tc>
          <w:tcPr>
            <w:tcW w:w="960" w:type="dxa"/>
            <w:tcBorders>
              <w:top w:val="nil"/>
              <w:left w:val="nil"/>
              <w:bottom w:val="nil"/>
              <w:right w:val="nil"/>
            </w:tcBorders>
            <w:shd w:val="clear" w:color="auto" w:fill="auto"/>
            <w:noWrap/>
            <w:vAlign w:val="bottom"/>
            <w:hideMark/>
          </w:tcPr>
          <w:p w14:paraId="6328BD7D"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0.058</w:t>
            </w:r>
          </w:p>
        </w:tc>
      </w:tr>
      <w:tr w:rsidR="00A976FE" w:rsidRPr="00A976FE" w14:paraId="1F3931A4" w14:textId="77777777" w:rsidTr="00A976FE">
        <w:trPr>
          <w:trHeight w:val="290"/>
          <w:jc w:val="center"/>
        </w:trPr>
        <w:tc>
          <w:tcPr>
            <w:tcW w:w="4200" w:type="dxa"/>
            <w:tcBorders>
              <w:top w:val="nil"/>
              <w:left w:val="nil"/>
              <w:bottom w:val="nil"/>
              <w:right w:val="nil"/>
            </w:tcBorders>
            <w:shd w:val="clear" w:color="auto" w:fill="auto"/>
            <w:noWrap/>
            <w:vAlign w:val="bottom"/>
            <w:hideMark/>
          </w:tcPr>
          <w:p w14:paraId="1BF5B81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CA40EC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(0.0036)</w:t>
            </w:r>
          </w:p>
        </w:tc>
        <w:tc>
          <w:tcPr>
            <w:tcW w:w="960" w:type="dxa"/>
            <w:tcBorders>
              <w:top w:val="nil"/>
              <w:left w:val="nil"/>
              <w:bottom w:val="nil"/>
              <w:right w:val="nil"/>
            </w:tcBorders>
            <w:shd w:val="clear" w:color="auto" w:fill="auto"/>
            <w:noWrap/>
            <w:vAlign w:val="bottom"/>
            <w:hideMark/>
          </w:tcPr>
          <w:p w14:paraId="7CD748D2"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(0.0133)</w:t>
            </w:r>
          </w:p>
        </w:tc>
        <w:tc>
          <w:tcPr>
            <w:tcW w:w="320" w:type="dxa"/>
            <w:tcBorders>
              <w:top w:val="nil"/>
              <w:left w:val="nil"/>
              <w:bottom w:val="nil"/>
              <w:right w:val="nil"/>
            </w:tcBorders>
            <w:shd w:val="clear" w:color="auto" w:fill="auto"/>
            <w:noWrap/>
            <w:vAlign w:val="bottom"/>
            <w:hideMark/>
          </w:tcPr>
          <w:p w14:paraId="6A119566"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F9D66A9"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(0.0042)</w:t>
            </w:r>
          </w:p>
        </w:tc>
        <w:tc>
          <w:tcPr>
            <w:tcW w:w="960" w:type="dxa"/>
            <w:tcBorders>
              <w:top w:val="nil"/>
              <w:left w:val="nil"/>
              <w:bottom w:val="nil"/>
              <w:right w:val="nil"/>
            </w:tcBorders>
            <w:shd w:val="clear" w:color="auto" w:fill="auto"/>
            <w:noWrap/>
            <w:vAlign w:val="bottom"/>
            <w:hideMark/>
          </w:tcPr>
          <w:p w14:paraId="14783DDC"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(0.0179)</w:t>
            </w:r>
          </w:p>
        </w:tc>
        <w:tc>
          <w:tcPr>
            <w:tcW w:w="300" w:type="dxa"/>
            <w:tcBorders>
              <w:top w:val="nil"/>
              <w:left w:val="nil"/>
              <w:bottom w:val="nil"/>
              <w:right w:val="nil"/>
            </w:tcBorders>
            <w:shd w:val="clear" w:color="auto" w:fill="auto"/>
            <w:noWrap/>
            <w:vAlign w:val="bottom"/>
            <w:hideMark/>
          </w:tcPr>
          <w:p w14:paraId="63E9D9F1"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D5AD529"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(0.0043)</w:t>
            </w:r>
          </w:p>
        </w:tc>
        <w:tc>
          <w:tcPr>
            <w:tcW w:w="960" w:type="dxa"/>
            <w:tcBorders>
              <w:top w:val="nil"/>
              <w:left w:val="nil"/>
              <w:bottom w:val="nil"/>
              <w:right w:val="nil"/>
            </w:tcBorders>
            <w:shd w:val="clear" w:color="auto" w:fill="auto"/>
            <w:noWrap/>
            <w:vAlign w:val="bottom"/>
            <w:hideMark/>
          </w:tcPr>
          <w:p w14:paraId="40B03AD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(0.0201)</w:t>
            </w:r>
          </w:p>
        </w:tc>
        <w:tc>
          <w:tcPr>
            <w:tcW w:w="320" w:type="dxa"/>
            <w:tcBorders>
              <w:top w:val="nil"/>
              <w:left w:val="nil"/>
              <w:bottom w:val="nil"/>
              <w:right w:val="nil"/>
            </w:tcBorders>
            <w:shd w:val="clear" w:color="auto" w:fill="auto"/>
            <w:noWrap/>
            <w:vAlign w:val="bottom"/>
            <w:hideMark/>
          </w:tcPr>
          <w:p w14:paraId="43CF4099"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0EE0148"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(0.0061)</w:t>
            </w:r>
          </w:p>
        </w:tc>
        <w:tc>
          <w:tcPr>
            <w:tcW w:w="960" w:type="dxa"/>
            <w:tcBorders>
              <w:top w:val="nil"/>
              <w:left w:val="nil"/>
              <w:bottom w:val="nil"/>
              <w:right w:val="nil"/>
            </w:tcBorders>
            <w:shd w:val="clear" w:color="auto" w:fill="auto"/>
            <w:noWrap/>
            <w:vAlign w:val="bottom"/>
            <w:hideMark/>
          </w:tcPr>
          <w:p w14:paraId="45B3D683"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(0.0298)</w:t>
            </w:r>
          </w:p>
        </w:tc>
      </w:tr>
      <w:tr w:rsidR="00A976FE" w:rsidRPr="00A976FE" w14:paraId="6E8FA812" w14:textId="77777777" w:rsidTr="00A976FE">
        <w:trPr>
          <w:trHeight w:val="290"/>
          <w:jc w:val="center"/>
        </w:trPr>
        <w:tc>
          <w:tcPr>
            <w:tcW w:w="4200" w:type="dxa"/>
            <w:tcBorders>
              <w:top w:val="nil"/>
              <w:left w:val="nil"/>
              <w:bottom w:val="nil"/>
              <w:right w:val="nil"/>
            </w:tcBorders>
            <w:shd w:val="clear" w:color="auto" w:fill="auto"/>
            <w:noWrap/>
            <w:vAlign w:val="bottom"/>
            <w:hideMark/>
          </w:tcPr>
          <w:p w14:paraId="70321B8B"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D57A1D3"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[0.075]</w:t>
            </w:r>
          </w:p>
        </w:tc>
        <w:tc>
          <w:tcPr>
            <w:tcW w:w="960" w:type="dxa"/>
            <w:tcBorders>
              <w:top w:val="nil"/>
              <w:left w:val="nil"/>
              <w:bottom w:val="nil"/>
              <w:right w:val="nil"/>
            </w:tcBorders>
            <w:shd w:val="clear" w:color="auto" w:fill="auto"/>
            <w:noWrap/>
            <w:vAlign w:val="bottom"/>
            <w:hideMark/>
          </w:tcPr>
          <w:p w14:paraId="35E7FF1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[0.014]</w:t>
            </w:r>
          </w:p>
        </w:tc>
        <w:tc>
          <w:tcPr>
            <w:tcW w:w="320" w:type="dxa"/>
            <w:tcBorders>
              <w:top w:val="nil"/>
              <w:left w:val="nil"/>
              <w:bottom w:val="nil"/>
              <w:right w:val="nil"/>
            </w:tcBorders>
            <w:shd w:val="clear" w:color="auto" w:fill="auto"/>
            <w:noWrap/>
            <w:vAlign w:val="bottom"/>
            <w:hideMark/>
          </w:tcPr>
          <w:p w14:paraId="2031A3E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B6944CF"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[0.106]</w:t>
            </w:r>
          </w:p>
        </w:tc>
        <w:tc>
          <w:tcPr>
            <w:tcW w:w="960" w:type="dxa"/>
            <w:tcBorders>
              <w:top w:val="nil"/>
              <w:left w:val="nil"/>
              <w:bottom w:val="nil"/>
              <w:right w:val="nil"/>
            </w:tcBorders>
            <w:shd w:val="clear" w:color="auto" w:fill="auto"/>
            <w:noWrap/>
            <w:vAlign w:val="bottom"/>
            <w:hideMark/>
          </w:tcPr>
          <w:p w14:paraId="0081910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[0.034]</w:t>
            </w:r>
          </w:p>
        </w:tc>
        <w:tc>
          <w:tcPr>
            <w:tcW w:w="300" w:type="dxa"/>
            <w:tcBorders>
              <w:top w:val="nil"/>
              <w:left w:val="nil"/>
              <w:bottom w:val="nil"/>
              <w:right w:val="nil"/>
            </w:tcBorders>
            <w:shd w:val="clear" w:color="auto" w:fill="auto"/>
            <w:noWrap/>
            <w:vAlign w:val="bottom"/>
            <w:hideMark/>
          </w:tcPr>
          <w:p w14:paraId="05A51BCD"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A2836A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[0.111]</w:t>
            </w:r>
          </w:p>
        </w:tc>
        <w:tc>
          <w:tcPr>
            <w:tcW w:w="960" w:type="dxa"/>
            <w:tcBorders>
              <w:top w:val="nil"/>
              <w:left w:val="nil"/>
              <w:bottom w:val="nil"/>
              <w:right w:val="nil"/>
            </w:tcBorders>
            <w:shd w:val="clear" w:color="auto" w:fill="auto"/>
            <w:noWrap/>
            <w:vAlign w:val="bottom"/>
            <w:hideMark/>
          </w:tcPr>
          <w:p w14:paraId="63C680D1"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[0.080]</w:t>
            </w:r>
          </w:p>
        </w:tc>
        <w:tc>
          <w:tcPr>
            <w:tcW w:w="320" w:type="dxa"/>
            <w:tcBorders>
              <w:top w:val="nil"/>
              <w:left w:val="nil"/>
              <w:bottom w:val="nil"/>
              <w:right w:val="nil"/>
            </w:tcBorders>
            <w:shd w:val="clear" w:color="auto" w:fill="auto"/>
            <w:noWrap/>
            <w:vAlign w:val="bottom"/>
            <w:hideMark/>
          </w:tcPr>
          <w:p w14:paraId="5148B70A"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DA2EC5F"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[0.052]</w:t>
            </w:r>
          </w:p>
        </w:tc>
        <w:tc>
          <w:tcPr>
            <w:tcW w:w="960" w:type="dxa"/>
            <w:tcBorders>
              <w:top w:val="nil"/>
              <w:left w:val="nil"/>
              <w:bottom w:val="nil"/>
              <w:right w:val="nil"/>
            </w:tcBorders>
            <w:shd w:val="clear" w:color="auto" w:fill="auto"/>
            <w:noWrap/>
            <w:vAlign w:val="bottom"/>
            <w:hideMark/>
          </w:tcPr>
          <w:p w14:paraId="1E52EE60"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[0.026]</w:t>
            </w:r>
          </w:p>
        </w:tc>
      </w:tr>
      <w:tr w:rsidR="00A976FE" w:rsidRPr="00A976FE" w14:paraId="060CACFD" w14:textId="77777777" w:rsidTr="00A976FE">
        <w:trPr>
          <w:trHeight w:val="290"/>
          <w:jc w:val="center"/>
        </w:trPr>
        <w:tc>
          <w:tcPr>
            <w:tcW w:w="4200" w:type="dxa"/>
            <w:tcBorders>
              <w:top w:val="nil"/>
              <w:left w:val="nil"/>
              <w:bottom w:val="nil"/>
              <w:right w:val="nil"/>
            </w:tcBorders>
            <w:shd w:val="clear" w:color="auto" w:fill="auto"/>
            <w:noWrap/>
            <w:vAlign w:val="bottom"/>
            <w:hideMark/>
          </w:tcPr>
          <w:p w14:paraId="182FBA8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A133D1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{0.069}</w:t>
            </w:r>
          </w:p>
        </w:tc>
        <w:tc>
          <w:tcPr>
            <w:tcW w:w="960" w:type="dxa"/>
            <w:tcBorders>
              <w:top w:val="nil"/>
              <w:left w:val="nil"/>
              <w:bottom w:val="nil"/>
              <w:right w:val="nil"/>
            </w:tcBorders>
            <w:shd w:val="clear" w:color="auto" w:fill="auto"/>
            <w:noWrap/>
            <w:vAlign w:val="bottom"/>
            <w:hideMark/>
          </w:tcPr>
          <w:p w14:paraId="4F1B3462"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{0.020}</w:t>
            </w:r>
          </w:p>
        </w:tc>
        <w:tc>
          <w:tcPr>
            <w:tcW w:w="320" w:type="dxa"/>
            <w:tcBorders>
              <w:top w:val="nil"/>
              <w:left w:val="nil"/>
              <w:bottom w:val="nil"/>
              <w:right w:val="nil"/>
            </w:tcBorders>
            <w:shd w:val="clear" w:color="auto" w:fill="auto"/>
            <w:noWrap/>
            <w:vAlign w:val="bottom"/>
            <w:hideMark/>
          </w:tcPr>
          <w:p w14:paraId="61B560DA"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6516F7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{0.069}</w:t>
            </w:r>
          </w:p>
        </w:tc>
        <w:tc>
          <w:tcPr>
            <w:tcW w:w="960" w:type="dxa"/>
            <w:tcBorders>
              <w:top w:val="nil"/>
              <w:left w:val="nil"/>
              <w:bottom w:val="nil"/>
              <w:right w:val="nil"/>
            </w:tcBorders>
            <w:shd w:val="clear" w:color="auto" w:fill="auto"/>
            <w:noWrap/>
            <w:vAlign w:val="bottom"/>
            <w:hideMark/>
          </w:tcPr>
          <w:p w14:paraId="7D2D69F6"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{0.069}</w:t>
            </w:r>
          </w:p>
        </w:tc>
        <w:tc>
          <w:tcPr>
            <w:tcW w:w="300" w:type="dxa"/>
            <w:tcBorders>
              <w:top w:val="nil"/>
              <w:left w:val="nil"/>
              <w:bottom w:val="nil"/>
              <w:right w:val="nil"/>
            </w:tcBorders>
            <w:shd w:val="clear" w:color="auto" w:fill="auto"/>
            <w:noWrap/>
            <w:vAlign w:val="bottom"/>
            <w:hideMark/>
          </w:tcPr>
          <w:p w14:paraId="524704B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98DC8F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{0.064}</w:t>
            </w:r>
          </w:p>
        </w:tc>
        <w:tc>
          <w:tcPr>
            <w:tcW w:w="960" w:type="dxa"/>
            <w:tcBorders>
              <w:top w:val="nil"/>
              <w:left w:val="nil"/>
              <w:bottom w:val="nil"/>
              <w:right w:val="nil"/>
            </w:tcBorders>
            <w:shd w:val="clear" w:color="auto" w:fill="auto"/>
            <w:noWrap/>
            <w:vAlign w:val="bottom"/>
            <w:hideMark/>
          </w:tcPr>
          <w:p w14:paraId="1F635A5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{0.064}</w:t>
            </w:r>
          </w:p>
        </w:tc>
        <w:tc>
          <w:tcPr>
            <w:tcW w:w="320" w:type="dxa"/>
            <w:tcBorders>
              <w:top w:val="nil"/>
              <w:left w:val="nil"/>
              <w:bottom w:val="nil"/>
              <w:right w:val="nil"/>
            </w:tcBorders>
            <w:shd w:val="clear" w:color="auto" w:fill="auto"/>
            <w:noWrap/>
            <w:vAlign w:val="bottom"/>
            <w:hideMark/>
          </w:tcPr>
          <w:p w14:paraId="418D6E5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9CE8B9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{0.030}</w:t>
            </w:r>
          </w:p>
        </w:tc>
        <w:tc>
          <w:tcPr>
            <w:tcW w:w="960" w:type="dxa"/>
            <w:tcBorders>
              <w:top w:val="nil"/>
              <w:left w:val="nil"/>
              <w:bottom w:val="nil"/>
              <w:right w:val="nil"/>
            </w:tcBorders>
            <w:shd w:val="clear" w:color="auto" w:fill="auto"/>
            <w:noWrap/>
            <w:vAlign w:val="bottom"/>
            <w:hideMark/>
          </w:tcPr>
          <w:p w14:paraId="33CE227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{0.020}</w:t>
            </w:r>
          </w:p>
        </w:tc>
      </w:tr>
      <w:tr w:rsidR="00A976FE" w:rsidRPr="00A976FE" w14:paraId="71119611" w14:textId="77777777" w:rsidTr="00A976FE">
        <w:trPr>
          <w:trHeight w:val="290"/>
          <w:jc w:val="center"/>
        </w:trPr>
        <w:tc>
          <w:tcPr>
            <w:tcW w:w="4200" w:type="dxa"/>
            <w:tcBorders>
              <w:top w:val="nil"/>
              <w:left w:val="nil"/>
              <w:bottom w:val="nil"/>
              <w:right w:val="nil"/>
            </w:tcBorders>
            <w:shd w:val="clear" w:color="auto" w:fill="auto"/>
            <w:noWrap/>
            <w:vAlign w:val="bottom"/>
            <w:hideMark/>
          </w:tcPr>
          <w:p w14:paraId="2F55082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C269A61"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FFD6FC1" w14:textId="77777777" w:rsidR="00A976FE" w:rsidRPr="00A976FE" w:rsidRDefault="00A976FE" w:rsidP="00A976FE">
            <w:pPr>
              <w:spacing w:after="0" w:line="240" w:lineRule="auto"/>
              <w:jc w:val="center"/>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8B503F9" w14:textId="77777777" w:rsidR="00A976FE" w:rsidRPr="00A976FE" w:rsidRDefault="00A976FE" w:rsidP="00A976FE">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663E86"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797710"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2D99F97"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CC4A96"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56112B"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1DD6CB2"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9FCCD7"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824EB1" w14:textId="77777777" w:rsidR="00A976FE" w:rsidRPr="00A976FE" w:rsidRDefault="00A976FE" w:rsidP="00A976FE">
            <w:pPr>
              <w:spacing w:after="0" w:line="240" w:lineRule="auto"/>
              <w:rPr>
                <w:rFonts w:ascii="Times New Roman" w:eastAsia="Times New Roman" w:hAnsi="Times New Roman" w:cs="Times New Roman"/>
                <w:sz w:val="20"/>
                <w:szCs w:val="20"/>
              </w:rPr>
            </w:pPr>
          </w:p>
        </w:tc>
      </w:tr>
      <w:tr w:rsidR="00A976FE" w:rsidRPr="00A976FE" w14:paraId="00D09E07" w14:textId="77777777" w:rsidTr="00A976FE">
        <w:trPr>
          <w:trHeight w:val="290"/>
          <w:jc w:val="center"/>
        </w:trPr>
        <w:tc>
          <w:tcPr>
            <w:tcW w:w="4200" w:type="dxa"/>
            <w:tcBorders>
              <w:top w:val="nil"/>
              <w:left w:val="nil"/>
              <w:bottom w:val="nil"/>
              <w:right w:val="nil"/>
            </w:tcBorders>
            <w:shd w:val="clear" w:color="auto" w:fill="auto"/>
            <w:noWrap/>
            <w:vAlign w:val="bottom"/>
            <w:hideMark/>
          </w:tcPr>
          <w:p w14:paraId="4AB70C1A"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First-Stage F-statistic</w:t>
            </w:r>
          </w:p>
        </w:tc>
        <w:tc>
          <w:tcPr>
            <w:tcW w:w="960" w:type="dxa"/>
            <w:tcBorders>
              <w:top w:val="nil"/>
              <w:left w:val="nil"/>
              <w:bottom w:val="nil"/>
              <w:right w:val="nil"/>
            </w:tcBorders>
            <w:shd w:val="clear" w:color="auto" w:fill="auto"/>
            <w:noWrap/>
            <w:vAlign w:val="bottom"/>
            <w:hideMark/>
          </w:tcPr>
          <w:p w14:paraId="6B581A15"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DED9343"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11.28</w:t>
            </w:r>
          </w:p>
        </w:tc>
        <w:tc>
          <w:tcPr>
            <w:tcW w:w="320" w:type="dxa"/>
            <w:tcBorders>
              <w:top w:val="nil"/>
              <w:left w:val="nil"/>
              <w:bottom w:val="nil"/>
              <w:right w:val="nil"/>
            </w:tcBorders>
            <w:shd w:val="clear" w:color="auto" w:fill="auto"/>
            <w:noWrap/>
            <w:vAlign w:val="bottom"/>
            <w:hideMark/>
          </w:tcPr>
          <w:p w14:paraId="0E374018"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8A28885"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5C522D"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11.28</w:t>
            </w:r>
          </w:p>
        </w:tc>
        <w:tc>
          <w:tcPr>
            <w:tcW w:w="300" w:type="dxa"/>
            <w:tcBorders>
              <w:top w:val="nil"/>
              <w:left w:val="nil"/>
              <w:bottom w:val="nil"/>
              <w:right w:val="nil"/>
            </w:tcBorders>
            <w:shd w:val="clear" w:color="auto" w:fill="auto"/>
            <w:noWrap/>
            <w:vAlign w:val="bottom"/>
            <w:hideMark/>
          </w:tcPr>
          <w:p w14:paraId="06C94591"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27E8E82"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2E1253"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9.03</w:t>
            </w:r>
          </w:p>
        </w:tc>
        <w:tc>
          <w:tcPr>
            <w:tcW w:w="320" w:type="dxa"/>
            <w:tcBorders>
              <w:top w:val="nil"/>
              <w:left w:val="nil"/>
              <w:bottom w:val="nil"/>
              <w:right w:val="nil"/>
            </w:tcBorders>
            <w:shd w:val="clear" w:color="auto" w:fill="auto"/>
            <w:noWrap/>
            <w:vAlign w:val="bottom"/>
            <w:hideMark/>
          </w:tcPr>
          <w:p w14:paraId="0E81F929"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B4048E0"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388EF1"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9.03</w:t>
            </w:r>
          </w:p>
        </w:tc>
      </w:tr>
      <w:tr w:rsidR="00A976FE" w:rsidRPr="00A976FE" w14:paraId="182A43BF" w14:textId="77777777" w:rsidTr="00A976FE">
        <w:trPr>
          <w:trHeight w:val="290"/>
          <w:jc w:val="center"/>
        </w:trPr>
        <w:tc>
          <w:tcPr>
            <w:tcW w:w="4200" w:type="dxa"/>
            <w:tcBorders>
              <w:top w:val="nil"/>
              <w:left w:val="nil"/>
              <w:bottom w:val="nil"/>
              <w:right w:val="nil"/>
            </w:tcBorders>
            <w:shd w:val="clear" w:color="auto" w:fill="auto"/>
            <w:noWrap/>
            <w:vAlign w:val="bottom"/>
            <w:hideMark/>
          </w:tcPr>
          <w:p w14:paraId="5E4B2A4A"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Hausman p-value</w:t>
            </w:r>
          </w:p>
        </w:tc>
        <w:tc>
          <w:tcPr>
            <w:tcW w:w="960" w:type="dxa"/>
            <w:tcBorders>
              <w:top w:val="nil"/>
              <w:left w:val="nil"/>
              <w:bottom w:val="nil"/>
              <w:right w:val="nil"/>
            </w:tcBorders>
            <w:shd w:val="clear" w:color="auto" w:fill="auto"/>
            <w:noWrap/>
            <w:vAlign w:val="bottom"/>
            <w:hideMark/>
          </w:tcPr>
          <w:p w14:paraId="04A2381F"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E4FB708"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0.003</w:t>
            </w:r>
          </w:p>
        </w:tc>
        <w:tc>
          <w:tcPr>
            <w:tcW w:w="320" w:type="dxa"/>
            <w:tcBorders>
              <w:top w:val="nil"/>
              <w:left w:val="nil"/>
              <w:bottom w:val="nil"/>
              <w:right w:val="nil"/>
            </w:tcBorders>
            <w:shd w:val="clear" w:color="auto" w:fill="auto"/>
            <w:noWrap/>
            <w:vAlign w:val="bottom"/>
            <w:hideMark/>
          </w:tcPr>
          <w:p w14:paraId="332D8978"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4FF9915"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CA0A854"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 xml:space="preserve"> 0.03</w:t>
            </w:r>
          </w:p>
        </w:tc>
        <w:tc>
          <w:tcPr>
            <w:tcW w:w="300" w:type="dxa"/>
            <w:tcBorders>
              <w:top w:val="nil"/>
              <w:left w:val="nil"/>
              <w:bottom w:val="nil"/>
              <w:right w:val="nil"/>
            </w:tcBorders>
            <w:shd w:val="clear" w:color="auto" w:fill="auto"/>
            <w:noWrap/>
            <w:vAlign w:val="bottom"/>
            <w:hideMark/>
          </w:tcPr>
          <w:p w14:paraId="0A664EFF"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1F1541F"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234E7AD"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0.18</w:t>
            </w:r>
          </w:p>
        </w:tc>
        <w:tc>
          <w:tcPr>
            <w:tcW w:w="320" w:type="dxa"/>
            <w:tcBorders>
              <w:top w:val="nil"/>
              <w:left w:val="nil"/>
              <w:bottom w:val="nil"/>
              <w:right w:val="nil"/>
            </w:tcBorders>
            <w:shd w:val="clear" w:color="auto" w:fill="auto"/>
            <w:noWrap/>
            <w:vAlign w:val="bottom"/>
            <w:hideMark/>
          </w:tcPr>
          <w:p w14:paraId="72A8BD73"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E78CA4E" w14:textId="77777777" w:rsidR="00A976FE" w:rsidRPr="00A976FE" w:rsidRDefault="00A976FE" w:rsidP="00A976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AF5F0F9"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0.03</w:t>
            </w:r>
          </w:p>
        </w:tc>
      </w:tr>
      <w:tr w:rsidR="00A976FE" w:rsidRPr="00A976FE" w14:paraId="49DA6F8E" w14:textId="77777777" w:rsidTr="00A976FE">
        <w:trPr>
          <w:trHeight w:val="290"/>
          <w:jc w:val="center"/>
        </w:trPr>
        <w:tc>
          <w:tcPr>
            <w:tcW w:w="4200" w:type="dxa"/>
            <w:tcBorders>
              <w:top w:val="nil"/>
              <w:left w:val="nil"/>
              <w:bottom w:val="nil"/>
              <w:right w:val="nil"/>
            </w:tcBorders>
            <w:shd w:val="clear" w:color="auto" w:fill="auto"/>
            <w:noWrap/>
            <w:vAlign w:val="bottom"/>
            <w:hideMark/>
          </w:tcPr>
          <w:p w14:paraId="2875AE36"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Dependent Mean Pre-Legalization</w:t>
            </w:r>
          </w:p>
        </w:tc>
        <w:tc>
          <w:tcPr>
            <w:tcW w:w="960" w:type="dxa"/>
            <w:tcBorders>
              <w:top w:val="nil"/>
              <w:left w:val="nil"/>
              <w:bottom w:val="nil"/>
              <w:right w:val="nil"/>
            </w:tcBorders>
            <w:shd w:val="clear" w:color="auto" w:fill="auto"/>
            <w:noWrap/>
            <w:vAlign w:val="bottom"/>
            <w:hideMark/>
          </w:tcPr>
          <w:p w14:paraId="45A90D7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0176120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.021</w:t>
            </w:r>
          </w:p>
        </w:tc>
        <w:tc>
          <w:tcPr>
            <w:tcW w:w="320" w:type="dxa"/>
            <w:tcBorders>
              <w:top w:val="nil"/>
              <w:left w:val="nil"/>
              <w:bottom w:val="nil"/>
              <w:right w:val="nil"/>
            </w:tcBorders>
            <w:shd w:val="clear" w:color="auto" w:fill="auto"/>
            <w:noWrap/>
            <w:vAlign w:val="bottom"/>
            <w:hideMark/>
          </w:tcPr>
          <w:p w14:paraId="299F60A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24CB286"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.029</w:t>
            </w:r>
          </w:p>
        </w:tc>
        <w:tc>
          <w:tcPr>
            <w:tcW w:w="960" w:type="dxa"/>
            <w:tcBorders>
              <w:top w:val="nil"/>
              <w:left w:val="nil"/>
              <w:bottom w:val="nil"/>
              <w:right w:val="nil"/>
            </w:tcBorders>
            <w:shd w:val="clear" w:color="auto" w:fill="auto"/>
            <w:noWrap/>
            <w:vAlign w:val="bottom"/>
            <w:hideMark/>
          </w:tcPr>
          <w:p w14:paraId="3369B6A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.029</w:t>
            </w:r>
          </w:p>
        </w:tc>
        <w:tc>
          <w:tcPr>
            <w:tcW w:w="300" w:type="dxa"/>
            <w:tcBorders>
              <w:top w:val="nil"/>
              <w:left w:val="nil"/>
              <w:bottom w:val="nil"/>
              <w:right w:val="nil"/>
            </w:tcBorders>
            <w:shd w:val="clear" w:color="auto" w:fill="auto"/>
            <w:noWrap/>
            <w:vAlign w:val="bottom"/>
            <w:hideMark/>
          </w:tcPr>
          <w:p w14:paraId="7991F3E5"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F468B5B"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0.041</w:t>
            </w:r>
          </w:p>
        </w:tc>
        <w:tc>
          <w:tcPr>
            <w:tcW w:w="960" w:type="dxa"/>
            <w:tcBorders>
              <w:top w:val="nil"/>
              <w:left w:val="nil"/>
              <w:bottom w:val="nil"/>
              <w:right w:val="nil"/>
            </w:tcBorders>
            <w:shd w:val="clear" w:color="auto" w:fill="auto"/>
            <w:noWrap/>
            <w:vAlign w:val="bottom"/>
            <w:hideMark/>
          </w:tcPr>
          <w:p w14:paraId="005D02F2"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0.041</w:t>
            </w:r>
          </w:p>
        </w:tc>
        <w:tc>
          <w:tcPr>
            <w:tcW w:w="320" w:type="dxa"/>
            <w:tcBorders>
              <w:top w:val="nil"/>
              <w:left w:val="nil"/>
              <w:bottom w:val="nil"/>
              <w:right w:val="nil"/>
            </w:tcBorders>
            <w:shd w:val="clear" w:color="auto" w:fill="auto"/>
            <w:noWrap/>
            <w:vAlign w:val="bottom"/>
            <w:hideMark/>
          </w:tcPr>
          <w:p w14:paraId="0B46AC26"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146E40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0.059</w:t>
            </w:r>
          </w:p>
        </w:tc>
        <w:tc>
          <w:tcPr>
            <w:tcW w:w="960" w:type="dxa"/>
            <w:tcBorders>
              <w:top w:val="nil"/>
              <w:left w:val="nil"/>
              <w:bottom w:val="nil"/>
              <w:right w:val="nil"/>
            </w:tcBorders>
            <w:shd w:val="clear" w:color="auto" w:fill="auto"/>
            <w:noWrap/>
            <w:vAlign w:val="bottom"/>
            <w:hideMark/>
          </w:tcPr>
          <w:p w14:paraId="07A7C26C"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0.059</w:t>
            </w:r>
          </w:p>
        </w:tc>
      </w:tr>
      <w:tr w:rsidR="00A976FE" w:rsidRPr="00A976FE" w14:paraId="6996E875" w14:textId="77777777" w:rsidTr="00A976FE">
        <w:trPr>
          <w:trHeight w:val="290"/>
          <w:jc w:val="center"/>
        </w:trPr>
        <w:tc>
          <w:tcPr>
            <w:tcW w:w="4200" w:type="dxa"/>
            <w:tcBorders>
              <w:top w:val="nil"/>
              <w:left w:val="nil"/>
              <w:bottom w:val="single" w:sz="4" w:space="0" w:color="auto"/>
              <w:right w:val="nil"/>
            </w:tcBorders>
            <w:shd w:val="clear" w:color="auto" w:fill="auto"/>
            <w:noWrap/>
            <w:vAlign w:val="bottom"/>
            <w:hideMark/>
          </w:tcPr>
          <w:p w14:paraId="5BF67343" w14:textId="77777777" w:rsidR="00A976FE" w:rsidRPr="00A976FE" w:rsidRDefault="00A976FE" w:rsidP="00A976FE">
            <w:pPr>
              <w:spacing w:after="0" w:line="240" w:lineRule="auto"/>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Observations</w:t>
            </w:r>
          </w:p>
        </w:tc>
        <w:tc>
          <w:tcPr>
            <w:tcW w:w="960" w:type="dxa"/>
            <w:tcBorders>
              <w:top w:val="nil"/>
              <w:left w:val="nil"/>
              <w:bottom w:val="single" w:sz="4" w:space="0" w:color="auto"/>
              <w:right w:val="nil"/>
            </w:tcBorders>
            <w:shd w:val="clear" w:color="auto" w:fill="auto"/>
            <w:noWrap/>
            <w:vAlign w:val="bottom"/>
            <w:hideMark/>
          </w:tcPr>
          <w:p w14:paraId="18B0BD3D"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246</w:t>
            </w:r>
          </w:p>
        </w:tc>
        <w:tc>
          <w:tcPr>
            <w:tcW w:w="960" w:type="dxa"/>
            <w:tcBorders>
              <w:top w:val="nil"/>
              <w:left w:val="nil"/>
              <w:bottom w:val="single" w:sz="4" w:space="0" w:color="auto"/>
              <w:right w:val="nil"/>
            </w:tcBorders>
            <w:shd w:val="clear" w:color="auto" w:fill="auto"/>
            <w:noWrap/>
            <w:vAlign w:val="bottom"/>
            <w:hideMark/>
          </w:tcPr>
          <w:p w14:paraId="4F58963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246</w:t>
            </w:r>
          </w:p>
        </w:tc>
        <w:tc>
          <w:tcPr>
            <w:tcW w:w="320" w:type="dxa"/>
            <w:tcBorders>
              <w:top w:val="nil"/>
              <w:left w:val="nil"/>
              <w:bottom w:val="single" w:sz="4" w:space="0" w:color="auto"/>
              <w:right w:val="nil"/>
            </w:tcBorders>
            <w:shd w:val="clear" w:color="auto" w:fill="auto"/>
            <w:noWrap/>
            <w:vAlign w:val="bottom"/>
            <w:hideMark/>
          </w:tcPr>
          <w:p w14:paraId="148799A5" w14:textId="77777777" w:rsidR="00A976FE" w:rsidRPr="00A976FE" w:rsidRDefault="00A976FE" w:rsidP="00A976FE">
            <w:pPr>
              <w:spacing w:after="0" w:line="240" w:lineRule="auto"/>
              <w:rPr>
                <w:rFonts w:ascii="Calibri" w:eastAsia="Times New Roman" w:hAnsi="Calibri" w:cs="Calibri"/>
                <w:color w:val="000000"/>
              </w:rPr>
            </w:pPr>
            <w:r w:rsidRPr="00A976FE">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11E045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246</w:t>
            </w:r>
          </w:p>
        </w:tc>
        <w:tc>
          <w:tcPr>
            <w:tcW w:w="960" w:type="dxa"/>
            <w:tcBorders>
              <w:top w:val="nil"/>
              <w:left w:val="nil"/>
              <w:bottom w:val="single" w:sz="4" w:space="0" w:color="auto"/>
              <w:right w:val="nil"/>
            </w:tcBorders>
            <w:shd w:val="clear" w:color="auto" w:fill="auto"/>
            <w:noWrap/>
            <w:vAlign w:val="bottom"/>
            <w:hideMark/>
          </w:tcPr>
          <w:p w14:paraId="679A512E"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246</w:t>
            </w:r>
          </w:p>
        </w:tc>
        <w:tc>
          <w:tcPr>
            <w:tcW w:w="300" w:type="dxa"/>
            <w:tcBorders>
              <w:top w:val="nil"/>
              <w:left w:val="nil"/>
              <w:bottom w:val="single" w:sz="4" w:space="0" w:color="auto"/>
              <w:right w:val="nil"/>
            </w:tcBorders>
            <w:shd w:val="clear" w:color="auto" w:fill="auto"/>
            <w:noWrap/>
            <w:vAlign w:val="bottom"/>
            <w:hideMark/>
          </w:tcPr>
          <w:p w14:paraId="2629330B" w14:textId="77777777" w:rsidR="00A976FE" w:rsidRPr="00A976FE" w:rsidRDefault="00A976FE" w:rsidP="00A976FE">
            <w:pPr>
              <w:spacing w:after="0" w:line="240" w:lineRule="auto"/>
              <w:rPr>
                <w:rFonts w:ascii="Calibri" w:eastAsia="Times New Roman" w:hAnsi="Calibri" w:cs="Calibri"/>
                <w:color w:val="000000"/>
              </w:rPr>
            </w:pPr>
            <w:r w:rsidRPr="00A976FE">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159804F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333</w:t>
            </w:r>
          </w:p>
        </w:tc>
        <w:tc>
          <w:tcPr>
            <w:tcW w:w="960" w:type="dxa"/>
            <w:tcBorders>
              <w:top w:val="nil"/>
              <w:left w:val="nil"/>
              <w:bottom w:val="single" w:sz="4" w:space="0" w:color="auto"/>
              <w:right w:val="nil"/>
            </w:tcBorders>
            <w:shd w:val="clear" w:color="auto" w:fill="auto"/>
            <w:noWrap/>
            <w:vAlign w:val="bottom"/>
            <w:hideMark/>
          </w:tcPr>
          <w:p w14:paraId="040334A7"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333</w:t>
            </w:r>
          </w:p>
        </w:tc>
        <w:tc>
          <w:tcPr>
            <w:tcW w:w="320" w:type="dxa"/>
            <w:tcBorders>
              <w:top w:val="nil"/>
              <w:left w:val="nil"/>
              <w:bottom w:val="single" w:sz="4" w:space="0" w:color="auto"/>
              <w:right w:val="nil"/>
            </w:tcBorders>
            <w:shd w:val="clear" w:color="auto" w:fill="auto"/>
            <w:noWrap/>
            <w:vAlign w:val="bottom"/>
            <w:hideMark/>
          </w:tcPr>
          <w:p w14:paraId="0A0791A2" w14:textId="77777777" w:rsidR="00A976FE" w:rsidRPr="00A976FE" w:rsidRDefault="00A976FE" w:rsidP="00A976FE">
            <w:pPr>
              <w:spacing w:after="0" w:line="240" w:lineRule="auto"/>
              <w:rPr>
                <w:rFonts w:ascii="Calibri" w:eastAsia="Times New Roman" w:hAnsi="Calibri" w:cs="Calibri"/>
                <w:color w:val="000000"/>
              </w:rPr>
            </w:pPr>
            <w:r w:rsidRPr="00A976FE">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F6AB8B6"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333</w:t>
            </w:r>
          </w:p>
        </w:tc>
        <w:tc>
          <w:tcPr>
            <w:tcW w:w="960" w:type="dxa"/>
            <w:tcBorders>
              <w:top w:val="nil"/>
              <w:left w:val="nil"/>
              <w:bottom w:val="single" w:sz="4" w:space="0" w:color="auto"/>
              <w:right w:val="nil"/>
            </w:tcBorders>
            <w:shd w:val="clear" w:color="auto" w:fill="auto"/>
            <w:noWrap/>
            <w:vAlign w:val="bottom"/>
            <w:hideMark/>
          </w:tcPr>
          <w:p w14:paraId="1C3CF530" w14:textId="77777777" w:rsidR="00A976FE" w:rsidRPr="00A976FE" w:rsidRDefault="00A976FE" w:rsidP="00A976FE">
            <w:pPr>
              <w:spacing w:after="0" w:line="240" w:lineRule="auto"/>
              <w:jc w:val="center"/>
              <w:rPr>
                <w:rFonts w:ascii="Times New Roman" w:eastAsia="Times New Roman" w:hAnsi="Times New Roman" w:cs="Times New Roman"/>
                <w:color w:val="000000"/>
                <w:sz w:val="20"/>
                <w:szCs w:val="20"/>
              </w:rPr>
            </w:pPr>
            <w:r w:rsidRPr="00A976FE">
              <w:rPr>
                <w:rFonts w:ascii="Times New Roman" w:eastAsia="Times New Roman" w:hAnsi="Times New Roman" w:cs="Times New Roman"/>
                <w:color w:val="000000"/>
                <w:sz w:val="20"/>
                <w:szCs w:val="20"/>
              </w:rPr>
              <w:t>333</w:t>
            </w:r>
          </w:p>
        </w:tc>
      </w:tr>
      <w:tr w:rsidR="00A976FE" w:rsidRPr="00A976FE" w14:paraId="39C9D571" w14:textId="77777777" w:rsidTr="007802DD">
        <w:trPr>
          <w:trHeight w:val="290"/>
          <w:jc w:val="center"/>
        </w:trPr>
        <w:tc>
          <w:tcPr>
            <w:tcW w:w="12820" w:type="dxa"/>
            <w:gridSpan w:val="12"/>
            <w:tcBorders>
              <w:top w:val="nil"/>
              <w:left w:val="nil"/>
              <w:bottom w:val="nil"/>
              <w:right w:val="nil"/>
            </w:tcBorders>
            <w:shd w:val="clear" w:color="auto" w:fill="auto"/>
            <w:noWrap/>
            <w:vAlign w:val="bottom"/>
            <w:hideMark/>
          </w:tcPr>
          <w:p w14:paraId="7B9FBAAF" w14:textId="771129D1" w:rsidR="00A976FE" w:rsidRPr="00A976FE" w:rsidRDefault="00A976FE" w:rsidP="00A976FE">
            <w:pPr>
              <w:spacing w:after="0" w:line="240" w:lineRule="auto"/>
              <w:jc w:val="both"/>
              <w:rPr>
                <w:rFonts w:ascii="Times New Roman" w:eastAsia="Times New Roman" w:hAnsi="Times New Roman" w:cs="Times New Roman"/>
                <w:sz w:val="20"/>
                <w:szCs w:val="20"/>
              </w:rPr>
            </w:pPr>
            <w:r w:rsidRPr="006526BF">
              <w:rPr>
                <w:rFonts w:ascii="Times New Roman" w:eastAsia="Times New Roman" w:hAnsi="Times New Roman" w:cs="Times New Roman"/>
                <w:i/>
                <w:iCs/>
                <w:sz w:val="20"/>
                <w:szCs w:val="20"/>
              </w:rPr>
              <w:t xml:space="preserve">Notes: </w:t>
            </w:r>
            <w:r w:rsidR="00C2397C">
              <w:rPr>
                <w:rFonts w:ascii="Times New Roman" w:eastAsia="Times New Roman" w:hAnsi="Times New Roman" w:cs="Times New Roman"/>
                <w:sz w:val="20"/>
                <w:szCs w:val="20"/>
              </w:rPr>
              <w:t xml:space="preserve">This table reports marginal effects from the OLS and IV estimation of equation (4). 10MinsLottery is the instrument for 10MinsOpen in columns (2), (4), (6), and (8). All specifications include the 2014-15 and 2015-16 school years, as well as controls for the proportions of free-or-reduced-price lunch, Black, Hispanic, and Asian students, and indicators for whether the school is in a city, town, or suburb. The omitted locale is rural. Year fixed effects are also included each column. </w:t>
            </w:r>
            <w:r w:rsidRPr="006526BF">
              <w:rPr>
                <w:rFonts w:ascii="Times New Roman" w:eastAsia="Times New Roman" w:hAnsi="Times New Roman" w:cs="Times New Roman"/>
                <w:sz w:val="20"/>
                <w:szCs w:val="20"/>
              </w:rPr>
              <w:t xml:space="preserve">Standard errors clustered by school are in parentheses. One-sided p-values from the original estimation are in square brackets, while one-sided Romano-Wolf p-values correcting for multiple hypothesis testing are in curly brackets. </w:t>
            </w:r>
            <w:proofErr w:type="spellStart"/>
            <w:r w:rsidR="00DF2476" w:rsidRPr="009F62EF">
              <w:rPr>
                <w:rFonts w:ascii="Times New Roman" w:eastAsia="Times New Roman" w:hAnsi="Times New Roman" w:cs="Times New Roman"/>
                <w:sz w:val="20"/>
                <w:szCs w:val="20"/>
              </w:rPr>
              <w:t>Kleibergen-Paap</w:t>
            </w:r>
            <w:proofErr w:type="spellEnd"/>
            <w:r w:rsidR="00DF2476" w:rsidRPr="009F62EF">
              <w:rPr>
                <w:rFonts w:ascii="Times New Roman" w:eastAsia="Times New Roman" w:hAnsi="Times New Roman" w:cs="Times New Roman"/>
                <w:sz w:val="20"/>
                <w:szCs w:val="20"/>
              </w:rPr>
              <w:t xml:space="preserve"> F</w:t>
            </w:r>
            <w:r w:rsidR="00DF2476">
              <w:rPr>
                <w:rFonts w:ascii="Times New Roman" w:eastAsia="Times New Roman" w:hAnsi="Times New Roman" w:cs="Times New Roman"/>
                <w:sz w:val="20"/>
                <w:szCs w:val="20"/>
              </w:rPr>
              <w:t>-</w:t>
            </w:r>
            <w:r w:rsidR="00DF2476" w:rsidRPr="009F62EF">
              <w:rPr>
                <w:rFonts w:ascii="Times New Roman" w:eastAsia="Times New Roman" w:hAnsi="Times New Roman" w:cs="Times New Roman"/>
                <w:sz w:val="20"/>
                <w:szCs w:val="20"/>
              </w:rPr>
              <w:t>statistic</w:t>
            </w:r>
            <w:r w:rsidR="00DF2476">
              <w:rPr>
                <w:rFonts w:ascii="Times New Roman" w:eastAsia="Times New Roman" w:hAnsi="Times New Roman" w:cs="Times New Roman"/>
                <w:sz w:val="20"/>
                <w:szCs w:val="20"/>
              </w:rPr>
              <w:t>s from a test for weak instruments are reported in columns (2), (4), (6), and (8), and the corresponding first stage estimates are in Table A1. The p-value for the Hausman specification tests between the OLS and IV estimates are also included in columns (2), (4), (6), and (8).</w:t>
            </w:r>
            <w:r w:rsidRPr="006526BF">
              <w:rPr>
                <w:rFonts w:ascii="Times New Roman" w:eastAsia="Times New Roman" w:hAnsi="Times New Roman" w:cs="Times New Roman"/>
                <w:sz w:val="20"/>
                <w:szCs w:val="20"/>
              </w:rPr>
              <w:t xml:space="preserve"> Average dropout rates for the schools in the sample prior to recreational marijuana legalization (i.e., the 2011-12 through 2013-14 school years) are also included.</w:t>
            </w:r>
          </w:p>
        </w:tc>
      </w:tr>
    </w:tbl>
    <w:p w14:paraId="69AC7D35" w14:textId="6E6B9741" w:rsidR="00513DF3" w:rsidRDefault="00513DF3" w:rsidP="00D750E1">
      <w:pPr>
        <w:rPr>
          <w:rFonts w:ascii="Times New Roman" w:hAnsi="Times New Roman" w:cs="Times New Roman"/>
          <w:b/>
          <w:bCs/>
          <w:sz w:val="32"/>
          <w:szCs w:val="32"/>
        </w:rPr>
        <w:sectPr w:rsidR="00513DF3" w:rsidSect="00242703">
          <w:headerReference w:type="default" r:id="rId38"/>
          <w:pgSz w:w="15840" w:h="12240" w:orient="landscape"/>
          <w:pgMar w:top="1440" w:right="1440" w:bottom="1440" w:left="1440" w:header="720" w:footer="720" w:gutter="0"/>
          <w:cols w:space="720"/>
          <w:docGrid w:linePitch="360"/>
        </w:sectPr>
      </w:pPr>
    </w:p>
    <w:tbl>
      <w:tblPr>
        <w:tblW w:w="12820" w:type="dxa"/>
        <w:jc w:val="center"/>
        <w:tblLook w:val="04A0" w:firstRow="1" w:lastRow="0" w:firstColumn="1" w:lastColumn="0" w:noHBand="0" w:noVBand="1"/>
      </w:tblPr>
      <w:tblGrid>
        <w:gridCol w:w="4200"/>
        <w:gridCol w:w="960"/>
        <w:gridCol w:w="960"/>
        <w:gridCol w:w="320"/>
        <w:gridCol w:w="960"/>
        <w:gridCol w:w="960"/>
        <w:gridCol w:w="300"/>
        <w:gridCol w:w="960"/>
        <w:gridCol w:w="960"/>
        <w:gridCol w:w="320"/>
        <w:gridCol w:w="960"/>
        <w:gridCol w:w="960"/>
      </w:tblGrid>
      <w:tr w:rsidR="001133A2" w:rsidRPr="001133A2" w14:paraId="2229399D" w14:textId="77777777" w:rsidTr="00BA7B08">
        <w:trPr>
          <w:trHeight w:val="300"/>
          <w:jc w:val="center"/>
        </w:trPr>
        <w:tc>
          <w:tcPr>
            <w:tcW w:w="12820" w:type="dxa"/>
            <w:gridSpan w:val="12"/>
            <w:tcBorders>
              <w:top w:val="nil"/>
              <w:left w:val="nil"/>
              <w:bottom w:val="double" w:sz="6" w:space="0" w:color="auto"/>
              <w:right w:val="nil"/>
            </w:tcBorders>
            <w:shd w:val="clear" w:color="auto" w:fill="auto"/>
            <w:noWrap/>
            <w:vAlign w:val="bottom"/>
            <w:hideMark/>
          </w:tcPr>
          <w:p w14:paraId="0F4D60C7" w14:textId="18BFD9A0" w:rsidR="001133A2" w:rsidRDefault="001133A2" w:rsidP="001133A2">
            <w:pPr>
              <w:spacing w:after="0" w:line="240" w:lineRule="auto"/>
              <w:jc w:val="center"/>
              <w:rPr>
                <w:rFonts w:ascii="Times New Roman" w:eastAsia="Times New Roman" w:hAnsi="Times New Roman" w:cs="Times New Roman"/>
                <w:color w:val="000000"/>
                <w:sz w:val="24"/>
                <w:szCs w:val="24"/>
              </w:rPr>
            </w:pPr>
            <w:r w:rsidRPr="00537B82">
              <w:rPr>
                <w:rFonts w:ascii="Times New Roman" w:eastAsia="Times New Roman" w:hAnsi="Times New Roman" w:cs="Times New Roman"/>
                <w:color w:val="000000"/>
                <w:sz w:val="24"/>
                <w:szCs w:val="24"/>
              </w:rPr>
              <w:lastRenderedPageBreak/>
              <w:t xml:space="preserve">Table </w:t>
            </w:r>
            <w:r>
              <w:rPr>
                <w:rFonts w:ascii="Times New Roman" w:eastAsia="Times New Roman" w:hAnsi="Times New Roman" w:cs="Times New Roman"/>
                <w:color w:val="000000"/>
                <w:sz w:val="24"/>
                <w:szCs w:val="24"/>
              </w:rPr>
              <w:t>8</w:t>
            </w:r>
            <w:r w:rsidRPr="00537B82">
              <w:rPr>
                <w:rFonts w:ascii="Times New Roman" w:eastAsia="Times New Roman" w:hAnsi="Times New Roman" w:cs="Times New Roman"/>
                <w:color w:val="000000"/>
                <w:sz w:val="24"/>
                <w:szCs w:val="24"/>
              </w:rPr>
              <w:t>: Ordinary Least Squares</w:t>
            </w:r>
            <w:r>
              <w:rPr>
                <w:rFonts w:ascii="Times New Roman" w:eastAsia="Times New Roman" w:hAnsi="Times New Roman" w:cs="Times New Roman"/>
                <w:color w:val="000000"/>
                <w:sz w:val="24"/>
                <w:szCs w:val="24"/>
              </w:rPr>
              <w:t xml:space="preserve"> and </w:t>
            </w:r>
            <w:r w:rsidRPr="00537B82">
              <w:rPr>
                <w:rFonts w:ascii="Times New Roman" w:eastAsia="Times New Roman" w:hAnsi="Times New Roman" w:cs="Times New Roman"/>
                <w:color w:val="000000"/>
                <w:sz w:val="24"/>
                <w:szCs w:val="24"/>
              </w:rPr>
              <w:t>Instrumental Variable Estimates of the Effects of Recreational Marijuana Dispensaries on </w:t>
            </w:r>
            <w:r>
              <w:rPr>
                <w:rFonts w:ascii="Times New Roman" w:eastAsia="Times New Roman" w:hAnsi="Times New Roman" w:cs="Times New Roman"/>
                <w:color w:val="000000"/>
                <w:sz w:val="24"/>
                <w:szCs w:val="24"/>
              </w:rPr>
              <w:t>Chronic Absenteeism</w:t>
            </w:r>
            <w:r w:rsidRPr="00537B82">
              <w:rPr>
                <w:rFonts w:ascii="Times New Roman" w:eastAsia="Times New Roman" w:hAnsi="Times New Roman" w:cs="Times New Roman"/>
                <w:color w:val="000000"/>
                <w:sz w:val="24"/>
                <w:szCs w:val="24"/>
              </w:rPr>
              <w:t> </w:t>
            </w:r>
          </w:p>
          <w:p w14:paraId="5B055E37" w14:textId="77777777" w:rsidR="00DF0C4A" w:rsidRDefault="00DF0C4A" w:rsidP="001133A2">
            <w:pPr>
              <w:spacing w:after="0" w:line="240" w:lineRule="auto"/>
              <w:jc w:val="center"/>
              <w:rPr>
                <w:rFonts w:ascii="Times New Roman" w:eastAsia="Times New Roman" w:hAnsi="Times New Roman" w:cs="Times New Roman"/>
                <w:color w:val="000000"/>
                <w:sz w:val="24"/>
                <w:szCs w:val="24"/>
              </w:rPr>
            </w:pPr>
          </w:p>
          <w:p w14:paraId="2A693BD6" w14:textId="2FD16646" w:rsidR="001133A2" w:rsidRPr="001133A2" w:rsidRDefault="001133A2" w:rsidP="001133A2">
            <w:pPr>
              <w:spacing w:after="0" w:line="240" w:lineRule="auto"/>
              <w:rPr>
                <w:rFonts w:ascii="Calibri" w:eastAsia="Times New Roman" w:hAnsi="Calibri" w:cs="Calibri"/>
                <w:color w:val="000000"/>
              </w:rPr>
            </w:pPr>
          </w:p>
        </w:tc>
      </w:tr>
      <w:tr w:rsidR="001133A2" w:rsidRPr="001133A2" w14:paraId="52AD3E1C" w14:textId="77777777" w:rsidTr="001133A2">
        <w:trPr>
          <w:trHeight w:val="300"/>
          <w:jc w:val="center"/>
        </w:trPr>
        <w:tc>
          <w:tcPr>
            <w:tcW w:w="4200" w:type="dxa"/>
            <w:tcBorders>
              <w:top w:val="nil"/>
              <w:left w:val="nil"/>
              <w:bottom w:val="nil"/>
              <w:right w:val="nil"/>
            </w:tcBorders>
            <w:shd w:val="clear" w:color="auto" w:fill="auto"/>
            <w:noWrap/>
            <w:vAlign w:val="bottom"/>
            <w:hideMark/>
          </w:tcPr>
          <w:p w14:paraId="229410B5" w14:textId="77777777" w:rsidR="001133A2" w:rsidRPr="001133A2" w:rsidRDefault="001133A2" w:rsidP="001133A2">
            <w:pPr>
              <w:spacing w:after="0" w:line="240" w:lineRule="auto"/>
              <w:rPr>
                <w:rFonts w:ascii="Calibri" w:eastAsia="Times New Roman" w:hAnsi="Calibri" w:cs="Calibri"/>
                <w:color w:val="000000"/>
              </w:rPr>
            </w:pPr>
          </w:p>
        </w:tc>
        <w:tc>
          <w:tcPr>
            <w:tcW w:w="4160" w:type="dxa"/>
            <w:gridSpan w:val="5"/>
            <w:tcBorders>
              <w:top w:val="nil"/>
              <w:left w:val="nil"/>
              <w:bottom w:val="single" w:sz="4" w:space="0" w:color="auto"/>
              <w:right w:val="nil"/>
            </w:tcBorders>
            <w:shd w:val="clear" w:color="auto" w:fill="auto"/>
            <w:noWrap/>
            <w:vAlign w:val="bottom"/>
            <w:hideMark/>
          </w:tcPr>
          <w:p w14:paraId="2551ACF9"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11th Grade</w:t>
            </w:r>
          </w:p>
        </w:tc>
        <w:tc>
          <w:tcPr>
            <w:tcW w:w="300" w:type="dxa"/>
            <w:tcBorders>
              <w:top w:val="nil"/>
              <w:left w:val="nil"/>
              <w:bottom w:val="nil"/>
              <w:right w:val="nil"/>
            </w:tcBorders>
            <w:shd w:val="clear" w:color="auto" w:fill="auto"/>
            <w:noWrap/>
            <w:vAlign w:val="bottom"/>
            <w:hideMark/>
          </w:tcPr>
          <w:p w14:paraId="49658F4B"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4160" w:type="dxa"/>
            <w:gridSpan w:val="5"/>
            <w:tcBorders>
              <w:top w:val="nil"/>
              <w:left w:val="nil"/>
              <w:bottom w:val="single" w:sz="4" w:space="0" w:color="auto"/>
              <w:right w:val="nil"/>
            </w:tcBorders>
            <w:shd w:val="clear" w:color="auto" w:fill="auto"/>
            <w:noWrap/>
            <w:vAlign w:val="bottom"/>
            <w:hideMark/>
          </w:tcPr>
          <w:p w14:paraId="58370AFC"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12th Grade</w:t>
            </w:r>
          </w:p>
        </w:tc>
      </w:tr>
      <w:tr w:rsidR="001133A2" w:rsidRPr="001133A2" w14:paraId="64832AAB"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5B34ACD5"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0ED76077"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Female</w:t>
            </w:r>
          </w:p>
        </w:tc>
        <w:tc>
          <w:tcPr>
            <w:tcW w:w="320" w:type="dxa"/>
            <w:tcBorders>
              <w:top w:val="nil"/>
              <w:left w:val="nil"/>
              <w:bottom w:val="nil"/>
              <w:right w:val="nil"/>
            </w:tcBorders>
            <w:shd w:val="clear" w:color="auto" w:fill="auto"/>
            <w:noWrap/>
            <w:vAlign w:val="bottom"/>
            <w:hideMark/>
          </w:tcPr>
          <w:p w14:paraId="779C7D15"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49779640"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Male</w:t>
            </w:r>
          </w:p>
        </w:tc>
        <w:tc>
          <w:tcPr>
            <w:tcW w:w="300" w:type="dxa"/>
            <w:tcBorders>
              <w:top w:val="nil"/>
              <w:left w:val="nil"/>
              <w:bottom w:val="nil"/>
              <w:right w:val="nil"/>
            </w:tcBorders>
            <w:shd w:val="clear" w:color="auto" w:fill="auto"/>
            <w:noWrap/>
            <w:vAlign w:val="bottom"/>
            <w:hideMark/>
          </w:tcPr>
          <w:p w14:paraId="0BCBE667"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2852A60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Female</w:t>
            </w:r>
          </w:p>
        </w:tc>
        <w:tc>
          <w:tcPr>
            <w:tcW w:w="320" w:type="dxa"/>
            <w:tcBorders>
              <w:top w:val="nil"/>
              <w:left w:val="nil"/>
              <w:bottom w:val="nil"/>
              <w:right w:val="nil"/>
            </w:tcBorders>
            <w:shd w:val="clear" w:color="auto" w:fill="auto"/>
            <w:noWrap/>
            <w:vAlign w:val="bottom"/>
            <w:hideMark/>
          </w:tcPr>
          <w:p w14:paraId="05B8459F"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0953878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Male</w:t>
            </w:r>
          </w:p>
        </w:tc>
      </w:tr>
      <w:tr w:rsidR="001133A2" w:rsidRPr="001133A2" w14:paraId="103C85E8"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1708E027"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A8BFF93"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r w:rsidRPr="001133A2">
              <w:rPr>
                <w:rFonts w:ascii="Times New Roman" w:eastAsia="Times New Roman" w:hAnsi="Times New Roman" w:cs="Times New Roman"/>
                <w:color w:val="000000"/>
                <w:sz w:val="20"/>
                <w:szCs w:val="20"/>
                <w:u w:val="single"/>
              </w:rPr>
              <w:t>OLS</w:t>
            </w:r>
          </w:p>
        </w:tc>
        <w:tc>
          <w:tcPr>
            <w:tcW w:w="960" w:type="dxa"/>
            <w:tcBorders>
              <w:top w:val="nil"/>
              <w:left w:val="nil"/>
              <w:bottom w:val="nil"/>
              <w:right w:val="nil"/>
            </w:tcBorders>
            <w:shd w:val="clear" w:color="auto" w:fill="auto"/>
            <w:noWrap/>
            <w:vAlign w:val="bottom"/>
            <w:hideMark/>
          </w:tcPr>
          <w:p w14:paraId="77D8883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r w:rsidRPr="001133A2">
              <w:rPr>
                <w:rFonts w:ascii="Times New Roman" w:eastAsia="Times New Roman" w:hAnsi="Times New Roman" w:cs="Times New Roman"/>
                <w:color w:val="000000"/>
                <w:sz w:val="20"/>
                <w:szCs w:val="20"/>
                <w:u w:val="single"/>
              </w:rPr>
              <w:t>IV</w:t>
            </w:r>
          </w:p>
        </w:tc>
        <w:tc>
          <w:tcPr>
            <w:tcW w:w="320" w:type="dxa"/>
            <w:tcBorders>
              <w:top w:val="nil"/>
              <w:left w:val="nil"/>
              <w:bottom w:val="nil"/>
              <w:right w:val="nil"/>
            </w:tcBorders>
            <w:shd w:val="clear" w:color="auto" w:fill="auto"/>
            <w:noWrap/>
            <w:vAlign w:val="bottom"/>
            <w:hideMark/>
          </w:tcPr>
          <w:p w14:paraId="48EE6957"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p>
        </w:tc>
        <w:tc>
          <w:tcPr>
            <w:tcW w:w="960" w:type="dxa"/>
            <w:tcBorders>
              <w:top w:val="nil"/>
              <w:left w:val="nil"/>
              <w:bottom w:val="nil"/>
              <w:right w:val="nil"/>
            </w:tcBorders>
            <w:shd w:val="clear" w:color="auto" w:fill="auto"/>
            <w:noWrap/>
            <w:vAlign w:val="bottom"/>
            <w:hideMark/>
          </w:tcPr>
          <w:p w14:paraId="7D4C13D5"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r w:rsidRPr="001133A2">
              <w:rPr>
                <w:rFonts w:ascii="Times New Roman" w:eastAsia="Times New Roman" w:hAnsi="Times New Roman" w:cs="Times New Roman"/>
                <w:color w:val="000000"/>
                <w:sz w:val="20"/>
                <w:szCs w:val="20"/>
                <w:u w:val="single"/>
              </w:rPr>
              <w:t>OLS</w:t>
            </w:r>
          </w:p>
        </w:tc>
        <w:tc>
          <w:tcPr>
            <w:tcW w:w="960" w:type="dxa"/>
            <w:tcBorders>
              <w:top w:val="nil"/>
              <w:left w:val="nil"/>
              <w:bottom w:val="nil"/>
              <w:right w:val="nil"/>
            </w:tcBorders>
            <w:shd w:val="clear" w:color="auto" w:fill="auto"/>
            <w:noWrap/>
            <w:vAlign w:val="bottom"/>
            <w:hideMark/>
          </w:tcPr>
          <w:p w14:paraId="6AA1BB6D"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r w:rsidRPr="001133A2">
              <w:rPr>
                <w:rFonts w:ascii="Times New Roman" w:eastAsia="Times New Roman" w:hAnsi="Times New Roman" w:cs="Times New Roman"/>
                <w:color w:val="000000"/>
                <w:sz w:val="20"/>
                <w:szCs w:val="20"/>
                <w:u w:val="single"/>
              </w:rPr>
              <w:t>IV</w:t>
            </w:r>
          </w:p>
        </w:tc>
        <w:tc>
          <w:tcPr>
            <w:tcW w:w="300" w:type="dxa"/>
            <w:tcBorders>
              <w:top w:val="nil"/>
              <w:left w:val="nil"/>
              <w:bottom w:val="nil"/>
              <w:right w:val="nil"/>
            </w:tcBorders>
            <w:shd w:val="clear" w:color="auto" w:fill="auto"/>
            <w:noWrap/>
            <w:vAlign w:val="bottom"/>
            <w:hideMark/>
          </w:tcPr>
          <w:p w14:paraId="59A037E9"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p>
        </w:tc>
        <w:tc>
          <w:tcPr>
            <w:tcW w:w="960" w:type="dxa"/>
            <w:tcBorders>
              <w:top w:val="nil"/>
              <w:left w:val="nil"/>
              <w:bottom w:val="nil"/>
              <w:right w:val="nil"/>
            </w:tcBorders>
            <w:shd w:val="clear" w:color="auto" w:fill="auto"/>
            <w:noWrap/>
            <w:vAlign w:val="bottom"/>
            <w:hideMark/>
          </w:tcPr>
          <w:p w14:paraId="728DD463"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r w:rsidRPr="001133A2">
              <w:rPr>
                <w:rFonts w:ascii="Times New Roman" w:eastAsia="Times New Roman" w:hAnsi="Times New Roman" w:cs="Times New Roman"/>
                <w:color w:val="000000"/>
                <w:sz w:val="20"/>
                <w:szCs w:val="20"/>
                <w:u w:val="single"/>
              </w:rPr>
              <w:t>OLS</w:t>
            </w:r>
          </w:p>
        </w:tc>
        <w:tc>
          <w:tcPr>
            <w:tcW w:w="960" w:type="dxa"/>
            <w:tcBorders>
              <w:top w:val="nil"/>
              <w:left w:val="nil"/>
              <w:bottom w:val="nil"/>
              <w:right w:val="nil"/>
            </w:tcBorders>
            <w:shd w:val="clear" w:color="auto" w:fill="auto"/>
            <w:noWrap/>
            <w:vAlign w:val="bottom"/>
            <w:hideMark/>
          </w:tcPr>
          <w:p w14:paraId="4619C5A3"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r w:rsidRPr="001133A2">
              <w:rPr>
                <w:rFonts w:ascii="Times New Roman" w:eastAsia="Times New Roman" w:hAnsi="Times New Roman" w:cs="Times New Roman"/>
                <w:color w:val="000000"/>
                <w:sz w:val="20"/>
                <w:szCs w:val="20"/>
                <w:u w:val="single"/>
              </w:rPr>
              <w:t>IV</w:t>
            </w:r>
          </w:p>
        </w:tc>
        <w:tc>
          <w:tcPr>
            <w:tcW w:w="320" w:type="dxa"/>
            <w:tcBorders>
              <w:top w:val="nil"/>
              <w:left w:val="nil"/>
              <w:bottom w:val="nil"/>
              <w:right w:val="nil"/>
            </w:tcBorders>
            <w:shd w:val="clear" w:color="auto" w:fill="auto"/>
            <w:noWrap/>
            <w:vAlign w:val="bottom"/>
            <w:hideMark/>
          </w:tcPr>
          <w:p w14:paraId="65BFD8CD"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p>
        </w:tc>
        <w:tc>
          <w:tcPr>
            <w:tcW w:w="960" w:type="dxa"/>
            <w:tcBorders>
              <w:top w:val="nil"/>
              <w:left w:val="nil"/>
              <w:bottom w:val="nil"/>
              <w:right w:val="nil"/>
            </w:tcBorders>
            <w:shd w:val="clear" w:color="auto" w:fill="auto"/>
            <w:noWrap/>
            <w:vAlign w:val="bottom"/>
            <w:hideMark/>
          </w:tcPr>
          <w:p w14:paraId="0BED217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r w:rsidRPr="001133A2">
              <w:rPr>
                <w:rFonts w:ascii="Times New Roman" w:eastAsia="Times New Roman" w:hAnsi="Times New Roman" w:cs="Times New Roman"/>
                <w:color w:val="000000"/>
                <w:sz w:val="20"/>
                <w:szCs w:val="20"/>
                <w:u w:val="single"/>
              </w:rPr>
              <w:t>OLS</w:t>
            </w:r>
          </w:p>
        </w:tc>
        <w:tc>
          <w:tcPr>
            <w:tcW w:w="960" w:type="dxa"/>
            <w:tcBorders>
              <w:top w:val="nil"/>
              <w:left w:val="nil"/>
              <w:bottom w:val="nil"/>
              <w:right w:val="nil"/>
            </w:tcBorders>
            <w:shd w:val="clear" w:color="auto" w:fill="auto"/>
            <w:noWrap/>
            <w:vAlign w:val="bottom"/>
            <w:hideMark/>
          </w:tcPr>
          <w:p w14:paraId="2329A8C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u w:val="single"/>
              </w:rPr>
            </w:pPr>
            <w:r w:rsidRPr="001133A2">
              <w:rPr>
                <w:rFonts w:ascii="Times New Roman" w:eastAsia="Times New Roman" w:hAnsi="Times New Roman" w:cs="Times New Roman"/>
                <w:color w:val="000000"/>
                <w:sz w:val="20"/>
                <w:szCs w:val="20"/>
                <w:u w:val="single"/>
              </w:rPr>
              <w:t>IV</w:t>
            </w:r>
          </w:p>
        </w:tc>
      </w:tr>
      <w:tr w:rsidR="001133A2" w:rsidRPr="001133A2" w14:paraId="51048404" w14:textId="77777777" w:rsidTr="001133A2">
        <w:trPr>
          <w:trHeight w:val="290"/>
          <w:jc w:val="center"/>
        </w:trPr>
        <w:tc>
          <w:tcPr>
            <w:tcW w:w="4200" w:type="dxa"/>
            <w:tcBorders>
              <w:top w:val="nil"/>
              <w:left w:val="nil"/>
              <w:bottom w:val="single" w:sz="4" w:space="0" w:color="auto"/>
              <w:right w:val="nil"/>
            </w:tcBorders>
            <w:shd w:val="clear" w:color="auto" w:fill="auto"/>
            <w:noWrap/>
            <w:vAlign w:val="bottom"/>
            <w:hideMark/>
          </w:tcPr>
          <w:p w14:paraId="7CE9BDD0"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2E23DF0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(1)</w:t>
            </w:r>
          </w:p>
        </w:tc>
        <w:tc>
          <w:tcPr>
            <w:tcW w:w="960" w:type="dxa"/>
            <w:tcBorders>
              <w:top w:val="nil"/>
              <w:left w:val="nil"/>
              <w:bottom w:val="single" w:sz="4" w:space="0" w:color="auto"/>
              <w:right w:val="nil"/>
            </w:tcBorders>
            <w:shd w:val="clear" w:color="auto" w:fill="auto"/>
            <w:noWrap/>
            <w:vAlign w:val="bottom"/>
            <w:hideMark/>
          </w:tcPr>
          <w:p w14:paraId="31300329"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(2)</w:t>
            </w:r>
          </w:p>
        </w:tc>
        <w:tc>
          <w:tcPr>
            <w:tcW w:w="320" w:type="dxa"/>
            <w:tcBorders>
              <w:top w:val="nil"/>
              <w:left w:val="nil"/>
              <w:bottom w:val="single" w:sz="4" w:space="0" w:color="auto"/>
              <w:right w:val="nil"/>
            </w:tcBorders>
            <w:shd w:val="clear" w:color="auto" w:fill="auto"/>
            <w:noWrap/>
            <w:vAlign w:val="bottom"/>
            <w:hideMark/>
          </w:tcPr>
          <w:p w14:paraId="19F5F9CA"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0C7C6F3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w:t>
            </w:r>
          </w:p>
        </w:tc>
        <w:tc>
          <w:tcPr>
            <w:tcW w:w="960" w:type="dxa"/>
            <w:tcBorders>
              <w:top w:val="nil"/>
              <w:left w:val="nil"/>
              <w:bottom w:val="single" w:sz="4" w:space="0" w:color="auto"/>
              <w:right w:val="nil"/>
            </w:tcBorders>
            <w:shd w:val="clear" w:color="auto" w:fill="auto"/>
            <w:noWrap/>
            <w:vAlign w:val="bottom"/>
            <w:hideMark/>
          </w:tcPr>
          <w:p w14:paraId="1CC32045"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(4)</w:t>
            </w:r>
          </w:p>
        </w:tc>
        <w:tc>
          <w:tcPr>
            <w:tcW w:w="300" w:type="dxa"/>
            <w:tcBorders>
              <w:top w:val="nil"/>
              <w:left w:val="nil"/>
              <w:bottom w:val="single" w:sz="4" w:space="0" w:color="auto"/>
              <w:right w:val="nil"/>
            </w:tcBorders>
            <w:shd w:val="clear" w:color="auto" w:fill="auto"/>
            <w:noWrap/>
            <w:vAlign w:val="bottom"/>
            <w:hideMark/>
          </w:tcPr>
          <w:p w14:paraId="04B9ACA5" w14:textId="77777777" w:rsidR="001133A2" w:rsidRPr="001133A2" w:rsidRDefault="001133A2" w:rsidP="001133A2">
            <w:pPr>
              <w:spacing w:after="0" w:line="240" w:lineRule="auto"/>
              <w:rPr>
                <w:rFonts w:ascii="Calibri" w:eastAsia="Times New Roman" w:hAnsi="Calibri" w:cs="Calibri"/>
                <w:color w:val="000000"/>
              </w:rPr>
            </w:pPr>
            <w:r w:rsidRPr="001133A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220E48C"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(5)</w:t>
            </w:r>
          </w:p>
        </w:tc>
        <w:tc>
          <w:tcPr>
            <w:tcW w:w="960" w:type="dxa"/>
            <w:tcBorders>
              <w:top w:val="nil"/>
              <w:left w:val="nil"/>
              <w:bottom w:val="single" w:sz="4" w:space="0" w:color="auto"/>
              <w:right w:val="nil"/>
            </w:tcBorders>
            <w:shd w:val="clear" w:color="auto" w:fill="auto"/>
            <w:noWrap/>
            <w:vAlign w:val="bottom"/>
            <w:hideMark/>
          </w:tcPr>
          <w:p w14:paraId="22ECA7F4"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(6)</w:t>
            </w:r>
          </w:p>
        </w:tc>
        <w:tc>
          <w:tcPr>
            <w:tcW w:w="320" w:type="dxa"/>
            <w:tcBorders>
              <w:top w:val="nil"/>
              <w:left w:val="nil"/>
              <w:bottom w:val="single" w:sz="4" w:space="0" w:color="auto"/>
              <w:right w:val="nil"/>
            </w:tcBorders>
            <w:shd w:val="clear" w:color="auto" w:fill="auto"/>
            <w:noWrap/>
            <w:vAlign w:val="bottom"/>
            <w:hideMark/>
          </w:tcPr>
          <w:p w14:paraId="6BF3EDFD"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07FE0584"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(7)</w:t>
            </w:r>
          </w:p>
        </w:tc>
        <w:tc>
          <w:tcPr>
            <w:tcW w:w="960" w:type="dxa"/>
            <w:tcBorders>
              <w:top w:val="nil"/>
              <w:left w:val="nil"/>
              <w:bottom w:val="single" w:sz="4" w:space="0" w:color="auto"/>
              <w:right w:val="nil"/>
            </w:tcBorders>
            <w:shd w:val="clear" w:color="auto" w:fill="auto"/>
            <w:noWrap/>
            <w:vAlign w:val="bottom"/>
            <w:hideMark/>
          </w:tcPr>
          <w:p w14:paraId="37263D25"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(8)</w:t>
            </w:r>
          </w:p>
        </w:tc>
      </w:tr>
      <w:tr w:rsidR="001133A2" w:rsidRPr="001133A2" w14:paraId="5CACA650"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3549638C"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 xml:space="preserve">School is within 10 Mins of an Open Dispensary </w:t>
            </w:r>
          </w:p>
        </w:tc>
        <w:tc>
          <w:tcPr>
            <w:tcW w:w="960" w:type="dxa"/>
            <w:tcBorders>
              <w:top w:val="nil"/>
              <w:left w:val="nil"/>
              <w:bottom w:val="nil"/>
              <w:right w:val="nil"/>
            </w:tcBorders>
            <w:shd w:val="clear" w:color="auto" w:fill="auto"/>
            <w:noWrap/>
            <w:vAlign w:val="bottom"/>
            <w:hideMark/>
          </w:tcPr>
          <w:p w14:paraId="5B7CC062"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0.006</w:t>
            </w:r>
          </w:p>
        </w:tc>
        <w:tc>
          <w:tcPr>
            <w:tcW w:w="960" w:type="dxa"/>
            <w:tcBorders>
              <w:top w:val="nil"/>
              <w:left w:val="nil"/>
              <w:bottom w:val="nil"/>
              <w:right w:val="nil"/>
            </w:tcBorders>
            <w:shd w:val="clear" w:color="auto" w:fill="auto"/>
            <w:noWrap/>
            <w:vAlign w:val="bottom"/>
            <w:hideMark/>
          </w:tcPr>
          <w:p w14:paraId="5BED573A"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0.109</w:t>
            </w:r>
          </w:p>
        </w:tc>
        <w:tc>
          <w:tcPr>
            <w:tcW w:w="320" w:type="dxa"/>
            <w:tcBorders>
              <w:top w:val="nil"/>
              <w:left w:val="nil"/>
              <w:bottom w:val="nil"/>
              <w:right w:val="nil"/>
            </w:tcBorders>
            <w:shd w:val="clear" w:color="auto" w:fill="auto"/>
            <w:noWrap/>
            <w:vAlign w:val="bottom"/>
            <w:hideMark/>
          </w:tcPr>
          <w:p w14:paraId="3B382DED"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546BF7A"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0.005</w:t>
            </w:r>
          </w:p>
        </w:tc>
        <w:tc>
          <w:tcPr>
            <w:tcW w:w="960" w:type="dxa"/>
            <w:tcBorders>
              <w:top w:val="nil"/>
              <w:left w:val="nil"/>
              <w:bottom w:val="nil"/>
              <w:right w:val="nil"/>
            </w:tcBorders>
            <w:shd w:val="clear" w:color="auto" w:fill="auto"/>
            <w:noWrap/>
            <w:vAlign w:val="bottom"/>
            <w:hideMark/>
          </w:tcPr>
          <w:p w14:paraId="362C981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0.070</w:t>
            </w:r>
          </w:p>
        </w:tc>
        <w:tc>
          <w:tcPr>
            <w:tcW w:w="300" w:type="dxa"/>
            <w:tcBorders>
              <w:top w:val="nil"/>
              <w:left w:val="nil"/>
              <w:bottom w:val="nil"/>
              <w:right w:val="nil"/>
            </w:tcBorders>
            <w:shd w:val="clear" w:color="auto" w:fill="auto"/>
            <w:noWrap/>
            <w:vAlign w:val="bottom"/>
            <w:hideMark/>
          </w:tcPr>
          <w:p w14:paraId="67D486D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F460567"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0.028</w:t>
            </w:r>
          </w:p>
        </w:tc>
        <w:tc>
          <w:tcPr>
            <w:tcW w:w="960" w:type="dxa"/>
            <w:tcBorders>
              <w:top w:val="nil"/>
              <w:left w:val="nil"/>
              <w:bottom w:val="nil"/>
              <w:right w:val="nil"/>
            </w:tcBorders>
            <w:shd w:val="clear" w:color="auto" w:fill="auto"/>
            <w:noWrap/>
            <w:vAlign w:val="bottom"/>
            <w:hideMark/>
          </w:tcPr>
          <w:p w14:paraId="1C4A20B4"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0.119</w:t>
            </w:r>
          </w:p>
        </w:tc>
        <w:tc>
          <w:tcPr>
            <w:tcW w:w="320" w:type="dxa"/>
            <w:tcBorders>
              <w:top w:val="nil"/>
              <w:left w:val="nil"/>
              <w:bottom w:val="nil"/>
              <w:right w:val="nil"/>
            </w:tcBorders>
            <w:shd w:val="clear" w:color="auto" w:fill="auto"/>
            <w:noWrap/>
            <w:vAlign w:val="bottom"/>
            <w:hideMark/>
          </w:tcPr>
          <w:p w14:paraId="62D55C8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E4B774B"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0.013</w:t>
            </w:r>
          </w:p>
        </w:tc>
        <w:tc>
          <w:tcPr>
            <w:tcW w:w="960" w:type="dxa"/>
            <w:tcBorders>
              <w:top w:val="nil"/>
              <w:left w:val="nil"/>
              <w:bottom w:val="nil"/>
              <w:right w:val="nil"/>
            </w:tcBorders>
            <w:shd w:val="clear" w:color="auto" w:fill="auto"/>
            <w:noWrap/>
            <w:vAlign w:val="bottom"/>
            <w:hideMark/>
          </w:tcPr>
          <w:p w14:paraId="202C4054"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0.081</w:t>
            </w:r>
          </w:p>
        </w:tc>
      </w:tr>
      <w:tr w:rsidR="001133A2" w:rsidRPr="001133A2" w14:paraId="29C35377"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6675360F"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9A7C5FA"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(0.0164)</w:t>
            </w:r>
          </w:p>
        </w:tc>
        <w:tc>
          <w:tcPr>
            <w:tcW w:w="960" w:type="dxa"/>
            <w:tcBorders>
              <w:top w:val="nil"/>
              <w:left w:val="nil"/>
              <w:bottom w:val="nil"/>
              <w:right w:val="nil"/>
            </w:tcBorders>
            <w:shd w:val="clear" w:color="auto" w:fill="auto"/>
            <w:noWrap/>
            <w:vAlign w:val="bottom"/>
            <w:hideMark/>
          </w:tcPr>
          <w:p w14:paraId="7462CA34"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(0.0553)</w:t>
            </w:r>
          </w:p>
        </w:tc>
        <w:tc>
          <w:tcPr>
            <w:tcW w:w="320" w:type="dxa"/>
            <w:tcBorders>
              <w:top w:val="nil"/>
              <w:left w:val="nil"/>
              <w:bottom w:val="nil"/>
              <w:right w:val="nil"/>
            </w:tcBorders>
            <w:shd w:val="clear" w:color="auto" w:fill="auto"/>
            <w:noWrap/>
            <w:vAlign w:val="bottom"/>
            <w:hideMark/>
          </w:tcPr>
          <w:p w14:paraId="0CF42A8C"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E1107D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(0.0145)</w:t>
            </w:r>
          </w:p>
        </w:tc>
        <w:tc>
          <w:tcPr>
            <w:tcW w:w="960" w:type="dxa"/>
            <w:tcBorders>
              <w:top w:val="nil"/>
              <w:left w:val="nil"/>
              <w:bottom w:val="nil"/>
              <w:right w:val="nil"/>
            </w:tcBorders>
            <w:shd w:val="clear" w:color="auto" w:fill="auto"/>
            <w:noWrap/>
            <w:vAlign w:val="bottom"/>
            <w:hideMark/>
          </w:tcPr>
          <w:p w14:paraId="3E677C4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(0.0488)</w:t>
            </w:r>
          </w:p>
        </w:tc>
        <w:tc>
          <w:tcPr>
            <w:tcW w:w="300" w:type="dxa"/>
            <w:tcBorders>
              <w:top w:val="nil"/>
              <w:left w:val="nil"/>
              <w:bottom w:val="nil"/>
              <w:right w:val="nil"/>
            </w:tcBorders>
            <w:shd w:val="clear" w:color="auto" w:fill="auto"/>
            <w:noWrap/>
            <w:vAlign w:val="bottom"/>
            <w:hideMark/>
          </w:tcPr>
          <w:p w14:paraId="2318A011"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2C17CF4"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(0.0166)</w:t>
            </w:r>
          </w:p>
        </w:tc>
        <w:tc>
          <w:tcPr>
            <w:tcW w:w="960" w:type="dxa"/>
            <w:tcBorders>
              <w:top w:val="nil"/>
              <w:left w:val="nil"/>
              <w:bottom w:val="nil"/>
              <w:right w:val="nil"/>
            </w:tcBorders>
            <w:shd w:val="clear" w:color="auto" w:fill="auto"/>
            <w:noWrap/>
            <w:vAlign w:val="bottom"/>
            <w:hideMark/>
          </w:tcPr>
          <w:p w14:paraId="53E348C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(0.0533)</w:t>
            </w:r>
          </w:p>
        </w:tc>
        <w:tc>
          <w:tcPr>
            <w:tcW w:w="320" w:type="dxa"/>
            <w:tcBorders>
              <w:top w:val="nil"/>
              <w:left w:val="nil"/>
              <w:bottom w:val="nil"/>
              <w:right w:val="nil"/>
            </w:tcBorders>
            <w:shd w:val="clear" w:color="auto" w:fill="auto"/>
            <w:noWrap/>
            <w:vAlign w:val="bottom"/>
            <w:hideMark/>
          </w:tcPr>
          <w:p w14:paraId="516BAD3F"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AE2282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(0.0155)</w:t>
            </w:r>
          </w:p>
        </w:tc>
        <w:tc>
          <w:tcPr>
            <w:tcW w:w="960" w:type="dxa"/>
            <w:tcBorders>
              <w:top w:val="nil"/>
              <w:left w:val="nil"/>
              <w:bottom w:val="nil"/>
              <w:right w:val="nil"/>
            </w:tcBorders>
            <w:shd w:val="clear" w:color="auto" w:fill="auto"/>
            <w:noWrap/>
            <w:vAlign w:val="bottom"/>
            <w:hideMark/>
          </w:tcPr>
          <w:p w14:paraId="412B009D"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(0.0490)</w:t>
            </w:r>
          </w:p>
        </w:tc>
      </w:tr>
      <w:tr w:rsidR="001133A2" w:rsidRPr="001133A2" w14:paraId="36D2AAB7"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4565BA32"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AA4F251"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[0.358]</w:t>
            </w:r>
          </w:p>
        </w:tc>
        <w:tc>
          <w:tcPr>
            <w:tcW w:w="960" w:type="dxa"/>
            <w:tcBorders>
              <w:top w:val="nil"/>
              <w:left w:val="nil"/>
              <w:bottom w:val="nil"/>
              <w:right w:val="nil"/>
            </w:tcBorders>
            <w:shd w:val="clear" w:color="auto" w:fill="auto"/>
            <w:noWrap/>
            <w:vAlign w:val="bottom"/>
            <w:hideMark/>
          </w:tcPr>
          <w:p w14:paraId="54F10BA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[0.024]</w:t>
            </w:r>
          </w:p>
        </w:tc>
        <w:tc>
          <w:tcPr>
            <w:tcW w:w="320" w:type="dxa"/>
            <w:tcBorders>
              <w:top w:val="nil"/>
              <w:left w:val="nil"/>
              <w:bottom w:val="nil"/>
              <w:right w:val="nil"/>
            </w:tcBorders>
            <w:shd w:val="clear" w:color="auto" w:fill="auto"/>
            <w:noWrap/>
            <w:vAlign w:val="bottom"/>
            <w:hideMark/>
          </w:tcPr>
          <w:p w14:paraId="3E59EE8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B205C21"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[0.356]</w:t>
            </w:r>
          </w:p>
        </w:tc>
        <w:tc>
          <w:tcPr>
            <w:tcW w:w="960" w:type="dxa"/>
            <w:tcBorders>
              <w:top w:val="nil"/>
              <w:left w:val="nil"/>
              <w:bottom w:val="nil"/>
              <w:right w:val="nil"/>
            </w:tcBorders>
            <w:shd w:val="clear" w:color="auto" w:fill="auto"/>
            <w:noWrap/>
            <w:vAlign w:val="bottom"/>
            <w:hideMark/>
          </w:tcPr>
          <w:p w14:paraId="437B2279"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[0.075]</w:t>
            </w:r>
          </w:p>
        </w:tc>
        <w:tc>
          <w:tcPr>
            <w:tcW w:w="300" w:type="dxa"/>
            <w:tcBorders>
              <w:top w:val="nil"/>
              <w:left w:val="nil"/>
              <w:bottom w:val="nil"/>
              <w:right w:val="nil"/>
            </w:tcBorders>
            <w:shd w:val="clear" w:color="auto" w:fill="auto"/>
            <w:noWrap/>
            <w:vAlign w:val="bottom"/>
            <w:hideMark/>
          </w:tcPr>
          <w:p w14:paraId="65E6568B"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093037D"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[0.049]</w:t>
            </w:r>
          </w:p>
        </w:tc>
        <w:tc>
          <w:tcPr>
            <w:tcW w:w="960" w:type="dxa"/>
            <w:tcBorders>
              <w:top w:val="nil"/>
              <w:left w:val="nil"/>
              <w:bottom w:val="nil"/>
              <w:right w:val="nil"/>
            </w:tcBorders>
            <w:shd w:val="clear" w:color="auto" w:fill="auto"/>
            <w:noWrap/>
            <w:vAlign w:val="bottom"/>
            <w:hideMark/>
          </w:tcPr>
          <w:p w14:paraId="32F9A8F4"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[0.013]</w:t>
            </w:r>
          </w:p>
        </w:tc>
        <w:tc>
          <w:tcPr>
            <w:tcW w:w="320" w:type="dxa"/>
            <w:tcBorders>
              <w:top w:val="nil"/>
              <w:left w:val="nil"/>
              <w:bottom w:val="nil"/>
              <w:right w:val="nil"/>
            </w:tcBorders>
            <w:shd w:val="clear" w:color="auto" w:fill="auto"/>
            <w:noWrap/>
            <w:vAlign w:val="bottom"/>
            <w:hideMark/>
          </w:tcPr>
          <w:p w14:paraId="2ED36A9D"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FADD7E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[0.210]</w:t>
            </w:r>
          </w:p>
        </w:tc>
        <w:tc>
          <w:tcPr>
            <w:tcW w:w="960" w:type="dxa"/>
            <w:tcBorders>
              <w:top w:val="nil"/>
              <w:left w:val="nil"/>
              <w:bottom w:val="nil"/>
              <w:right w:val="nil"/>
            </w:tcBorders>
            <w:shd w:val="clear" w:color="auto" w:fill="auto"/>
            <w:noWrap/>
            <w:vAlign w:val="bottom"/>
            <w:hideMark/>
          </w:tcPr>
          <w:p w14:paraId="4B41CFE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[0.050]</w:t>
            </w:r>
          </w:p>
        </w:tc>
      </w:tr>
      <w:tr w:rsidR="001133A2" w:rsidRPr="001133A2" w14:paraId="36ED1402"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4AEBEC5F"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7D7D3B3"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{0.411}</w:t>
            </w:r>
          </w:p>
        </w:tc>
        <w:tc>
          <w:tcPr>
            <w:tcW w:w="960" w:type="dxa"/>
            <w:tcBorders>
              <w:top w:val="nil"/>
              <w:left w:val="nil"/>
              <w:bottom w:val="nil"/>
              <w:right w:val="nil"/>
            </w:tcBorders>
            <w:shd w:val="clear" w:color="auto" w:fill="auto"/>
            <w:noWrap/>
            <w:vAlign w:val="bottom"/>
            <w:hideMark/>
          </w:tcPr>
          <w:p w14:paraId="0DE1560B"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{0.015}</w:t>
            </w:r>
          </w:p>
        </w:tc>
        <w:tc>
          <w:tcPr>
            <w:tcW w:w="320" w:type="dxa"/>
            <w:tcBorders>
              <w:top w:val="nil"/>
              <w:left w:val="nil"/>
              <w:bottom w:val="nil"/>
              <w:right w:val="nil"/>
            </w:tcBorders>
            <w:shd w:val="clear" w:color="auto" w:fill="auto"/>
            <w:noWrap/>
            <w:vAlign w:val="bottom"/>
            <w:hideMark/>
          </w:tcPr>
          <w:p w14:paraId="18AE9993"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D464B01"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{0.411}</w:t>
            </w:r>
          </w:p>
        </w:tc>
        <w:tc>
          <w:tcPr>
            <w:tcW w:w="960" w:type="dxa"/>
            <w:tcBorders>
              <w:top w:val="nil"/>
              <w:left w:val="nil"/>
              <w:bottom w:val="nil"/>
              <w:right w:val="nil"/>
            </w:tcBorders>
            <w:shd w:val="clear" w:color="auto" w:fill="auto"/>
            <w:noWrap/>
            <w:vAlign w:val="bottom"/>
            <w:hideMark/>
          </w:tcPr>
          <w:p w14:paraId="0CB864D2"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{0.069}</w:t>
            </w:r>
          </w:p>
        </w:tc>
        <w:tc>
          <w:tcPr>
            <w:tcW w:w="300" w:type="dxa"/>
            <w:tcBorders>
              <w:top w:val="nil"/>
              <w:left w:val="nil"/>
              <w:bottom w:val="nil"/>
              <w:right w:val="nil"/>
            </w:tcBorders>
            <w:shd w:val="clear" w:color="auto" w:fill="auto"/>
            <w:noWrap/>
            <w:vAlign w:val="bottom"/>
            <w:hideMark/>
          </w:tcPr>
          <w:p w14:paraId="19007EB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30A15B0"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{0.025}</w:t>
            </w:r>
          </w:p>
        </w:tc>
        <w:tc>
          <w:tcPr>
            <w:tcW w:w="960" w:type="dxa"/>
            <w:tcBorders>
              <w:top w:val="nil"/>
              <w:left w:val="nil"/>
              <w:bottom w:val="nil"/>
              <w:right w:val="nil"/>
            </w:tcBorders>
            <w:shd w:val="clear" w:color="auto" w:fill="auto"/>
            <w:noWrap/>
            <w:vAlign w:val="bottom"/>
            <w:hideMark/>
          </w:tcPr>
          <w:p w14:paraId="74EEC74B"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{0.005}</w:t>
            </w:r>
          </w:p>
        </w:tc>
        <w:tc>
          <w:tcPr>
            <w:tcW w:w="320" w:type="dxa"/>
            <w:tcBorders>
              <w:top w:val="nil"/>
              <w:left w:val="nil"/>
              <w:bottom w:val="nil"/>
              <w:right w:val="nil"/>
            </w:tcBorders>
            <w:shd w:val="clear" w:color="auto" w:fill="auto"/>
            <w:noWrap/>
            <w:vAlign w:val="bottom"/>
            <w:hideMark/>
          </w:tcPr>
          <w:p w14:paraId="0760779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AD8B2B3"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{0.109}</w:t>
            </w:r>
          </w:p>
        </w:tc>
        <w:tc>
          <w:tcPr>
            <w:tcW w:w="960" w:type="dxa"/>
            <w:tcBorders>
              <w:top w:val="nil"/>
              <w:left w:val="nil"/>
              <w:bottom w:val="nil"/>
              <w:right w:val="nil"/>
            </w:tcBorders>
            <w:shd w:val="clear" w:color="auto" w:fill="auto"/>
            <w:noWrap/>
            <w:vAlign w:val="bottom"/>
            <w:hideMark/>
          </w:tcPr>
          <w:p w14:paraId="064C4483"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{0.025}</w:t>
            </w:r>
          </w:p>
        </w:tc>
      </w:tr>
      <w:tr w:rsidR="001133A2" w:rsidRPr="001133A2" w14:paraId="07FE94E7"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40254FF7"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2799C41"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6C6E89" w14:textId="77777777" w:rsidR="001133A2" w:rsidRPr="001133A2" w:rsidRDefault="001133A2" w:rsidP="001133A2">
            <w:pPr>
              <w:spacing w:after="0" w:line="240" w:lineRule="auto"/>
              <w:jc w:val="center"/>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0D96099" w14:textId="77777777" w:rsidR="001133A2" w:rsidRPr="001133A2" w:rsidRDefault="001133A2" w:rsidP="001133A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5BBDD4"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8E253C"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83769FB"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E98D57"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ADFFD33"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E016904"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7268FF9"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6E3545" w14:textId="77777777" w:rsidR="001133A2" w:rsidRPr="001133A2" w:rsidRDefault="001133A2" w:rsidP="001133A2">
            <w:pPr>
              <w:spacing w:after="0" w:line="240" w:lineRule="auto"/>
              <w:rPr>
                <w:rFonts w:ascii="Times New Roman" w:eastAsia="Times New Roman" w:hAnsi="Times New Roman" w:cs="Times New Roman"/>
                <w:sz w:val="20"/>
                <w:szCs w:val="20"/>
              </w:rPr>
            </w:pPr>
          </w:p>
        </w:tc>
      </w:tr>
      <w:tr w:rsidR="001133A2" w:rsidRPr="001133A2" w14:paraId="3FDC2168"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4CA306B5"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First-Stage F-statistic</w:t>
            </w:r>
          </w:p>
        </w:tc>
        <w:tc>
          <w:tcPr>
            <w:tcW w:w="960" w:type="dxa"/>
            <w:tcBorders>
              <w:top w:val="nil"/>
              <w:left w:val="nil"/>
              <w:bottom w:val="nil"/>
              <w:right w:val="nil"/>
            </w:tcBorders>
            <w:shd w:val="clear" w:color="auto" w:fill="auto"/>
            <w:noWrap/>
            <w:vAlign w:val="bottom"/>
            <w:hideMark/>
          </w:tcPr>
          <w:p w14:paraId="25452EB7"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A1DD79A"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15.19</w:t>
            </w:r>
          </w:p>
        </w:tc>
        <w:tc>
          <w:tcPr>
            <w:tcW w:w="320" w:type="dxa"/>
            <w:tcBorders>
              <w:top w:val="nil"/>
              <w:left w:val="nil"/>
              <w:bottom w:val="nil"/>
              <w:right w:val="nil"/>
            </w:tcBorders>
            <w:shd w:val="clear" w:color="auto" w:fill="auto"/>
            <w:noWrap/>
            <w:vAlign w:val="bottom"/>
            <w:hideMark/>
          </w:tcPr>
          <w:p w14:paraId="15E526D5"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30F84D6"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67B5D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15.19</w:t>
            </w:r>
          </w:p>
        </w:tc>
        <w:tc>
          <w:tcPr>
            <w:tcW w:w="300" w:type="dxa"/>
            <w:tcBorders>
              <w:top w:val="nil"/>
              <w:left w:val="nil"/>
              <w:bottom w:val="nil"/>
              <w:right w:val="nil"/>
            </w:tcBorders>
            <w:shd w:val="clear" w:color="auto" w:fill="auto"/>
            <w:noWrap/>
            <w:vAlign w:val="bottom"/>
            <w:hideMark/>
          </w:tcPr>
          <w:p w14:paraId="06B810D7"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E6AB4C3"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A58092"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18.95</w:t>
            </w:r>
          </w:p>
        </w:tc>
        <w:tc>
          <w:tcPr>
            <w:tcW w:w="320" w:type="dxa"/>
            <w:tcBorders>
              <w:top w:val="nil"/>
              <w:left w:val="nil"/>
              <w:bottom w:val="nil"/>
              <w:right w:val="nil"/>
            </w:tcBorders>
            <w:shd w:val="clear" w:color="auto" w:fill="auto"/>
            <w:noWrap/>
            <w:vAlign w:val="bottom"/>
            <w:hideMark/>
          </w:tcPr>
          <w:p w14:paraId="6E4231CF"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C7DCB0E"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0E3D7D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18.95</w:t>
            </w:r>
          </w:p>
        </w:tc>
      </w:tr>
      <w:tr w:rsidR="001133A2" w:rsidRPr="001133A2" w14:paraId="6D6F8E95"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7AFA6580"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Hausman p-value</w:t>
            </w:r>
          </w:p>
        </w:tc>
        <w:tc>
          <w:tcPr>
            <w:tcW w:w="960" w:type="dxa"/>
            <w:tcBorders>
              <w:top w:val="nil"/>
              <w:left w:val="nil"/>
              <w:bottom w:val="nil"/>
              <w:right w:val="nil"/>
            </w:tcBorders>
            <w:shd w:val="clear" w:color="auto" w:fill="auto"/>
            <w:noWrap/>
            <w:vAlign w:val="bottom"/>
            <w:hideMark/>
          </w:tcPr>
          <w:p w14:paraId="7314D92E"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1DCB951"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0.02</w:t>
            </w:r>
          </w:p>
        </w:tc>
        <w:tc>
          <w:tcPr>
            <w:tcW w:w="320" w:type="dxa"/>
            <w:tcBorders>
              <w:top w:val="nil"/>
              <w:left w:val="nil"/>
              <w:bottom w:val="nil"/>
              <w:right w:val="nil"/>
            </w:tcBorders>
            <w:shd w:val="clear" w:color="auto" w:fill="auto"/>
            <w:noWrap/>
            <w:vAlign w:val="bottom"/>
            <w:hideMark/>
          </w:tcPr>
          <w:p w14:paraId="0BBE18CB"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6C9D85A"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7DAC6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0.13</w:t>
            </w:r>
          </w:p>
        </w:tc>
        <w:tc>
          <w:tcPr>
            <w:tcW w:w="300" w:type="dxa"/>
            <w:tcBorders>
              <w:top w:val="nil"/>
              <w:left w:val="nil"/>
              <w:bottom w:val="nil"/>
              <w:right w:val="nil"/>
            </w:tcBorders>
            <w:shd w:val="clear" w:color="auto" w:fill="auto"/>
            <w:noWrap/>
            <w:vAlign w:val="bottom"/>
            <w:hideMark/>
          </w:tcPr>
          <w:p w14:paraId="684CEE4F"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A5F35E5"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1A3934B"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0.05</w:t>
            </w:r>
          </w:p>
        </w:tc>
        <w:tc>
          <w:tcPr>
            <w:tcW w:w="320" w:type="dxa"/>
            <w:tcBorders>
              <w:top w:val="nil"/>
              <w:left w:val="nil"/>
              <w:bottom w:val="nil"/>
              <w:right w:val="nil"/>
            </w:tcBorders>
            <w:shd w:val="clear" w:color="auto" w:fill="auto"/>
            <w:noWrap/>
            <w:vAlign w:val="bottom"/>
            <w:hideMark/>
          </w:tcPr>
          <w:p w14:paraId="5B567CCF"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FFF05DD" w14:textId="77777777" w:rsidR="001133A2" w:rsidRPr="001133A2" w:rsidRDefault="001133A2" w:rsidP="001133A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90C202"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0.12</w:t>
            </w:r>
          </w:p>
        </w:tc>
      </w:tr>
      <w:tr w:rsidR="001133A2" w:rsidRPr="001133A2" w14:paraId="7AD1A763" w14:textId="77777777" w:rsidTr="001133A2">
        <w:trPr>
          <w:trHeight w:val="290"/>
          <w:jc w:val="center"/>
        </w:trPr>
        <w:tc>
          <w:tcPr>
            <w:tcW w:w="4200" w:type="dxa"/>
            <w:tcBorders>
              <w:top w:val="nil"/>
              <w:left w:val="nil"/>
              <w:bottom w:val="nil"/>
              <w:right w:val="nil"/>
            </w:tcBorders>
            <w:shd w:val="clear" w:color="auto" w:fill="auto"/>
            <w:noWrap/>
            <w:vAlign w:val="bottom"/>
            <w:hideMark/>
          </w:tcPr>
          <w:p w14:paraId="6BBDCB62"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Dependent Mean Pre-Legalization</w:t>
            </w:r>
          </w:p>
        </w:tc>
        <w:tc>
          <w:tcPr>
            <w:tcW w:w="960" w:type="dxa"/>
            <w:tcBorders>
              <w:top w:val="nil"/>
              <w:left w:val="nil"/>
              <w:bottom w:val="nil"/>
              <w:right w:val="nil"/>
            </w:tcBorders>
            <w:shd w:val="clear" w:color="auto" w:fill="auto"/>
            <w:noWrap/>
            <w:vAlign w:val="bottom"/>
            <w:hideMark/>
          </w:tcPr>
          <w:p w14:paraId="6B30661C"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0.24</w:t>
            </w:r>
          </w:p>
        </w:tc>
        <w:tc>
          <w:tcPr>
            <w:tcW w:w="960" w:type="dxa"/>
            <w:tcBorders>
              <w:top w:val="nil"/>
              <w:left w:val="nil"/>
              <w:bottom w:val="nil"/>
              <w:right w:val="nil"/>
            </w:tcBorders>
            <w:shd w:val="clear" w:color="auto" w:fill="auto"/>
            <w:noWrap/>
            <w:vAlign w:val="bottom"/>
            <w:hideMark/>
          </w:tcPr>
          <w:p w14:paraId="3ACA359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0.24</w:t>
            </w:r>
          </w:p>
        </w:tc>
        <w:tc>
          <w:tcPr>
            <w:tcW w:w="320" w:type="dxa"/>
            <w:tcBorders>
              <w:top w:val="nil"/>
              <w:left w:val="nil"/>
              <w:bottom w:val="nil"/>
              <w:right w:val="nil"/>
            </w:tcBorders>
            <w:shd w:val="clear" w:color="auto" w:fill="auto"/>
            <w:noWrap/>
            <w:vAlign w:val="bottom"/>
            <w:hideMark/>
          </w:tcPr>
          <w:p w14:paraId="7A76873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02F47D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20E4CA52"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0.21</w:t>
            </w:r>
          </w:p>
        </w:tc>
        <w:tc>
          <w:tcPr>
            <w:tcW w:w="300" w:type="dxa"/>
            <w:tcBorders>
              <w:top w:val="nil"/>
              <w:left w:val="nil"/>
              <w:bottom w:val="nil"/>
              <w:right w:val="nil"/>
            </w:tcBorders>
            <w:shd w:val="clear" w:color="auto" w:fill="auto"/>
            <w:noWrap/>
            <w:vAlign w:val="bottom"/>
            <w:hideMark/>
          </w:tcPr>
          <w:p w14:paraId="043267E3"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CC81681"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0.24</w:t>
            </w:r>
          </w:p>
        </w:tc>
        <w:tc>
          <w:tcPr>
            <w:tcW w:w="960" w:type="dxa"/>
            <w:tcBorders>
              <w:top w:val="nil"/>
              <w:left w:val="nil"/>
              <w:bottom w:val="nil"/>
              <w:right w:val="nil"/>
            </w:tcBorders>
            <w:shd w:val="clear" w:color="auto" w:fill="auto"/>
            <w:noWrap/>
            <w:vAlign w:val="bottom"/>
            <w:hideMark/>
          </w:tcPr>
          <w:p w14:paraId="43141EB1"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0.24</w:t>
            </w:r>
          </w:p>
        </w:tc>
        <w:tc>
          <w:tcPr>
            <w:tcW w:w="320" w:type="dxa"/>
            <w:tcBorders>
              <w:top w:val="nil"/>
              <w:left w:val="nil"/>
              <w:bottom w:val="nil"/>
              <w:right w:val="nil"/>
            </w:tcBorders>
            <w:shd w:val="clear" w:color="auto" w:fill="auto"/>
            <w:noWrap/>
            <w:vAlign w:val="bottom"/>
            <w:hideMark/>
          </w:tcPr>
          <w:p w14:paraId="75EA3F3E"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68930A6"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0.21</w:t>
            </w:r>
          </w:p>
        </w:tc>
        <w:tc>
          <w:tcPr>
            <w:tcW w:w="960" w:type="dxa"/>
            <w:tcBorders>
              <w:top w:val="nil"/>
              <w:left w:val="nil"/>
              <w:bottom w:val="nil"/>
              <w:right w:val="nil"/>
            </w:tcBorders>
            <w:shd w:val="clear" w:color="auto" w:fill="auto"/>
            <w:noWrap/>
            <w:vAlign w:val="bottom"/>
            <w:hideMark/>
          </w:tcPr>
          <w:p w14:paraId="481C2559"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0.21</w:t>
            </w:r>
          </w:p>
        </w:tc>
      </w:tr>
      <w:tr w:rsidR="001133A2" w:rsidRPr="001133A2" w14:paraId="163E3753" w14:textId="77777777" w:rsidTr="001133A2">
        <w:trPr>
          <w:trHeight w:val="290"/>
          <w:jc w:val="center"/>
        </w:trPr>
        <w:tc>
          <w:tcPr>
            <w:tcW w:w="4200" w:type="dxa"/>
            <w:tcBorders>
              <w:top w:val="nil"/>
              <w:left w:val="nil"/>
              <w:bottom w:val="single" w:sz="4" w:space="0" w:color="auto"/>
              <w:right w:val="nil"/>
            </w:tcBorders>
            <w:shd w:val="clear" w:color="auto" w:fill="auto"/>
            <w:noWrap/>
            <w:vAlign w:val="bottom"/>
            <w:hideMark/>
          </w:tcPr>
          <w:p w14:paraId="580F7BEC" w14:textId="77777777" w:rsidR="001133A2" w:rsidRPr="001133A2" w:rsidRDefault="001133A2" w:rsidP="001133A2">
            <w:pPr>
              <w:spacing w:after="0" w:line="240" w:lineRule="auto"/>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Observations</w:t>
            </w:r>
          </w:p>
        </w:tc>
        <w:tc>
          <w:tcPr>
            <w:tcW w:w="960" w:type="dxa"/>
            <w:tcBorders>
              <w:top w:val="nil"/>
              <w:left w:val="nil"/>
              <w:bottom w:val="single" w:sz="4" w:space="0" w:color="auto"/>
              <w:right w:val="nil"/>
            </w:tcBorders>
            <w:shd w:val="clear" w:color="auto" w:fill="auto"/>
            <w:noWrap/>
            <w:vAlign w:val="bottom"/>
            <w:hideMark/>
          </w:tcPr>
          <w:p w14:paraId="6511E96B"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316</w:t>
            </w:r>
          </w:p>
        </w:tc>
        <w:tc>
          <w:tcPr>
            <w:tcW w:w="960" w:type="dxa"/>
            <w:tcBorders>
              <w:top w:val="nil"/>
              <w:left w:val="nil"/>
              <w:bottom w:val="single" w:sz="4" w:space="0" w:color="auto"/>
              <w:right w:val="nil"/>
            </w:tcBorders>
            <w:shd w:val="clear" w:color="auto" w:fill="auto"/>
            <w:noWrap/>
            <w:vAlign w:val="bottom"/>
            <w:hideMark/>
          </w:tcPr>
          <w:p w14:paraId="7B34A228"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316</w:t>
            </w:r>
          </w:p>
        </w:tc>
        <w:tc>
          <w:tcPr>
            <w:tcW w:w="320" w:type="dxa"/>
            <w:tcBorders>
              <w:top w:val="nil"/>
              <w:left w:val="nil"/>
              <w:bottom w:val="single" w:sz="4" w:space="0" w:color="auto"/>
              <w:right w:val="nil"/>
            </w:tcBorders>
            <w:shd w:val="clear" w:color="auto" w:fill="auto"/>
            <w:noWrap/>
            <w:vAlign w:val="bottom"/>
            <w:hideMark/>
          </w:tcPr>
          <w:p w14:paraId="2D3DD523" w14:textId="77777777" w:rsidR="001133A2" w:rsidRPr="001133A2" w:rsidRDefault="001133A2" w:rsidP="001133A2">
            <w:pPr>
              <w:spacing w:after="0" w:line="240" w:lineRule="auto"/>
              <w:rPr>
                <w:rFonts w:ascii="Calibri" w:eastAsia="Times New Roman" w:hAnsi="Calibri" w:cs="Calibri"/>
                <w:color w:val="000000"/>
              </w:rPr>
            </w:pPr>
            <w:r w:rsidRPr="001133A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8267C41"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316</w:t>
            </w:r>
          </w:p>
        </w:tc>
        <w:tc>
          <w:tcPr>
            <w:tcW w:w="960" w:type="dxa"/>
            <w:tcBorders>
              <w:top w:val="nil"/>
              <w:left w:val="nil"/>
              <w:bottom w:val="single" w:sz="4" w:space="0" w:color="auto"/>
              <w:right w:val="nil"/>
            </w:tcBorders>
            <w:shd w:val="clear" w:color="auto" w:fill="auto"/>
            <w:noWrap/>
            <w:vAlign w:val="bottom"/>
            <w:hideMark/>
          </w:tcPr>
          <w:p w14:paraId="3779899A"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316</w:t>
            </w:r>
          </w:p>
        </w:tc>
        <w:tc>
          <w:tcPr>
            <w:tcW w:w="300" w:type="dxa"/>
            <w:tcBorders>
              <w:top w:val="nil"/>
              <w:left w:val="nil"/>
              <w:bottom w:val="single" w:sz="4" w:space="0" w:color="auto"/>
              <w:right w:val="nil"/>
            </w:tcBorders>
            <w:shd w:val="clear" w:color="auto" w:fill="auto"/>
            <w:noWrap/>
            <w:vAlign w:val="bottom"/>
            <w:hideMark/>
          </w:tcPr>
          <w:p w14:paraId="4CA0B76E" w14:textId="77777777" w:rsidR="001133A2" w:rsidRPr="001133A2" w:rsidRDefault="001133A2" w:rsidP="001133A2">
            <w:pPr>
              <w:spacing w:after="0" w:line="240" w:lineRule="auto"/>
              <w:rPr>
                <w:rFonts w:ascii="Calibri" w:eastAsia="Times New Roman" w:hAnsi="Calibri" w:cs="Calibri"/>
                <w:color w:val="000000"/>
              </w:rPr>
            </w:pPr>
            <w:r w:rsidRPr="001133A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CA9D2AC"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324</w:t>
            </w:r>
          </w:p>
        </w:tc>
        <w:tc>
          <w:tcPr>
            <w:tcW w:w="960" w:type="dxa"/>
            <w:tcBorders>
              <w:top w:val="nil"/>
              <w:left w:val="nil"/>
              <w:bottom w:val="single" w:sz="4" w:space="0" w:color="auto"/>
              <w:right w:val="nil"/>
            </w:tcBorders>
            <w:shd w:val="clear" w:color="auto" w:fill="auto"/>
            <w:noWrap/>
            <w:vAlign w:val="bottom"/>
            <w:hideMark/>
          </w:tcPr>
          <w:p w14:paraId="2A03F6EA"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324</w:t>
            </w:r>
          </w:p>
        </w:tc>
        <w:tc>
          <w:tcPr>
            <w:tcW w:w="320" w:type="dxa"/>
            <w:tcBorders>
              <w:top w:val="nil"/>
              <w:left w:val="nil"/>
              <w:bottom w:val="single" w:sz="4" w:space="0" w:color="auto"/>
              <w:right w:val="nil"/>
            </w:tcBorders>
            <w:shd w:val="clear" w:color="auto" w:fill="auto"/>
            <w:noWrap/>
            <w:vAlign w:val="bottom"/>
            <w:hideMark/>
          </w:tcPr>
          <w:p w14:paraId="75242E18" w14:textId="77777777" w:rsidR="001133A2" w:rsidRPr="001133A2" w:rsidRDefault="001133A2" w:rsidP="001133A2">
            <w:pPr>
              <w:spacing w:after="0" w:line="240" w:lineRule="auto"/>
              <w:rPr>
                <w:rFonts w:ascii="Calibri" w:eastAsia="Times New Roman" w:hAnsi="Calibri" w:cs="Calibri"/>
                <w:color w:val="000000"/>
              </w:rPr>
            </w:pPr>
            <w:r w:rsidRPr="001133A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8094CAD"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324</w:t>
            </w:r>
          </w:p>
        </w:tc>
        <w:tc>
          <w:tcPr>
            <w:tcW w:w="960" w:type="dxa"/>
            <w:tcBorders>
              <w:top w:val="nil"/>
              <w:left w:val="nil"/>
              <w:bottom w:val="single" w:sz="4" w:space="0" w:color="auto"/>
              <w:right w:val="nil"/>
            </w:tcBorders>
            <w:shd w:val="clear" w:color="auto" w:fill="auto"/>
            <w:noWrap/>
            <w:vAlign w:val="bottom"/>
            <w:hideMark/>
          </w:tcPr>
          <w:p w14:paraId="67CF495C" w14:textId="77777777" w:rsidR="001133A2" w:rsidRPr="001133A2" w:rsidRDefault="001133A2" w:rsidP="001133A2">
            <w:pPr>
              <w:spacing w:after="0" w:line="240" w:lineRule="auto"/>
              <w:jc w:val="center"/>
              <w:rPr>
                <w:rFonts w:ascii="Times New Roman" w:eastAsia="Times New Roman" w:hAnsi="Times New Roman" w:cs="Times New Roman"/>
                <w:color w:val="000000"/>
                <w:sz w:val="20"/>
                <w:szCs w:val="20"/>
              </w:rPr>
            </w:pPr>
            <w:r w:rsidRPr="001133A2">
              <w:rPr>
                <w:rFonts w:ascii="Times New Roman" w:eastAsia="Times New Roman" w:hAnsi="Times New Roman" w:cs="Times New Roman"/>
                <w:color w:val="000000"/>
                <w:sz w:val="20"/>
                <w:szCs w:val="20"/>
              </w:rPr>
              <w:t>324</w:t>
            </w:r>
          </w:p>
        </w:tc>
      </w:tr>
      <w:tr w:rsidR="001133A2" w:rsidRPr="001133A2" w14:paraId="6D8EEC6B" w14:textId="77777777" w:rsidTr="008841E9">
        <w:trPr>
          <w:trHeight w:val="290"/>
          <w:jc w:val="center"/>
        </w:trPr>
        <w:tc>
          <w:tcPr>
            <w:tcW w:w="12820" w:type="dxa"/>
            <w:gridSpan w:val="12"/>
            <w:tcBorders>
              <w:top w:val="nil"/>
              <w:left w:val="nil"/>
              <w:bottom w:val="nil"/>
              <w:right w:val="nil"/>
            </w:tcBorders>
            <w:shd w:val="clear" w:color="auto" w:fill="auto"/>
            <w:noWrap/>
            <w:vAlign w:val="bottom"/>
            <w:hideMark/>
          </w:tcPr>
          <w:p w14:paraId="061BA4D3" w14:textId="6E8E587E" w:rsidR="001133A2" w:rsidRPr="001133A2" w:rsidRDefault="001133A2" w:rsidP="001133A2">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Notes: </w:t>
            </w:r>
            <w:r>
              <w:rPr>
                <w:rFonts w:ascii="Times New Roman" w:eastAsia="Times New Roman" w:hAnsi="Times New Roman" w:cs="Times New Roman"/>
                <w:sz w:val="20"/>
                <w:szCs w:val="20"/>
              </w:rPr>
              <w:t xml:space="preserve">This table reports marginal effects from the OLS and IV estimation of equation (4). </w:t>
            </w:r>
            <w:r w:rsidR="00712B6D">
              <w:rPr>
                <w:rFonts w:ascii="Times New Roman" w:eastAsia="Times New Roman" w:hAnsi="Times New Roman" w:cs="Times New Roman"/>
                <w:sz w:val="20"/>
                <w:szCs w:val="20"/>
              </w:rPr>
              <w:t xml:space="preserve">10MinsLottery is the instrument for 10MinsOpen in columns (2), (4), (6), and (8). All specifications include the 2014-15 and 2015-16 school years, as well as controls for the proportions of free-or-reduced-price lunch, Black, Hispanic, and Asian students, and indicators for whether the school is in a city, town, or suburb. The omitted locale is rural. Year fixed effects are also included each column. </w:t>
            </w:r>
            <w:r>
              <w:rPr>
                <w:rFonts w:ascii="Times New Roman" w:eastAsia="Times New Roman" w:hAnsi="Times New Roman" w:cs="Times New Roman"/>
                <w:sz w:val="20"/>
                <w:szCs w:val="20"/>
              </w:rPr>
              <w:t xml:space="preserve">Standard errors clustered by school are in parentheses. One-sided p-values from the original estimation are in square brackets, while one-sided Romano-Wolf p-values correcting for multiple hypothesis testing are in curly brackets. </w:t>
            </w:r>
            <w:proofErr w:type="spellStart"/>
            <w:r w:rsidR="009D1A3E" w:rsidRPr="009F62EF">
              <w:rPr>
                <w:rFonts w:ascii="Times New Roman" w:eastAsia="Times New Roman" w:hAnsi="Times New Roman" w:cs="Times New Roman"/>
                <w:sz w:val="20"/>
                <w:szCs w:val="20"/>
              </w:rPr>
              <w:t>Kleibergen-Paap</w:t>
            </w:r>
            <w:proofErr w:type="spellEnd"/>
            <w:r w:rsidR="009D1A3E" w:rsidRPr="009F62EF">
              <w:rPr>
                <w:rFonts w:ascii="Times New Roman" w:eastAsia="Times New Roman" w:hAnsi="Times New Roman" w:cs="Times New Roman"/>
                <w:sz w:val="20"/>
                <w:szCs w:val="20"/>
              </w:rPr>
              <w:t xml:space="preserve"> F</w:t>
            </w:r>
            <w:r w:rsidR="009D1A3E">
              <w:rPr>
                <w:rFonts w:ascii="Times New Roman" w:eastAsia="Times New Roman" w:hAnsi="Times New Roman" w:cs="Times New Roman"/>
                <w:sz w:val="20"/>
                <w:szCs w:val="20"/>
              </w:rPr>
              <w:t>-</w:t>
            </w:r>
            <w:r w:rsidR="009D1A3E" w:rsidRPr="009F62EF">
              <w:rPr>
                <w:rFonts w:ascii="Times New Roman" w:eastAsia="Times New Roman" w:hAnsi="Times New Roman" w:cs="Times New Roman"/>
                <w:sz w:val="20"/>
                <w:szCs w:val="20"/>
              </w:rPr>
              <w:t>statistic</w:t>
            </w:r>
            <w:r w:rsidR="009D1A3E">
              <w:rPr>
                <w:rFonts w:ascii="Times New Roman" w:eastAsia="Times New Roman" w:hAnsi="Times New Roman" w:cs="Times New Roman"/>
                <w:sz w:val="20"/>
                <w:szCs w:val="20"/>
              </w:rPr>
              <w:t>s from a test for weak instruments are reported in columns (2), (4), (6), and (8), and the corresponding first stage estimates are in Table A2. The p-value for the Hausman specification tests between the OLS and IV estimates are also included in columns (2), (4), (6), and (8).</w:t>
            </w:r>
            <w:r w:rsidR="009D1A3E" w:rsidRPr="006526B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Average high school chronic absenteeism rates from the 2013-14 school year across all public high schools are also included.</w:t>
            </w:r>
          </w:p>
        </w:tc>
      </w:tr>
    </w:tbl>
    <w:p w14:paraId="2B16B5B3" w14:textId="77777777" w:rsidR="000D4249" w:rsidRDefault="000D4249" w:rsidP="00D750E1">
      <w:pPr>
        <w:rPr>
          <w:rFonts w:ascii="Times New Roman" w:hAnsi="Times New Roman" w:cs="Times New Roman"/>
          <w:b/>
          <w:bCs/>
          <w:sz w:val="32"/>
          <w:szCs w:val="32"/>
        </w:rPr>
        <w:sectPr w:rsidR="000D4249" w:rsidSect="00242703">
          <w:headerReference w:type="default" r:id="rId39"/>
          <w:pgSz w:w="15840" w:h="12240" w:orient="landscape"/>
          <w:pgMar w:top="1440" w:right="1440" w:bottom="1440" w:left="1440" w:header="720" w:footer="720" w:gutter="0"/>
          <w:cols w:space="720"/>
          <w:docGrid w:linePitch="360"/>
        </w:sectPr>
      </w:pPr>
    </w:p>
    <w:tbl>
      <w:tblPr>
        <w:tblW w:w="12150" w:type="dxa"/>
        <w:jc w:val="center"/>
        <w:tblLook w:val="04A0" w:firstRow="1" w:lastRow="0" w:firstColumn="1" w:lastColumn="0" w:noHBand="0" w:noVBand="1"/>
      </w:tblPr>
      <w:tblGrid>
        <w:gridCol w:w="4128"/>
        <w:gridCol w:w="903"/>
        <w:gridCol w:w="903"/>
        <w:gridCol w:w="266"/>
        <w:gridCol w:w="903"/>
        <w:gridCol w:w="903"/>
        <w:gridCol w:w="266"/>
        <w:gridCol w:w="903"/>
        <w:gridCol w:w="903"/>
        <w:gridCol w:w="266"/>
        <w:gridCol w:w="903"/>
        <w:gridCol w:w="903"/>
      </w:tblGrid>
      <w:tr w:rsidR="006B57FF" w:rsidRPr="006B57FF" w14:paraId="218585A5" w14:textId="77777777" w:rsidTr="0010541F">
        <w:trPr>
          <w:trHeight w:val="300"/>
          <w:jc w:val="center"/>
        </w:trPr>
        <w:tc>
          <w:tcPr>
            <w:tcW w:w="12150" w:type="dxa"/>
            <w:gridSpan w:val="12"/>
            <w:tcBorders>
              <w:top w:val="nil"/>
              <w:left w:val="nil"/>
              <w:bottom w:val="double" w:sz="6" w:space="0" w:color="auto"/>
              <w:right w:val="nil"/>
            </w:tcBorders>
            <w:shd w:val="clear" w:color="auto" w:fill="auto"/>
            <w:noWrap/>
            <w:vAlign w:val="bottom"/>
            <w:hideMark/>
          </w:tcPr>
          <w:p w14:paraId="1884EC9E" w14:textId="0C12E959" w:rsidR="006B57FF" w:rsidRDefault="006B57FF" w:rsidP="006B57FF">
            <w:pPr>
              <w:spacing w:after="0" w:line="240" w:lineRule="auto"/>
              <w:jc w:val="center"/>
              <w:rPr>
                <w:rFonts w:ascii="Times New Roman" w:eastAsia="Times New Roman" w:hAnsi="Times New Roman" w:cs="Times New Roman"/>
                <w:color w:val="000000"/>
                <w:sz w:val="24"/>
                <w:szCs w:val="24"/>
              </w:rPr>
            </w:pPr>
            <w:r w:rsidRPr="000F3C56">
              <w:rPr>
                <w:rFonts w:ascii="Times New Roman" w:eastAsia="Times New Roman" w:hAnsi="Times New Roman" w:cs="Times New Roman"/>
                <w:color w:val="000000"/>
                <w:sz w:val="24"/>
                <w:szCs w:val="24"/>
              </w:rPr>
              <w:lastRenderedPageBreak/>
              <w:t xml:space="preserve">Table </w:t>
            </w:r>
            <w:r w:rsidR="00F965FC">
              <w:rPr>
                <w:rFonts w:ascii="Times New Roman" w:eastAsia="Times New Roman" w:hAnsi="Times New Roman" w:cs="Times New Roman"/>
                <w:color w:val="000000"/>
                <w:sz w:val="24"/>
                <w:szCs w:val="24"/>
              </w:rPr>
              <w:t>9</w:t>
            </w:r>
            <w:r w:rsidRPr="000F3C56">
              <w:rPr>
                <w:rFonts w:ascii="Times New Roman" w:eastAsia="Times New Roman" w:hAnsi="Times New Roman" w:cs="Times New Roman"/>
                <w:color w:val="000000"/>
                <w:sz w:val="24"/>
                <w:szCs w:val="24"/>
              </w:rPr>
              <w:t>: Ordinary Least Squares</w:t>
            </w:r>
            <w:r>
              <w:rPr>
                <w:rFonts w:ascii="Times New Roman" w:eastAsia="Times New Roman" w:hAnsi="Times New Roman" w:cs="Times New Roman"/>
                <w:color w:val="000000"/>
                <w:sz w:val="24"/>
                <w:szCs w:val="24"/>
              </w:rPr>
              <w:t xml:space="preserve"> and</w:t>
            </w:r>
            <w:r w:rsidRPr="000F3C56">
              <w:rPr>
                <w:rFonts w:ascii="Times New Roman" w:eastAsia="Times New Roman" w:hAnsi="Times New Roman" w:cs="Times New Roman"/>
                <w:color w:val="000000"/>
                <w:sz w:val="24"/>
                <w:szCs w:val="24"/>
              </w:rPr>
              <w:t xml:space="preserve"> Instrumental Variable Estimates of the Effects of Recreational Marijuana Dispensaries on </w:t>
            </w:r>
            <w:r>
              <w:rPr>
                <w:rFonts w:ascii="Times New Roman" w:eastAsia="Times New Roman" w:hAnsi="Times New Roman" w:cs="Times New Roman"/>
                <w:color w:val="000000"/>
                <w:sz w:val="24"/>
                <w:szCs w:val="24"/>
              </w:rPr>
              <w:t>Discipline Rates</w:t>
            </w:r>
            <w:r w:rsidRPr="00537B82">
              <w:rPr>
                <w:rFonts w:ascii="Times New Roman" w:eastAsia="Times New Roman" w:hAnsi="Times New Roman" w:cs="Times New Roman"/>
                <w:color w:val="000000"/>
                <w:sz w:val="24"/>
                <w:szCs w:val="24"/>
              </w:rPr>
              <w:t> </w:t>
            </w:r>
            <w:r w:rsidRPr="000F3C56">
              <w:rPr>
                <w:rFonts w:ascii="Times New Roman" w:eastAsia="Times New Roman" w:hAnsi="Times New Roman" w:cs="Times New Roman"/>
                <w:color w:val="000000"/>
                <w:sz w:val="24"/>
                <w:szCs w:val="24"/>
              </w:rPr>
              <w:t> </w:t>
            </w:r>
          </w:p>
          <w:p w14:paraId="476E4C2D" w14:textId="77777777" w:rsidR="00F965FC" w:rsidRDefault="00F965FC" w:rsidP="006B57FF">
            <w:pPr>
              <w:spacing w:after="0" w:line="240" w:lineRule="auto"/>
              <w:jc w:val="center"/>
              <w:rPr>
                <w:rFonts w:ascii="Times New Roman" w:eastAsia="Times New Roman" w:hAnsi="Times New Roman" w:cs="Times New Roman"/>
                <w:color w:val="000000"/>
                <w:sz w:val="24"/>
                <w:szCs w:val="24"/>
              </w:rPr>
            </w:pPr>
          </w:p>
          <w:p w14:paraId="187D7F33" w14:textId="374621A1" w:rsidR="006B57FF" w:rsidRPr="006B57FF" w:rsidRDefault="006B57FF" w:rsidP="006B57FF">
            <w:pPr>
              <w:spacing w:after="0" w:line="240" w:lineRule="auto"/>
              <w:jc w:val="center"/>
              <w:rPr>
                <w:rFonts w:ascii="Times New Roman" w:eastAsia="Times New Roman" w:hAnsi="Times New Roman" w:cs="Times New Roman"/>
                <w:b/>
                <w:bCs/>
                <w:color w:val="000000"/>
                <w:sz w:val="20"/>
                <w:szCs w:val="20"/>
              </w:rPr>
            </w:pPr>
          </w:p>
        </w:tc>
      </w:tr>
      <w:tr w:rsidR="006B57FF" w:rsidRPr="006B57FF" w14:paraId="70AAADA4" w14:textId="77777777" w:rsidTr="0010541F">
        <w:trPr>
          <w:trHeight w:val="300"/>
          <w:jc w:val="center"/>
        </w:trPr>
        <w:tc>
          <w:tcPr>
            <w:tcW w:w="4128" w:type="dxa"/>
            <w:tcBorders>
              <w:top w:val="nil"/>
              <w:left w:val="nil"/>
              <w:bottom w:val="nil"/>
              <w:right w:val="nil"/>
            </w:tcBorders>
            <w:shd w:val="clear" w:color="auto" w:fill="auto"/>
            <w:noWrap/>
            <w:vAlign w:val="bottom"/>
            <w:hideMark/>
          </w:tcPr>
          <w:p w14:paraId="1A64D4AC" w14:textId="77777777" w:rsidR="006B57FF" w:rsidRPr="006B57FF" w:rsidRDefault="006B57FF" w:rsidP="006B57FF">
            <w:pPr>
              <w:spacing w:after="0" w:line="240" w:lineRule="auto"/>
              <w:jc w:val="center"/>
              <w:rPr>
                <w:rFonts w:ascii="Times New Roman" w:eastAsia="Times New Roman" w:hAnsi="Times New Roman" w:cs="Times New Roman"/>
                <w:b/>
                <w:bCs/>
                <w:color w:val="000000"/>
                <w:sz w:val="20"/>
                <w:szCs w:val="20"/>
              </w:rPr>
            </w:pPr>
          </w:p>
        </w:tc>
        <w:tc>
          <w:tcPr>
            <w:tcW w:w="3878" w:type="dxa"/>
            <w:gridSpan w:val="5"/>
            <w:tcBorders>
              <w:top w:val="double" w:sz="6" w:space="0" w:color="auto"/>
              <w:left w:val="nil"/>
              <w:bottom w:val="single" w:sz="4" w:space="0" w:color="auto"/>
              <w:right w:val="nil"/>
            </w:tcBorders>
            <w:shd w:val="clear" w:color="auto" w:fill="auto"/>
            <w:noWrap/>
            <w:vAlign w:val="bottom"/>
            <w:hideMark/>
          </w:tcPr>
          <w:p w14:paraId="293F9A23"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11th Grade</w:t>
            </w:r>
          </w:p>
        </w:tc>
        <w:tc>
          <w:tcPr>
            <w:tcW w:w="266" w:type="dxa"/>
            <w:tcBorders>
              <w:top w:val="nil"/>
              <w:left w:val="nil"/>
              <w:bottom w:val="nil"/>
              <w:right w:val="nil"/>
            </w:tcBorders>
            <w:shd w:val="clear" w:color="auto" w:fill="auto"/>
            <w:noWrap/>
            <w:vAlign w:val="bottom"/>
            <w:hideMark/>
          </w:tcPr>
          <w:p w14:paraId="0808E76B"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3878" w:type="dxa"/>
            <w:gridSpan w:val="5"/>
            <w:tcBorders>
              <w:top w:val="double" w:sz="6" w:space="0" w:color="auto"/>
              <w:left w:val="nil"/>
              <w:bottom w:val="single" w:sz="4" w:space="0" w:color="auto"/>
              <w:right w:val="nil"/>
            </w:tcBorders>
            <w:shd w:val="clear" w:color="auto" w:fill="auto"/>
            <w:noWrap/>
            <w:vAlign w:val="bottom"/>
            <w:hideMark/>
          </w:tcPr>
          <w:p w14:paraId="58A297E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12th Grade</w:t>
            </w:r>
          </w:p>
        </w:tc>
      </w:tr>
      <w:tr w:rsidR="00F965FC" w:rsidRPr="006B57FF" w14:paraId="57C976FF"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5ED47146"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1806" w:type="dxa"/>
            <w:gridSpan w:val="2"/>
            <w:tcBorders>
              <w:top w:val="nil"/>
              <w:left w:val="nil"/>
              <w:bottom w:val="nil"/>
              <w:right w:val="nil"/>
            </w:tcBorders>
            <w:shd w:val="clear" w:color="auto" w:fill="auto"/>
            <w:noWrap/>
            <w:vAlign w:val="bottom"/>
            <w:hideMark/>
          </w:tcPr>
          <w:p w14:paraId="170A7EA5"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Female</w:t>
            </w:r>
          </w:p>
        </w:tc>
        <w:tc>
          <w:tcPr>
            <w:tcW w:w="266" w:type="dxa"/>
            <w:tcBorders>
              <w:top w:val="nil"/>
              <w:left w:val="nil"/>
              <w:bottom w:val="nil"/>
              <w:right w:val="nil"/>
            </w:tcBorders>
            <w:shd w:val="clear" w:color="auto" w:fill="auto"/>
            <w:noWrap/>
            <w:vAlign w:val="bottom"/>
            <w:hideMark/>
          </w:tcPr>
          <w:p w14:paraId="08A94F38"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1806" w:type="dxa"/>
            <w:gridSpan w:val="2"/>
            <w:tcBorders>
              <w:top w:val="nil"/>
              <w:left w:val="nil"/>
              <w:bottom w:val="single" w:sz="4" w:space="0" w:color="auto"/>
              <w:right w:val="nil"/>
            </w:tcBorders>
            <w:shd w:val="clear" w:color="auto" w:fill="auto"/>
            <w:noWrap/>
            <w:vAlign w:val="bottom"/>
            <w:hideMark/>
          </w:tcPr>
          <w:p w14:paraId="6250D19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Male</w:t>
            </w:r>
          </w:p>
        </w:tc>
        <w:tc>
          <w:tcPr>
            <w:tcW w:w="266" w:type="dxa"/>
            <w:tcBorders>
              <w:top w:val="nil"/>
              <w:left w:val="nil"/>
              <w:bottom w:val="nil"/>
              <w:right w:val="nil"/>
            </w:tcBorders>
            <w:shd w:val="clear" w:color="auto" w:fill="auto"/>
            <w:noWrap/>
            <w:vAlign w:val="bottom"/>
            <w:hideMark/>
          </w:tcPr>
          <w:p w14:paraId="5184605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1806" w:type="dxa"/>
            <w:gridSpan w:val="2"/>
            <w:tcBorders>
              <w:top w:val="nil"/>
              <w:left w:val="nil"/>
              <w:bottom w:val="single" w:sz="4" w:space="0" w:color="auto"/>
              <w:right w:val="nil"/>
            </w:tcBorders>
            <w:shd w:val="clear" w:color="auto" w:fill="auto"/>
            <w:noWrap/>
            <w:vAlign w:val="bottom"/>
            <w:hideMark/>
          </w:tcPr>
          <w:p w14:paraId="5E700FEA"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Female</w:t>
            </w:r>
          </w:p>
        </w:tc>
        <w:tc>
          <w:tcPr>
            <w:tcW w:w="266" w:type="dxa"/>
            <w:tcBorders>
              <w:top w:val="nil"/>
              <w:left w:val="nil"/>
              <w:bottom w:val="nil"/>
              <w:right w:val="nil"/>
            </w:tcBorders>
            <w:shd w:val="clear" w:color="auto" w:fill="auto"/>
            <w:noWrap/>
            <w:vAlign w:val="bottom"/>
            <w:hideMark/>
          </w:tcPr>
          <w:p w14:paraId="0C1F73F4"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1806" w:type="dxa"/>
            <w:gridSpan w:val="2"/>
            <w:tcBorders>
              <w:top w:val="nil"/>
              <w:left w:val="nil"/>
              <w:bottom w:val="single" w:sz="4" w:space="0" w:color="auto"/>
              <w:right w:val="nil"/>
            </w:tcBorders>
            <w:shd w:val="clear" w:color="auto" w:fill="auto"/>
            <w:noWrap/>
            <w:vAlign w:val="bottom"/>
            <w:hideMark/>
          </w:tcPr>
          <w:p w14:paraId="2DB0195B"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Male</w:t>
            </w:r>
          </w:p>
        </w:tc>
      </w:tr>
      <w:tr w:rsidR="00F965FC" w:rsidRPr="006B57FF" w14:paraId="59D077E8"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66E704A7"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single" w:sz="4" w:space="0" w:color="auto"/>
              <w:left w:val="nil"/>
              <w:bottom w:val="nil"/>
              <w:right w:val="nil"/>
            </w:tcBorders>
            <w:shd w:val="clear" w:color="auto" w:fill="auto"/>
            <w:noWrap/>
            <w:vAlign w:val="bottom"/>
            <w:hideMark/>
          </w:tcPr>
          <w:p w14:paraId="47AA69B6"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r w:rsidRPr="006B57FF">
              <w:rPr>
                <w:rFonts w:ascii="Times New Roman" w:eastAsia="Times New Roman" w:hAnsi="Times New Roman" w:cs="Times New Roman"/>
                <w:color w:val="000000"/>
                <w:sz w:val="20"/>
                <w:szCs w:val="20"/>
                <w:u w:val="single"/>
              </w:rPr>
              <w:t>OLS</w:t>
            </w:r>
          </w:p>
        </w:tc>
        <w:tc>
          <w:tcPr>
            <w:tcW w:w="903" w:type="dxa"/>
            <w:tcBorders>
              <w:top w:val="single" w:sz="4" w:space="0" w:color="auto"/>
              <w:left w:val="nil"/>
              <w:bottom w:val="nil"/>
              <w:right w:val="nil"/>
            </w:tcBorders>
            <w:shd w:val="clear" w:color="auto" w:fill="auto"/>
            <w:noWrap/>
            <w:vAlign w:val="bottom"/>
            <w:hideMark/>
          </w:tcPr>
          <w:p w14:paraId="6FA64C4C"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r w:rsidRPr="006B57FF">
              <w:rPr>
                <w:rFonts w:ascii="Times New Roman" w:eastAsia="Times New Roman" w:hAnsi="Times New Roman" w:cs="Times New Roman"/>
                <w:color w:val="000000"/>
                <w:sz w:val="20"/>
                <w:szCs w:val="20"/>
                <w:u w:val="single"/>
              </w:rPr>
              <w:t>IV</w:t>
            </w:r>
          </w:p>
        </w:tc>
        <w:tc>
          <w:tcPr>
            <w:tcW w:w="266" w:type="dxa"/>
            <w:tcBorders>
              <w:top w:val="nil"/>
              <w:left w:val="nil"/>
              <w:bottom w:val="nil"/>
              <w:right w:val="nil"/>
            </w:tcBorders>
            <w:shd w:val="clear" w:color="auto" w:fill="auto"/>
            <w:noWrap/>
            <w:vAlign w:val="bottom"/>
            <w:hideMark/>
          </w:tcPr>
          <w:p w14:paraId="59C9F00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p>
        </w:tc>
        <w:tc>
          <w:tcPr>
            <w:tcW w:w="903" w:type="dxa"/>
            <w:tcBorders>
              <w:top w:val="nil"/>
              <w:left w:val="nil"/>
              <w:bottom w:val="nil"/>
              <w:right w:val="nil"/>
            </w:tcBorders>
            <w:shd w:val="clear" w:color="auto" w:fill="auto"/>
            <w:noWrap/>
            <w:vAlign w:val="bottom"/>
            <w:hideMark/>
          </w:tcPr>
          <w:p w14:paraId="33091B86"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r w:rsidRPr="006B57FF">
              <w:rPr>
                <w:rFonts w:ascii="Times New Roman" w:eastAsia="Times New Roman" w:hAnsi="Times New Roman" w:cs="Times New Roman"/>
                <w:color w:val="000000"/>
                <w:sz w:val="20"/>
                <w:szCs w:val="20"/>
                <w:u w:val="single"/>
              </w:rPr>
              <w:t>OLS</w:t>
            </w:r>
          </w:p>
        </w:tc>
        <w:tc>
          <w:tcPr>
            <w:tcW w:w="903" w:type="dxa"/>
            <w:tcBorders>
              <w:top w:val="nil"/>
              <w:left w:val="nil"/>
              <w:bottom w:val="nil"/>
              <w:right w:val="nil"/>
            </w:tcBorders>
            <w:shd w:val="clear" w:color="auto" w:fill="auto"/>
            <w:noWrap/>
            <w:vAlign w:val="bottom"/>
            <w:hideMark/>
          </w:tcPr>
          <w:p w14:paraId="7F71B041"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r w:rsidRPr="006B57FF">
              <w:rPr>
                <w:rFonts w:ascii="Times New Roman" w:eastAsia="Times New Roman" w:hAnsi="Times New Roman" w:cs="Times New Roman"/>
                <w:color w:val="000000"/>
                <w:sz w:val="20"/>
                <w:szCs w:val="20"/>
                <w:u w:val="single"/>
              </w:rPr>
              <w:t>IV</w:t>
            </w:r>
          </w:p>
        </w:tc>
        <w:tc>
          <w:tcPr>
            <w:tcW w:w="266" w:type="dxa"/>
            <w:tcBorders>
              <w:top w:val="nil"/>
              <w:left w:val="nil"/>
              <w:bottom w:val="nil"/>
              <w:right w:val="nil"/>
            </w:tcBorders>
            <w:shd w:val="clear" w:color="auto" w:fill="auto"/>
            <w:noWrap/>
            <w:vAlign w:val="bottom"/>
            <w:hideMark/>
          </w:tcPr>
          <w:p w14:paraId="47839FE1"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p>
        </w:tc>
        <w:tc>
          <w:tcPr>
            <w:tcW w:w="903" w:type="dxa"/>
            <w:tcBorders>
              <w:top w:val="nil"/>
              <w:left w:val="nil"/>
              <w:bottom w:val="nil"/>
              <w:right w:val="nil"/>
            </w:tcBorders>
            <w:shd w:val="clear" w:color="auto" w:fill="auto"/>
            <w:noWrap/>
            <w:vAlign w:val="bottom"/>
            <w:hideMark/>
          </w:tcPr>
          <w:p w14:paraId="1F9954BB"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r w:rsidRPr="006B57FF">
              <w:rPr>
                <w:rFonts w:ascii="Times New Roman" w:eastAsia="Times New Roman" w:hAnsi="Times New Roman" w:cs="Times New Roman"/>
                <w:color w:val="000000"/>
                <w:sz w:val="20"/>
                <w:szCs w:val="20"/>
                <w:u w:val="single"/>
              </w:rPr>
              <w:t>OLS</w:t>
            </w:r>
          </w:p>
        </w:tc>
        <w:tc>
          <w:tcPr>
            <w:tcW w:w="903" w:type="dxa"/>
            <w:tcBorders>
              <w:top w:val="nil"/>
              <w:left w:val="nil"/>
              <w:bottom w:val="nil"/>
              <w:right w:val="nil"/>
            </w:tcBorders>
            <w:shd w:val="clear" w:color="auto" w:fill="auto"/>
            <w:noWrap/>
            <w:vAlign w:val="bottom"/>
            <w:hideMark/>
          </w:tcPr>
          <w:p w14:paraId="5854432D"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r w:rsidRPr="006B57FF">
              <w:rPr>
                <w:rFonts w:ascii="Times New Roman" w:eastAsia="Times New Roman" w:hAnsi="Times New Roman" w:cs="Times New Roman"/>
                <w:color w:val="000000"/>
                <w:sz w:val="20"/>
                <w:szCs w:val="20"/>
                <w:u w:val="single"/>
              </w:rPr>
              <w:t>IV</w:t>
            </w:r>
          </w:p>
        </w:tc>
        <w:tc>
          <w:tcPr>
            <w:tcW w:w="266" w:type="dxa"/>
            <w:tcBorders>
              <w:top w:val="nil"/>
              <w:left w:val="nil"/>
              <w:bottom w:val="nil"/>
              <w:right w:val="nil"/>
            </w:tcBorders>
            <w:shd w:val="clear" w:color="auto" w:fill="auto"/>
            <w:noWrap/>
            <w:vAlign w:val="bottom"/>
            <w:hideMark/>
          </w:tcPr>
          <w:p w14:paraId="33A20CDC"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p>
        </w:tc>
        <w:tc>
          <w:tcPr>
            <w:tcW w:w="903" w:type="dxa"/>
            <w:tcBorders>
              <w:top w:val="nil"/>
              <w:left w:val="nil"/>
              <w:bottom w:val="nil"/>
              <w:right w:val="nil"/>
            </w:tcBorders>
            <w:shd w:val="clear" w:color="auto" w:fill="auto"/>
            <w:noWrap/>
            <w:vAlign w:val="bottom"/>
            <w:hideMark/>
          </w:tcPr>
          <w:p w14:paraId="6AD422E5"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r w:rsidRPr="006B57FF">
              <w:rPr>
                <w:rFonts w:ascii="Times New Roman" w:eastAsia="Times New Roman" w:hAnsi="Times New Roman" w:cs="Times New Roman"/>
                <w:color w:val="000000"/>
                <w:sz w:val="20"/>
                <w:szCs w:val="20"/>
                <w:u w:val="single"/>
              </w:rPr>
              <w:t>OLS</w:t>
            </w:r>
          </w:p>
        </w:tc>
        <w:tc>
          <w:tcPr>
            <w:tcW w:w="903" w:type="dxa"/>
            <w:tcBorders>
              <w:top w:val="nil"/>
              <w:left w:val="nil"/>
              <w:bottom w:val="nil"/>
              <w:right w:val="nil"/>
            </w:tcBorders>
            <w:shd w:val="clear" w:color="auto" w:fill="auto"/>
            <w:noWrap/>
            <w:vAlign w:val="bottom"/>
            <w:hideMark/>
          </w:tcPr>
          <w:p w14:paraId="674B9643"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u w:val="single"/>
              </w:rPr>
            </w:pPr>
            <w:r w:rsidRPr="006B57FF">
              <w:rPr>
                <w:rFonts w:ascii="Times New Roman" w:eastAsia="Times New Roman" w:hAnsi="Times New Roman" w:cs="Times New Roman"/>
                <w:color w:val="000000"/>
                <w:sz w:val="20"/>
                <w:szCs w:val="20"/>
                <w:u w:val="single"/>
              </w:rPr>
              <w:t>IV</w:t>
            </w:r>
          </w:p>
        </w:tc>
      </w:tr>
      <w:tr w:rsidR="00F965FC" w:rsidRPr="006B57FF" w14:paraId="15C331C3" w14:textId="77777777" w:rsidTr="0010541F">
        <w:trPr>
          <w:trHeight w:val="290"/>
          <w:jc w:val="center"/>
        </w:trPr>
        <w:tc>
          <w:tcPr>
            <w:tcW w:w="4128" w:type="dxa"/>
            <w:tcBorders>
              <w:top w:val="nil"/>
              <w:left w:val="nil"/>
              <w:bottom w:val="single" w:sz="4" w:space="0" w:color="auto"/>
              <w:right w:val="nil"/>
            </w:tcBorders>
            <w:shd w:val="clear" w:color="auto" w:fill="auto"/>
            <w:noWrap/>
            <w:vAlign w:val="bottom"/>
            <w:hideMark/>
          </w:tcPr>
          <w:p w14:paraId="2D94EAE1" w14:textId="77777777" w:rsidR="006B57FF" w:rsidRPr="006B57FF" w:rsidRDefault="006B57FF" w:rsidP="006B57FF">
            <w:pPr>
              <w:spacing w:after="0" w:line="240" w:lineRule="auto"/>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45038D4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(1)</w:t>
            </w:r>
          </w:p>
        </w:tc>
        <w:tc>
          <w:tcPr>
            <w:tcW w:w="903" w:type="dxa"/>
            <w:tcBorders>
              <w:top w:val="nil"/>
              <w:left w:val="nil"/>
              <w:bottom w:val="single" w:sz="4" w:space="0" w:color="auto"/>
              <w:right w:val="nil"/>
            </w:tcBorders>
            <w:shd w:val="clear" w:color="auto" w:fill="auto"/>
            <w:noWrap/>
            <w:vAlign w:val="bottom"/>
            <w:hideMark/>
          </w:tcPr>
          <w:p w14:paraId="344FF14D"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(2)</w:t>
            </w:r>
          </w:p>
        </w:tc>
        <w:tc>
          <w:tcPr>
            <w:tcW w:w="266" w:type="dxa"/>
            <w:tcBorders>
              <w:top w:val="nil"/>
              <w:left w:val="nil"/>
              <w:bottom w:val="single" w:sz="4" w:space="0" w:color="auto"/>
              <w:right w:val="nil"/>
            </w:tcBorders>
            <w:shd w:val="clear" w:color="auto" w:fill="auto"/>
            <w:noWrap/>
            <w:vAlign w:val="bottom"/>
            <w:hideMark/>
          </w:tcPr>
          <w:p w14:paraId="79E8F14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787C6C75"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(3)</w:t>
            </w:r>
          </w:p>
        </w:tc>
        <w:tc>
          <w:tcPr>
            <w:tcW w:w="903" w:type="dxa"/>
            <w:tcBorders>
              <w:top w:val="nil"/>
              <w:left w:val="nil"/>
              <w:bottom w:val="single" w:sz="4" w:space="0" w:color="auto"/>
              <w:right w:val="nil"/>
            </w:tcBorders>
            <w:shd w:val="clear" w:color="auto" w:fill="auto"/>
            <w:noWrap/>
            <w:vAlign w:val="bottom"/>
            <w:hideMark/>
          </w:tcPr>
          <w:p w14:paraId="5859AB87"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w:t>
            </w:r>
          </w:p>
        </w:tc>
        <w:tc>
          <w:tcPr>
            <w:tcW w:w="266" w:type="dxa"/>
            <w:tcBorders>
              <w:top w:val="nil"/>
              <w:left w:val="nil"/>
              <w:bottom w:val="single" w:sz="4" w:space="0" w:color="auto"/>
              <w:right w:val="nil"/>
            </w:tcBorders>
            <w:shd w:val="clear" w:color="auto" w:fill="auto"/>
            <w:noWrap/>
            <w:vAlign w:val="bottom"/>
            <w:hideMark/>
          </w:tcPr>
          <w:p w14:paraId="031650F5"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0A2C849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(5)</w:t>
            </w:r>
          </w:p>
        </w:tc>
        <w:tc>
          <w:tcPr>
            <w:tcW w:w="903" w:type="dxa"/>
            <w:tcBorders>
              <w:top w:val="nil"/>
              <w:left w:val="nil"/>
              <w:bottom w:val="single" w:sz="4" w:space="0" w:color="auto"/>
              <w:right w:val="nil"/>
            </w:tcBorders>
            <w:shd w:val="clear" w:color="auto" w:fill="auto"/>
            <w:noWrap/>
            <w:vAlign w:val="bottom"/>
            <w:hideMark/>
          </w:tcPr>
          <w:p w14:paraId="68E7A0E6"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(6)</w:t>
            </w:r>
          </w:p>
        </w:tc>
        <w:tc>
          <w:tcPr>
            <w:tcW w:w="266" w:type="dxa"/>
            <w:tcBorders>
              <w:top w:val="nil"/>
              <w:left w:val="nil"/>
              <w:bottom w:val="single" w:sz="4" w:space="0" w:color="auto"/>
              <w:right w:val="nil"/>
            </w:tcBorders>
            <w:shd w:val="clear" w:color="auto" w:fill="auto"/>
            <w:noWrap/>
            <w:vAlign w:val="bottom"/>
            <w:hideMark/>
          </w:tcPr>
          <w:p w14:paraId="191474AF"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40CD1FA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(7)</w:t>
            </w:r>
          </w:p>
        </w:tc>
        <w:tc>
          <w:tcPr>
            <w:tcW w:w="903" w:type="dxa"/>
            <w:tcBorders>
              <w:top w:val="nil"/>
              <w:left w:val="nil"/>
              <w:bottom w:val="single" w:sz="4" w:space="0" w:color="auto"/>
              <w:right w:val="nil"/>
            </w:tcBorders>
            <w:shd w:val="clear" w:color="auto" w:fill="auto"/>
            <w:noWrap/>
            <w:vAlign w:val="bottom"/>
            <w:hideMark/>
          </w:tcPr>
          <w:p w14:paraId="1844782E"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(8)</w:t>
            </w:r>
          </w:p>
        </w:tc>
      </w:tr>
      <w:tr w:rsidR="00F965FC" w:rsidRPr="006B57FF" w14:paraId="1738AB08"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7C58D064" w14:textId="77777777" w:rsidR="006B57FF" w:rsidRPr="006B57FF" w:rsidRDefault="006B57FF" w:rsidP="006B57FF">
            <w:pPr>
              <w:spacing w:after="0" w:line="240" w:lineRule="auto"/>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School is within 10 Mins of an Open Dispensary</w:t>
            </w:r>
          </w:p>
        </w:tc>
        <w:tc>
          <w:tcPr>
            <w:tcW w:w="903" w:type="dxa"/>
            <w:tcBorders>
              <w:top w:val="nil"/>
              <w:left w:val="nil"/>
              <w:bottom w:val="nil"/>
              <w:right w:val="nil"/>
            </w:tcBorders>
            <w:shd w:val="clear" w:color="auto" w:fill="auto"/>
            <w:noWrap/>
            <w:vAlign w:val="bottom"/>
            <w:hideMark/>
          </w:tcPr>
          <w:p w14:paraId="763F8243"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0.002</w:t>
            </w:r>
          </w:p>
        </w:tc>
        <w:tc>
          <w:tcPr>
            <w:tcW w:w="903" w:type="dxa"/>
            <w:tcBorders>
              <w:top w:val="nil"/>
              <w:left w:val="nil"/>
              <w:bottom w:val="nil"/>
              <w:right w:val="nil"/>
            </w:tcBorders>
            <w:shd w:val="clear" w:color="auto" w:fill="auto"/>
            <w:noWrap/>
            <w:vAlign w:val="bottom"/>
            <w:hideMark/>
          </w:tcPr>
          <w:p w14:paraId="7D7540F1"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0.007</w:t>
            </w:r>
          </w:p>
        </w:tc>
        <w:tc>
          <w:tcPr>
            <w:tcW w:w="266" w:type="dxa"/>
            <w:tcBorders>
              <w:top w:val="nil"/>
              <w:left w:val="nil"/>
              <w:bottom w:val="nil"/>
              <w:right w:val="nil"/>
            </w:tcBorders>
            <w:shd w:val="clear" w:color="auto" w:fill="auto"/>
            <w:noWrap/>
            <w:vAlign w:val="bottom"/>
            <w:hideMark/>
          </w:tcPr>
          <w:p w14:paraId="16496074"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8060235"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0.006</w:t>
            </w:r>
          </w:p>
        </w:tc>
        <w:tc>
          <w:tcPr>
            <w:tcW w:w="903" w:type="dxa"/>
            <w:tcBorders>
              <w:top w:val="nil"/>
              <w:left w:val="nil"/>
              <w:bottom w:val="nil"/>
              <w:right w:val="nil"/>
            </w:tcBorders>
            <w:shd w:val="clear" w:color="auto" w:fill="auto"/>
            <w:noWrap/>
            <w:vAlign w:val="bottom"/>
            <w:hideMark/>
          </w:tcPr>
          <w:p w14:paraId="398F6A58"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0.017</w:t>
            </w:r>
          </w:p>
        </w:tc>
        <w:tc>
          <w:tcPr>
            <w:tcW w:w="266" w:type="dxa"/>
            <w:tcBorders>
              <w:top w:val="nil"/>
              <w:left w:val="nil"/>
              <w:bottom w:val="nil"/>
              <w:right w:val="nil"/>
            </w:tcBorders>
            <w:shd w:val="clear" w:color="auto" w:fill="auto"/>
            <w:noWrap/>
            <w:vAlign w:val="bottom"/>
            <w:hideMark/>
          </w:tcPr>
          <w:p w14:paraId="4DEF898F"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797D19BF"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0.004</w:t>
            </w:r>
          </w:p>
        </w:tc>
        <w:tc>
          <w:tcPr>
            <w:tcW w:w="903" w:type="dxa"/>
            <w:tcBorders>
              <w:top w:val="nil"/>
              <w:left w:val="nil"/>
              <w:bottom w:val="nil"/>
              <w:right w:val="nil"/>
            </w:tcBorders>
            <w:shd w:val="clear" w:color="auto" w:fill="auto"/>
            <w:noWrap/>
            <w:vAlign w:val="bottom"/>
            <w:hideMark/>
          </w:tcPr>
          <w:p w14:paraId="4F51BCAE"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0.010</w:t>
            </w:r>
          </w:p>
        </w:tc>
        <w:tc>
          <w:tcPr>
            <w:tcW w:w="266" w:type="dxa"/>
            <w:tcBorders>
              <w:top w:val="nil"/>
              <w:left w:val="nil"/>
              <w:bottom w:val="nil"/>
              <w:right w:val="nil"/>
            </w:tcBorders>
            <w:shd w:val="clear" w:color="auto" w:fill="auto"/>
            <w:noWrap/>
            <w:vAlign w:val="bottom"/>
            <w:hideMark/>
          </w:tcPr>
          <w:p w14:paraId="0DC048A3"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4AF5E7F"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0.007</w:t>
            </w:r>
          </w:p>
        </w:tc>
        <w:tc>
          <w:tcPr>
            <w:tcW w:w="903" w:type="dxa"/>
            <w:tcBorders>
              <w:top w:val="nil"/>
              <w:left w:val="nil"/>
              <w:bottom w:val="nil"/>
              <w:right w:val="nil"/>
            </w:tcBorders>
            <w:shd w:val="clear" w:color="auto" w:fill="auto"/>
            <w:noWrap/>
            <w:vAlign w:val="bottom"/>
            <w:hideMark/>
          </w:tcPr>
          <w:p w14:paraId="76C8FA56"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0.017</w:t>
            </w:r>
          </w:p>
        </w:tc>
      </w:tr>
      <w:tr w:rsidR="00F965FC" w:rsidRPr="006B57FF" w14:paraId="589BE17E"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74061A0F"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922AE95"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(0.0039)</w:t>
            </w:r>
          </w:p>
        </w:tc>
        <w:tc>
          <w:tcPr>
            <w:tcW w:w="903" w:type="dxa"/>
            <w:tcBorders>
              <w:top w:val="nil"/>
              <w:left w:val="nil"/>
              <w:bottom w:val="nil"/>
              <w:right w:val="nil"/>
            </w:tcBorders>
            <w:shd w:val="clear" w:color="auto" w:fill="auto"/>
            <w:noWrap/>
            <w:vAlign w:val="bottom"/>
            <w:hideMark/>
          </w:tcPr>
          <w:p w14:paraId="32904ACB"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(0.0115)</w:t>
            </w:r>
          </w:p>
        </w:tc>
        <w:tc>
          <w:tcPr>
            <w:tcW w:w="266" w:type="dxa"/>
            <w:tcBorders>
              <w:top w:val="nil"/>
              <w:left w:val="nil"/>
              <w:bottom w:val="nil"/>
              <w:right w:val="nil"/>
            </w:tcBorders>
            <w:shd w:val="clear" w:color="auto" w:fill="auto"/>
            <w:noWrap/>
            <w:vAlign w:val="bottom"/>
            <w:hideMark/>
          </w:tcPr>
          <w:p w14:paraId="64921E38"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49E2754"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(0.0054)</w:t>
            </w:r>
          </w:p>
        </w:tc>
        <w:tc>
          <w:tcPr>
            <w:tcW w:w="903" w:type="dxa"/>
            <w:tcBorders>
              <w:top w:val="nil"/>
              <w:left w:val="nil"/>
              <w:bottom w:val="nil"/>
              <w:right w:val="nil"/>
            </w:tcBorders>
            <w:shd w:val="clear" w:color="auto" w:fill="auto"/>
            <w:noWrap/>
            <w:vAlign w:val="bottom"/>
            <w:hideMark/>
          </w:tcPr>
          <w:p w14:paraId="5257AB5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(0.0146)</w:t>
            </w:r>
          </w:p>
        </w:tc>
        <w:tc>
          <w:tcPr>
            <w:tcW w:w="266" w:type="dxa"/>
            <w:tcBorders>
              <w:top w:val="nil"/>
              <w:left w:val="nil"/>
              <w:bottom w:val="nil"/>
              <w:right w:val="nil"/>
            </w:tcBorders>
            <w:shd w:val="clear" w:color="auto" w:fill="auto"/>
            <w:noWrap/>
            <w:vAlign w:val="bottom"/>
            <w:hideMark/>
          </w:tcPr>
          <w:p w14:paraId="0854083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ACAD10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(0.0036)</w:t>
            </w:r>
          </w:p>
        </w:tc>
        <w:tc>
          <w:tcPr>
            <w:tcW w:w="903" w:type="dxa"/>
            <w:tcBorders>
              <w:top w:val="nil"/>
              <w:left w:val="nil"/>
              <w:bottom w:val="nil"/>
              <w:right w:val="nil"/>
            </w:tcBorders>
            <w:shd w:val="clear" w:color="auto" w:fill="auto"/>
            <w:noWrap/>
            <w:vAlign w:val="bottom"/>
            <w:hideMark/>
          </w:tcPr>
          <w:p w14:paraId="71C2179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(0.0115)</w:t>
            </w:r>
          </w:p>
        </w:tc>
        <w:tc>
          <w:tcPr>
            <w:tcW w:w="266" w:type="dxa"/>
            <w:tcBorders>
              <w:top w:val="nil"/>
              <w:left w:val="nil"/>
              <w:bottom w:val="nil"/>
              <w:right w:val="nil"/>
            </w:tcBorders>
            <w:shd w:val="clear" w:color="auto" w:fill="auto"/>
            <w:noWrap/>
            <w:vAlign w:val="bottom"/>
            <w:hideMark/>
          </w:tcPr>
          <w:p w14:paraId="3E0EF296"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E7D475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(0.0046)</w:t>
            </w:r>
          </w:p>
        </w:tc>
        <w:tc>
          <w:tcPr>
            <w:tcW w:w="903" w:type="dxa"/>
            <w:tcBorders>
              <w:top w:val="nil"/>
              <w:left w:val="nil"/>
              <w:bottom w:val="nil"/>
              <w:right w:val="nil"/>
            </w:tcBorders>
            <w:shd w:val="clear" w:color="auto" w:fill="auto"/>
            <w:noWrap/>
            <w:vAlign w:val="bottom"/>
            <w:hideMark/>
          </w:tcPr>
          <w:p w14:paraId="0726050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(0.0122)</w:t>
            </w:r>
          </w:p>
        </w:tc>
      </w:tr>
      <w:tr w:rsidR="00F965FC" w:rsidRPr="006B57FF" w14:paraId="5050CE56"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6F267397"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12D596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[0.292]</w:t>
            </w:r>
          </w:p>
        </w:tc>
        <w:tc>
          <w:tcPr>
            <w:tcW w:w="903" w:type="dxa"/>
            <w:tcBorders>
              <w:top w:val="nil"/>
              <w:left w:val="nil"/>
              <w:bottom w:val="nil"/>
              <w:right w:val="nil"/>
            </w:tcBorders>
            <w:shd w:val="clear" w:color="auto" w:fill="auto"/>
            <w:noWrap/>
            <w:vAlign w:val="bottom"/>
            <w:hideMark/>
          </w:tcPr>
          <w:p w14:paraId="33CA728C"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[0.257]</w:t>
            </w:r>
          </w:p>
        </w:tc>
        <w:tc>
          <w:tcPr>
            <w:tcW w:w="266" w:type="dxa"/>
            <w:tcBorders>
              <w:top w:val="nil"/>
              <w:left w:val="nil"/>
              <w:bottom w:val="nil"/>
              <w:right w:val="nil"/>
            </w:tcBorders>
            <w:shd w:val="clear" w:color="auto" w:fill="auto"/>
            <w:noWrap/>
            <w:vAlign w:val="bottom"/>
            <w:hideMark/>
          </w:tcPr>
          <w:p w14:paraId="789920F3"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591FE0B"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[0.127]</w:t>
            </w:r>
          </w:p>
        </w:tc>
        <w:tc>
          <w:tcPr>
            <w:tcW w:w="903" w:type="dxa"/>
            <w:tcBorders>
              <w:top w:val="nil"/>
              <w:left w:val="nil"/>
              <w:bottom w:val="nil"/>
              <w:right w:val="nil"/>
            </w:tcBorders>
            <w:shd w:val="clear" w:color="auto" w:fill="auto"/>
            <w:noWrap/>
            <w:vAlign w:val="bottom"/>
            <w:hideMark/>
          </w:tcPr>
          <w:p w14:paraId="6CCBB7E5"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[0.128]</w:t>
            </w:r>
          </w:p>
        </w:tc>
        <w:tc>
          <w:tcPr>
            <w:tcW w:w="266" w:type="dxa"/>
            <w:tcBorders>
              <w:top w:val="nil"/>
              <w:left w:val="nil"/>
              <w:bottom w:val="nil"/>
              <w:right w:val="nil"/>
            </w:tcBorders>
            <w:shd w:val="clear" w:color="auto" w:fill="auto"/>
            <w:noWrap/>
            <w:vAlign w:val="bottom"/>
            <w:hideMark/>
          </w:tcPr>
          <w:p w14:paraId="5E5ACC78"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C62F03C"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[0.167]</w:t>
            </w:r>
          </w:p>
        </w:tc>
        <w:tc>
          <w:tcPr>
            <w:tcW w:w="903" w:type="dxa"/>
            <w:tcBorders>
              <w:top w:val="nil"/>
              <w:left w:val="nil"/>
              <w:bottom w:val="nil"/>
              <w:right w:val="nil"/>
            </w:tcBorders>
            <w:shd w:val="clear" w:color="auto" w:fill="auto"/>
            <w:noWrap/>
            <w:vAlign w:val="bottom"/>
            <w:hideMark/>
          </w:tcPr>
          <w:p w14:paraId="5AA7031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[0.204]</w:t>
            </w:r>
          </w:p>
        </w:tc>
        <w:tc>
          <w:tcPr>
            <w:tcW w:w="266" w:type="dxa"/>
            <w:tcBorders>
              <w:top w:val="nil"/>
              <w:left w:val="nil"/>
              <w:bottom w:val="nil"/>
              <w:right w:val="nil"/>
            </w:tcBorders>
            <w:shd w:val="clear" w:color="auto" w:fill="auto"/>
            <w:noWrap/>
            <w:vAlign w:val="bottom"/>
            <w:hideMark/>
          </w:tcPr>
          <w:p w14:paraId="542D71C6"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6E72A785"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[0.075]</w:t>
            </w:r>
          </w:p>
        </w:tc>
        <w:tc>
          <w:tcPr>
            <w:tcW w:w="903" w:type="dxa"/>
            <w:tcBorders>
              <w:top w:val="nil"/>
              <w:left w:val="nil"/>
              <w:bottom w:val="nil"/>
              <w:right w:val="nil"/>
            </w:tcBorders>
            <w:shd w:val="clear" w:color="auto" w:fill="auto"/>
            <w:noWrap/>
            <w:vAlign w:val="bottom"/>
            <w:hideMark/>
          </w:tcPr>
          <w:p w14:paraId="3F919D6A"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[0.077]</w:t>
            </w:r>
          </w:p>
        </w:tc>
      </w:tr>
      <w:tr w:rsidR="00F965FC" w:rsidRPr="006B57FF" w14:paraId="5CF3AF3D"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4708A97C"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25AD7A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{0.243}</w:t>
            </w:r>
          </w:p>
        </w:tc>
        <w:tc>
          <w:tcPr>
            <w:tcW w:w="903" w:type="dxa"/>
            <w:tcBorders>
              <w:top w:val="nil"/>
              <w:left w:val="nil"/>
              <w:bottom w:val="nil"/>
              <w:right w:val="nil"/>
            </w:tcBorders>
            <w:shd w:val="clear" w:color="auto" w:fill="auto"/>
            <w:noWrap/>
            <w:vAlign w:val="bottom"/>
            <w:hideMark/>
          </w:tcPr>
          <w:p w14:paraId="620F36AB"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{0.243}</w:t>
            </w:r>
          </w:p>
        </w:tc>
        <w:tc>
          <w:tcPr>
            <w:tcW w:w="266" w:type="dxa"/>
            <w:tcBorders>
              <w:top w:val="nil"/>
              <w:left w:val="nil"/>
              <w:bottom w:val="nil"/>
              <w:right w:val="nil"/>
            </w:tcBorders>
            <w:shd w:val="clear" w:color="auto" w:fill="auto"/>
            <w:noWrap/>
            <w:vAlign w:val="bottom"/>
            <w:hideMark/>
          </w:tcPr>
          <w:p w14:paraId="7CB12FA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47D612C"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{0.099}</w:t>
            </w:r>
          </w:p>
        </w:tc>
        <w:tc>
          <w:tcPr>
            <w:tcW w:w="903" w:type="dxa"/>
            <w:tcBorders>
              <w:top w:val="nil"/>
              <w:left w:val="nil"/>
              <w:bottom w:val="nil"/>
              <w:right w:val="nil"/>
            </w:tcBorders>
            <w:shd w:val="clear" w:color="auto" w:fill="auto"/>
            <w:noWrap/>
            <w:vAlign w:val="bottom"/>
            <w:hideMark/>
          </w:tcPr>
          <w:p w14:paraId="4905B09F"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{0.099}</w:t>
            </w:r>
          </w:p>
        </w:tc>
        <w:tc>
          <w:tcPr>
            <w:tcW w:w="266" w:type="dxa"/>
            <w:tcBorders>
              <w:top w:val="nil"/>
              <w:left w:val="nil"/>
              <w:bottom w:val="nil"/>
              <w:right w:val="nil"/>
            </w:tcBorders>
            <w:shd w:val="clear" w:color="auto" w:fill="auto"/>
            <w:noWrap/>
            <w:vAlign w:val="bottom"/>
            <w:hideMark/>
          </w:tcPr>
          <w:p w14:paraId="7A55A338"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26384EB"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{0.119}</w:t>
            </w:r>
          </w:p>
        </w:tc>
        <w:tc>
          <w:tcPr>
            <w:tcW w:w="903" w:type="dxa"/>
            <w:tcBorders>
              <w:top w:val="nil"/>
              <w:left w:val="nil"/>
              <w:bottom w:val="nil"/>
              <w:right w:val="nil"/>
            </w:tcBorders>
            <w:shd w:val="clear" w:color="auto" w:fill="auto"/>
            <w:noWrap/>
            <w:vAlign w:val="bottom"/>
            <w:hideMark/>
          </w:tcPr>
          <w:p w14:paraId="7EEF02A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{0.119}</w:t>
            </w:r>
          </w:p>
        </w:tc>
        <w:tc>
          <w:tcPr>
            <w:tcW w:w="266" w:type="dxa"/>
            <w:tcBorders>
              <w:top w:val="nil"/>
              <w:left w:val="nil"/>
              <w:bottom w:val="nil"/>
              <w:right w:val="nil"/>
            </w:tcBorders>
            <w:shd w:val="clear" w:color="auto" w:fill="auto"/>
            <w:noWrap/>
            <w:vAlign w:val="bottom"/>
            <w:hideMark/>
          </w:tcPr>
          <w:p w14:paraId="3245FEB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24871FD"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{0.045}</w:t>
            </w:r>
          </w:p>
        </w:tc>
        <w:tc>
          <w:tcPr>
            <w:tcW w:w="903" w:type="dxa"/>
            <w:tcBorders>
              <w:top w:val="nil"/>
              <w:left w:val="nil"/>
              <w:bottom w:val="nil"/>
              <w:right w:val="nil"/>
            </w:tcBorders>
            <w:shd w:val="clear" w:color="auto" w:fill="auto"/>
            <w:noWrap/>
            <w:vAlign w:val="bottom"/>
            <w:hideMark/>
          </w:tcPr>
          <w:p w14:paraId="7049DEC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{0.045}</w:t>
            </w:r>
          </w:p>
        </w:tc>
      </w:tr>
      <w:tr w:rsidR="00F965FC" w:rsidRPr="006B57FF" w14:paraId="176C47F3"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0B968D4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9B5C524" w14:textId="77777777" w:rsidR="006B57FF" w:rsidRPr="006B57FF" w:rsidRDefault="006B57FF" w:rsidP="006B57FF">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3D58B757"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F7E6677"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7F2D9F3F"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44320B0"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E49A985"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AF94C41"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68EF13AE"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6D2F1A6"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558D354F"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254306E5"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r>
      <w:tr w:rsidR="00F965FC" w:rsidRPr="006B57FF" w14:paraId="190E8173"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3010F711" w14:textId="77777777" w:rsidR="006B57FF" w:rsidRPr="006B57FF" w:rsidRDefault="006B57FF" w:rsidP="006B57FF">
            <w:pPr>
              <w:spacing w:after="0" w:line="240" w:lineRule="auto"/>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First-Stage F-statistic</w:t>
            </w:r>
          </w:p>
        </w:tc>
        <w:tc>
          <w:tcPr>
            <w:tcW w:w="903" w:type="dxa"/>
            <w:tcBorders>
              <w:top w:val="nil"/>
              <w:left w:val="nil"/>
              <w:bottom w:val="nil"/>
              <w:right w:val="nil"/>
            </w:tcBorders>
            <w:shd w:val="clear" w:color="auto" w:fill="auto"/>
            <w:noWrap/>
            <w:vAlign w:val="bottom"/>
            <w:hideMark/>
          </w:tcPr>
          <w:p w14:paraId="15E30D16" w14:textId="77777777" w:rsidR="006B57FF" w:rsidRPr="006B57FF" w:rsidRDefault="006B57FF" w:rsidP="006B57FF">
            <w:pPr>
              <w:spacing w:after="0" w:line="240" w:lineRule="auto"/>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279CA87"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19.65</w:t>
            </w:r>
          </w:p>
        </w:tc>
        <w:tc>
          <w:tcPr>
            <w:tcW w:w="266" w:type="dxa"/>
            <w:tcBorders>
              <w:top w:val="nil"/>
              <w:left w:val="nil"/>
              <w:bottom w:val="nil"/>
              <w:right w:val="nil"/>
            </w:tcBorders>
            <w:shd w:val="clear" w:color="auto" w:fill="auto"/>
            <w:noWrap/>
            <w:vAlign w:val="bottom"/>
            <w:hideMark/>
          </w:tcPr>
          <w:p w14:paraId="555B661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E68AABE"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06B16D1"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19.65</w:t>
            </w:r>
          </w:p>
        </w:tc>
        <w:tc>
          <w:tcPr>
            <w:tcW w:w="266" w:type="dxa"/>
            <w:tcBorders>
              <w:top w:val="nil"/>
              <w:left w:val="nil"/>
              <w:bottom w:val="nil"/>
              <w:right w:val="nil"/>
            </w:tcBorders>
            <w:shd w:val="clear" w:color="auto" w:fill="auto"/>
            <w:noWrap/>
            <w:vAlign w:val="bottom"/>
            <w:hideMark/>
          </w:tcPr>
          <w:p w14:paraId="2756F09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D58D88D"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64787CB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20.19</w:t>
            </w:r>
          </w:p>
        </w:tc>
        <w:tc>
          <w:tcPr>
            <w:tcW w:w="266" w:type="dxa"/>
            <w:tcBorders>
              <w:top w:val="nil"/>
              <w:left w:val="nil"/>
              <w:bottom w:val="nil"/>
              <w:right w:val="nil"/>
            </w:tcBorders>
            <w:shd w:val="clear" w:color="auto" w:fill="auto"/>
            <w:noWrap/>
            <w:vAlign w:val="bottom"/>
            <w:hideMark/>
          </w:tcPr>
          <w:p w14:paraId="7D545DD3"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8A06B74"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2D47081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20.19</w:t>
            </w:r>
          </w:p>
        </w:tc>
      </w:tr>
      <w:tr w:rsidR="00F965FC" w:rsidRPr="006B57FF" w14:paraId="7077FA84" w14:textId="77777777" w:rsidTr="0010541F">
        <w:trPr>
          <w:trHeight w:val="290"/>
          <w:jc w:val="center"/>
        </w:trPr>
        <w:tc>
          <w:tcPr>
            <w:tcW w:w="4128" w:type="dxa"/>
            <w:tcBorders>
              <w:top w:val="nil"/>
              <w:left w:val="nil"/>
              <w:bottom w:val="nil"/>
              <w:right w:val="nil"/>
            </w:tcBorders>
            <w:shd w:val="clear" w:color="auto" w:fill="auto"/>
            <w:noWrap/>
            <w:vAlign w:val="bottom"/>
            <w:hideMark/>
          </w:tcPr>
          <w:p w14:paraId="5C88CE80" w14:textId="77777777" w:rsidR="006B57FF" w:rsidRPr="006B57FF" w:rsidRDefault="006B57FF" w:rsidP="006B57FF">
            <w:pPr>
              <w:spacing w:after="0" w:line="240" w:lineRule="auto"/>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Hausman p-value</w:t>
            </w:r>
          </w:p>
        </w:tc>
        <w:tc>
          <w:tcPr>
            <w:tcW w:w="903" w:type="dxa"/>
            <w:tcBorders>
              <w:top w:val="nil"/>
              <w:left w:val="nil"/>
              <w:bottom w:val="nil"/>
              <w:right w:val="nil"/>
            </w:tcBorders>
            <w:shd w:val="clear" w:color="auto" w:fill="auto"/>
            <w:noWrap/>
            <w:vAlign w:val="bottom"/>
            <w:hideMark/>
          </w:tcPr>
          <w:p w14:paraId="0766E769" w14:textId="77777777" w:rsidR="006B57FF" w:rsidRPr="006B57FF" w:rsidRDefault="006B57FF" w:rsidP="006B57FF">
            <w:pPr>
              <w:spacing w:after="0" w:line="240" w:lineRule="auto"/>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1C851A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0.59</w:t>
            </w:r>
          </w:p>
        </w:tc>
        <w:tc>
          <w:tcPr>
            <w:tcW w:w="266" w:type="dxa"/>
            <w:tcBorders>
              <w:top w:val="nil"/>
              <w:left w:val="nil"/>
              <w:bottom w:val="nil"/>
              <w:right w:val="nil"/>
            </w:tcBorders>
            <w:shd w:val="clear" w:color="auto" w:fill="auto"/>
            <w:noWrap/>
            <w:vAlign w:val="bottom"/>
            <w:hideMark/>
          </w:tcPr>
          <w:p w14:paraId="4CF066F4"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DAA73D6"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4F2AA05F"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0.42</w:t>
            </w:r>
          </w:p>
        </w:tc>
        <w:tc>
          <w:tcPr>
            <w:tcW w:w="266" w:type="dxa"/>
            <w:tcBorders>
              <w:top w:val="nil"/>
              <w:left w:val="nil"/>
              <w:bottom w:val="nil"/>
              <w:right w:val="nil"/>
            </w:tcBorders>
            <w:shd w:val="clear" w:color="auto" w:fill="auto"/>
            <w:noWrap/>
            <w:vAlign w:val="bottom"/>
            <w:hideMark/>
          </w:tcPr>
          <w:p w14:paraId="31574F3A"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7D87416D"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48E5FF3D"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0.55</w:t>
            </w:r>
          </w:p>
        </w:tc>
        <w:tc>
          <w:tcPr>
            <w:tcW w:w="266" w:type="dxa"/>
            <w:tcBorders>
              <w:top w:val="nil"/>
              <w:left w:val="nil"/>
              <w:bottom w:val="nil"/>
              <w:right w:val="nil"/>
            </w:tcBorders>
            <w:shd w:val="clear" w:color="auto" w:fill="auto"/>
            <w:noWrap/>
            <w:vAlign w:val="bottom"/>
            <w:hideMark/>
          </w:tcPr>
          <w:p w14:paraId="3A7D9EC1"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0040128E" w14:textId="77777777" w:rsidR="006B57FF" w:rsidRPr="006B57FF" w:rsidRDefault="006B57FF" w:rsidP="006B57FF">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35148D28"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0.32</w:t>
            </w:r>
          </w:p>
        </w:tc>
      </w:tr>
      <w:tr w:rsidR="00F965FC" w:rsidRPr="006B57FF" w14:paraId="042E84FD" w14:textId="77777777" w:rsidTr="0010541F">
        <w:trPr>
          <w:trHeight w:val="290"/>
          <w:jc w:val="center"/>
        </w:trPr>
        <w:tc>
          <w:tcPr>
            <w:tcW w:w="4128" w:type="dxa"/>
            <w:tcBorders>
              <w:top w:val="nil"/>
              <w:left w:val="nil"/>
              <w:bottom w:val="single" w:sz="4" w:space="0" w:color="auto"/>
              <w:right w:val="nil"/>
            </w:tcBorders>
            <w:shd w:val="clear" w:color="auto" w:fill="auto"/>
            <w:noWrap/>
            <w:vAlign w:val="bottom"/>
            <w:hideMark/>
          </w:tcPr>
          <w:p w14:paraId="45D29104" w14:textId="77777777" w:rsidR="006B57FF" w:rsidRPr="006B57FF" w:rsidRDefault="006B57FF" w:rsidP="006B57FF">
            <w:pPr>
              <w:spacing w:after="0" w:line="240" w:lineRule="auto"/>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Observations</w:t>
            </w:r>
          </w:p>
        </w:tc>
        <w:tc>
          <w:tcPr>
            <w:tcW w:w="903" w:type="dxa"/>
            <w:tcBorders>
              <w:top w:val="nil"/>
              <w:left w:val="nil"/>
              <w:bottom w:val="single" w:sz="4" w:space="0" w:color="auto"/>
              <w:right w:val="nil"/>
            </w:tcBorders>
            <w:shd w:val="clear" w:color="auto" w:fill="auto"/>
            <w:noWrap/>
            <w:vAlign w:val="bottom"/>
            <w:hideMark/>
          </w:tcPr>
          <w:p w14:paraId="3A12120E"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422</w:t>
            </w:r>
          </w:p>
        </w:tc>
        <w:tc>
          <w:tcPr>
            <w:tcW w:w="903" w:type="dxa"/>
            <w:tcBorders>
              <w:top w:val="nil"/>
              <w:left w:val="nil"/>
              <w:bottom w:val="single" w:sz="4" w:space="0" w:color="auto"/>
              <w:right w:val="nil"/>
            </w:tcBorders>
            <w:shd w:val="clear" w:color="auto" w:fill="auto"/>
            <w:noWrap/>
            <w:vAlign w:val="bottom"/>
            <w:hideMark/>
          </w:tcPr>
          <w:p w14:paraId="624B877D"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422</w:t>
            </w:r>
          </w:p>
        </w:tc>
        <w:tc>
          <w:tcPr>
            <w:tcW w:w="266" w:type="dxa"/>
            <w:tcBorders>
              <w:top w:val="nil"/>
              <w:left w:val="nil"/>
              <w:bottom w:val="single" w:sz="4" w:space="0" w:color="auto"/>
              <w:right w:val="nil"/>
            </w:tcBorders>
            <w:shd w:val="clear" w:color="auto" w:fill="auto"/>
            <w:noWrap/>
            <w:vAlign w:val="bottom"/>
            <w:hideMark/>
          </w:tcPr>
          <w:p w14:paraId="0699AF8A"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50EFEE8A"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422</w:t>
            </w:r>
          </w:p>
        </w:tc>
        <w:tc>
          <w:tcPr>
            <w:tcW w:w="903" w:type="dxa"/>
            <w:tcBorders>
              <w:top w:val="nil"/>
              <w:left w:val="nil"/>
              <w:bottom w:val="single" w:sz="4" w:space="0" w:color="auto"/>
              <w:right w:val="nil"/>
            </w:tcBorders>
            <w:shd w:val="clear" w:color="auto" w:fill="auto"/>
            <w:noWrap/>
            <w:vAlign w:val="bottom"/>
            <w:hideMark/>
          </w:tcPr>
          <w:p w14:paraId="1F9F00D2"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422</w:t>
            </w:r>
          </w:p>
        </w:tc>
        <w:tc>
          <w:tcPr>
            <w:tcW w:w="266" w:type="dxa"/>
            <w:tcBorders>
              <w:top w:val="nil"/>
              <w:left w:val="nil"/>
              <w:bottom w:val="single" w:sz="4" w:space="0" w:color="auto"/>
              <w:right w:val="nil"/>
            </w:tcBorders>
            <w:shd w:val="clear" w:color="auto" w:fill="auto"/>
            <w:noWrap/>
            <w:vAlign w:val="bottom"/>
            <w:hideMark/>
          </w:tcPr>
          <w:p w14:paraId="31EF4637"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43658239"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422</w:t>
            </w:r>
          </w:p>
        </w:tc>
        <w:tc>
          <w:tcPr>
            <w:tcW w:w="903" w:type="dxa"/>
            <w:tcBorders>
              <w:top w:val="nil"/>
              <w:left w:val="nil"/>
              <w:bottom w:val="single" w:sz="4" w:space="0" w:color="auto"/>
              <w:right w:val="nil"/>
            </w:tcBorders>
            <w:shd w:val="clear" w:color="auto" w:fill="auto"/>
            <w:noWrap/>
            <w:vAlign w:val="bottom"/>
            <w:hideMark/>
          </w:tcPr>
          <w:p w14:paraId="2841A12C"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422</w:t>
            </w:r>
          </w:p>
        </w:tc>
        <w:tc>
          <w:tcPr>
            <w:tcW w:w="266" w:type="dxa"/>
            <w:tcBorders>
              <w:top w:val="nil"/>
              <w:left w:val="nil"/>
              <w:bottom w:val="single" w:sz="4" w:space="0" w:color="auto"/>
              <w:right w:val="nil"/>
            </w:tcBorders>
            <w:shd w:val="clear" w:color="auto" w:fill="auto"/>
            <w:noWrap/>
            <w:vAlign w:val="bottom"/>
            <w:hideMark/>
          </w:tcPr>
          <w:p w14:paraId="78D0CE00"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7D7BDEF7"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422</w:t>
            </w:r>
          </w:p>
        </w:tc>
        <w:tc>
          <w:tcPr>
            <w:tcW w:w="903" w:type="dxa"/>
            <w:tcBorders>
              <w:top w:val="nil"/>
              <w:left w:val="nil"/>
              <w:bottom w:val="single" w:sz="4" w:space="0" w:color="auto"/>
              <w:right w:val="nil"/>
            </w:tcBorders>
            <w:shd w:val="clear" w:color="auto" w:fill="auto"/>
            <w:noWrap/>
            <w:vAlign w:val="bottom"/>
            <w:hideMark/>
          </w:tcPr>
          <w:p w14:paraId="1425AB6F" w14:textId="77777777" w:rsidR="006B57FF" w:rsidRPr="006B57FF" w:rsidRDefault="006B57FF" w:rsidP="006B57FF">
            <w:pPr>
              <w:spacing w:after="0" w:line="240" w:lineRule="auto"/>
              <w:jc w:val="center"/>
              <w:rPr>
                <w:rFonts w:ascii="Times New Roman" w:eastAsia="Times New Roman" w:hAnsi="Times New Roman" w:cs="Times New Roman"/>
                <w:color w:val="000000"/>
                <w:sz w:val="20"/>
                <w:szCs w:val="20"/>
              </w:rPr>
            </w:pPr>
            <w:r w:rsidRPr="006B57FF">
              <w:rPr>
                <w:rFonts w:ascii="Times New Roman" w:eastAsia="Times New Roman" w:hAnsi="Times New Roman" w:cs="Times New Roman"/>
                <w:color w:val="000000"/>
                <w:sz w:val="20"/>
                <w:szCs w:val="20"/>
              </w:rPr>
              <w:t>422</w:t>
            </w:r>
          </w:p>
        </w:tc>
      </w:tr>
      <w:tr w:rsidR="006B57FF" w:rsidRPr="006B57FF" w14:paraId="1BE5F337" w14:textId="77777777" w:rsidTr="0010541F">
        <w:trPr>
          <w:trHeight w:val="290"/>
          <w:jc w:val="center"/>
        </w:trPr>
        <w:tc>
          <w:tcPr>
            <w:tcW w:w="12150" w:type="dxa"/>
            <w:gridSpan w:val="12"/>
            <w:tcBorders>
              <w:top w:val="single" w:sz="4" w:space="0" w:color="auto"/>
              <w:left w:val="nil"/>
              <w:bottom w:val="nil"/>
              <w:right w:val="nil"/>
            </w:tcBorders>
            <w:shd w:val="clear" w:color="auto" w:fill="auto"/>
            <w:noWrap/>
            <w:vAlign w:val="bottom"/>
            <w:hideMark/>
          </w:tcPr>
          <w:p w14:paraId="532A9B76" w14:textId="0ED877FB" w:rsidR="006B57FF" w:rsidRDefault="006B57FF" w:rsidP="006B57F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Notes: </w:t>
            </w:r>
            <w:r>
              <w:rPr>
                <w:rFonts w:ascii="Times New Roman" w:eastAsia="Times New Roman" w:hAnsi="Times New Roman" w:cs="Times New Roman"/>
                <w:sz w:val="20"/>
                <w:szCs w:val="20"/>
              </w:rPr>
              <w:t>This table reports marginal effects from the OLS and IV estimation of equation (</w:t>
            </w:r>
            <w:r w:rsidR="000D4249">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10MinsLottery is the instrument for 10MinsOpen in columns (2), (4), (6), and (8). All specifications include the 2014-15 and 2015-16 school years, as well as controls for the proportions of free-or-reduced-price lunch, Black, Hispanic, and Asian students, and indicators for whether the school is in a city, town, or suburb. The omitted locale is rural. Year fixed effects are also included each column. Standard errors clustered by school are in parentheses. One-sided p-values from the original estimation are in square brackets, while one-sided Romano-Wolf p-values correcting for multiple hypothesis testing are in curly brackets. </w:t>
            </w:r>
            <w:proofErr w:type="spellStart"/>
            <w:r w:rsidRPr="009F62EF">
              <w:rPr>
                <w:rFonts w:ascii="Times New Roman" w:eastAsia="Times New Roman" w:hAnsi="Times New Roman" w:cs="Times New Roman"/>
                <w:sz w:val="20"/>
                <w:szCs w:val="20"/>
              </w:rPr>
              <w:t>Kleibergen-Paap</w:t>
            </w:r>
            <w:proofErr w:type="spellEnd"/>
            <w:r w:rsidRPr="009F62EF">
              <w:rPr>
                <w:rFonts w:ascii="Times New Roman" w:eastAsia="Times New Roman" w:hAnsi="Times New Roman" w:cs="Times New Roman"/>
                <w:sz w:val="20"/>
                <w:szCs w:val="20"/>
              </w:rPr>
              <w:t xml:space="preserve"> F</w:t>
            </w:r>
            <w:r>
              <w:rPr>
                <w:rFonts w:ascii="Times New Roman" w:eastAsia="Times New Roman" w:hAnsi="Times New Roman" w:cs="Times New Roman"/>
                <w:sz w:val="20"/>
                <w:szCs w:val="20"/>
              </w:rPr>
              <w:t>-</w:t>
            </w:r>
            <w:r w:rsidRPr="009F62EF">
              <w:rPr>
                <w:rFonts w:ascii="Times New Roman" w:eastAsia="Times New Roman" w:hAnsi="Times New Roman" w:cs="Times New Roman"/>
                <w:sz w:val="20"/>
                <w:szCs w:val="20"/>
              </w:rPr>
              <w:t>statistic</w:t>
            </w:r>
            <w:r>
              <w:rPr>
                <w:rFonts w:ascii="Times New Roman" w:eastAsia="Times New Roman" w:hAnsi="Times New Roman" w:cs="Times New Roman"/>
                <w:sz w:val="20"/>
                <w:szCs w:val="20"/>
              </w:rPr>
              <w:t>s from a test for weak instruments are reported in columns (2), (4), (6), and (8)</w:t>
            </w:r>
            <w:r w:rsidR="00F7136F">
              <w:rPr>
                <w:rFonts w:ascii="Times New Roman" w:eastAsia="Times New Roman" w:hAnsi="Times New Roman" w:cs="Times New Roman"/>
                <w:sz w:val="20"/>
                <w:szCs w:val="20"/>
              </w:rPr>
              <w:t>, and the corresponding first stage estimates are in Table A3</w:t>
            </w:r>
            <w:r>
              <w:rPr>
                <w:rFonts w:ascii="Times New Roman" w:eastAsia="Times New Roman" w:hAnsi="Times New Roman" w:cs="Times New Roman"/>
                <w:sz w:val="20"/>
                <w:szCs w:val="20"/>
              </w:rPr>
              <w:t>. The p-value for the Hausman specification tests between the OLS and IV estimates are also included in columns (2), (4), (6), and (8).</w:t>
            </w:r>
          </w:p>
          <w:p w14:paraId="07B09237" w14:textId="77777777" w:rsidR="006B57FF" w:rsidRPr="006B57FF" w:rsidRDefault="006B57FF" w:rsidP="006B57FF">
            <w:pPr>
              <w:spacing w:after="0" w:line="240" w:lineRule="auto"/>
              <w:jc w:val="center"/>
              <w:rPr>
                <w:rFonts w:ascii="Calibri" w:eastAsia="Times New Roman" w:hAnsi="Calibri" w:cs="Calibri"/>
                <w:color w:val="000000"/>
              </w:rPr>
            </w:pPr>
            <w:r w:rsidRPr="006B57FF">
              <w:rPr>
                <w:rFonts w:ascii="Calibri" w:eastAsia="Times New Roman" w:hAnsi="Calibri" w:cs="Calibri"/>
                <w:color w:val="000000"/>
              </w:rPr>
              <w:t> </w:t>
            </w:r>
          </w:p>
        </w:tc>
      </w:tr>
    </w:tbl>
    <w:p w14:paraId="1C8D55BE" w14:textId="77777777" w:rsidR="006B57FF" w:rsidRDefault="006B57FF" w:rsidP="00D750E1">
      <w:pPr>
        <w:rPr>
          <w:rFonts w:ascii="Times New Roman" w:hAnsi="Times New Roman" w:cs="Times New Roman"/>
          <w:b/>
          <w:bCs/>
          <w:sz w:val="32"/>
          <w:szCs w:val="32"/>
        </w:rPr>
      </w:pPr>
    </w:p>
    <w:p w14:paraId="44A32A2C" w14:textId="77777777" w:rsidR="00A14956" w:rsidRDefault="00A14956" w:rsidP="00D750E1">
      <w:pPr>
        <w:rPr>
          <w:rFonts w:ascii="Times New Roman" w:hAnsi="Times New Roman" w:cs="Times New Roman"/>
          <w:b/>
          <w:bCs/>
          <w:sz w:val="32"/>
          <w:szCs w:val="32"/>
        </w:rPr>
      </w:pPr>
    </w:p>
    <w:p w14:paraId="016E965E" w14:textId="77777777" w:rsidR="00A14956" w:rsidRDefault="00A14956" w:rsidP="00D750E1">
      <w:pPr>
        <w:rPr>
          <w:rFonts w:ascii="Times New Roman" w:hAnsi="Times New Roman" w:cs="Times New Roman"/>
          <w:b/>
          <w:bCs/>
          <w:sz w:val="32"/>
          <w:szCs w:val="32"/>
        </w:rPr>
      </w:pPr>
    </w:p>
    <w:p w14:paraId="1AF46610" w14:textId="77777777" w:rsidR="00A14956" w:rsidRDefault="00A14956" w:rsidP="00D750E1">
      <w:pPr>
        <w:rPr>
          <w:rFonts w:ascii="Times New Roman" w:hAnsi="Times New Roman" w:cs="Times New Roman"/>
          <w:b/>
          <w:bCs/>
          <w:sz w:val="32"/>
          <w:szCs w:val="32"/>
        </w:rPr>
      </w:pPr>
    </w:p>
    <w:p w14:paraId="6046E5F2" w14:textId="77777777" w:rsidR="00A14956" w:rsidRDefault="00A14956" w:rsidP="00D750E1">
      <w:pPr>
        <w:rPr>
          <w:rFonts w:ascii="Times New Roman" w:hAnsi="Times New Roman" w:cs="Times New Roman"/>
          <w:b/>
          <w:bCs/>
          <w:sz w:val="32"/>
          <w:szCs w:val="32"/>
        </w:rPr>
      </w:pPr>
    </w:p>
    <w:tbl>
      <w:tblPr>
        <w:tblW w:w="12150" w:type="dxa"/>
        <w:tblInd w:w="810" w:type="dxa"/>
        <w:tblLook w:val="04A0" w:firstRow="1" w:lastRow="0" w:firstColumn="1" w:lastColumn="0" w:noHBand="0" w:noVBand="1"/>
      </w:tblPr>
      <w:tblGrid>
        <w:gridCol w:w="4128"/>
        <w:gridCol w:w="903"/>
        <w:gridCol w:w="903"/>
        <w:gridCol w:w="266"/>
        <w:gridCol w:w="903"/>
        <w:gridCol w:w="903"/>
        <w:gridCol w:w="266"/>
        <w:gridCol w:w="903"/>
        <w:gridCol w:w="903"/>
        <w:gridCol w:w="266"/>
        <w:gridCol w:w="903"/>
        <w:gridCol w:w="903"/>
      </w:tblGrid>
      <w:tr w:rsidR="00A14956" w:rsidRPr="00A14956" w14:paraId="4D4F5DCF" w14:textId="77777777" w:rsidTr="0010541F">
        <w:trPr>
          <w:trHeight w:val="300"/>
        </w:trPr>
        <w:tc>
          <w:tcPr>
            <w:tcW w:w="12150" w:type="dxa"/>
            <w:gridSpan w:val="12"/>
            <w:tcBorders>
              <w:top w:val="nil"/>
              <w:left w:val="nil"/>
              <w:bottom w:val="double" w:sz="6" w:space="0" w:color="auto"/>
              <w:right w:val="nil"/>
            </w:tcBorders>
            <w:shd w:val="clear" w:color="auto" w:fill="auto"/>
            <w:noWrap/>
            <w:vAlign w:val="bottom"/>
            <w:hideMark/>
          </w:tcPr>
          <w:p w14:paraId="2689A9AE" w14:textId="19A6E36F" w:rsidR="00A14956" w:rsidRPr="00F965FC" w:rsidRDefault="00A14956" w:rsidP="00A14956">
            <w:pPr>
              <w:spacing w:after="0" w:line="240" w:lineRule="auto"/>
              <w:jc w:val="center"/>
              <w:rPr>
                <w:rFonts w:ascii="Times New Roman" w:eastAsia="Times New Roman" w:hAnsi="Times New Roman" w:cs="Times New Roman"/>
                <w:color w:val="000000"/>
                <w:sz w:val="24"/>
                <w:szCs w:val="24"/>
              </w:rPr>
            </w:pPr>
            <w:r w:rsidRPr="00F965FC">
              <w:rPr>
                <w:rFonts w:ascii="Times New Roman" w:eastAsia="Times New Roman" w:hAnsi="Times New Roman" w:cs="Times New Roman"/>
                <w:color w:val="000000"/>
                <w:sz w:val="24"/>
                <w:szCs w:val="24"/>
              </w:rPr>
              <w:lastRenderedPageBreak/>
              <w:t xml:space="preserve">Table </w:t>
            </w:r>
            <w:r w:rsidR="00CB76AD">
              <w:rPr>
                <w:rFonts w:ascii="Times New Roman" w:eastAsia="Times New Roman" w:hAnsi="Times New Roman" w:cs="Times New Roman"/>
                <w:color w:val="000000"/>
                <w:sz w:val="24"/>
                <w:szCs w:val="24"/>
              </w:rPr>
              <w:t>1</w:t>
            </w:r>
            <w:r w:rsidR="00F965FC" w:rsidRPr="00F965FC">
              <w:rPr>
                <w:rFonts w:ascii="Times New Roman" w:eastAsia="Times New Roman" w:hAnsi="Times New Roman" w:cs="Times New Roman"/>
                <w:color w:val="000000"/>
                <w:sz w:val="24"/>
                <w:szCs w:val="24"/>
              </w:rPr>
              <w:t>0</w:t>
            </w:r>
            <w:r w:rsidRPr="00F965FC">
              <w:rPr>
                <w:rFonts w:ascii="Times New Roman" w:eastAsia="Times New Roman" w:hAnsi="Times New Roman" w:cs="Times New Roman"/>
                <w:color w:val="000000"/>
                <w:sz w:val="24"/>
                <w:szCs w:val="24"/>
              </w:rPr>
              <w:t>: Ordinary Least Squares and Instrumental Variable Estimates of the Effects of Recreational Marijuana Dispensaries on the Shares of 11</w:t>
            </w:r>
            <w:r w:rsidRPr="00F965FC">
              <w:rPr>
                <w:rFonts w:ascii="Times New Roman" w:eastAsia="Times New Roman" w:hAnsi="Times New Roman" w:cs="Times New Roman"/>
                <w:color w:val="000000"/>
                <w:sz w:val="24"/>
                <w:szCs w:val="24"/>
                <w:vertAlign w:val="superscript"/>
              </w:rPr>
              <w:t>th</w:t>
            </w:r>
            <w:r w:rsidRPr="00F965FC">
              <w:rPr>
                <w:rFonts w:ascii="Times New Roman" w:eastAsia="Times New Roman" w:hAnsi="Times New Roman" w:cs="Times New Roman"/>
                <w:color w:val="000000"/>
                <w:sz w:val="24"/>
                <w:szCs w:val="24"/>
              </w:rPr>
              <w:t>-Graders who are Not Proficient in Math or ELA</w:t>
            </w:r>
          </w:p>
          <w:p w14:paraId="1175073E" w14:textId="77777777" w:rsidR="00F965FC" w:rsidRPr="00F965FC" w:rsidRDefault="00F965FC" w:rsidP="00A14956">
            <w:pPr>
              <w:spacing w:after="0" w:line="240" w:lineRule="auto"/>
              <w:jc w:val="center"/>
              <w:rPr>
                <w:rFonts w:ascii="Times New Roman" w:eastAsia="Times New Roman" w:hAnsi="Times New Roman" w:cs="Times New Roman"/>
                <w:color w:val="000000"/>
                <w:sz w:val="24"/>
                <w:szCs w:val="24"/>
              </w:rPr>
            </w:pPr>
          </w:p>
          <w:p w14:paraId="30B2901C" w14:textId="122EC008" w:rsidR="00A14956" w:rsidRPr="00A14956" w:rsidRDefault="00A14956" w:rsidP="00A14956">
            <w:pPr>
              <w:spacing w:after="0" w:line="240" w:lineRule="auto"/>
              <w:jc w:val="center"/>
              <w:rPr>
                <w:rFonts w:ascii="Times New Roman" w:eastAsia="Times New Roman" w:hAnsi="Times New Roman" w:cs="Times New Roman"/>
                <w:b/>
                <w:bCs/>
                <w:color w:val="000000"/>
                <w:sz w:val="24"/>
                <w:szCs w:val="24"/>
              </w:rPr>
            </w:pPr>
          </w:p>
        </w:tc>
      </w:tr>
      <w:tr w:rsidR="00A14956" w:rsidRPr="00A14956" w14:paraId="3C4D076E" w14:textId="77777777" w:rsidTr="0010541F">
        <w:trPr>
          <w:trHeight w:val="300"/>
        </w:trPr>
        <w:tc>
          <w:tcPr>
            <w:tcW w:w="4128" w:type="dxa"/>
            <w:tcBorders>
              <w:top w:val="nil"/>
              <w:left w:val="nil"/>
              <w:bottom w:val="nil"/>
              <w:right w:val="nil"/>
            </w:tcBorders>
            <w:shd w:val="clear" w:color="auto" w:fill="auto"/>
            <w:noWrap/>
            <w:vAlign w:val="bottom"/>
            <w:hideMark/>
          </w:tcPr>
          <w:p w14:paraId="78CEADA8" w14:textId="77777777" w:rsidR="00A14956" w:rsidRPr="00A14956" w:rsidRDefault="00A14956" w:rsidP="00A14956">
            <w:pPr>
              <w:spacing w:after="0" w:line="240" w:lineRule="auto"/>
              <w:jc w:val="center"/>
              <w:rPr>
                <w:rFonts w:ascii="Times New Roman" w:eastAsia="Times New Roman" w:hAnsi="Times New Roman" w:cs="Times New Roman"/>
                <w:b/>
                <w:bCs/>
                <w:color w:val="000000"/>
                <w:sz w:val="20"/>
                <w:szCs w:val="20"/>
              </w:rPr>
            </w:pPr>
          </w:p>
        </w:tc>
        <w:tc>
          <w:tcPr>
            <w:tcW w:w="3878" w:type="dxa"/>
            <w:gridSpan w:val="5"/>
            <w:tcBorders>
              <w:top w:val="double" w:sz="6" w:space="0" w:color="auto"/>
              <w:left w:val="nil"/>
              <w:bottom w:val="single" w:sz="4" w:space="0" w:color="auto"/>
              <w:right w:val="nil"/>
            </w:tcBorders>
            <w:shd w:val="clear" w:color="auto" w:fill="auto"/>
            <w:noWrap/>
            <w:vAlign w:val="bottom"/>
            <w:hideMark/>
          </w:tcPr>
          <w:p w14:paraId="2BE8EF9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Math</w:t>
            </w:r>
          </w:p>
        </w:tc>
        <w:tc>
          <w:tcPr>
            <w:tcW w:w="266" w:type="dxa"/>
            <w:tcBorders>
              <w:top w:val="nil"/>
              <w:left w:val="nil"/>
              <w:bottom w:val="nil"/>
              <w:right w:val="nil"/>
            </w:tcBorders>
            <w:shd w:val="clear" w:color="auto" w:fill="auto"/>
            <w:noWrap/>
            <w:vAlign w:val="bottom"/>
            <w:hideMark/>
          </w:tcPr>
          <w:p w14:paraId="223CE49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3878" w:type="dxa"/>
            <w:gridSpan w:val="5"/>
            <w:tcBorders>
              <w:top w:val="double" w:sz="6" w:space="0" w:color="auto"/>
              <w:left w:val="nil"/>
              <w:bottom w:val="single" w:sz="4" w:space="0" w:color="auto"/>
              <w:right w:val="nil"/>
            </w:tcBorders>
            <w:shd w:val="clear" w:color="auto" w:fill="auto"/>
            <w:noWrap/>
            <w:vAlign w:val="bottom"/>
            <w:hideMark/>
          </w:tcPr>
          <w:p w14:paraId="151AB2E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ELA</w:t>
            </w:r>
          </w:p>
        </w:tc>
      </w:tr>
      <w:tr w:rsidR="00A14956" w:rsidRPr="00A14956" w14:paraId="2B112136" w14:textId="77777777" w:rsidTr="0010541F">
        <w:trPr>
          <w:trHeight w:val="290"/>
        </w:trPr>
        <w:tc>
          <w:tcPr>
            <w:tcW w:w="4128" w:type="dxa"/>
            <w:tcBorders>
              <w:top w:val="nil"/>
              <w:left w:val="nil"/>
              <w:bottom w:val="nil"/>
              <w:right w:val="nil"/>
            </w:tcBorders>
            <w:shd w:val="clear" w:color="auto" w:fill="auto"/>
            <w:noWrap/>
            <w:vAlign w:val="bottom"/>
            <w:hideMark/>
          </w:tcPr>
          <w:p w14:paraId="7222C872"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1806" w:type="dxa"/>
            <w:gridSpan w:val="2"/>
            <w:tcBorders>
              <w:top w:val="nil"/>
              <w:left w:val="nil"/>
              <w:bottom w:val="nil"/>
              <w:right w:val="nil"/>
            </w:tcBorders>
            <w:shd w:val="clear" w:color="auto" w:fill="auto"/>
            <w:noWrap/>
            <w:vAlign w:val="bottom"/>
            <w:hideMark/>
          </w:tcPr>
          <w:p w14:paraId="3B70B42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Female</w:t>
            </w:r>
          </w:p>
        </w:tc>
        <w:tc>
          <w:tcPr>
            <w:tcW w:w="266" w:type="dxa"/>
            <w:tcBorders>
              <w:top w:val="nil"/>
              <w:left w:val="nil"/>
              <w:bottom w:val="nil"/>
              <w:right w:val="nil"/>
            </w:tcBorders>
            <w:shd w:val="clear" w:color="auto" w:fill="auto"/>
            <w:noWrap/>
            <w:vAlign w:val="bottom"/>
            <w:hideMark/>
          </w:tcPr>
          <w:p w14:paraId="6DBCF87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1806" w:type="dxa"/>
            <w:gridSpan w:val="2"/>
            <w:tcBorders>
              <w:top w:val="nil"/>
              <w:left w:val="nil"/>
              <w:bottom w:val="single" w:sz="4" w:space="0" w:color="auto"/>
              <w:right w:val="nil"/>
            </w:tcBorders>
            <w:shd w:val="clear" w:color="auto" w:fill="auto"/>
            <w:noWrap/>
            <w:vAlign w:val="bottom"/>
            <w:hideMark/>
          </w:tcPr>
          <w:p w14:paraId="0593D59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Male</w:t>
            </w:r>
          </w:p>
        </w:tc>
        <w:tc>
          <w:tcPr>
            <w:tcW w:w="266" w:type="dxa"/>
            <w:tcBorders>
              <w:top w:val="nil"/>
              <w:left w:val="nil"/>
              <w:bottom w:val="nil"/>
              <w:right w:val="nil"/>
            </w:tcBorders>
            <w:shd w:val="clear" w:color="auto" w:fill="auto"/>
            <w:noWrap/>
            <w:vAlign w:val="bottom"/>
            <w:hideMark/>
          </w:tcPr>
          <w:p w14:paraId="1375500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1806" w:type="dxa"/>
            <w:gridSpan w:val="2"/>
            <w:tcBorders>
              <w:top w:val="nil"/>
              <w:left w:val="nil"/>
              <w:bottom w:val="single" w:sz="4" w:space="0" w:color="auto"/>
              <w:right w:val="nil"/>
            </w:tcBorders>
            <w:shd w:val="clear" w:color="auto" w:fill="auto"/>
            <w:noWrap/>
            <w:vAlign w:val="bottom"/>
            <w:hideMark/>
          </w:tcPr>
          <w:p w14:paraId="168BFE6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Female</w:t>
            </w:r>
          </w:p>
        </w:tc>
        <w:tc>
          <w:tcPr>
            <w:tcW w:w="266" w:type="dxa"/>
            <w:tcBorders>
              <w:top w:val="nil"/>
              <w:left w:val="nil"/>
              <w:bottom w:val="nil"/>
              <w:right w:val="nil"/>
            </w:tcBorders>
            <w:shd w:val="clear" w:color="auto" w:fill="auto"/>
            <w:noWrap/>
            <w:vAlign w:val="bottom"/>
            <w:hideMark/>
          </w:tcPr>
          <w:p w14:paraId="13AB717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1806" w:type="dxa"/>
            <w:gridSpan w:val="2"/>
            <w:tcBorders>
              <w:top w:val="nil"/>
              <w:left w:val="nil"/>
              <w:bottom w:val="single" w:sz="4" w:space="0" w:color="auto"/>
              <w:right w:val="nil"/>
            </w:tcBorders>
            <w:shd w:val="clear" w:color="auto" w:fill="auto"/>
            <w:noWrap/>
            <w:vAlign w:val="bottom"/>
            <w:hideMark/>
          </w:tcPr>
          <w:p w14:paraId="332B9C1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Male</w:t>
            </w:r>
          </w:p>
        </w:tc>
      </w:tr>
      <w:tr w:rsidR="00A14956" w:rsidRPr="00A14956" w14:paraId="316611E6" w14:textId="77777777" w:rsidTr="0010541F">
        <w:trPr>
          <w:trHeight w:val="290"/>
        </w:trPr>
        <w:tc>
          <w:tcPr>
            <w:tcW w:w="4128" w:type="dxa"/>
            <w:tcBorders>
              <w:top w:val="nil"/>
              <w:left w:val="nil"/>
              <w:bottom w:val="nil"/>
              <w:right w:val="nil"/>
            </w:tcBorders>
            <w:shd w:val="clear" w:color="auto" w:fill="auto"/>
            <w:noWrap/>
            <w:vAlign w:val="bottom"/>
            <w:hideMark/>
          </w:tcPr>
          <w:p w14:paraId="4B33E73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single" w:sz="4" w:space="0" w:color="auto"/>
              <w:left w:val="nil"/>
              <w:bottom w:val="nil"/>
              <w:right w:val="nil"/>
            </w:tcBorders>
            <w:shd w:val="clear" w:color="auto" w:fill="auto"/>
            <w:noWrap/>
            <w:vAlign w:val="bottom"/>
            <w:hideMark/>
          </w:tcPr>
          <w:p w14:paraId="2138FCB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r w:rsidRPr="00A14956">
              <w:rPr>
                <w:rFonts w:ascii="Times New Roman" w:eastAsia="Times New Roman" w:hAnsi="Times New Roman" w:cs="Times New Roman"/>
                <w:color w:val="000000"/>
                <w:sz w:val="20"/>
                <w:szCs w:val="20"/>
                <w:u w:val="single"/>
              </w:rPr>
              <w:t>OLS</w:t>
            </w:r>
          </w:p>
        </w:tc>
        <w:tc>
          <w:tcPr>
            <w:tcW w:w="903" w:type="dxa"/>
            <w:tcBorders>
              <w:top w:val="single" w:sz="4" w:space="0" w:color="auto"/>
              <w:left w:val="nil"/>
              <w:bottom w:val="nil"/>
              <w:right w:val="nil"/>
            </w:tcBorders>
            <w:shd w:val="clear" w:color="auto" w:fill="auto"/>
            <w:noWrap/>
            <w:vAlign w:val="bottom"/>
            <w:hideMark/>
          </w:tcPr>
          <w:p w14:paraId="2244085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r w:rsidRPr="00A14956">
              <w:rPr>
                <w:rFonts w:ascii="Times New Roman" w:eastAsia="Times New Roman" w:hAnsi="Times New Roman" w:cs="Times New Roman"/>
                <w:color w:val="000000"/>
                <w:sz w:val="20"/>
                <w:szCs w:val="20"/>
                <w:u w:val="single"/>
              </w:rPr>
              <w:t>IV</w:t>
            </w:r>
          </w:p>
        </w:tc>
        <w:tc>
          <w:tcPr>
            <w:tcW w:w="266" w:type="dxa"/>
            <w:tcBorders>
              <w:top w:val="nil"/>
              <w:left w:val="nil"/>
              <w:bottom w:val="nil"/>
              <w:right w:val="nil"/>
            </w:tcBorders>
            <w:shd w:val="clear" w:color="auto" w:fill="auto"/>
            <w:noWrap/>
            <w:vAlign w:val="bottom"/>
            <w:hideMark/>
          </w:tcPr>
          <w:p w14:paraId="2700E83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p>
        </w:tc>
        <w:tc>
          <w:tcPr>
            <w:tcW w:w="903" w:type="dxa"/>
            <w:tcBorders>
              <w:top w:val="nil"/>
              <w:left w:val="nil"/>
              <w:bottom w:val="nil"/>
              <w:right w:val="nil"/>
            </w:tcBorders>
            <w:shd w:val="clear" w:color="auto" w:fill="auto"/>
            <w:noWrap/>
            <w:vAlign w:val="bottom"/>
            <w:hideMark/>
          </w:tcPr>
          <w:p w14:paraId="68D9746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r w:rsidRPr="00A14956">
              <w:rPr>
                <w:rFonts w:ascii="Times New Roman" w:eastAsia="Times New Roman" w:hAnsi="Times New Roman" w:cs="Times New Roman"/>
                <w:color w:val="000000"/>
                <w:sz w:val="20"/>
                <w:szCs w:val="20"/>
                <w:u w:val="single"/>
              </w:rPr>
              <w:t>OLS</w:t>
            </w:r>
          </w:p>
        </w:tc>
        <w:tc>
          <w:tcPr>
            <w:tcW w:w="903" w:type="dxa"/>
            <w:tcBorders>
              <w:top w:val="nil"/>
              <w:left w:val="nil"/>
              <w:bottom w:val="nil"/>
              <w:right w:val="nil"/>
            </w:tcBorders>
            <w:shd w:val="clear" w:color="auto" w:fill="auto"/>
            <w:noWrap/>
            <w:vAlign w:val="bottom"/>
            <w:hideMark/>
          </w:tcPr>
          <w:p w14:paraId="7954496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r w:rsidRPr="00A14956">
              <w:rPr>
                <w:rFonts w:ascii="Times New Roman" w:eastAsia="Times New Roman" w:hAnsi="Times New Roman" w:cs="Times New Roman"/>
                <w:color w:val="000000"/>
                <w:sz w:val="20"/>
                <w:szCs w:val="20"/>
                <w:u w:val="single"/>
              </w:rPr>
              <w:t>IV</w:t>
            </w:r>
          </w:p>
        </w:tc>
        <w:tc>
          <w:tcPr>
            <w:tcW w:w="266" w:type="dxa"/>
            <w:tcBorders>
              <w:top w:val="nil"/>
              <w:left w:val="nil"/>
              <w:bottom w:val="nil"/>
              <w:right w:val="nil"/>
            </w:tcBorders>
            <w:shd w:val="clear" w:color="auto" w:fill="auto"/>
            <w:noWrap/>
            <w:vAlign w:val="bottom"/>
            <w:hideMark/>
          </w:tcPr>
          <w:p w14:paraId="319092B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p>
        </w:tc>
        <w:tc>
          <w:tcPr>
            <w:tcW w:w="903" w:type="dxa"/>
            <w:tcBorders>
              <w:top w:val="nil"/>
              <w:left w:val="nil"/>
              <w:bottom w:val="nil"/>
              <w:right w:val="nil"/>
            </w:tcBorders>
            <w:shd w:val="clear" w:color="auto" w:fill="auto"/>
            <w:noWrap/>
            <w:vAlign w:val="bottom"/>
            <w:hideMark/>
          </w:tcPr>
          <w:p w14:paraId="1258527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r w:rsidRPr="00A14956">
              <w:rPr>
                <w:rFonts w:ascii="Times New Roman" w:eastAsia="Times New Roman" w:hAnsi="Times New Roman" w:cs="Times New Roman"/>
                <w:color w:val="000000"/>
                <w:sz w:val="20"/>
                <w:szCs w:val="20"/>
                <w:u w:val="single"/>
              </w:rPr>
              <w:t>OLS</w:t>
            </w:r>
          </w:p>
        </w:tc>
        <w:tc>
          <w:tcPr>
            <w:tcW w:w="903" w:type="dxa"/>
            <w:tcBorders>
              <w:top w:val="nil"/>
              <w:left w:val="nil"/>
              <w:bottom w:val="nil"/>
              <w:right w:val="nil"/>
            </w:tcBorders>
            <w:shd w:val="clear" w:color="auto" w:fill="auto"/>
            <w:noWrap/>
            <w:vAlign w:val="bottom"/>
            <w:hideMark/>
          </w:tcPr>
          <w:p w14:paraId="6160619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r w:rsidRPr="00A14956">
              <w:rPr>
                <w:rFonts w:ascii="Times New Roman" w:eastAsia="Times New Roman" w:hAnsi="Times New Roman" w:cs="Times New Roman"/>
                <w:color w:val="000000"/>
                <w:sz w:val="20"/>
                <w:szCs w:val="20"/>
                <w:u w:val="single"/>
              </w:rPr>
              <w:t>IV</w:t>
            </w:r>
          </w:p>
        </w:tc>
        <w:tc>
          <w:tcPr>
            <w:tcW w:w="266" w:type="dxa"/>
            <w:tcBorders>
              <w:top w:val="nil"/>
              <w:left w:val="nil"/>
              <w:bottom w:val="nil"/>
              <w:right w:val="nil"/>
            </w:tcBorders>
            <w:shd w:val="clear" w:color="auto" w:fill="auto"/>
            <w:noWrap/>
            <w:vAlign w:val="bottom"/>
            <w:hideMark/>
          </w:tcPr>
          <w:p w14:paraId="498DC1B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p>
        </w:tc>
        <w:tc>
          <w:tcPr>
            <w:tcW w:w="903" w:type="dxa"/>
            <w:tcBorders>
              <w:top w:val="nil"/>
              <w:left w:val="nil"/>
              <w:bottom w:val="nil"/>
              <w:right w:val="nil"/>
            </w:tcBorders>
            <w:shd w:val="clear" w:color="auto" w:fill="auto"/>
            <w:noWrap/>
            <w:vAlign w:val="bottom"/>
            <w:hideMark/>
          </w:tcPr>
          <w:p w14:paraId="5E4C6E3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r w:rsidRPr="00A14956">
              <w:rPr>
                <w:rFonts w:ascii="Times New Roman" w:eastAsia="Times New Roman" w:hAnsi="Times New Roman" w:cs="Times New Roman"/>
                <w:color w:val="000000"/>
                <w:sz w:val="20"/>
                <w:szCs w:val="20"/>
                <w:u w:val="single"/>
              </w:rPr>
              <w:t>OLS</w:t>
            </w:r>
          </w:p>
        </w:tc>
        <w:tc>
          <w:tcPr>
            <w:tcW w:w="903" w:type="dxa"/>
            <w:tcBorders>
              <w:top w:val="nil"/>
              <w:left w:val="nil"/>
              <w:bottom w:val="nil"/>
              <w:right w:val="nil"/>
            </w:tcBorders>
            <w:shd w:val="clear" w:color="auto" w:fill="auto"/>
            <w:noWrap/>
            <w:vAlign w:val="bottom"/>
            <w:hideMark/>
          </w:tcPr>
          <w:p w14:paraId="352D997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u w:val="single"/>
              </w:rPr>
            </w:pPr>
            <w:r w:rsidRPr="00A14956">
              <w:rPr>
                <w:rFonts w:ascii="Times New Roman" w:eastAsia="Times New Roman" w:hAnsi="Times New Roman" w:cs="Times New Roman"/>
                <w:color w:val="000000"/>
                <w:sz w:val="20"/>
                <w:szCs w:val="20"/>
                <w:u w:val="single"/>
              </w:rPr>
              <w:t>IV</w:t>
            </w:r>
          </w:p>
        </w:tc>
      </w:tr>
      <w:tr w:rsidR="00A14956" w:rsidRPr="00A14956" w14:paraId="4C94E8F2" w14:textId="77777777" w:rsidTr="0010541F">
        <w:trPr>
          <w:trHeight w:val="290"/>
        </w:trPr>
        <w:tc>
          <w:tcPr>
            <w:tcW w:w="4128" w:type="dxa"/>
            <w:tcBorders>
              <w:top w:val="nil"/>
              <w:left w:val="nil"/>
              <w:bottom w:val="single" w:sz="4" w:space="0" w:color="auto"/>
              <w:right w:val="nil"/>
            </w:tcBorders>
            <w:shd w:val="clear" w:color="auto" w:fill="auto"/>
            <w:noWrap/>
            <w:vAlign w:val="bottom"/>
            <w:hideMark/>
          </w:tcPr>
          <w:p w14:paraId="33C974F4"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52988AA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w:t>
            </w:r>
          </w:p>
        </w:tc>
        <w:tc>
          <w:tcPr>
            <w:tcW w:w="903" w:type="dxa"/>
            <w:tcBorders>
              <w:top w:val="nil"/>
              <w:left w:val="nil"/>
              <w:bottom w:val="single" w:sz="4" w:space="0" w:color="auto"/>
              <w:right w:val="nil"/>
            </w:tcBorders>
            <w:shd w:val="clear" w:color="auto" w:fill="auto"/>
            <w:noWrap/>
            <w:vAlign w:val="bottom"/>
            <w:hideMark/>
          </w:tcPr>
          <w:p w14:paraId="410C3CF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(2)</w:t>
            </w:r>
          </w:p>
        </w:tc>
        <w:tc>
          <w:tcPr>
            <w:tcW w:w="266" w:type="dxa"/>
            <w:tcBorders>
              <w:top w:val="nil"/>
              <w:left w:val="nil"/>
              <w:bottom w:val="single" w:sz="4" w:space="0" w:color="auto"/>
              <w:right w:val="nil"/>
            </w:tcBorders>
            <w:shd w:val="clear" w:color="auto" w:fill="auto"/>
            <w:noWrap/>
            <w:vAlign w:val="bottom"/>
            <w:hideMark/>
          </w:tcPr>
          <w:p w14:paraId="0D8B220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2DA521A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w:t>
            </w:r>
          </w:p>
        </w:tc>
        <w:tc>
          <w:tcPr>
            <w:tcW w:w="903" w:type="dxa"/>
            <w:tcBorders>
              <w:top w:val="nil"/>
              <w:left w:val="nil"/>
              <w:bottom w:val="single" w:sz="4" w:space="0" w:color="auto"/>
              <w:right w:val="nil"/>
            </w:tcBorders>
            <w:shd w:val="clear" w:color="auto" w:fill="auto"/>
            <w:noWrap/>
            <w:vAlign w:val="bottom"/>
            <w:hideMark/>
          </w:tcPr>
          <w:p w14:paraId="3309364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(4)</w:t>
            </w:r>
          </w:p>
        </w:tc>
        <w:tc>
          <w:tcPr>
            <w:tcW w:w="266" w:type="dxa"/>
            <w:tcBorders>
              <w:top w:val="nil"/>
              <w:left w:val="nil"/>
              <w:bottom w:val="single" w:sz="4" w:space="0" w:color="auto"/>
              <w:right w:val="nil"/>
            </w:tcBorders>
            <w:shd w:val="clear" w:color="auto" w:fill="auto"/>
            <w:noWrap/>
            <w:vAlign w:val="bottom"/>
            <w:hideMark/>
          </w:tcPr>
          <w:p w14:paraId="0374DCA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35419A62"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(5)</w:t>
            </w:r>
          </w:p>
        </w:tc>
        <w:tc>
          <w:tcPr>
            <w:tcW w:w="903" w:type="dxa"/>
            <w:tcBorders>
              <w:top w:val="nil"/>
              <w:left w:val="nil"/>
              <w:bottom w:val="single" w:sz="4" w:space="0" w:color="auto"/>
              <w:right w:val="nil"/>
            </w:tcBorders>
            <w:shd w:val="clear" w:color="auto" w:fill="auto"/>
            <w:noWrap/>
            <w:vAlign w:val="bottom"/>
            <w:hideMark/>
          </w:tcPr>
          <w:p w14:paraId="30CC5F6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(6)</w:t>
            </w:r>
          </w:p>
        </w:tc>
        <w:tc>
          <w:tcPr>
            <w:tcW w:w="266" w:type="dxa"/>
            <w:tcBorders>
              <w:top w:val="nil"/>
              <w:left w:val="nil"/>
              <w:bottom w:val="single" w:sz="4" w:space="0" w:color="auto"/>
              <w:right w:val="nil"/>
            </w:tcBorders>
            <w:shd w:val="clear" w:color="auto" w:fill="auto"/>
            <w:noWrap/>
            <w:vAlign w:val="bottom"/>
            <w:hideMark/>
          </w:tcPr>
          <w:p w14:paraId="2B75601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50F4327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(7)</w:t>
            </w:r>
          </w:p>
        </w:tc>
        <w:tc>
          <w:tcPr>
            <w:tcW w:w="903" w:type="dxa"/>
            <w:tcBorders>
              <w:top w:val="nil"/>
              <w:left w:val="nil"/>
              <w:bottom w:val="single" w:sz="4" w:space="0" w:color="auto"/>
              <w:right w:val="nil"/>
            </w:tcBorders>
            <w:shd w:val="clear" w:color="auto" w:fill="auto"/>
            <w:noWrap/>
            <w:vAlign w:val="bottom"/>
            <w:hideMark/>
          </w:tcPr>
          <w:p w14:paraId="4341C0F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(8)</w:t>
            </w:r>
          </w:p>
        </w:tc>
      </w:tr>
      <w:tr w:rsidR="00A14956" w:rsidRPr="00A14956" w14:paraId="58061E8B" w14:textId="77777777" w:rsidTr="0010541F">
        <w:trPr>
          <w:trHeight w:val="290"/>
        </w:trPr>
        <w:tc>
          <w:tcPr>
            <w:tcW w:w="4128" w:type="dxa"/>
            <w:tcBorders>
              <w:top w:val="nil"/>
              <w:left w:val="nil"/>
              <w:bottom w:val="nil"/>
              <w:right w:val="nil"/>
            </w:tcBorders>
            <w:shd w:val="clear" w:color="auto" w:fill="auto"/>
            <w:noWrap/>
            <w:vAlign w:val="bottom"/>
            <w:hideMark/>
          </w:tcPr>
          <w:p w14:paraId="07B9799D"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School is within 10 Mins of an Open Dispensary</w:t>
            </w:r>
          </w:p>
        </w:tc>
        <w:tc>
          <w:tcPr>
            <w:tcW w:w="903" w:type="dxa"/>
            <w:tcBorders>
              <w:top w:val="nil"/>
              <w:left w:val="nil"/>
              <w:bottom w:val="nil"/>
              <w:right w:val="nil"/>
            </w:tcBorders>
            <w:shd w:val="clear" w:color="auto" w:fill="auto"/>
            <w:noWrap/>
            <w:vAlign w:val="bottom"/>
            <w:hideMark/>
          </w:tcPr>
          <w:p w14:paraId="717B2C8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-0.033</w:t>
            </w:r>
          </w:p>
        </w:tc>
        <w:tc>
          <w:tcPr>
            <w:tcW w:w="903" w:type="dxa"/>
            <w:tcBorders>
              <w:top w:val="nil"/>
              <w:left w:val="nil"/>
              <w:bottom w:val="nil"/>
              <w:right w:val="nil"/>
            </w:tcBorders>
            <w:shd w:val="clear" w:color="auto" w:fill="auto"/>
            <w:noWrap/>
            <w:vAlign w:val="bottom"/>
            <w:hideMark/>
          </w:tcPr>
          <w:p w14:paraId="1D678B7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-0.035</w:t>
            </w:r>
          </w:p>
        </w:tc>
        <w:tc>
          <w:tcPr>
            <w:tcW w:w="266" w:type="dxa"/>
            <w:tcBorders>
              <w:top w:val="nil"/>
              <w:left w:val="nil"/>
              <w:bottom w:val="nil"/>
              <w:right w:val="nil"/>
            </w:tcBorders>
            <w:shd w:val="clear" w:color="auto" w:fill="auto"/>
            <w:noWrap/>
            <w:vAlign w:val="bottom"/>
            <w:hideMark/>
          </w:tcPr>
          <w:p w14:paraId="285D064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3C5B8C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-0.048</w:t>
            </w:r>
          </w:p>
        </w:tc>
        <w:tc>
          <w:tcPr>
            <w:tcW w:w="903" w:type="dxa"/>
            <w:tcBorders>
              <w:top w:val="nil"/>
              <w:left w:val="nil"/>
              <w:bottom w:val="nil"/>
              <w:right w:val="nil"/>
            </w:tcBorders>
            <w:shd w:val="clear" w:color="auto" w:fill="auto"/>
            <w:noWrap/>
            <w:vAlign w:val="bottom"/>
            <w:hideMark/>
          </w:tcPr>
          <w:p w14:paraId="234EFAA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-0.070</w:t>
            </w:r>
          </w:p>
        </w:tc>
        <w:tc>
          <w:tcPr>
            <w:tcW w:w="266" w:type="dxa"/>
            <w:tcBorders>
              <w:top w:val="nil"/>
              <w:left w:val="nil"/>
              <w:bottom w:val="nil"/>
              <w:right w:val="nil"/>
            </w:tcBorders>
            <w:shd w:val="clear" w:color="auto" w:fill="auto"/>
            <w:noWrap/>
            <w:vAlign w:val="bottom"/>
            <w:hideMark/>
          </w:tcPr>
          <w:p w14:paraId="27F3516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C87C49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-0.041</w:t>
            </w:r>
          </w:p>
        </w:tc>
        <w:tc>
          <w:tcPr>
            <w:tcW w:w="903" w:type="dxa"/>
            <w:tcBorders>
              <w:top w:val="nil"/>
              <w:left w:val="nil"/>
              <w:bottom w:val="nil"/>
              <w:right w:val="nil"/>
            </w:tcBorders>
            <w:shd w:val="clear" w:color="auto" w:fill="auto"/>
            <w:noWrap/>
            <w:vAlign w:val="bottom"/>
            <w:hideMark/>
          </w:tcPr>
          <w:p w14:paraId="3F8E010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0.010</w:t>
            </w:r>
          </w:p>
        </w:tc>
        <w:tc>
          <w:tcPr>
            <w:tcW w:w="266" w:type="dxa"/>
            <w:tcBorders>
              <w:top w:val="nil"/>
              <w:left w:val="nil"/>
              <w:bottom w:val="nil"/>
              <w:right w:val="nil"/>
            </w:tcBorders>
            <w:shd w:val="clear" w:color="auto" w:fill="auto"/>
            <w:noWrap/>
            <w:vAlign w:val="bottom"/>
            <w:hideMark/>
          </w:tcPr>
          <w:p w14:paraId="45CAC63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0F22B67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-0.050</w:t>
            </w:r>
          </w:p>
        </w:tc>
        <w:tc>
          <w:tcPr>
            <w:tcW w:w="903" w:type="dxa"/>
            <w:tcBorders>
              <w:top w:val="nil"/>
              <w:left w:val="nil"/>
              <w:bottom w:val="nil"/>
              <w:right w:val="nil"/>
            </w:tcBorders>
            <w:shd w:val="clear" w:color="auto" w:fill="auto"/>
            <w:noWrap/>
            <w:vAlign w:val="bottom"/>
            <w:hideMark/>
          </w:tcPr>
          <w:p w14:paraId="41BF03E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-0.026</w:t>
            </w:r>
          </w:p>
        </w:tc>
      </w:tr>
      <w:tr w:rsidR="00A14956" w:rsidRPr="00A14956" w14:paraId="57B999E6" w14:textId="77777777" w:rsidTr="0010541F">
        <w:trPr>
          <w:trHeight w:val="290"/>
        </w:trPr>
        <w:tc>
          <w:tcPr>
            <w:tcW w:w="4128" w:type="dxa"/>
            <w:tcBorders>
              <w:top w:val="nil"/>
              <w:left w:val="nil"/>
              <w:bottom w:val="nil"/>
              <w:right w:val="nil"/>
            </w:tcBorders>
            <w:shd w:val="clear" w:color="auto" w:fill="auto"/>
            <w:noWrap/>
            <w:vAlign w:val="bottom"/>
            <w:hideMark/>
          </w:tcPr>
          <w:p w14:paraId="7DCEA1F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7B28A16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(0.0252)</w:t>
            </w:r>
          </w:p>
        </w:tc>
        <w:tc>
          <w:tcPr>
            <w:tcW w:w="903" w:type="dxa"/>
            <w:tcBorders>
              <w:top w:val="nil"/>
              <w:left w:val="nil"/>
              <w:bottom w:val="nil"/>
              <w:right w:val="nil"/>
            </w:tcBorders>
            <w:shd w:val="clear" w:color="auto" w:fill="auto"/>
            <w:noWrap/>
            <w:vAlign w:val="bottom"/>
            <w:hideMark/>
          </w:tcPr>
          <w:p w14:paraId="60C3CA7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(0.0646)</w:t>
            </w:r>
          </w:p>
        </w:tc>
        <w:tc>
          <w:tcPr>
            <w:tcW w:w="266" w:type="dxa"/>
            <w:tcBorders>
              <w:top w:val="nil"/>
              <w:left w:val="nil"/>
              <w:bottom w:val="nil"/>
              <w:right w:val="nil"/>
            </w:tcBorders>
            <w:shd w:val="clear" w:color="auto" w:fill="auto"/>
            <w:noWrap/>
            <w:vAlign w:val="bottom"/>
            <w:hideMark/>
          </w:tcPr>
          <w:p w14:paraId="523C5642"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6FC5FFE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(0.0242)</w:t>
            </w:r>
          </w:p>
        </w:tc>
        <w:tc>
          <w:tcPr>
            <w:tcW w:w="903" w:type="dxa"/>
            <w:tcBorders>
              <w:top w:val="nil"/>
              <w:left w:val="nil"/>
              <w:bottom w:val="nil"/>
              <w:right w:val="nil"/>
            </w:tcBorders>
            <w:shd w:val="clear" w:color="auto" w:fill="auto"/>
            <w:noWrap/>
            <w:vAlign w:val="bottom"/>
            <w:hideMark/>
          </w:tcPr>
          <w:p w14:paraId="19F86B7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(0.0650)</w:t>
            </w:r>
          </w:p>
        </w:tc>
        <w:tc>
          <w:tcPr>
            <w:tcW w:w="266" w:type="dxa"/>
            <w:tcBorders>
              <w:top w:val="nil"/>
              <w:left w:val="nil"/>
              <w:bottom w:val="nil"/>
              <w:right w:val="nil"/>
            </w:tcBorders>
            <w:shd w:val="clear" w:color="auto" w:fill="auto"/>
            <w:noWrap/>
            <w:vAlign w:val="bottom"/>
            <w:hideMark/>
          </w:tcPr>
          <w:p w14:paraId="6A40510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07189B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(0.0215)</w:t>
            </w:r>
          </w:p>
        </w:tc>
        <w:tc>
          <w:tcPr>
            <w:tcW w:w="903" w:type="dxa"/>
            <w:tcBorders>
              <w:top w:val="nil"/>
              <w:left w:val="nil"/>
              <w:bottom w:val="nil"/>
              <w:right w:val="nil"/>
            </w:tcBorders>
            <w:shd w:val="clear" w:color="auto" w:fill="auto"/>
            <w:noWrap/>
            <w:vAlign w:val="bottom"/>
            <w:hideMark/>
          </w:tcPr>
          <w:p w14:paraId="5EBCAA8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(0.0681)</w:t>
            </w:r>
          </w:p>
        </w:tc>
        <w:tc>
          <w:tcPr>
            <w:tcW w:w="266" w:type="dxa"/>
            <w:tcBorders>
              <w:top w:val="nil"/>
              <w:left w:val="nil"/>
              <w:bottom w:val="nil"/>
              <w:right w:val="nil"/>
            </w:tcBorders>
            <w:shd w:val="clear" w:color="auto" w:fill="auto"/>
            <w:noWrap/>
            <w:vAlign w:val="bottom"/>
            <w:hideMark/>
          </w:tcPr>
          <w:p w14:paraId="06E6418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A6D8F8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(0.0252)</w:t>
            </w:r>
          </w:p>
        </w:tc>
        <w:tc>
          <w:tcPr>
            <w:tcW w:w="903" w:type="dxa"/>
            <w:tcBorders>
              <w:top w:val="nil"/>
              <w:left w:val="nil"/>
              <w:bottom w:val="nil"/>
              <w:right w:val="nil"/>
            </w:tcBorders>
            <w:shd w:val="clear" w:color="auto" w:fill="auto"/>
            <w:noWrap/>
            <w:vAlign w:val="bottom"/>
            <w:hideMark/>
          </w:tcPr>
          <w:p w14:paraId="6827BE3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(0.0765)</w:t>
            </w:r>
          </w:p>
        </w:tc>
      </w:tr>
      <w:tr w:rsidR="00A14956" w:rsidRPr="00A14956" w14:paraId="756B3735" w14:textId="77777777" w:rsidTr="0010541F">
        <w:trPr>
          <w:trHeight w:val="290"/>
        </w:trPr>
        <w:tc>
          <w:tcPr>
            <w:tcW w:w="4128" w:type="dxa"/>
            <w:tcBorders>
              <w:top w:val="nil"/>
              <w:left w:val="nil"/>
              <w:bottom w:val="nil"/>
              <w:right w:val="nil"/>
            </w:tcBorders>
            <w:shd w:val="clear" w:color="auto" w:fill="auto"/>
            <w:noWrap/>
            <w:vAlign w:val="bottom"/>
            <w:hideMark/>
          </w:tcPr>
          <w:p w14:paraId="0651FCC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25BFBB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[0.095]</w:t>
            </w:r>
          </w:p>
        </w:tc>
        <w:tc>
          <w:tcPr>
            <w:tcW w:w="903" w:type="dxa"/>
            <w:tcBorders>
              <w:top w:val="nil"/>
              <w:left w:val="nil"/>
              <w:bottom w:val="nil"/>
              <w:right w:val="nil"/>
            </w:tcBorders>
            <w:shd w:val="clear" w:color="auto" w:fill="auto"/>
            <w:noWrap/>
            <w:vAlign w:val="bottom"/>
            <w:hideMark/>
          </w:tcPr>
          <w:p w14:paraId="6DD3B07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[0.293]</w:t>
            </w:r>
          </w:p>
        </w:tc>
        <w:tc>
          <w:tcPr>
            <w:tcW w:w="266" w:type="dxa"/>
            <w:tcBorders>
              <w:top w:val="nil"/>
              <w:left w:val="nil"/>
              <w:bottom w:val="nil"/>
              <w:right w:val="nil"/>
            </w:tcBorders>
            <w:shd w:val="clear" w:color="auto" w:fill="auto"/>
            <w:noWrap/>
            <w:vAlign w:val="bottom"/>
            <w:hideMark/>
          </w:tcPr>
          <w:p w14:paraId="6D26503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71DF958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[0.025]</w:t>
            </w:r>
          </w:p>
        </w:tc>
        <w:tc>
          <w:tcPr>
            <w:tcW w:w="903" w:type="dxa"/>
            <w:tcBorders>
              <w:top w:val="nil"/>
              <w:left w:val="nil"/>
              <w:bottom w:val="nil"/>
              <w:right w:val="nil"/>
            </w:tcBorders>
            <w:shd w:val="clear" w:color="auto" w:fill="auto"/>
            <w:noWrap/>
            <w:vAlign w:val="bottom"/>
            <w:hideMark/>
          </w:tcPr>
          <w:p w14:paraId="2979717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[0.142]</w:t>
            </w:r>
          </w:p>
        </w:tc>
        <w:tc>
          <w:tcPr>
            <w:tcW w:w="266" w:type="dxa"/>
            <w:tcBorders>
              <w:top w:val="nil"/>
              <w:left w:val="nil"/>
              <w:bottom w:val="nil"/>
              <w:right w:val="nil"/>
            </w:tcBorders>
            <w:shd w:val="clear" w:color="auto" w:fill="auto"/>
            <w:noWrap/>
            <w:vAlign w:val="bottom"/>
            <w:hideMark/>
          </w:tcPr>
          <w:p w14:paraId="3303502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125D0A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[0.029]</w:t>
            </w:r>
          </w:p>
        </w:tc>
        <w:tc>
          <w:tcPr>
            <w:tcW w:w="903" w:type="dxa"/>
            <w:tcBorders>
              <w:top w:val="nil"/>
              <w:left w:val="nil"/>
              <w:bottom w:val="nil"/>
              <w:right w:val="nil"/>
            </w:tcBorders>
            <w:shd w:val="clear" w:color="auto" w:fill="auto"/>
            <w:noWrap/>
            <w:vAlign w:val="bottom"/>
            <w:hideMark/>
          </w:tcPr>
          <w:p w14:paraId="42C2D8F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[0.444]</w:t>
            </w:r>
          </w:p>
        </w:tc>
        <w:tc>
          <w:tcPr>
            <w:tcW w:w="266" w:type="dxa"/>
            <w:tcBorders>
              <w:top w:val="nil"/>
              <w:left w:val="nil"/>
              <w:bottom w:val="nil"/>
              <w:right w:val="nil"/>
            </w:tcBorders>
            <w:shd w:val="clear" w:color="auto" w:fill="auto"/>
            <w:noWrap/>
            <w:vAlign w:val="bottom"/>
            <w:hideMark/>
          </w:tcPr>
          <w:p w14:paraId="480A089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3F9788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[0.025]</w:t>
            </w:r>
          </w:p>
        </w:tc>
        <w:tc>
          <w:tcPr>
            <w:tcW w:w="903" w:type="dxa"/>
            <w:tcBorders>
              <w:top w:val="nil"/>
              <w:left w:val="nil"/>
              <w:bottom w:val="nil"/>
              <w:right w:val="nil"/>
            </w:tcBorders>
            <w:shd w:val="clear" w:color="auto" w:fill="auto"/>
            <w:noWrap/>
            <w:vAlign w:val="bottom"/>
            <w:hideMark/>
          </w:tcPr>
          <w:p w14:paraId="5491B8C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[0.366]</w:t>
            </w:r>
          </w:p>
        </w:tc>
      </w:tr>
      <w:tr w:rsidR="00A14956" w:rsidRPr="00A14956" w14:paraId="7874E937" w14:textId="77777777" w:rsidTr="0010541F">
        <w:trPr>
          <w:trHeight w:val="290"/>
        </w:trPr>
        <w:tc>
          <w:tcPr>
            <w:tcW w:w="4128" w:type="dxa"/>
            <w:tcBorders>
              <w:top w:val="nil"/>
              <w:left w:val="nil"/>
              <w:bottom w:val="nil"/>
              <w:right w:val="nil"/>
            </w:tcBorders>
            <w:shd w:val="clear" w:color="auto" w:fill="auto"/>
            <w:noWrap/>
            <w:vAlign w:val="bottom"/>
            <w:hideMark/>
          </w:tcPr>
          <w:p w14:paraId="2D31E8F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6EC1FC4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{0.064}</w:t>
            </w:r>
          </w:p>
        </w:tc>
        <w:tc>
          <w:tcPr>
            <w:tcW w:w="903" w:type="dxa"/>
            <w:tcBorders>
              <w:top w:val="nil"/>
              <w:left w:val="nil"/>
              <w:bottom w:val="nil"/>
              <w:right w:val="nil"/>
            </w:tcBorders>
            <w:shd w:val="clear" w:color="auto" w:fill="auto"/>
            <w:noWrap/>
            <w:vAlign w:val="bottom"/>
            <w:hideMark/>
          </w:tcPr>
          <w:p w14:paraId="22F724E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{0.213}</w:t>
            </w:r>
          </w:p>
        </w:tc>
        <w:tc>
          <w:tcPr>
            <w:tcW w:w="266" w:type="dxa"/>
            <w:tcBorders>
              <w:top w:val="nil"/>
              <w:left w:val="nil"/>
              <w:bottom w:val="nil"/>
              <w:right w:val="nil"/>
            </w:tcBorders>
            <w:shd w:val="clear" w:color="auto" w:fill="auto"/>
            <w:noWrap/>
            <w:vAlign w:val="bottom"/>
            <w:hideMark/>
          </w:tcPr>
          <w:p w14:paraId="7E4E888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5D7A29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{0.010}</w:t>
            </w:r>
          </w:p>
        </w:tc>
        <w:tc>
          <w:tcPr>
            <w:tcW w:w="903" w:type="dxa"/>
            <w:tcBorders>
              <w:top w:val="nil"/>
              <w:left w:val="nil"/>
              <w:bottom w:val="nil"/>
              <w:right w:val="nil"/>
            </w:tcBorders>
            <w:shd w:val="clear" w:color="auto" w:fill="auto"/>
            <w:noWrap/>
            <w:vAlign w:val="bottom"/>
            <w:hideMark/>
          </w:tcPr>
          <w:p w14:paraId="5C8654A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{0.074}</w:t>
            </w:r>
          </w:p>
        </w:tc>
        <w:tc>
          <w:tcPr>
            <w:tcW w:w="266" w:type="dxa"/>
            <w:tcBorders>
              <w:top w:val="nil"/>
              <w:left w:val="nil"/>
              <w:bottom w:val="nil"/>
              <w:right w:val="nil"/>
            </w:tcBorders>
            <w:shd w:val="clear" w:color="auto" w:fill="auto"/>
            <w:noWrap/>
            <w:vAlign w:val="bottom"/>
            <w:hideMark/>
          </w:tcPr>
          <w:p w14:paraId="286A488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06E712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{0.015}</w:t>
            </w:r>
          </w:p>
        </w:tc>
        <w:tc>
          <w:tcPr>
            <w:tcW w:w="903" w:type="dxa"/>
            <w:tcBorders>
              <w:top w:val="nil"/>
              <w:left w:val="nil"/>
              <w:bottom w:val="nil"/>
              <w:right w:val="nil"/>
            </w:tcBorders>
            <w:shd w:val="clear" w:color="auto" w:fill="auto"/>
            <w:noWrap/>
            <w:vAlign w:val="bottom"/>
            <w:hideMark/>
          </w:tcPr>
          <w:p w14:paraId="77F727B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{0.451}</w:t>
            </w:r>
          </w:p>
        </w:tc>
        <w:tc>
          <w:tcPr>
            <w:tcW w:w="266" w:type="dxa"/>
            <w:tcBorders>
              <w:top w:val="nil"/>
              <w:left w:val="nil"/>
              <w:bottom w:val="nil"/>
              <w:right w:val="nil"/>
            </w:tcBorders>
            <w:shd w:val="clear" w:color="auto" w:fill="auto"/>
            <w:noWrap/>
            <w:vAlign w:val="bottom"/>
            <w:hideMark/>
          </w:tcPr>
          <w:p w14:paraId="5FBBE68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686DE4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{0.015}</w:t>
            </w:r>
          </w:p>
        </w:tc>
        <w:tc>
          <w:tcPr>
            <w:tcW w:w="903" w:type="dxa"/>
            <w:tcBorders>
              <w:top w:val="nil"/>
              <w:left w:val="nil"/>
              <w:bottom w:val="nil"/>
              <w:right w:val="nil"/>
            </w:tcBorders>
            <w:shd w:val="clear" w:color="auto" w:fill="auto"/>
            <w:noWrap/>
            <w:vAlign w:val="bottom"/>
            <w:hideMark/>
          </w:tcPr>
          <w:p w14:paraId="3F09DD2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{0.371}</w:t>
            </w:r>
          </w:p>
        </w:tc>
      </w:tr>
      <w:tr w:rsidR="00A14956" w:rsidRPr="00A14956" w14:paraId="02459EDD" w14:textId="77777777" w:rsidTr="0010541F">
        <w:trPr>
          <w:trHeight w:val="290"/>
        </w:trPr>
        <w:tc>
          <w:tcPr>
            <w:tcW w:w="4128" w:type="dxa"/>
            <w:tcBorders>
              <w:top w:val="nil"/>
              <w:left w:val="nil"/>
              <w:bottom w:val="nil"/>
              <w:right w:val="nil"/>
            </w:tcBorders>
            <w:shd w:val="clear" w:color="auto" w:fill="auto"/>
            <w:noWrap/>
            <w:vAlign w:val="bottom"/>
            <w:hideMark/>
          </w:tcPr>
          <w:p w14:paraId="3823E5F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439AEF6"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43F9EDBB"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621FB05"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40A7D1B9"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125770F"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5552D8E"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7FC14F6A"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36108F01"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44AF467"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3A8EE17E"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66D82F5" w14:textId="77777777" w:rsidR="00A14956" w:rsidRPr="00A14956" w:rsidRDefault="00A14956" w:rsidP="00A14956">
            <w:pPr>
              <w:spacing w:after="0" w:line="240" w:lineRule="auto"/>
              <w:rPr>
                <w:rFonts w:ascii="Times New Roman" w:eastAsia="Times New Roman" w:hAnsi="Times New Roman" w:cs="Times New Roman"/>
                <w:sz w:val="20"/>
                <w:szCs w:val="20"/>
              </w:rPr>
            </w:pPr>
          </w:p>
        </w:tc>
      </w:tr>
      <w:tr w:rsidR="00A14956" w:rsidRPr="00A14956" w14:paraId="03E6B729" w14:textId="77777777" w:rsidTr="0010541F">
        <w:trPr>
          <w:trHeight w:val="290"/>
        </w:trPr>
        <w:tc>
          <w:tcPr>
            <w:tcW w:w="4128" w:type="dxa"/>
            <w:tcBorders>
              <w:top w:val="nil"/>
              <w:left w:val="nil"/>
              <w:bottom w:val="nil"/>
              <w:right w:val="nil"/>
            </w:tcBorders>
            <w:shd w:val="clear" w:color="auto" w:fill="auto"/>
            <w:noWrap/>
            <w:vAlign w:val="bottom"/>
            <w:hideMark/>
          </w:tcPr>
          <w:p w14:paraId="43EC3E0E"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First-Stage F-statistic</w:t>
            </w:r>
          </w:p>
        </w:tc>
        <w:tc>
          <w:tcPr>
            <w:tcW w:w="903" w:type="dxa"/>
            <w:tcBorders>
              <w:top w:val="nil"/>
              <w:left w:val="nil"/>
              <w:bottom w:val="nil"/>
              <w:right w:val="nil"/>
            </w:tcBorders>
            <w:shd w:val="clear" w:color="auto" w:fill="auto"/>
            <w:noWrap/>
            <w:vAlign w:val="bottom"/>
            <w:hideMark/>
          </w:tcPr>
          <w:p w14:paraId="59157AA6"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80F21C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22.24</w:t>
            </w:r>
          </w:p>
        </w:tc>
        <w:tc>
          <w:tcPr>
            <w:tcW w:w="266" w:type="dxa"/>
            <w:tcBorders>
              <w:top w:val="nil"/>
              <w:left w:val="nil"/>
              <w:bottom w:val="nil"/>
              <w:right w:val="nil"/>
            </w:tcBorders>
            <w:shd w:val="clear" w:color="auto" w:fill="auto"/>
            <w:noWrap/>
            <w:vAlign w:val="bottom"/>
            <w:hideMark/>
          </w:tcPr>
          <w:p w14:paraId="679073B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BB4F154"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579AEAE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22.24</w:t>
            </w:r>
          </w:p>
        </w:tc>
        <w:tc>
          <w:tcPr>
            <w:tcW w:w="266" w:type="dxa"/>
            <w:tcBorders>
              <w:top w:val="nil"/>
              <w:left w:val="nil"/>
              <w:bottom w:val="nil"/>
              <w:right w:val="nil"/>
            </w:tcBorders>
            <w:shd w:val="clear" w:color="auto" w:fill="auto"/>
            <w:noWrap/>
            <w:vAlign w:val="bottom"/>
            <w:hideMark/>
          </w:tcPr>
          <w:p w14:paraId="6D333D8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61CCE738"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CCF349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14.65</w:t>
            </w:r>
          </w:p>
        </w:tc>
        <w:tc>
          <w:tcPr>
            <w:tcW w:w="266" w:type="dxa"/>
            <w:tcBorders>
              <w:top w:val="nil"/>
              <w:left w:val="nil"/>
              <w:bottom w:val="nil"/>
              <w:right w:val="nil"/>
            </w:tcBorders>
            <w:shd w:val="clear" w:color="auto" w:fill="auto"/>
            <w:noWrap/>
            <w:vAlign w:val="bottom"/>
            <w:hideMark/>
          </w:tcPr>
          <w:p w14:paraId="0420AE1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74C37527"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972605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14.65</w:t>
            </w:r>
          </w:p>
        </w:tc>
      </w:tr>
      <w:tr w:rsidR="00A14956" w:rsidRPr="00A14956" w14:paraId="558650A5" w14:textId="77777777" w:rsidTr="0010541F">
        <w:trPr>
          <w:trHeight w:val="290"/>
        </w:trPr>
        <w:tc>
          <w:tcPr>
            <w:tcW w:w="4128" w:type="dxa"/>
            <w:tcBorders>
              <w:top w:val="nil"/>
              <w:left w:val="nil"/>
              <w:bottom w:val="nil"/>
              <w:right w:val="nil"/>
            </w:tcBorders>
            <w:shd w:val="clear" w:color="auto" w:fill="auto"/>
            <w:noWrap/>
            <w:vAlign w:val="bottom"/>
            <w:hideMark/>
          </w:tcPr>
          <w:p w14:paraId="450D534C"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Hausman p-value</w:t>
            </w:r>
          </w:p>
        </w:tc>
        <w:tc>
          <w:tcPr>
            <w:tcW w:w="903" w:type="dxa"/>
            <w:tcBorders>
              <w:top w:val="nil"/>
              <w:left w:val="nil"/>
              <w:bottom w:val="nil"/>
              <w:right w:val="nil"/>
            </w:tcBorders>
            <w:shd w:val="clear" w:color="auto" w:fill="auto"/>
            <w:noWrap/>
            <w:vAlign w:val="bottom"/>
            <w:hideMark/>
          </w:tcPr>
          <w:p w14:paraId="2B415551"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0472BB9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0.97</w:t>
            </w:r>
          </w:p>
        </w:tc>
        <w:tc>
          <w:tcPr>
            <w:tcW w:w="266" w:type="dxa"/>
            <w:tcBorders>
              <w:top w:val="nil"/>
              <w:left w:val="nil"/>
              <w:bottom w:val="nil"/>
              <w:right w:val="nil"/>
            </w:tcBorders>
            <w:shd w:val="clear" w:color="auto" w:fill="auto"/>
            <w:noWrap/>
            <w:vAlign w:val="bottom"/>
            <w:hideMark/>
          </w:tcPr>
          <w:p w14:paraId="4092C44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97FC0E3"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517A50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0.71</w:t>
            </w:r>
          </w:p>
        </w:tc>
        <w:tc>
          <w:tcPr>
            <w:tcW w:w="266" w:type="dxa"/>
            <w:tcBorders>
              <w:top w:val="nil"/>
              <w:left w:val="nil"/>
              <w:bottom w:val="nil"/>
              <w:right w:val="nil"/>
            </w:tcBorders>
            <w:shd w:val="clear" w:color="auto" w:fill="auto"/>
            <w:noWrap/>
            <w:vAlign w:val="bottom"/>
            <w:hideMark/>
          </w:tcPr>
          <w:p w14:paraId="47239C5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C32A847"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7E6E755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0.44</w:t>
            </w:r>
          </w:p>
        </w:tc>
        <w:tc>
          <w:tcPr>
            <w:tcW w:w="266" w:type="dxa"/>
            <w:tcBorders>
              <w:top w:val="nil"/>
              <w:left w:val="nil"/>
              <w:bottom w:val="nil"/>
              <w:right w:val="nil"/>
            </w:tcBorders>
            <w:shd w:val="clear" w:color="auto" w:fill="auto"/>
            <w:noWrap/>
            <w:vAlign w:val="bottom"/>
            <w:hideMark/>
          </w:tcPr>
          <w:p w14:paraId="6E99A59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77250DF"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7954BB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0.75</w:t>
            </w:r>
          </w:p>
        </w:tc>
      </w:tr>
      <w:tr w:rsidR="00A14956" w:rsidRPr="00A14956" w14:paraId="7FE03E2F" w14:textId="77777777" w:rsidTr="0010541F">
        <w:trPr>
          <w:trHeight w:val="290"/>
        </w:trPr>
        <w:tc>
          <w:tcPr>
            <w:tcW w:w="4128" w:type="dxa"/>
            <w:tcBorders>
              <w:top w:val="nil"/>
              <w:left w:val="nil"/>
              <w:bottom w:val="nil"/>
              <w:right w:val="nil"/>
            </w:tcBorders>
            <w:shd w:val="clear" w:color="auto" w:fill="auto"/>
            <w:noWrap/>
            <w:vAlign w:val="bottom"/>
            <w:hideMark/>
          </w:tcPr>
          <w:p w14:paraId="1CD0A761"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Dependent Mean Pre-Legalization</w:t>
            </w:r>
          </w:p>
        </w:tc>
        <w:tc>
          <w:tcPr>
            <w:tcW w:w="903" w:type="dxa"/>
            <w:tcBorders>
              <w:top w:val="nil"/>
              <w:left w:val="nil"/>
              <w:bottom w:val="nil"/>
              <w:right w:val="nil"/>
            </w:tcBorders>
            <w:shd w:val="clear" w:color="auto" w:fill="auto"/>
            <w:noWrap/>
            <w:vAlign w:val="bottom"/>
            <w:hideMark/>
          </w:tcPr>
          <w:p w14:paraId="0BB1FB20"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5FBA7A8"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25BB83D"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73B7DEB0"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6FE700AB"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C118E58"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88E80F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0.12</w:t>
            </w:r>
          </w:p>
        </w:tc>
        <w:tc>
          <w:tcPr>
            <w:tcW w:w="903" w:type="dxa"/>
            <w:tcBorders>
              <w:top w:val="nil"/>
              <w:left w:val="nil"/>
              <w:bottom w:val="nil"/>
              <w:right w:val="nil"/>
            </w:tcBorders>
            <w:shd w:val="clear" w:color="auto" w:fill="auto"/>
            <w:noWrap/>
            <w:vAlign w:val="bottom"/>
            <w:hideMark/>
          </w:tcPr>
          <w:p w14:paraId="2DF54F2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0.12</w:t>
            </w:r>
          </w:p>
        </w:tc>
        <w:tc>
          <w:tcPr>
            <w:tcW w:w="266" w:type="dxa"/>
            <w:tcBorders>
              <w:top w:val="nil"/>
              <w:left w:val="nil"/>
              <w:bottom w:val="nil"/>
              <w:right w:val="nil"/>
            </w:tcBorders>
            <w:shd w:val="clear" w:color="auto" w:fill="auto"/>
            <w:noWrap/>
            <w:vAlign w:val="bottom"/>
            <w:hideMark/>
          </w:tcPr>
          <w:p w14:paraId="36EA6E7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A9BFF1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0.18</w:t>
            </w:r>
          </w:p>
        </w:tc>
        <w:tc>
          <w:tcPr>
            <w:tcW w:w="903" w:type="dxa"/>
            <w:tcBorders>
              <w:top w:val="nil"/>
              <w:left w:val="nil"/>
              <w:bottom w:val="nil"/>
              <w:right w:val="nil"/>
            </w:tcBorders>
            <w:shd w:val="clear" w:color="auto" w:fill="auto"/>
            <w:noWrap/>
            <w:vAlign w:val="bottom"/>
            <w:hideMark/>
          </w:tcPr>
          <w:p w14:paraId="2D9673A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0.18</w:t>
            </w:r>
          </w:p>
        </w:tc>
      </w:tr>
      <w:tr w:rsidR="00A14956" w:rsidRPr="00A14956" w14:paraId="317E62DB" w14:textId="77777777" w:rsidTr="0010541F">
        <w:trPr>
          <w:trHeight w:val="290"/>
        </w:trPr>
        <w:tc>
          <w:tcPr>
            <w:tcW w:w="4128" w:type="dxa"/>
            <w:tcBorders>
              <w:top w:val="nil"/>
              <w:left w:val="nil"/>
              <w:bottom w:val="single" w:sz="4" w:space="0" w:color="auto"/>
              <w:right w:val="nil"/>
            </w:tcBorders>
            <w:shd w:val="clear" w:color="auto" w:fill="auto"/>
            <w:noWrap/>
            <w:vAlign w:val="bottom"/>
            <w:hideMark/>
          </w:tcPr>
          <w:p w14:paraId="58BE93D3"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Observations</w:t>
            </w:r>
          </w:p>
        </w:tc>
        <w:tc>
          <w:tcPr>
            <w:tcW w:w="903" w:type="dxa"/>
            <w:tcBorders>
              <w:top w:val="nil"/>
              <w:left w:val="nil"/>
              <w:bottom w:val="single" w:sz="4" w:space="0" w:color="auto"/>
              <w:right w:val="nil"/>
            </w:tcBorders>
            <w:shd w:val="clear" w:color="auto" w:fill="auto"/>
            <w:noWrap/>
            <w:vAlign w:val="bottom"/>
            <w:hideMark/>
          </w:tcPr>
          <w:p w14:paraId="2239DE2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338</w:t>
            </w:r>
          </w:p>
        </w:tc>
        <w:tc>
          <w:tcPr>
            <w:tcW w:w="903" w:type="dxa"/>
            <w:tcBorders>
              <w:top w:val="nil"/>
              <w:left w:val="nil"/>
              <w:bottom w:val="single" w:sz="4" w:space="0" w:color="auto"/>
              <w:right w:val="nil"/>
            </w:tcBorders>
            <w:shd w:val="clear" w:color="auto" w:fill="auto"/>
            <w:noWrap/>
            <w:vAlign w:val="bottom"/>
            <w:hideMark/>
          </w:tcPr>
          <w:p w14:paraId="210BF8C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338</w:t>
            </w:r>
          </w:p>
        </w:tc>
        <w:tc>
          <w:tcPr>
            <w:tcW w:w="266" w:type="dxa"/>
            <w:tcBorders>
              <w:top w:val="nil"/>
              <w:left w:val="nil"/>
              <w:bottom w:val="single" w:sz="4" w:space="0" w:color="auto"/>
              <w:right w:val="nil"/>
            </w:tcBorders>
            <w:shd w:val="clear" w:color="auto" w:fill="auto"/>
            <w:noWrap/>
            <w:vAlign w:val="bottom"/>
            <w:hideMark/>
          </w:tcPr>
          <w:p w14:paraId="63539AC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1965656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338</w:t>
            </w:r>
          </w:p>
        </w:tc>
        <w:tc>
          <w:tcPr>
            <w:tcW w:w="903" w:type="dxa"/>
            <w:tcBorders>
              <w:top w:val="nil"/>
              <w:left w:val="nil"/>
              <w:bottom w:val="single" w:sz="4" w:space="0" w:color="auto"/>
              <w:right w:val="nil"/>
            </w:tcBorders>
            <w:shd w:val="clear" w:color="auto" w:fill="auto"/>
            <w:noWrap/>
            <w:vAlign w:val="bottom"/>
            <w:hideMark/>
          </w:tcPr>
          <w:p w14:paraId="61F051E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338</w:t>
            </w:r>
          </w:p>
        </w:tc>
        <w:tc>
          <w:tcPr>
            <w:tcW w:w="266" w:type="dxa"/>
            <w:tcBorders>
              <w:top w:val="nil"/>
              <w:left w:val="nil"/>
              <w:bottom w:val="single" w:sz="4" w:space="0" w:color="auto"/>
              <w:right w:val="nil"/>
            </w:tcBorders>
            <w:shd w:val="clear" w:color="auto" w:fill="auto"/>
            <w:noWrap/>
            <w:vAlign w:val="bottom"/>
            <w:hideMark/>
          </w:tcPr>
          <w:p w14:paraId="5B83B056" w14:textId="77777777" w:rsidR="00A14956" w:rsidRPr="00A14956" w:rsidRDefault="00A14956" w:rsidP="00A14956">
            <w:pPr>
              <w:spacing w:after="0" w:line="240" w:lineRule="auto"/>
              <w:rPr>
                <w:rFonts w:ascii="Calibri" w:eastAsia="Times New Roman" w:hAnsi="Calibri" w:cs="Calibri"/>
                <w:color w:val="000000"/>
              </w:rPr>
            </w:pPr>
            <w:r w:rsidRPr="00A14956">
              <w:rPr>
                <w:rFonts w:ascii="Calibri" w:eastAsia="Times New Roman" w:hAnsi="Calibri" w:cs="Calibri"/>
                <w:color w:val="000000"/>
              </w:rPr>
              <w:t> </w:t>
            </w:r>
          </w:p>
        </w:tc>
        <w:tc>
          <w:tcPr>
            <w:tcW w:w="903" w:type="dxa"/>
            <w:tcBorders>
              <w:top w:val="nil"/>
              <w:left w:val="nil"/>
              <w:bottom w:val="single" w:sz="4" w:space="0" w:color="auto"/>
              <w:right w:val="nil"/>
            </w:tcBorders>
            <w:shd w:val="clear" w:color="auto" w:fill="auto"/>
            <w:noWrap/>
            <w:vAlign w:val="bottom"/>
            <w:hideMark/>
          </w:tcPr>
          <w:p w14:paraId="6610B8C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320</w:t>
            </w:r>
          </w:p>
        </w:tc>
        <w:tc>
          <w:tcPr>
            <w:tcW w:w="903" w:type="dxa"/>
            <w:tcBorders>
              <w:top w:val="nil"/>
              <w:left w:val="nil"/>
              <w:bottom w:val="single" w:sz="4" w:space="0" w:color="auto"/>
              <w:right w:val="nil"/>
            </w:tcBorders>
            <w:shd w:val="clear" w:color="auto" w:fill="auto"/>
            <w:noWrap/>
            <w:vAlign w:val="bottom"/>
            <w:hideMark/>
          </w:tcPr>
          <w:p w14:paraId="2A8D3C2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320</w:t>
            </w:r>
          </w:p>
        </w:tc>
        <w:tc>
          <w:tcPr>
            <w:tcW w:w="266" w:type="dxa"/>
            <w:tcBorders>
              <w:top w:val="nil"/>
              <w:left w:val="nil"/>
              <w:bottom w:val="single" w:sz="4" w:space="0" w:color="auto"/>
              <w:right w:val="nil"/>
            </w:tcBorders>
            <w:shd w:val="clear" w:color="auto" w:fill="auto"/>
            <w:noWrap/>
            <w:vAlign w:val="bottom"/>
            <w:hideMark/>
          </w:tcPr>
          <w:p w14:paraId="07487A4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0288E4A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320</w:t>
            </w:r>
          </w:p>
        </w:tc>
        <w:tc>
          <w:tcPr>
            <w:tcW w:w="903" w:type="dxa"/>
            <w:tcBorders>
              <w:top w:val="nil"/>
              <w:left w:val="nil"/>
              <w:bottom w:val="single" w:sz="4" w:space="0" w:color="auto"/>
              <w:right w:val="nil"/>
            </w:tcBorders>
            <w:shd w:val="clear" w:color="auto" w:fill="auto"/>
            <w:noWrap/>
            <w:vAlign w:val="bottom"/>
            <w:hideMark/>
          </w:tcPr>
          <w:p w14:paraId="58B84D6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320</w:t>
            </w:r>
          </w:p>
        </w:tc>
      </w:tr>
      <w:tr w:rsidR="00A14956" w:rsidRPr="00A14956" w14:paraId="0737B36F" w14:textId="77777777" w:rsidTr="0010541F">
        <w:trPr>
          <w:trHeight w:val="290"/>
        </w:trPr>
        <w:tc>
          <w:tcPr>
            <w:tcW w:w="12150" w:type="dxa"/>
            <w:gridSpan w:val="12"/>
            <w:tcBorders>
              <w:top w:val="single" w:sz="4" w:space="0" w:color="auto"/>
              <w:left w:val="nil"/>
              <w:bottom w:val="nil"/>
              <w:right w:val="nil"/>
            </w:tcBorders>
            <w:shd w:val="clear" w:color="auto" w:fill="auto"/>
            <w:noWrap/>
            <w:vAlign w:val="bottom"/>
            <w:hideMark/>
          </w:tcPr>
          <w:p w14:paraId="58A32E65" w14:textId="118A8F7F" w:rsidR="00A14956" w:rsidRPr="00A14956" w:rsidRDefault="00A14956" w:rsidP="00A14956">
            <w:pPr>
              <w:spacing w:after="0" w:line="240" w:lineRule="auto"/>
              <w:jc w:val="both"/>
              <w:rPr>
                <w:rFonts w:ascii="Calibri" w:eastAsia="Times New Roman" w:hAnsi="Calibri" w:cs="Calibri"/>
                <w:color w:val="000000"/>
              </w:rPr>
            </w:pPr>
            <w:r>
              <w:rPr>
                <w:rFonts w:ascii="Times New Roman" w:eastAsia="Times New Roman" w:hAnsi="Times New Roman" w:cs="Times New Roman"/>
                <w:i/>
                <w:iCs/>
                <w:sz w:val="20"/>
                <w:szCs w:val="20"/>
              </w:rPr>
              <w:t xml:space="preserve">Notes: </w:t>
            </w:r>
            <w:r>
              <w:rPr>
                <w:rFonts w:ascii="Times New Roman" w:eastAsia="Times New Roman" w:hAnsi="Times New Roman" w:cs="Times New Roman"/>
                <w:sz w:val="20"/>
                <w:szCs w:val="20"/>
              </w:rPr>
              <w:t>This table reports marginal effects from the OLS and IV estimation of equation (</w:t>
            </w:r>
            <w:r w:rsidR="000D4249">
              <w:rPr>
                <w:rFonts w:ascii="Times New Roman" w:eastAsia="Times New Roman" w:hAnsi="Times New Roman" w:cs="Times New Roman"/>
                <w:sz w:val="20"/>
                <w:szCs w:val="20"/>
              </w:rPr>
              <w:t>4</w:t>
            </w:r>
            <w:r>
              <w:rPr>
                <w:rFonts w:ascii="Times New Roman" w:eastAsia="Times New Roman" w:hAnsi="Times New Roman" w:cs="Times New Roman"/>
                <w:sz w:val="20"/>
                <w:szCs w:val="20"/>
              </w:rPr>
              <w:t>). 10MinsLottery is the instrument for 10MinsOpen in columns (2), (4), (6), and (8). The dependent variables are the proportions of 11</w:t>
            </w:r>
            <w:r w:rsidRPr="00CE0DD0">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-grade students </w:t>
            </w:r>
            <w:r>
              <w:rPr>
                <w:rFonts w:ascii="Times New Roman" w:eastAsia="Times New Roman" w:hAnsi="Times New Roman" w:cs="Times New Roman"/>
                <w:i/>
                <w:iCs/>
                <w:sz w:val="20"/>
                <w:szCs w:val="20"/>
              </w:rPr>
              <w:t xml:space="preserve">not </w:t>
            </w:r>
            <w:r>
              <w:rPr>
                <w:rFonts w:ascii="Times New Roman" w:eastAsia="Times New Roman" w:hAnsi="Times New Roman" w:cs="Times New Roman"/>
                <w:sz w:val="20"/>
                <w:szCs w:val="20"/>
              </w:rPr>
              <w:t xml:space="preserve">proficient in math or ELA. All specifications include the 2014-15 and 2015-16 school years, as well as controls for the proportions of free-or-reduced-price lunch, Black, Hispanic, and Asian students, and indicators for whether the school is in a city, town, or suburb. The omitted locale is rural. Year fixed effects are also included in each column. Standard errors clustered by school are in parentheses. One-sided p-values from the original estimation are in square brackets, while one-sided Romano-Wolf p-values correcting for multiple hypothesis testing are in curly brackets. </w:t>
            </w:r>
            <w:proofErr w:type="spellStart"/>
            <w:r w:rsidRPr="009F62EF">
              <w:rPr>
                <w:rFonts w:ascii="Times New Roman" w:eastAsia="Times New Roman" w:hAnsi="Times New Roman" w:cs="Times New Roman"/>
                <w:sz w:val="20"/>
                <w:szCs w:val="20"/>
              </w:rPr>
              <w:t>Kleibergen-Paap</w:t>
            </w:r>
            <w:proofErr w:type="spellEnd"/>
            <w:r w:rsidRPr="009F62EF">
              <w:rPr>
                <w:rFonts w:ascii="Times New Roman" w:eastAsia="Times New Roman" w:hAnsi="Times New Roman" w:cs="Times New Roman"/>
                <w:sz w:val="20"/>
                <w:szCs w:val="20"/>
              </w:rPr>
              <w:t xml:space="preserve"> F</w:t>
            </w:r>
            <w:r>
              <w:rPr>
                <w:rFonts w:ascii="Times New Roman" w:eastAsia="Times New Roman" w:hAnsi="Times New Roman" w:cs="Times New Roman"/>
                <w:sz w:val="20"/>
                <w:szCs w:val="20"/>
              </w:rPr>
              <w:t>-</w:t>
            </w:r>
            <w:r w:rsidRPr="009F62EF">
              <w:rPr>
                <w:rFonts w:ascii="Times New Roman" w:eastAsia="Times New Roman" w:hAnsi="Times New Roman" w:cs="Times New Roman"/>
                <w:sz w:val="20"/>
                <w:szCs w:val="20"/>
              </w:rPr>
              <w:t>statistic</w:t>
            </w:r>
            <w:r>
              <w:rPr>
                <w:rFonts w:ascii="Times New Roman" w:eastAsia="Times New Roman" w:hAnsi="Times New Roman" w:cs="Times New Roman"/>
                <w:sz w:val="20"/>
                <w:szCs w:val="20"/>
              </w:rPr>
              <w:t>s from a test for weak instruments are reported in columns (2), (4), (6), and (8)</w:t>
            </w:r>
            <w:r w:rsidR="00F7136F">
              <w:rPr>
                <w:rFonts w:ascii="Times New Roman" w:eastAsia="Times New Roman" w:hAnsi="Times New Roman" w:cs="Times New Roman"/>
                <w:sz w:val="20"/>
                <w:szCs w:val="20"/>
              </w:rPr>
              <w:t>, and the corresponding first stage estimates are in Table A4</w:t>
            </w:r>
            <w:r>
              <w:rPr>
                <w:rFonts w:ascii="Times New Roman" w:eastAsia="Times New Roman" w:hAnsi="Times New Roman" w:cs="Times New Roman"/>
                <w:sz w:val="20"/>
                <w:szCs w:val="20"/>
              </w:rPr>
              <w:t>. The p-value for the Hausman specification tests between the OLS and IV estimates are also included in columns (2), (4), (6), and (8). Average proportions of students not proficient in ELA for the schools in the sample prior to recreational marijuana legalization (i.e., the 2012-13 school year) are included in columns (5)-(8).</w:t>
            </w:r>
            <w:r w:rsidRPr="00A14956">
              <w:rPr>
                <w:rFonts w:ascii="Calibri" w:eastAsia="Times New Roman" w:hAnsi="Calibri" w:cs="Calibri"/>
                <w:color w:val="000000"/>
              </w:rPr>
              <w:t> </w:t>
            </w:r>
          </w:p>
        </w:tc>
      </w:tr>
    </w:tbl>
    <w:p w14:paraId="76F1CE7B" w14:textId="77777777" w:rsidR="00A14956" w:rsidRDefault="00A14956" w:rsidP="00D750E1">
      <w:pPr>
        <w:rPr>
          <w:rFonts w:ascii="Times New Roman" w:hAnsi="Times New Roman" w:cs="Times New Roman"/>
          <w:b/>
          <w:bCs/>
          <w:sz w:val="32"/>
          <w:szCs w:val="32"/>
        </w:rPr>
      </w:pPr>
    </w:p>
    <w:p w14:paraId="3854E771" w14:textId="77777777" w:rsidR="00A14956" w:rsidRDefault="00A14956" w:rsidP="00D750E1">
      <w:pPr>
        <w:rPr>
          <w:rFonts w:ascii="Times New Roman" w:hAnsi="Times New Roman" w:cs="Times New Roman"/>
          <w:b/>
          <w:bCs/>
          <w:sz w:val="32"/>
          <w:szCs w:val="32"/>
        </w:rPr>
      </w:pPr>
    </w:p>
    <w:p w14:paraId="1FDED292" w14:textId="77777777" w:rsidR="009D7DA4" w:rsidRDefault="009D7DA4" w:rsidP="00D750E1">
      <w:pPr>
        <w:rPr>
          <w:rFonts w:ascii="Times New Roman" w:hAnsi="Times New Roman" w:cs="Times New Roman"/>
          <w:b/>
          <w:bCs/>
          <w:sz w:val="32"/>
          <w:szCs w:val="32"/>
        </w:rPr>
        <w:sectPr w:rsidR="009D7DA4" w:rsidSect="00242703">
          <w:headerReference w:type="default" r:id="rId40"/>
          <w:pgSz w:w="15840" w:h="12240" w:orient="landscape"/>
          <w:pgMar w:top="1440" w:right="1440" w:bottom="1440" w:left="1440" w:header="720" w:footer="720" w:gutter="0"/>
          <w:cols w:space="720"/>
          <w:docGrid w:linePitch="360"/>
        </w:sectPr>
      </w:pPr>
    </w:p>
    <w:tbl>
      <w:tblPr>
        <w:tblW w:w="7153" w:type="dxa"/>
        <w:jc w:val="center"/>
        <w:tblLook w:val="04A0" w:firstRow="1" w:lastRow="0" w:firstColumn="1" w:lastColumn="0" w:noHBand="0" w:noVBand="1"/>
      </w:tblPr>
      <w:tblGrid>
        <w:gridCol w:w="5087"/>
        <w:gridCol w:w="900"/>
        <w:gridCol w:w="266"/>
        <w:gridCol w:w="900"/>
      </w:tblGrid>
      <w:tr w:rsidR="00A14956" w:rsidRPr="00A14956" w14:paraId="09571856" w14:textId="77777777" w:rsidTr="00941063">
        <w:trPr>
          <w:trHeight w:val="300"/>
          <w:jc w:val="center"/>
        </w:trPr>
        <w:tc>
          <w:tcPr>
            <w:tcW w:w="7153" w:type="dxa"/>
            <w:gridSpan w:val="4"/>
            <w:tcBorders>
              <w:top w:val="nil"/>
              <w:left w:val="nil"/>
              <w:bottom w:val="double" w:sz="6" w:space="0" w:color="auto"/>
              <w:right w:val="nil"/>
            </w:tcBorders>
            <w:shd w:val="clear" w:color="auto" w:fill="auto"/>
            <w:noWrap/>
            <w:vAlign w:val="bottom"/>
            <w:hideMark/>
          </w:tcPr>
          <w:p w14:paraId="0A5B5036" w14:textId="06E83C73" w:rsidR="00A14956" w:rsidRDefault="00A14956" w:rsidP="00F965FC">
            <w:pPr>
              <w:spacing w:after="0" w:line="240" w:lineRule="auto"/>
              <w:jc w:val="center"/>
              <w:rPr>
                <w:rFonts w:ascii="Times New Roman" w:eastAsia="Times New Roman" w:hAnsi="Times New Roman" w:cs="Times New Roman"/>
                <w:color w:val="000000"/>
                <w:sz w:val="24"/>
                <w:szCs w:val="24"/>
              </w:rPr>
            </w:pPr>
            <w:r w:rsidRPr="009A32A3">
              <w:rPr>
                <w:rFonts w:ascii="Times New Roman" w:eastAsia="Times New Roman" w:hAnsi="Times New Roman" w:cs="Times New Roman"/>
                <w:color w:val="000000"/>
                <w:sz w:val="24"/>
                <w:szCs w:val="24"/>
              </w:rPr>
              <w:lastRenderedPageBreak/>
              <w:t xml:space="preserve">Table </w:t>
            </w:r>
            <w:r w:rsidR="00CB76AD">
              <w:rPr>
                <w:rFonts w:ascii="Times New Roman" w:eastAsia="Times New Roman" w:hAnsi="Times New Roman" w:cs="Times New Roman"/>
                <w:color w:val="000000"/>
                <w:sz w:val="24"/>
                <w:szCs w:val="24"/>
              </w:rPr>
              <w:t>1</w:t>
            </w:r>
            <w:r w:rsidR="00534518">
              <w:rPr>
                <w:rFonts w:ascii="Times New Roman" w:eastAsia="Times New Roman" w:hAnsi="Times New Roman" w:cs="Times New Roman"/>
                <w:color w:val="000000"/>
                <w:sz w:val="24"/>
                <w:szCs w:val="24"/>
              </w:rPr>
              <w:t>1</w:t>
            </w:r>
            <w:r w:rsidRPr="009A32A3">
              <w:rPr>
                <w:rFonts w:ascii="Times New Roman" w:eastAsia="Times New Roman" w:hAnsi="Times New Roman" w:cs="Times New Roman"/>
                <w:color w:val="000000"/>
                <w:sz w:val="24"/>
                <w:szCs w:val="24"/>
              </w:rPr>
              <w:t>: Instrumental Variable Estimates of the Effects of Recreational Marijuana Dispensaries on All Outcomes using only Dispensaries Open During both the 2014-15 and 2015-16 School Years</w:t>
            </w:r>
          </w:p>
          <w:p w14:paraId="583E1A7C" w14:textId="77777777" w:rsidR="00F965FC" w:rsidRDefault="00F965FC" w:rsidP="00F965FC">
            <w:pPr>
              <w:spacing w:after="0" w:line="240" w:lineRule="auto"/>
              <w:jc w:val="center"/>
              <w:rPr>
                <w:rFonts w:ascii="Times New Roman" w:eastAsia="Times New Roman" w:hAnsi="Times New Roman" w:cs="Times New Roman"/>
                <w:color w:val="000000"/>
                <w:sz w:val="24"/>
                <w:szCs w:val="24"/>
              </w:rPr>
            </w:pPr>
          </w:p>
          <w:p w14:paraId="5A910AC5" w14:textId="51A38CBF" w:rsidR="00F965FC" w:rsidRPr="00A14956" w:rsidRDefault="00F965FC" w:rsidP="00A14956">
            <w:pPr>
              <w:spacing w:after="0" w:line="240" w:lineRule="auto"/>
              <w:jc w:val="center"/>
              <w:rPr>
                <w:rFonts w:ascii="Times New Roman" w:eastAsia="Times New Roman" w:hAnsi="Times New Roman" w:cs="Times New Roman"/>
                <w:color w:val="000000"/>
                <w:sz w:val="20"/>
                <w:szCs w:val="20"/>
              </w:rPr>
            </w:pPr>
          </w:p>
        </w:tc>
      </w:tr>
      <w:tr w:rsidR="00A14956" w:rsidRPr="00A14956" w14:paraId="3D2305B3" w14:textId="77777777" w:rsidTr="00941063">
        <w:trPr>
          <w:trHeight w:val="300"/>
          <w:jc w:val="center"/>
        </w:trPr>
        <w:tc>
          <w:tcPr>
            <w:tcW w:w="5087" w:type="dxa"/>
            <w:tcBorders>
              <w:top w:val="nil"/>
              <w:left w:val="nil"/>
              <w:bottom w:val="nil"/>
              <w:right w:val="nil"/>
            </w:tcBorders>
            <w:shd w:val="clear" w:color="auto" w:fill="auto"/>
            <w:noWrap/>
            <w:vAlign w:val="bottom"/>
            <w:hideMark/>
          </w:tcPr>
          <w:p w14:paraId="6D4D5CE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BF1021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Female</w:t>
            </w:r>
          </w:p>
        </w:tc>
        <w:tc>
          <w:tcPr>
            <w:tcW w:w="266" w:type="dxa"/>
            <w:tcBorders>
              <w:top w:val="nil"/>
              <w:left w:val="nil"/>
              <w:bottom w:val="nil"/>
              <w:right w:val="nil"/>
            </w:tcBorders>
            <w:shd w:val="clear" w:color="auto" w:fill="auto"/>
            <w:noWrap/>
            <w:vAlign w:val="bottom"/>
            <w:hideMark/>
          </w:tcPr>
          <w:p w14:paraId="77E960C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F319B6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Male</w:t>
            </w:r>
          </w:p>
        </w:tc>
      </w:tr>
      <w:tr w:rsidR="00A14956" w:rsidRPr="00A14956" w14:paraId="2CA52D1C" w14:textId="77777777" w:rsidTr="00941063">
        <w:trPr>
          <w:trHeight w:val="290"/>
          <w:jc w:val="center"/>
        </w:trPr>
        <w:tc>
          <w:tcPr>
            <w:tcW w:w="5087" w:type="dxa"/>
            <w:tcBorders>
              <w:top w:val="nil"/>
              <w:left w:val="nil"/>
              <w:bottom w:val="single" w:sz="4" w:space="0" w:color="auto"/>
              <w:right w:val="nil"/>
            </w:tcBorders>
            <w:shd w:val="clear" w:color="auto" w:fill="auto"/>
            <w:noWrap/>
            <w:vAlign w:val="bottom"/>
            <w:hideMark/>
          </w:tcPr>
          <w:p w14:paraId="039E6A9D"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Dependent Variable</w:t>
            </w:r>
          </w:p>
        </w:tc>
        <w:tc>
          <w:tcPr>
            <w:tcW w:w="900" w:type="dxa"/>
            <w:tcBorders>
              <w:top w:val="nil"/>
              <w:left w:val="nil"/>
              <w:bottom w:val="single" w:sz="4" w:space="0" w:color="auto"/>
              <w:right w:val="nil"/>
            </w:tcBorders>
            <w:shd w:val="clear" w:color="auto" w:fill="auto"/>
            <w:noWrap/>
            <w:vAlign w:val="bottom"/>
            <w:hideMark/>
          </w:tcPr>
          <w:p w14:paraId="6F6CC08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w:t>
            </w:r>
          </w:p>
        </w:tc>
        <w:tc>
          <w:tcPr>
            <w:tcW w:w="266" w:type="dxa"/>
            <w:tcBorders>
              <w:top w:val="nil"/>
              <w:left w:val="nil"/>
              <w:bottom w:val="single" w:sz="4" w:space="0" w:color="auto"/>
              <w:right w:val="nil"/>
            </w:tcBorders>
            <w:shd w:val="clear" w:color="auto" w:fill="auto"/>
            <w:noWrap/>
            <w:vAlign w:val="bottom"/>
            <w:hideMark/>
          </w:tcPr>
          <w:p w14:paraId="3A23F84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10F89CD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(2)</w:t>
            </w:r>
          </w:p>
        </w:tc>
      </w:tr>
      <w:tr w:rsidR="00A14956" w:rsidRPr="00A14956" w14:paraId="4A9F53E5"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57C05892"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11th Grade Dropout Rate</w:t>
            </w:r>
          </w:p>
        </w:tc>
        <w:tc>
          <w:tcPr>
            <w:tcW w:w="900" w:type="dxa"/>
            <w:tcBorders>
              <w:top w:val="nil"/>
              <w:left w:val="nil"/>
              <w:bottom w:val="nil"/>
              <w:right w:val="nil"/>
            </w:tcBorders>
            <w:shd w:val="clear" w:color="auto" w:fill="auto"/>
            <w:noWrap/>
            <w:vAlign w:val="bottom"/>
            <w:hideMark/>
          </w:tcPr>
          <w:p w14:paraId="0912CB3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0.034</w:t>
            </w:r>
          </w:p>
        </w:tc>
        <w:tc>
          <w:tcPr>
            <w:tcW w:w="266" w:type="dxa"/>
            <w:tcBorders>
              <w:top w:val="nil"/>
              <w:left w:val="nil"/>
              <w:bottom w:val="nil"/>
              <w:right w:val="nil"/>
            </w:tcBorders>
            <w:shd w:val="clear" w:color="auto" w:fill="auto"/>
            <w:noWrap/>
            <w:vAlign w:val="bottom"/>
            <w:hideMark/>
          </w:tcPr>
          <w:p w14:paraId="310B696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DD68B0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0.038</w:t>
            </w:r>
          </w:p>
        </w:tc>
      </w:tr>
      <w:tr w:rsidR="00A14956" w:rsidRPr="00A14956" w14:paraId="46E3D839"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5D624A5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EC9BBE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(0.0164)</w:t>
            </w:r>
          </w:p>
        </w:tc>
        <w:tc>
          <w:tcPr>
            <w:tcW w:w="266" w:type="dxa"/>
            <w:tcBorders>
              <w:top w:val="nil"/>
              <w:left w:val="nil"/>
              <w:bottom w:val="nil"/>
              <w:right w:val="nil"/>
            </w:tcBorders>
            <w:shd w:val="clear" w:color="auto" w:fill="auto"/>
            <w:noWrap/>
            <w:vAlign w:val="bottom"/>
            <w:hideMark/>
          </w:tcPr>
          <w:p w14:paraId="3C3A426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212D0E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(0.0214)</w:t>
            </w:r>
          </w:p>
        </w:tc>
      </w:tr>
      <w:tr w:rsidR="00A14956" w:rsidRPr="00A14956" w14:paraId="0EBDDD9E"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2DEADB0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5E23B1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[0.020]</w:t>
            </w:r>
          </w:p>
        </w:tc>
        <w:tc>
          <w:tcPr>
            <w:tcW w:w="266" w:type="dxa"/>
            <w:tcBorders>
              <w:top w:val="nil"/>
              <w:left w:val="nil"/>
              <w:bottom w:val="nil"/>
              <w:right w:val="nil"/>
            </w:tcBorders>
            <w:shd w:val="clear" w:color="auto" w:fill="auto"/>
            <w:noWrap/>
            <w:vAlign w:val="bottom"/>
            <w:hideMark/>
          </w:tcPr>
          <w:p w14:paraId="7302CCF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D7EA64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[0.040]</w:t>
            </w:r>
          </w:p>
        </w:tc>
      </w:tr>
      <w:tr w:rsidR="00A14956" w:rsidRPr="00A14956" w14:paraId="4E974288"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24EBB87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2114ED5"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D09F66D"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323FA485"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r>
      <w:tr w:rsidR="00A14956" w:rsidRPr="00A14956" w14:paraId="59BC4F89"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1BE0286F"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12th Grade Dropout Rate</w:t>
            </w:r>
          </w:p>
        </w:tc>
        <w:tc>
          <w:tcPr>
            <w:tcW w:w="900" w:type="dxa"/>
            <w:tcBorders>
              <w:top w:val="nil"/>
              <w:left w:val="nil"/>
              <w:bottom w:val="nil"/>
              <w:right w:val="nil"/>
            </w:tcBorders>
            <w:shd w:val="clear" w:color="auto" w:fill="auto"/>
            <w:noWrap/>
            <w:vAlign w:val="bottom"/>
            <w:hideMark/>
          </w:tcPr>
          <w:p w14:paraId="017BF9A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0.030</w:t>
            </w:r>
          </w:p>
        </w:tc>
        <w:tc>
          <w:tcPr>
            <w:tcW w:w="266" w:type="dxa"/>
            <w:tcBorders>
              <w:top w:val="nil"/>
              <w:left w:val="nil"/>
              <w:bottom w:val="nil"/>
              <w:right w:val="nil"/>
            </w:tcBorders>
            <w:shd w:val="clear" w:color="auto" w:fill="auto"/>
            <w:noWrap/>
            <w:vAlign w:val="bottom"/>
            <w:hideMark/>
          </w:tcPr>
          <w:p w14:paraId="0C26230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E1AEB2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0.061</w:t>
            </w:r>
          </w:p>
        </w:tc>
      </w:tr>
      <w:tr w:rsidR="00A14956" w:rsidRPr="00A14956" w14:paraId="61506D61"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28440F7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6128F3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(0.0220)</w:t>
            </w:r>
          </w:p>
        </w:tc>
        <w:tc>
          <w:tcPr>
            <w:tcW w:w="266" w:type="dxa"/>
            <w:tcBorders>
              <w:top w:val="nil"/>
              <w:left w:val="nil"/>
              <w:bottom w:val="nil"/>
              <w:right w:val="nil"/>
            </w:tcBorders>
            <w:shd w:val="clear" w:color="auto" w:fill="auto"/>
            <w:noWrap/>
            <w:vAlign w:val="bottom"/>
            <w:hideMark/>
          </w:tcPr>
          <w:p w14:paraId="210E01C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16741B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(0.0318)</w:t>
            </w:r>
          </w:p>
        </w:tc>
      </w:tr>
      <w:tr w:rsidR="00A14956" w:rsidRPr="00A14956" w14:paraId="0B2B412F"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65811E0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569825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[0.087]</w:t>
            </w:r>
          </w:p>
        </w:tc>
        <w:tc>
          <w:tcPr>
            <w:tcW w:w="266" w:type="dxa"/>
            <w:tcBorders>
              <w:top w:val="nil"/>
              <w:left w:val="nil"/>
              <w:bottom w:val="nil"/>
              <w:right w:val="nil"/>
            </w:tcBorders>
            <w:shd w:val="clear" w:color="auto" w:fill="auto"/>
            <w:noWrap/>
            <w:vAlign w:val="bottom"/>
            <w:hideMark/>
          </w:tcPr>
          <w:p w14:paraId="5BBA9D0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127B3D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[0.028]</w:t>
            </w:r>
          </w:p>
        </w:tc>
      </w:tr>
      <w:tr w:rsidR="00A14956" w:rsidRPr="00A14956" w14:paraId="1F921DCE"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1570682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457EC2C"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C0C0537"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430CF6B" w14:textId="77777777" w:rsidR="00A14956" w:rsidRPr="00A14956" w:rsidRDefault="00A14956" w:rsidP="00A14956">
            <w:pPr>
              <w:spacing w:after="0" w:line="240" w:lineRule="auto"/>
              <w:rPr>
                <w:rFonts w:ascii="Times New Roman" w:eastAsia="Times New Roman" w:hAnsi="Times New Roman" w:cs="Times New Roman"/>
                <w:sz w:val="20"/>
                <w:szCs w:val="20"/>
              </w:rPr>
            </w:pPr>
          </w:p>
        </w:tc>
      </w:tr>
      <w:tr w:rsidR="00A14956" w:rsidRPr="00A14956" w14:paraId="6263F064"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438E2AD2"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11th Grade Chronic Absenteeism</w:t>
            </w:r>
          </w:p>
        </w:tc>
        <w:tc>
          <w:tcPr>
            <w:tcW w:w="900" w:type="dxa"/>
            <w:tcBorders>
              <w:top w:val="nil"/>
              <w:left w:val="nil"/>
              <w:bottom w:val="nil"/>
              <w:right w:val="nil"/>
            </w:tcBorders>
            <w:shd w:val="clear" w:color="auto" w:fill="auto"/>
            <w:noWrap/>
            <w:vAlign w:val="bottom"/>
            <w:hideMark/>
          </w:tcPr>
          <w:p w14:paraId="400DA2F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0.112</w:t>
            </w:r>
          </w:p>
        </w:tc>
        <w:tc>
          <w:tcPr>
            <w:tcW w:w="266" w:type="dxa"/>
            <w:tcBorders>
              <w:top w:val="nil"/>
              <w:left w:val="nil"/>
              <w:bottom w:val="nil"/>
              <w:right w:val="nil"/>
            </w:tcBorders>
            <w:shd w:val="clear" w:color="auto" w:fill="auto"/>
            <w:noWrap/>
            <w:vAlign w:val="bottom"/>
            <w:hideMark/>
          </w:tcPr>
          <w:p w14:paraId="6631AE0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AEF1E2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0.072</w:t>
            </w:r>
          </w:p>
        </w:tc>
      </w:tr>
      <w:tr w:rsidR="00A14956" w:rsidRPr="00A14956" w14:paraId="01E38127"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2F0A17B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13C130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(0.0562)</w:t>
            </w:r>
          </w:p>
        </w:tc>
        <w:tc>
          <w:tcPr>
            <w:tcW w:w="266" w:type="dxa"/>
            <w:tcBorders>
              <w:top w:val="nil"/>
              <w:left w:val="nil"/>
              <w:bottom w:val="nil"/>
              <w:right w:val="nil"/>
            </w:tcBorders>
            <w:shd w:val="clear" w:color="auto" w:fill="auto"/>
            <w:noWrap/>
            <w:vAlign w:val="bottom"/>
            <w:hideMark/>
          </w:tcPr>
          <w:p w14:paraId="68B2EE0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36341E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(0.0508)</w:t>
            </w:r>
          </w:p>
        </w:tc>
      </w:tr>
      <w:tr w:rsidR="00A14956" w:rsidRPr="00A14956" w14:paraId="161FC35B"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0FDE66E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621F369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[0.023]</w:t>
            </w:r>
          </w:p>
        </w:tc>
        <w:tc>
          <w:tcPr>
            <w:tcW w:w="266" w:type="dxa"/>
            <w:tcBorders>
              <w:top w:val="nil"/>
              <w:left w:val="nil"/>
              <w:bottom w:val="nil"/>
              <w:right w:val="nil"/>
            </w:tcBorders>
            <w:shd w:val="clear" w:color="auto" w:fill="auto"/>
            <w:noWrap/>
            <w:vAlign w:val="bottom"/>
            <w:hideMark/>
          </w:tcPr>
          <w:p w14:paraId="627E1AF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ADC727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[0.078]</w:t>
            </w:r>
          </w:p>
        </w:tc>
      </w:tr>
      <w:tr w:rsidR="00A14956" w:rsidRPr="00A14956" w14:paraId="7EBD65B2"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5B962D2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B4F5317"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D3360FD"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71C9643"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r>
      <w:tr w:rsidR="00A14956" w:rsidRPr="00A14956" w14:paraId="7E203A78"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42F36A4E"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12th Grade Chronic Absenteeism</w:t>
            </w:r>
          </w:p>
        </w:tc>
        <w:tc>
          <w:tcPr>
            <w:tcW w:w="900" w:type="dxa"/>
            <w:tcBorders>
              <w:top w:val="nil"/>
              <w:left w:val="nil"/>
              <w:bottom w:val="nil"/>
              <w:right w:val="nil"/>
            </w:tcBorders>
            <w:shd w:val="clear" w:color="auto" w:fill="auto"/>
            <w:noWrap/>
            <w:vAlign w:val="bottom"/>
            <w:hideMark/>
          </w:tcPr>
          <w:p w14:paraId="0F4209E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0.124</w:t>
            </w:r>
          </w:p>
        </w:tc>
        <w:tc>
          <w:tcPr>
            <w:tcW w:w="266" w:type="dxa"/>
            <w:tcBorders>
              <w:top w:val="nil"/>
              <w:left w:val="nil"/>
              <w:bottom w:val="nil"/>
              <w:right w:val="nil"/>
            </w:tcBorders>
            <w:shd w:val="clear" w:color="auto" w:fill="auto"/>
            <w:noWrap/>
            <w:vAlign w:val="bottom"/>
            <w:hideMark/>
          </w:tcPr>
          <w:p w14:paraId="7383AFE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DFFEC7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0.084</w:t>
            </w:r>
          </w:p>
        </w:tc>
      </w:tr>
      <w:tr w:rsidR="00A14956" w:rsidRPr="00A14956" w14:paraId="639B5A1A"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356FFD3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452D98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(0.0554)</w:t>
            </w:r>
          </w:p>
        </w:tc>
        <w:tc>
          <w:tcPr>
            <w:tcW w:w="266" w:type="dxa"/>
            <w:tcBorders>
              <w:top w:val="nil"/>
              <w:left w:val="nil"/>
              <w:bottom w:val="nil"/>
              <w:right w:val="nil"/>
            </w:tcBorders>
            <w:shd w:val="clear" w:color="auto" w:fill="auto"/>
            <w:noWrap/>
            <w:vAlign w:val="bottom"/>
            <w:hideMark/>
          </w:tcPr>
          <w:p w14:paraId="196F53F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EF4778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(0.0514)</w:t>
            </w:r>
          </w:p>
        </w:tc>
      </w:tr>
      <w:tr w:rsidR="00A14956" w:rsidRPr="00A14956" w14:paraId="66C757AF"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59DC774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79D8C4D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[0.012]</w:t>
            </w:r>
          </w:p>
        </w:tc>
        <w:tc>
          <w:tcPr>
            <w:tcW w:w="266" w:type="dxa"/>
            <w:tcBorders>
              <w:top w:val="nil"/>
              <w:left w:val="nil"/>
              <w:bottom w:val="nil"/>
              <w:right w:val="nil"/>
            </w:tcBorders>
            <w:shd w:val="clear" w:color="auto" w:fill="auto"/>
            <w:noWrap/>
            <w:vAlign w:val="bottom"/>
            <w:hideMark/>
          </w:tcPr>
          <w:p w14:paraId="0C047B72"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3008A5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[0.051]</w:t>
            </w:r>
          </w:p>
        </w:tc>
      </w:tr>
      <w:tr w:rsidR="00A14956" w:rsidRPr="00A14956" w14:paraId="37ACA382"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087BC3F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F1AC4F0"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101E09D"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1012AE12" w14:textId="77777777" w:rsidR="00A14956" w:rsidRPr="00A14956" w:rsidRDefault="00A14956" w:rsidP="00A14956">
            <w:pPr>
              <w:spacing w:after="0" w:line="240" w:lineRule="auto"/>
              <w:rPr>
                <w:rFonts w:ascii="Times New Roman" w:eastAsia="Times New Roman" w:hAnsi="Times New Roman" w:cs="Times New Roman"/>
                <w:sz w:val="20"/>
                <w:szCs w:val="20"/>
              </w:rPr>
            </w:pPr>
          </w:p>
        </w:tc>
      </w:tr>
      <w:tr w:rsidR="00A14956" w:rsidRPr="00A14956" w14:paraId="6FABE13D"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75098A31"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11th Grade Discipline Rate</w:t>
            </w:r>
          </w:p>
        </w:tc>
        <w:tc>
          <w:tcPr>
            <w:tcW w:w="900" w:type="dxa"/>
            <w:tcBorders>
              <w:top w:val="nil"/>
              <w:left w:val="nil"/>
              <w:bottom w:val="nil"/>
              <w:right w:val="nil"/>
            </w:tcBorders>
            <w:shd w:val="clear" w:color="auto" w:fill="auto"/>
            <w:noWrap/>
            <w:vAlign w:val="bottom"/>
            <w:hideMark/>
          </w:tcPr>
          <w:p w14:paraId="0A075D1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0.008</w:t>
            </w:r>
          </w:p>
        </w:tc>
        <w:tc>
          <w:tcPr>
            <w:tcW w:w="266" w:type="dxa"/>
            <w:tcBorders>
              <w:top w:val="nil"/>
              <w:left w:val="nil"/>
              <w:bottom w:val="nil"/>
              <w:right w:val="nil"/>
            </w:tcBorders>
            <w:shd w:val="clear" w:color="auto" w:fill="auto"/>
            <w:noWrap/>
            <w:vAlign w:val="bottom"/>
            <w:hideMark/>
          </w:tcPr>
          <w:p w14:paraId="578ABC0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05C4AB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0.018</w:t>
            </w:r>
          </w:p>
        </w:tc>
      </w:tr>
      <w:tr w:rsidR="00A14956" w:rsidRPr="00A14956" w14:paraId="1D41ACF3"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2FECE44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DFEA7C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(0.0121)</w:t>
            </w:r>
          </w:p>
        </w:tc>
        <w:tc>
          <w:tcPr>
            <w:tcW w:w="266" w:type="dxa"/>
            <w:tcBorders>
              <w:top w:val="nil"/>
              <w:left w:val="nil"/>
              <w:bottom w:val="nil"/>
              <w:right w:val="nil"/>
            </w:tcBorders>
            <w:shd w:val="clear" w:color="auto" w:fill="auto"/>
            <w:noWrap/>
            <w:vAlign w:val="bottom"/>
            <w:hideMark/>
          </w:tcPr>
          <w:p w14:paraId="1D7830CD"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6F4ED5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(0.0158)</w:t>
            </w:r>
          </w:p>
        </w:tc>
      </w:tr>
      <w:tr w:rsidR="00A14956" w:rsidRPr="00A14956" w14:paraId="607F16CF"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7B949C4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F3D0E6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[0.257]</w:t>
            </w:r>
          </w:p>
        </w:tc>
        <w:tc>
          <w:tcPr>
            <w:tcW w:w="266" w:type="dxa"/>
            <w:tcBorders>
              <w:top w:val="nil"/>
              <w:left w:val="nil"/>
              <w:bottom w:val="nil"/>
              <w:right w:val="nil"/>
            </w:tcBorders>
            <w:shd w:val="clear" w:color="auto" w:fill="auto"/>
            <w:noWrap/>
            <w:vAlign w:val="bottom"/>
            <w:hideMark/>
          </w:tcPr>
          <w:p w14:paraId="345DD2B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E68AB4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[0.134]</w:t>
            </w:r>
          </w:p>
        </w:tc>
      </w:tr>
      <w:tr w:rsidR="00A14956" w:rsidRPr="00A14956" w14:paraId="69343671"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069AEB8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0496159"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A2850A0"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17A9D3EF" w14:textId="77777777" w:rsidR="00A14956" w:rsidRPr="00A14956" w:rsidRDefault="00A14956" w:rsidP="00A14956">
            <w:pPr>
              <w:spacing w:after="0" w:line="240" w:lineRule="auto"/>
              <w:jc w:val="center"/>
              <w:rPr>
                <w:rFonts w:ascii="Times New Roman" w:eastAsia="Times New Roman" w:hAnsi="Times New Roman" w:cs="Times New Roman"/>
                <w:sz w:val="20"/>
                <w:szCs w:val="20"/>
              </w:rPr>
            </w:pPr>
          </w:p>
        </w:tc>
      </w:tr>
      <w:tr w:rsidR="00A14956" w:rsidRPr="00A14956" w14:paraId="00090BAE"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13198F69"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12th Grade Discipline Rate</w:t>
            </w:r>
          </w:p>
        </w:tc>
        <w:tc>
          <w:tcPr>
            <w:tcW w:w="900" w:type="dxa"/>
            <w:tcBorders>
              <w:top w:val="nil"/>
              <w:left w:val="nil"/>
              <w:bottom w:val="nil"/>
              <w:right w:val="nil"/>
            </w:tcBorders>
            <w:shd w:val="clear" w:color="auto" w:fill="auto"/>
            <w:noWrap/>
            <w:vAlign w:val="bottom"/>
            <w:hideMark/>
          </w:tcPr>
          <w:p w14:paraId="569F6C9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0.010</w:t>
            </w:r>
          </w:p>
        </w:tc>
        <w:tc>
          <w:tcPr>
            <w:tcW w:w="266" w:type="dxa"/>
            <w:tcBorders>
              <w:top w:val="nil"/>
              <w:left w:val="nil"/>
              <w:bottom w:val="nil"/>
              <w:right w:val="nil"/>
            </w:tcBorders>
            <w:shd w:val="clear" w:color="auto" w:fill="auto"/>
            <w:noWrap/>
            <w:vAlign w:val="bottom"/>
            <w:hideMark/>
          </w:tcPr>
          <w:p w14:paraId="3D158E3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7EFE622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0.019</w:t>
            </w:r>
          </w:p>
        </w:tc>
      </w:tr>
      <w:tr w:rsidR="00A14956" w:rsidRPr="00A14956" w14:paraId="5F4548EE"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7611AFA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F8CA8A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(0.0122)</w:t>
            </w:r>
          </w:p>
        </w:tc>
        <w:tc>
          <w:tcPr>
            <w:tcW w:w="266" w:type="dxa"/>
            <w:tcBorders>
              <w:top w:val="nil"/>
              <w:left w:val="nil"/>
              <w:bottom w:val="nil"/>
              <w:right w:val="nil"/>
            </w:tcBorders>
            <w:shd w:val="clear" w:color="auto" w:fill="auto"/>
            <w:noWrap/>
            <w:vAlign w:val="bottom"/>
            <w:hideMark/>
          </w:tcPr>
          <w:p w14:paraId="722E25FE"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6F7464A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(0.0132)</w:t>
            </w:r>
          </w:p>
        </w:tc>
      </w:tr>
      <w:tr w:rsidR="00A14956" w:rsidRPr="00A14956" w14:paraId="330C5757"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000BC79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EF42891"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[0.204]</w:t>
            </w:r>
          </w:p>
        </w:tc>
        <w:tc>
          <w:tcPr>
            <w:tcW w:w="266" w:type="dxa"/>
            <w:tcBorders>
              <w:top w:val="nil"/>
              <w:left w:val="nil"/>
              <w:bottom w:val="nil"/>
              <w:right w:val="nil"/>
            </w:tcBorders>
            <w:shd w:val="clear" w:color="auto" w:fill="auto"/>
            <w:noWrap/>
            <w:vAlign w:val="bottom"/>
            <w:hideMark/>
          </w:tcPr>
          <w:p w14:paraId="57C53E8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4FCD88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[0.081]</w:t>
            </w:r>
          </w:p>
        </w:tc>
      </w:tr>
      <w:tr w:rsidR="00A14956" w:rsidRPr="00A14956" w14:paraId="53BBF153"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7B7F6E5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62B8A8E4"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1340FF6"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555481B" w14:textId="77777777" w:rsidR="00A14956" w:rsidRPr="00A14956" w:rsidRDefault="00A14956" w:rsidP="00A14956">
            <w:pPr>
              <w:spacing w:after="0" w:line="240" w:lineRule="auto"/>
              <w:rPr>
                <w:rFonts w:ascii="Times New Roman" w:eastAsia="Times New Roman" w:hAnsi="Times New Roman" w:cs="Times New Roman"/>
                <w:sz w:val="20"/>
                <w:szCs w:val="20"/>
              </w:rPr>
            </w:pPr>
          </w:p>
        </w:tc>
      </w:tr>
      <w:tr w:rsidR="00A14956" w:rsidRPr="00A14956" w14:paraId="70961EF0"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6C25DBDC"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Not Proficient in Math</w:t>
            </w:r>
          </w:p>
        </w:tc>
        <w:tc>
          <w:tcPr>
            <w:tcW w:w="900" w:type="dxa"/>
            <w:tcBorders>
              <w:top w:val="nil"/>
              <w:left w:val="nil"/>
              <w:bottom w:val="nil"/>
              <w:right w:val="nil"/>
            </w:tcBorders>
            <w:shd w:val="clear" w:color="auto" w:fill="auto"/>
            <w:noWrap/>
            <w:vAlign w:val="bottom"/>
            <w:hideMark/>
          </w:tcPr>
          <w:p w14:paraId="0370778B"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-0.037</w:t>
            </w:r>
          </w:p>
        </w:tc>
        <w:tc>
          <w:tcPr>
            <w:tcW w:w="266" w:type="dxa"/>
            <w:tcBorders>
              <w:top w:val="nil"/>
              <w:left w:val="nil"/>
              <w:bottom w:val="nil"/>
              <w:right w:val="nil"/>
            </w:tcBorders>
            <w:shd w:val="clear" w:color="auto" w:fill="auto"/>
            <w:noWrap/>
            <w:vAlign w:val="bottom"/>
            <w:hideMark/>
          </w:tcPr>
          <w:p w14:paraId="0CA6C34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749E1B9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-0.074</w:t>
            </w:r>
          </w:p>
        </w:tc>
      </w:tr>
      <w:tr w:rsidR="00A14956" w:rsidRPr="00A14956" w14:paraId="6D74DE18"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4A2DD35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B11E86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(0.0678)</w:t>
            </w:r>
          </w:p>
        </w:tc>
        <w:tc>
          <w:tcPr>
            <w:tcW w:w="266" w:type="dxa"/>
            <w:tcBorders>
              <w:top w:val="nil"/>
              <w:left w:val="nil"/>
              <w:bottom w:val="nil"/>
              <w:right w:val="nil"/>
            </w:tcBorders>
            <w:shd w:val="clear" w:color="auto" w:fill="auto"/>
            <w:noWrap/>
            <w:vAlign w:val="bottom"/>
            <w:hideMark/>
          </w:tcPr>
          <w:p w14:paraId="590DA6E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7BC91D4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(0.0683)</w:t>
            </w:r>
          </w:p>
        </w:tc>
      </w:tr>
      <w:tr w:rsidR="00A14956" w:rsidRPr="00A14956" w14:paraId="5820AB89"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37792CA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EB25509"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[0.292]</w:t>
            </w:r>
          </w:p>
        </w:tc>
        <w:tc>
          <w:tcPr>
            <w:tcW w:w="266" w:type="dxa"/>
            <w:tcBorders>
              <w:top w:val="nil"/>
              <w:left w:val="nil"/>
              <w:bottom w:val="nil"/>
              <w:right w:val="nil"/>
            </w:tcBorders>
            <w:shd w:val="clear" w:color="auto" w:fill="auto"/>
            <w:noWrap/>
            <w:vAlign w:val="bottom"/>
            <w:hideMark/>
          </w:tcPr>
          <w:p w14:paraId="5A7522B8"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AC1CEA0"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[0.140]</w:t>
            </w:r>
          </w:p>
        </w:tc>
      </w:tr>
      <w:tr w:rsidR="00A14956" w:rsidRPr="00A14956" w14:paraId="7A3D037C"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786197A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3050A83"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37119D6" w14:textId="77777777" w:rsidR="00A14956" w:rsidRPr="00A14956" w:rsidRDefault="00A14956" w:rsidP="00A14956">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4F8DCD8" w14:textId="77777777" w:rsidR="00A14956" w:rsidRPr="00A14956" w:rsidRDefault="00A14956" w:rsidP="00A14956">
            <w:pPr>
              <w:spacing w:after="0" w:line="240" w:lineRule="auto"/>
              <w:rPr>
                <w:rFonts w:ascii="Times New Roman" w:eastAsia="Times New Roman" w:hAnsi="Times New Roman" w:cs="Times New Roman"/>
                <w:sz w:val="20"/>
                <w:szCs w:val="20"/>
              </w:rPr>
            </w:pPr>
          </w:p>
        </w:tc>
      </w:tr>
      <w:tr w:rsidR="00A14956" w:rsidRPr="00A14956" w14:paraId="4C5C1D32"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11BBB505" w14:textId="77777777" w:rsidR="00A14956" w:rsidRPr="00A14956" w:rsidRDefault="00A14956" w:rsidP="00A14956">
            <w:pPr>
              <w:spacing w:after="0" w:line="240" w:lineRule="auto"/>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Not Proficient in ELA</w:t>
            </w:r>
          </w:p>
        </w:tc>
        <w:tc>
          <w:tcPr>
            <w:tcW w:w="900" w:type="dxa"/>
            <w:tcBorders>
              <w:top w:val="nil"/>
              <w:left w:val="nil"/>
              <w:bottom w:val="nil"/>
              <w:right w:val="nil"/>
            </w:tcBorders>
            <w:shd w:val="clear" w:color="auto" w:fill="auto"/>
            <w:noWrap/>
            <w:vAlign w:val="bottom"/>
            <w:hideMark/>
          </w:tcPr>
          <w:p w14:paraId="691C35CA"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0.010</w:t>
            </w:r>
          </w:p>
        </w:tc>
        <w:tc>
          <w:tcPr>
            <w:tcW w:w="266" w:type="dxa"/>
            <w:tcBorders>
              <w:top w:val="nil"/>
              <w:left w:val="nil"/>
              <w:bottom w:val="nil"/>
              <w:right w:val="nil"/>
            </w:tcBorders>
            <w:shd w:val="clear" w:color="auto" w:fill="auto"/>
            <w:noWrap/>
            <w:vAlign w:val="bottom"/>
            <w:hideMark/>
          </w:tcPr>
          <w:p w14:paraId="7A48705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80A4093"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-0.028</w:t>
            </w:r>
          </w:p>
        </w:tc>
      </w:tr>
      <w:tr w:rsidR="00A14956" w:rsidRPr="00A14956" w14:paraId="47A22675"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04D8E02F"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F1D167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(0.0737)</w:t>
            </w:r>
          </w:p>
        </w:tc>
        <w:tc>
          <w:tcPr>
            <w:tcW w:w="266" w:type="dxa"/>
            <w:tcBorders>
              <w:top w:val="nil"/>
              <w:left w:val="nil"/>
              <w:bottom w:val="nil"/>
              <w:right w:val="nil"/>
            </w:tcBorders>
            <w:shd w:val="clear" w:color="auto" w:fill="auto"/>
            <w:noWrap/>
            <w:vAlign w:val="bottom"/>
            <w:hideMark/>
          </w:tcPr>
          <w:p w14:paraId="69F366DC"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9BDF664"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(0.0821)</w:t>
            </w:r>
          </w:p>
        </w:tc>
      </w:tr>
      <w:tr w:rsidR="00A14956" w:rsidRPr="00A14956" w14:paraId="6BF600EF" w14:textId="77777777" w:rsidTr="00941063">
        <w:trPr>
          <w:trHeight w:val="290"/>
          <w:jc w:val="center"/>
        </w:trPr>
        <w:tc>
          <w:tcPr>
            <w:tcW w:w="5087" w:type="dxa"/>
            <w:tcBorders>
              <w:top w:val="nil"/>
              <w:left w:val="nil"/>
              <w:bottom w:val="nil"/>
              <w:right w:val="nil"/>
            </w:tcBorders>
            <w:shd w:val="clear" w:color="auto" w:fill="auto"/>
            <w:noWrap/>
            <w:vAlign w:val="bottom"/>
            <w:hideMark/>
          </w:tcPr>
          <w:p w14:paraId="32AA1EF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3728FA5"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[0.445]</w:t>
            </w:r>
          </w:p>
        </w:tc>
        <w:tc>
          <w:tcPr>
            <w:tcW w:w="266" w:type="dxa"/>
            <w:tcBorders>
              <w:top w:val="nil"/>
              <w:left w:val="nil"/>
              <w:bottom w:val="nil"/>
              <w:right w:val="nil"/>
            </w:tcBorders>
            <w:shd w:val="clear" w:color="auto" w:fill="auto"/>
            <w:noWrap/>
            <w:vAlign w:val="bottom"/>
            <w:hideMark/>
          </w:tcPr>
          <w:p w14:paraId="1CFD8356"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4A43E47" w14:textId="77777777" w:rsidR="00A14956" w:rsidRPr="00A14956" w:rsidRDefault="00A14956" w:rsidP="00A14956">
            <w:pPr>
              <w:spacing w:after="0" w:line="240" w:lineRule="auto"/>
              <w:jc w:val="center"/>
              <w:rPr>
                <w:rFonts w:ascii="Times New Roman" w:eastAsia="Times New Roman" w:hAnsi="Times New Roman" w:cs="Times New Roman"/>
                <w:color w:val="000000"/>
                <w:sz w:val="20"/>
                <w:szCs w:val="20"/>
              </w:rPr>
            </w:pPr>
            <w:r w:rsidRPr="00A14956">
              <w:rPr>
                <w:rFonts w:ascii="Times New Roman" w:eastAsia="Times New Roman" w:hAnsi="Times New Roman" w:cs="Times New Roman"/>
                <w:color w:val="000000"/>
                <w:sz w:val="20"/>
                <w:szCs w:val="20"/>
              </w:rPr>
              <w:t>[0.366]</w:t>
            </w:r>
          </w:p>
        </w:tc>
      </w:tr>
      <w:tr w:rsidR="00A14956" w:rsidRPr="00A14956" w14:paraId="18A31D28" w14:textId="77777777" w:rsidTr="00941063">
        <w:trPr>
          <w:trHeight w:val="290"/>
          <w:jc w:val="center"/>
        </w:trPr>
        <w:tc>
          <w:tcPr>
            <w:tcW w:w="7153" w:type="dxa"/>
            <w:gridSpan w:val="4"/>
            <w:tcBorders>
              <w:top w:val="single" w:sz="4" w:space="0" w:color="auto"/>
              <w:left w:val="nil"/>
              <w:bottom w:val="nil"/>
              <w:right w:val="nil"/>
            </w:tcBorders>
            <w:shd w:val="clear" w:color="auto" w:fill="auto"/>
            <w:noWrap/>
            <w:vAlign w:val="bottom"/>
            <w:hideMark/>
          </w:tcPr>
          <w:p w14:paraId="578EB42E" w14:textId="3C40B286" w:rsidR="00A14956" w:rsidRPr="00A14956" w:rsidRDefault="00A14956" w:rsidP="00F965FC">
            <w:pPr>
              <w:spacing w:after="0" w:line="240" w:lineRule="auto"/>
              <w:jc w:val="both"/>
              <w:rPr>
                <w:rFonts w:ascii="Calibri" w:eastAsia="Times New Roman" w:hAnsi="Calibri" w:cs="Calibri"/>
                <w:color w:val="000000"/>
              </w:rPr>
            </w:pPr>
            <w:r w:rsidRPr="00182138">
              <w:rPr>
                <w:rFonts w:ascii="Times New Roman" w:eastAsia="Times New Roman" w:hAnsi="Times New Roman" w:cs="Times New Roman"/>
                <w:i/>
                <w:iCs/>
                <w:color w:val="000000"/>
                <w:sz w:val="20"/>
                <w:szCs w:val="20"/>
              </w:rPr>
              <w:t>Notes</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color w:val="000000"/>
                <w:sz w:val="20"/>
                <w:szCs w:val="20"/>
              </w:rPr>
              <w:t>This table reports IV estimates of equation (</w:t>
            </w:r>
            <w:r w:rsidR="000D4249">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t xml:space="preserve">). The sample of dispensaries used to define whether a school is within 10 minutes of an open dispensary (10MinsOpen) are those open in both the 2014-15 and 2015-16 school years. </w:t>
            </w:r>
            <w:r>
              <w:rPr>
                <w:rFonts w:ascii="Times New Roman" w:eastAsia="Times New Roman" w:hAnsi="Times New Roman" w:cs="Times New Roman"/>
                <w:sz w:val="20"/>
                <w:szCs w:val="20"/>
              </w:rPr>
              <w:t>All specifications include the 2014-15 and 2015-16 school years, as well as controls for the proportions of free-or-reduced-price lunch, Black, Hispanic, and Asian students, and indicators for whether the school is in a city, town, or suburb. The omitted locale is rural. Each column also includes year fixed effects. Standard errors clustered by school are in parentheses and one-sided p-values are in square brackets.</w:t>
            </w:r>
          </w:p>
        </w:tc>
      </w:tr>
    </w:tbl>
    <w:p w14:paraId="3AF73511" w14:textId="77777777" w:rsidR="009253C4" w:rsidRDefault="009253C4" w:rsidP="00D750E1">
      <w:pPr>
        <w:rPr>
          <w:rFonts w:ascii="Times New Roman" w:hAnsi="Times New Roman" w:cs="Times New Roman"/>
          <w:b/>
          <w:bCs/>
          <w:sz w:val="32"/>
          <w:szCs w:val="32"/>
        </w:rPr>
        <w:sectPr w:rsidR="009253C4" w:rsidSect="00F63F86">
          <w:headerReference w:type="default" r:id="rId41"/>
          <w:pgSz w:w="12240" w:h="15840"/>
          <w:pgMar w:top="1440" w:right="1440" w:bottom="1440" w:left="1440" w:header="720" w:footer="720" w:gutter="0"/>
          <w:cols w:space="720"/>
          <w:docGrid w:linePitch="360"/>
        </w:sectPr>
      </w:pPr>
    </w:p>
    <w:tbl>
      <w:tblPr>
        <w:tblW w:w="8104" w:type="dxa"/>
        <w:jc w:val="center"/>
        <w:tblLook w:val="04A0" w:firstRow="1" w:lastRow="0" w:firstColumn="1" w:lastColumn="0" w:noHBand="0" w:noVBand="1"/>
      </w:tblPr>
      <w:tblGrid>
        <w:gridCol w:w="3128"/>
        <w:gridCol w:w="1405"/>
        <w:gridCol w:w="900"/>
        <w:gridCol w:w="266"/>
        <w:gridCol w:w="1405"/>
        <w:gridCol w:w="1000"/>
      </w:tblGrid>
      <w:tr w:rsidR="007E11E5" w:rsidRPr="007E11E5" w14:paraId="02557301" w14:textId="77777777" w:rsidTr="007E11E5">
        <w:trPr>
          <w:trHeight w:val="300"/>
          <w:jc w:val="center"/>
        </w:trPr>
        <w:tc>
          <w:tcPr>
            <w:tcW w:w="8104" w:type="dxa"/>
            <w:gridSpan w:val="6"/>
            <w:tcBorders>
              <w:top w:val="nil"/>
              <w:left w:val="nil"/>
              <w:bottom w:val="double" w:sz="6" w:space="0" w:color="auto"/>
              <w:right w:val="nil"/>
            </w:tcBorders>
            <w:shd w:val="clear" w:color="auto" w:fill="auto"/>
            <w:noWrap/>
            <w:vAlign w:val="bottom"/>
            <w:hideMark/>
          </w:tcPr>
          <w:p w14:paraId="6A728343" w14:textId="0AAEE2D1" w:rsidR="007E11E5" w:rsidRDefault="009253C4" w:rsidP="007E11E5">
            <w:pPr>
              <w:spacing w:after="0" w:line="240" w:lineRule="auto"/>
              <w:jc w:val="center"/>
              <w:rPr>
                <w:rFonts w:ascii="Times New Roman" w:eastAsia="Times New Roman" w:hAnsi="Times New Roman" w:cs="Times New Roman"/>
                <w:color w:val="000000"/>
                <w:sz w:val="24"/>
                <w:szCs w:val="24"/>
              </w:rPr>
            </w:pPr>
            <w:r w:rsidRPr="007E11E5">
              <w:rPr>
                <w:rFonts w:ascii="Times New Roman" w:hAnsi="Times New Roman" w:cs="Times New Roman"/>
                <w:b/>
                <w:bCs/>
                <w:sz w:val="24"/>
                <w:szCs w:val="24"/>
              </w:rPr>
              <w:lastRenderedPageBreak/>
              <w:tab/>
            </w:r>
            <w:r w:rsidR="007E11E5" w:rsidRPr="007E11E5">
              <w:rPr>
                <w:rFonts w:ascii="Times New Roman" w:eastAsia="Times New Roman" w:hAnsi="Times New Roman" w:cs="Times New Roman"/>
                <w:color w:val="000000"/>
                <w:sz w:val="24"/>
                <w:szCs w:val="24"/>
              </w:rPr>
              <w:t xml:space="preserve">Table </w:t>
            </w:r>
            <w:r w:rsidR="00CB76AD">
              <w:rPr>
                <w:rFonts w:ascii="Times New Roman" w:eastAsia="Times New Roman" w:hAnsi="Times New Roman" w:cs="Times New Roman"/>
                <w:color w:val="000000"/>
                <w:sz w:val="24"/>
                <w:szCs w:val="24"/>
              </w:rPr>
              <w:t>1</w:t>
            </w:r>
            <w:r w:rsidR="007E11E5" w:rsidRPr="007E11E5">
              <w:rPr>
                <w:rFonts w:ascii="Times New Roman" w:eastAsia="Times New Roman" w:hAnsi="Times New Roman" w:cs="Times New Roman"/>
                <w:color w:val="000000"/>
                <w:sz w:val="24"/>
                <w:szCs w:val="24"/>
              </w:rPr>
              <w:t>2: Reduced Form and Instrumental Variable Estimates of the Effect of the Number of Recreational Marijuana Dispensaries within 10 Minutes of a School on All Outcomes </w:t>
            </w:r>
          </w:p>
          <w:p w14:paraId="010F79E7" w14:textId="77777777" w:rsidR="007E11E5" w:rsidRDefault="007E11E5" w:rsidP="007E11E5">
            <w:pPr>
              <w:spacing w:after="0" w:line="240" w:lineRule="auto"/>
              <w:jc w:val="center"/>
              <w:rPr>
                <w:rFonts w:ascii="Times New Roman" w:eastAsia="Times New Roman" w:hAnsi="Times New Roman" w:cs="Times New Roman"/>
                <w:color w:val="000000"/>
                <w:sz w:val="24"/>
                <w:szCs w:val="24"/>
              </w:rPr>
            </w:pPr>
          </w:p>
          <w:p w14:paraId="5ABF921E" w14:textId="26F39A48" w:rsidR="007E11E5" w:rsidRPr="007E11E5" w:rsidRDefault="007E11E5" w:rsidP="007E11E5">
            <w:pPr>
              <w:spacing w:after="0" w:line="240" w:lineRule="auto"/>
              <w:jc w:val="center"/>
              <w:rPr>
                <w:rFonts w:ascii="Times New Roman" w:eastAsia="Times New Roman" w:hAnsi="Times New Roman" w:cs="Times New Roman"/>
                <w:color w:val="000000"/>
                <w:sz w:val="24"/>
                <w:szCs w:val="24"/>
              </w:rPr>
            </w:pPr>
          </w:p>
        </w:tc>
      </w:tr>
      <w:tr w:rsidR="007E11E5" w:rsidRPr="007E11E5" w14:paraId="64632363" w14:textId="77777777" w:rsidTr="007E11E5">
        <w:trPr>
          <w:trHeight w:val="270"/>
          <w:jc w:val="center"/>
        </w:trPr>
        <w:tc>
          <w:tcPr>
            <w:tcW w:w="3128" w:type="dxa"/>
            <w:tcBorders>
              <w:top w:val="nil"/>
              <w:left w:val="nil"/>
              <w:bottom w:val="nil"/>
              <w:right w:val="nil"/>
            </w:tcBorders>
            <w:shd w:val="clear" w:color="auto" w:fill="auto"/>
            <w:noWrap/>
            <w:vAlign w:val="bottom"/>
            <w:hideMark/>
          </w:tcPr>
          <w:p w14:paraId="2329994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2305" w:type="dxa"/>
            <w:gridSpan w:val="2"/>
            <w:tcBorders>
              <w:top w:val="nil"/>
              <w:left w:val="nil"/>
              <w:bottom w:val="single" w:sz="4" w:space="0" w:color="auto"/>
              <w:right w:val="nil"/>
            </w:tcBorders>
            <w:shd w:val="clear" w:color="auto" w:fill="auto"/>
            <w:noWrap/>
            <w:vAlign w:val="bottom"/>
            <w:hideMark/>
          </w:tcPr>
          <w:p w14:paraId="0DE9D6D8"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Female</w:t>
            </w:r>
          </w:p>
        </w:tc>
        <w:tc>
          <w:tcPr>
            <w:tcW w:w="266" w:type="dxa"/>
            <w:tcBorders>
              <w:top w:val="nil"/>
              <w:left w:val="nil"/>
              <w:bottom w:val="nil"/>
              <w:right w:val="nil"/>
            </w:tcBorders>
            <w:shd w:val="clear" w:color="auto" w:fill="auto"/>
            <w:noWrap/>
            <w:vAlign w:val="bottom"/>
            <w:hideMark/>
          </w:tcPr>
          <w:p w14:paraId="5EE3E0B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2405" w:type="dxa"/>
            <w:gridSpan w:val="2"/>
            <w:tcBorders>
              <w:top w:val="nil"/>
              <w:left w:val="nil"/>
              <w:bottom w:val="single" w:sz="4" w:space="0" w:color="auto"/>
              <w:right w:val="nil"/>
            </w:tcBorders>
            <w:shd w:val="clear" w:color="auto" w:fill="auto"/>
            <w:noWrap/>
            <w:vAlign w:val="bottom"/>
            <w:hideMark/>
          </w:tcPr>
          <w:p w14:paraId="67312B9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Male</w:t>
            </w:r>
          </w:p>
        </w:tc>
      </w:tr>
      <w:tr w:rsidR="007E11E5" w:rsidRPr="007E11E5" w14:paraId="6E0B7854"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4A5188B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34F7E3E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u w:val="single"/>
              </w:rPr>
            </w:pPr>
            <w:r w:rsidRPr="007E11E5">
              <w:rPr>
                <w:rFonts w:ascii="Times New Roman" w:eastAsia="Times New Roman" w:hAnsi="Times New Roman" w:cs="Times New Roman"/>
                <w:color w:val="000000"/>
                <w:sz w:val="20"/>
                <w:szCs w:val="20"/>
                <w:u w:val="single"/>
              </w:rPr>
              <w:t>Reduced Form</w:t>
            </w:r>
          </w:p>
        </w:tc>
        <w:tc>
          <w:tcPr>
            <w:tcW w:w="900" w:type="dxa"/>
            <w:tcBorders>
              <w:top w:val="nil"/>
              <w:left w:val="nil"/>
              <w:bottom w:val="nil"/>
              <w:right w:val="nil"/>
            </w:tcBorders>
            <w:shd w:val="clear" w:color="auto" w:fill="auto"/>
            <w:noWrap/>
            <w:vAlign w:val="bottom"/>
            <w:hideMark/>
          </w:tcPr>
          <w:p w14:paraId="24EFBB1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u w:val="single"/>
              </w:rPr>
            </w:pPr>
            <w:r w:rsidRPr="007E11E5">
              <w:rPr>
                <w:rFonts w:ascii="Times New Roman" w:eastAsia="Times New Roman" w:hAnsi="Times New Roman" w:cs="Times New Roman"/>
                <w:color w:val="000000"/>
                <w:sz w:val="20"/>
                <w:szCs w:val="20"/>
                <w:u w:val="single"/>
              </w:rPr>
              <w:t>IV</w:t>
            </w:r>
          </w:p>
        </w:tc>
        <w:tc>
          <w:tcPr>
            <w:tcW w:w="266" w:type="dxa"/>
            <w:tcBorders>
              <w:top w:val="nil"/>
              <w:left w:val="nil"/>
              <w:bottom w:val="nil"/>
              <w:right w:val="nil"/>
            </w:tcBorders>
            <w:shd w:val="clear" w:color="auto" w:fill="auto"/>
            <w:noWrap/>
            <w:vAlign w:val="bottom"/>
            <w:hideMark/>
          </w:tcPr>
          <w:p w14:paraId="1BE9197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u w:val="single"/>
              </w:rPr>
            </w:pPr>
          </w:p>
        </w:tc>
        <w:tc>
          <w:tcPr>
            <w:tcW w:w="1405" w:type="dxa"/>
            <w:tcBorders>
              <w:top w:val="nil"/>
              <w:left w:val="nil"/>
              <w:bottom w:val="nil"/>
              <w:right w:val="nil"/>
            </w:tcBorders>
            <w:shd w:val="clear" w:color="auto" w:fill="auto"/>
            <w:noWrap/>
            <w:vAlign w:val="bottom"/>
            <w:hideMark/>
          </w:tcPr>
          <w:p w14:paraId="58833908"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u w:val="single"/>
              </w:rPr>
            </w:pPr>
            <w:r w:rsidRPr="007E11E5">
              <w:rPr>
                <w:rFonts w:ascii="Times New Roman" w:eastAsia="Times New Roman" w:hAnsi="Times New Roman" w:cs="Times New Roman"/>
                <w:color w:val="000000"/>
                <w:sz w:val="20"/>
                <w:szCs w:val="20"/>
                <w:u w:val="single"/>
              </w:rPr>
              <w:t>Reduced Form</w:t>
            </w:r>
          </w:p>
        </w:tc>
        <w:tc>
          <w:tcPr>
            <w:tcW w:w="1000" w:type="dxa"/>
            <w:tcBorders>
              <w:top w:val="nil"/>
              <w:left w:val="nil"/>
              <w:bottom w:val="nil"/>
              <w:right w:val="nil"/>
            </w:tcBorders>
            <w:shd w:val="clear" w:color="auto" w:fill="auto"/>
            <w:noWrap/>
            <w:vAlign w:val="bottom"/>
            <w:hideMark/>
          </w:tcPr>
          <w:p w14:paraId="3D2FCE5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u w:val="single"/>
              </w:rPr>
            </w:pPr>
            <w:r w:rsidRPr="007E11E5">
              <w:rPr>
                <w:rFonts w:ascii="Times New Roman" w:eastAsia="Times New Roman" w:hAnsi="Times New Roman" w:cs="Times New Roman"/>
                <w:color w:val="000000"/>
                <w:sz w:val="20"/>
                <w:szCs w:val="20"/>
                <w:u w:val="single"/>
              </w:rPr>
              <w:t>IV</w:t>
            </w:r>
          </w:p>
        </w:tc>
      </w:tr>
      <w:tr w:rsidR="007E11E5" w:rsidRPr="007E11E5" w14:paraId="7650D67C" w14:textId="77777777" w:rsidTr="007E11E5">
        <w:trPr>
          <w:trHeight w:val="260"/>
          <w:jc w:val="center"/>
        </w:trPr>
        <w:tc>
          <w:tcPr>
            <w:tcW w:w="3128" w:type="dxa"/>
            <w:tcBorders>
              <w:top w:val="nil"/>
              <w:left w:val="nil"/>
              <w:bottom w:val="single" w:sz="4" w:space="0" w:color="auto"/>
              <w:right w:val="nil"/>
            </w:tcBorders>
            <w:shd w:val="clear" w:color="auto" w:fill="auto"/>
            <w:noWrap/>
            <w:vAlign w:val="bottom"/>
            <w:hideMark/>
          </w:tcPr>
          <w:p w14:paraId="49142C78"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Dependent Variable</w:t>
            </w:r>
          </w:p>
        </w:tc>
        <w:tc>
          <w:tcPr>
            <w:tcW w:w="1405" w:type="dxa"/>
            <w:tcBorders>
              <w:top w:val="nil"/>
              <w:left w:val="nil"/>
              <w:bottom w:val="single" w:sz="4" w:space="0" w:color="auto"/>
              <w:right w:val="nil"/>
            </w:tcBorders>
            <w:shd w:val="clear" w:color="auto" w:fill="auto"/>
            <w:noWrap/>
            <w:vAlign w:val="bottom"/>
            <w:hideMark/>
          </w:tcPr>
          <w:p w14:paraId="25FADE7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nil"/>
            </w:tcBorders>
            <w:shd w:val="clear" w:color="auto" w:fill="auto"/>
            <w:noWrap/>
            <w:vAlign w:val="bottom"/>
            <w:hideMark/>
          </w:tcPr>
          <w:p w14:paraId="24358A7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(2)</w:t>
            </w:r>
          </w:p>
        </w:tc>
        <w:tc>
          <w:tcPr>
            <w:tcW w:w="266" w:type="dxa"/>
            <w:tcBorders>
              <w:top w:val="nil"/>
              <w:left w:val="nil"/>
              <w:bottom w:val="single" w:sz="4" w:space="0" w:color="auto"/>
              <w:right w:val="nil"/>
            </w:tcBorders>
            <w:shd w:val="clear" w:color="auto" w:fill="auto"/>
            <w:noWrap/>
            <w:vAlign w:val="bottom"/>
            <w:hideMark/>
          </w:tcPr>
          <w:p w14:paraId="350EE901"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 </w:t>
            </w:r>
          </w:p>
        </w:tc>
        <w:tc>
          <w:tcPr>
            <w:tcW w:w="1405" w:type="dxa"/>
            <w:tcBorders>
              <w:top w:val="nil"/>
              <w:left w:val="nil"/>
              <w:bottom w:val="single" w:sz="4" w:space="0" w:color="auto"/>
              <w:right w:val="nil"/>
            </w:tcBorders>
            <w:shd w:val="clear" w:color="auto" w:fill="auto"/>
            <w:noWrap/>
            <w:vAlign w:val="bottom"/>
            <w:hideMark/>
          </w:tcPr>
          <w:p w14:paraId="180D8E0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(3)</w:t>
            </w:r>
          </w:p>
        </w:tc>
        <w:tc>
          <w:tcPr>
            <w:tcW w:w="1000" w:type="dxa"/>
            <w:tcBorders>
              <w:top w:val="nil"/>
              <w:left w:val="nil"/>
              <w:bottom w:val="single" w:sz="4" w:space="0" w:color="auto"/>
              <w:right w:val="nil"/>
            </w:tcBorders>
            <w:shd w:val="clear" w:color="auto" w:fill="auto"/>
            <w:noWrap/>
            <w:vAlign w:val="bottom"/>
            <w:hideMark/>
          </w:tcPr>
          <w:p w14:paraId="5B0F558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(4)</w:t>
            </w:r>
          </w:p>
        </w:tc>
      </w:tr>
      <w:tr w:rsidR="007E11E5" w:rsidRPr="007E11E5" w14:paraId="1B335313"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164146F7"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11th Grade Dropout Rate</w:t>
            </w:r>
          </w:p>
        </w:tc>
        <w:tc>
          <w:tcPr>
            <w:tcW w:w="1405" w:type="dxa"/>
            <w:tcBorders>
              <w:top w:val="nil"/>
              <w:left w:val="nil"/>
              <w:bottom w:val="nil"/>
              <w:right w:val="nil"/>
            </w:tcBorders>
            <w:shd w:val="clear" w:color="auto" w:fill="auto"/>
            <w:noWrap/>
            <w:vAlign w:val="bottom"/>
            <w:hideMark/>
          </w:tcPr>
          <w:p w14:paraId="614C253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0.0026</w:t>
            </w:r>
          </w:p>
        </w:tc>
        <w:tc>
          <w:tcPr>
            <w:tcW w:w="900" w:type="dxa"/>
            <w:tcBorders>
              <w:top w:val="nil"/>
              <w:left w:val="nil"/>
              <w:bottom w:val="nil"/>
              <w:right w:val="nil"/>
            </w:tcBorders>
            <w:shd w:val="clear" w:color="auto" w:fill="auto"/>
            <w:noWrap/>
            <w:vAlign w:val="bottom"/>
            <w:hideMark/>
          </w:tcPr>
          <w:p w14:paraId="413C33E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0.0046</w:t>
            </w:r>
          </w:p>
        </w:tc>
        <w:tc>
          <w:tcPr>
            <w:tcW w:w="266" w:type="dxa"/>
            <w:tcBorders>
              <w:top w:val="nil"/>
              <w:left w:val="nil"/>
              <w:bottom w:val="nil"/>
              <w:right w:val="nil"/>
            </w:tcBorders>
            <w:shd w:val="clear" w:color="auto" w:fill="auto"/>
            <w:noWrap/>
            <w:vAlign w:val="bottom"/>
            <w:hideMark/>
          </w:tcPr>
          <w:p w14:paraId="3DA0E47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606A5DA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0.0027</w:t>
            </w:r>
          </w:p>
        </w:tc>
        <w:tc>
          <w:tcPr>
            <w:tcW w:w="1000" w:type="dxa"/>
            <w:tcBorders>
              <w:top w:val="nil"/>
              <w:left w:val="nil"/>
              <w:bottom w:val="nil"/>
              <w:right w:val="nil"/>
            </w:tcBorders>
            <w:shd w:val="clear" w:color="auto" w:fill="auto"/>
            <w:noWrap/>
            <w:vAlign w:val="bottom"/>
            <w:hideMark/>
          </w:tcPr>
          <w:p w14:paraId="6B9701F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0.0048</w:t>
            </w:r>
          </w:p>
        </w:tc>
      </w:tr>
      <w:tr w:rsidR="007E11E5" w:rsidRPr="007E11E5" w14:paraId="69B2BBBF"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1B06BA93"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6C30557E"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(0.0013)</w:t>
            </w:r>
          </w:p>
        </w:tc>
        <w:tc>
          <w:tcPr>
            <w:tcW w:w="900" w:type="dxa"/>
            <w:tcBorders>
              <w:top w:val="nil"/>
              <w:left w:val="nil"/>
              <w:bottom w:val="nil"/>
              <w:right w:val="nil"/>
            </w:tcBorders>
            <w:shd w:val="clear" w:color="auto" w:fill="auto"/>
            <w:noWrap/>
            <w:vAlign w:val="bottom"/>
            <w:hideMark/>
          </w:tcPr>
          <w:p w14:paraId="154CB68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(0.0023)</w:t>
            </w:r>
          </w:p>
        </w:tc>
        <w:tc>
          <w:tcPr>
            <w:tcW w:w="266" w:type="dxa"/>
            <w:tcBorders>
              <w:top w:val="nil"/>
              <w:left w:val="nil"/>
              <w:bottom w:val="nil"/>
              <w:right w:val="nil"/>
            </w:tcBorders>
            <w:shd w:val="clear" w:color="auto" w:fill="auto"/>
            <w:noWrap/>
            <w:vAlign w:val="bottom"/>
            <w:hideMark/>
          </w:tcPr>
          <w:p w14:paraId="3B03980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13EC6B30"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(0.0014)</w:t>
            </w:r>
          </w:p>
        </w:tc>
        <w:tc>
          <w:tcPr>
            <w:tcW w:w="1000" w:type="dxa"/>
            <w:tcBorders>
              <w:top w:val="nil"/>
              <w:left w:val="nil"/>
              <w:bottom w:val="nil"/>
              <w:right w:val="nil"/>
            </w:tcBorders>
            <w:shd w:val="clear" w:color="auto" w:fill="auto"/>
            <w:noWrap/>
            <w:vAlign w:val="bottom"/>
            <w:hideMark/>
          </w:tcPr>
          <w:p w14:paraId="6FD8C2B6" w14:textId="29BA8375"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(0.0023)</w:t>
            </w:r>
          </w:p>
        </w:tc>
      </w:tr>
      <w:tr w:rsidR="007E11E5" w:rsidRPr="007E11E5" w14:paraId="0D608E23"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08D98381"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1B969BA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[0.023]</w:t>
            </w:r>
          </w:p>
        </w:tc>
        <w:tc>
          <w:tcPr>
            <w:tcW w:w="900" w:type="dxa"/>
            <w:tcBorders>
              <w:top w:val="nil"/>
              <w:left w:val="nil"/>
              <w:bottom w:val="nil"/>
              <w:right w:val="nil"/>
            </w:tcBorders>
            <w:shd w:val="clear" w:color="auto" w:fill="auto"/>
            <w:noWrap/>
            <w:vAlign w:val="bottom"/>
            <w:hideMark/>
          </w:tcPr>
          <w:p w14:paraId="7BDEC49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[0.023]</w:t>
            </w:r>
          </w:p>
        </w:tc>
        <w:tc>
          <w:tcPr>
            <w:tcW w:w="266" w:type="dxa"/>
            <w:tcBorders>
              <w:top w:val="nil"/>
              <w:left w:val="nil"/>
              <w:bottom w:val="nil"/>
              <w:right w:val="nil"/>
            </w:tcBorders>
            <w:shd w:val="clear" w:color="auto" w:fill="auto"/>
            <w:noWrap/>
            <w:vAlign w:val="bottom"/>
            <w:hideMark/>
          </w:tcPr>
          <w:p w14:paraId="2C299E8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53B3F65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[0.024]</w:t>
            </w:r>
          </w:p>
        </w:tc>
        <w:tc>
          <w:tcPr>
            <w:tcW w:w="1000" w:type="dxa"/>
            <w:tcBorders>
              <w:top w:val="nil"/>
              <w:left w:val="nil"/>
              <w:bottom w:val="nil"/>
              <w:right w:val="nil"/>
            </w:tcBorders>
            <w:shd w:val="clear" w:color="auto" w:fill="auto"/>
            <w:noWrap/>
            <w:vAlign w:val="bottom"/>
            <w:hideMark/>
          </w:tcPr>
          <w:p w14:paraId="39FF2CA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[0.021]</w:t>
            </w:r>
          </w:p>
        </w:tc>
      </w:tr>
      <w:tr w:rsidR="007E11E5" w:rsidRPr="007E11E5" w14:paraId="37E1D494"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4C39802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54F6FF4F"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2AD660C" w14:textId="77777777" w:rsidR="007E11E5" w:rsidRPr="007E11E5" w:rsidRDefault="007E11E5" w:rsidP="007E11E5">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130A6DC"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405" w:type="dxa"/>
            <w:tcBorders>
              <w:top w:val="nil"/>
              <w:left w:val="nil"/>
              <w:bottom w:val="nil"/>
              <w:right w:val="nil"/>
            </w:tcBorders>
            <w:shd w:val="clear" w:color="auto" w:fill="auto"/>
            <w:noWrap/>
            <w:vAlign w:val="bottom"/>
            <w:hideMark/>
          </w:tcPr>
          <w:p w14:paraId="727E3137"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6E330F60" w14:textId="77777777" w:rsidR="007E11E5" w:rsidRPr="007E11E5" w:rsidRDefault="007E11E5" w:rsidP="007E11E5">
            <w:pPr>
              <w:spacing w:after="0" w:line="240" w:lineRule="auto"/>
              <w:jc w:val="center"/>
              <w:rPr>
                <w:rFonts w:ascii="Times New Roman" w:eastAsia="Times New Roman" w:hAnsi="Times New Roman" w:cs="Times New Roman"/>
                <w:sz w:val="20"/>
                <w:szCs w:val="20"/>
              </w:rPr>
            </w:pPr>
          </w:p>
        </w:tc>
      </w:tr>
      <w:tr w:rsidR="007E11E5" w:rsidRPr="007E11E5" w14:paraId="7B368F91"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6DA51199"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12th Grade Dropout Rate</w:t>
            </w:r>
          </w:p>
        </w:tc>
        <w:tc>
          <w:tcPr>
            <w:tcW w:w="1405" w:type="dxa"/>
            <w:tcBorders>
              <w:top w:val="nil"/>
              <w:left w:val="nil"/>
              <w:bottom w:val="nil"/>
              <w:right w:val="nil"/>
            </w:tcBorders>
            <w:shd w:val="clear" w:color="auto" w:fill="auto"/>
            <w:noWrap/>
            <w:vAlign w:val="bottom"/>
            <w:hideMark/>
          </w:tcPr>
          <w:p w14:paraId="70A100A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0.0008</w:t>
            </w:r>
          </w:p>
        </w:tc>
        <w:tc>
          <w:tcPr>
            <w:tcW w:w="900" w:type="dxa"/>
            <w:tcBorders>
              <w:top w:val="nil"/>
              <w:left w:val="nil"/>
              <w:bottom w:val="nil"/>
              <w:right w:val="nil"/>
            </w:tcBorders>
            <w:shd w:val="clear" w:color="auto" w:fill="auto"/>
            <w:noWrap/>
            <w:vAlign w:val="bottom"/>
            <w:hideMark/>
          </w:tcPr>
          <w:p w14:paraId="6BA22FF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0.0013</w:t>
            </w:r>
          </w:p>
        </w:tc>
        <w:tc>
          <w:tcPr>
            <w:tcW w:w="266" w:type="dxa"/>
            <w:tcBorders>
              <w:top w:val="nil"/>
              <w:left w:val="nil"/>
              <w:bottom w:val="nil"/>
              <w:right w:val="nil"/>
            </w:tcBorders>
            <w:shd w:val="clear" w:color="auto" w:fill="auto"/>
            <w:noWrap/>
            <w:vAlign w:val="bottom"/>
            <w:hideMark/>
          </w:tcPr>
          <w:p w14:paraId="48175DA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4371267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0.0004</w:t>
            </w:r>
          </w:p>
        </w:tc>
        <w:tc>
          <w:tcPr>
            <w:tcW w:w="1000" w:type="dxa"/>
            <w:tcBorders>
              <w:top w:val="nil"/>
              <w:left w:val="nil"/>
              <w:bottom w:val="nil"/>
              <w:right w:val="nil"/>
            </w:tcBorders>
            <w:shd w:val="clear" w:color="auto" w:fill="auto"/>
            <w:noWrap/>
            <w:vAlign w:val="bottom"/>
            <w:hideMark/>
          </w:tcPr>
          <w:p w14:paraId="66DE5A2E"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0.0007</w:t>
            </w:r>
          </w:p>
        </w:tc>
      </w:tr>
      <w:tr w:rsidR="007E11E5" w:rsidRPr="007E11E5" w14:paraId="642A3D49"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772EAD5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54BD4351"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(0.0014)</w:t>
            </w:r>
          </w:p>
        </w:tc>
        <w:tc>
          <w:tcPr>
            <w:tcW w:w="900" w:type="dxa"/>
            <w:tcBorders>
              <w:top w:val="nil"/>
              <w:left w:val="nil"/>
              <w:bottom w:val="nil"/>
              <w:right w:val="nil"/>
            </w:tcBorders>
            <w:shd w:val="clear" w:color="auto" w:fill="auto"/>
            <w:noWrap/>
            <w:vAlign w:val="bottom"/>
            <w:hideMark/>
          </w:tcPr>
          <w:p w14:paraId="7BCC4A5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(0.0024)</w:t>
            </w:r>
          </w:p>
        </w:tc>
        <w:tc>
          <w:tcPr>
            <w:tcW w:w="266" w:type="dxa"/>
            <w:tcBorders>
              <w:top w:val="nil"/>
              <w:left w:val="nil"/>
              <w:bottom w:val="nil"/>
              <w:right w:val="nil"/>
            </w:tcBorders>
            <w:shd w:val="clear" w:color="auto" w:fill="auto"/>
            <w:noWrap/>
            <w:vAlign w:val="bottom"/>
            <w:hideMark/>
          </w:tcPr>
          <w:p w14:paraId="674E177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39E650D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(0.0014)</w:t>
            </w:r>
          </w:p>
        </w:tc>
        <w:tc>
          <w:tcPr>
            <w:tcW w:w="1000" w:type="dxa"/>
            <w:tcBorders>
              <w:top w:val="nil"/>
              <w:left w:val="nil"/>
              <w:bottom w:val="nil"/>
              <w:right w:val="nil"/>
            </w:tcBorders>
            <w:shd w:val="clear" w:color="auto" w:fill="auto"/>
            <w:noWrap/>
            <w:vAlign w:val="bottom"/>
            <w:hideMark/>
          </w:tcPr>
          <w:p w14:paraId="53B865E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(0.0024)</w:t>
            </w:r>
          </w:p>
        </w:tc>
      </w:tr>
      <w:tr w:rsidR="007E11E5" w:rsidRPr="007E11E5" w14:paraId="4C06E224"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437E08B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55211D3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[0.293]</w:t>
            </w:r>
          </w:p>
        </w:tc>
        <w:tc>
          <w:tcPr>
            <w:tcW w:w="900" w:type="dxa"/>
            <w:tcBorders>
              <w:top w:val="nil"/>
              <w:left w:val="nil"/>
              <w:bottom w:val="nil"/>
              <w:right w:val="nil"/>
            </w:tcBorders>
            <w:shd w:val="clear" w:color="auto" w:fill="auto"/>
            <w:noWrap/>
            <w:vAlign w:val="bottom"/>
            <w:hideMark/>
          </w:tcPr>
          <w:p w14:paraId="726B6EF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[0.288]</w:t>
            </w:r>
          </w:p>
        </w:tc>
        <w:tc>
          <w:tcPr>
            <w:tcW w:w="266" w:type="dxa"/>
            <w:tcBorders>
              <w:top w:val="nil"/>
              <w:left w:val="nil"/>
              <w:bottom w:val="nil"/>
              <w:right w:val="nil"/>
            </w:tcBorders>
            <w:shd w:val="clear" w:color="auto" w:fill="auto"/>
            <w:noWrap/>
            <w:vAlign w:val="bottom"/>
            <w:hideMark/>
          </w:tcPr>
          <w:p w14:paraId="1E8C2630"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01A1C50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[0.381]</w:t>
            </w:r>
          </w:p>
        </w:tc>
        <w:tc>
          <w:tcPr>
            <w:tcW w:w="1000" w:type="dxa"/>
            <w:tcBorders>
              <w:top w:val="nil"/>
              <w:left w:val="nil"/>
              <w:bottom w:val="nil"/>
              <w:right w:val="nil"/>
            </w:tcBorders>
            <w:shd w:val="clear" w:color="auto" w:fill="auto"/>
            <w:noWrap/>
            <w:vAlign w:val="bottom"/>
            <w:hideMark/>
          </w:tcPr>
          <w:p w14:paraId="36112D6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[0.379]</w:t>
            </w:r>
          </w:p>
        </w:tc>
      </w:tr>
      <w:tr w:rsidR="007E11E5" w:rsidRPr="007E11E5" w14:paraId="6B0CA37C"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3F1E66B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0C56E940"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D3EF844"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3C7357F"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405" w:type="dxa"/>
            <w:tcBorders>
              <w:top w:val="nil"/>
              <w:left w:val="nil"/>
              <w:bottom w:val="nil"/>
              <w:right w:val="nil"/>
            </w:tcBorders>
            <w:shd w:val="clear" w:color="auto" w:fill="auto"/>
            <w:noWrap/>
            <w:vAlign w:val="bottom"/>
            <w:hideMark/>
          </w:tcPr>
          <w:p w14:paraId="3C5C3F73"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39FAF16D" w14:textId="77777777" w:rsidR="007E11E5" w:rsidRPr="007E11E5" w:rsidRDefault="007E11E5" w:rsidP="007E11E5">
            <w:pPr>
              <w:spacing w:after="0" w:line="240" w:lineRule="auto"/>
              <w:rPr>
                <w:rFonts w:ascii="Times New Roman" w:eastAsia="Times New Roman" w:hAnsi="Times New Roman" w:cs="Times New Roman"/>
                <w:sz w:val="20"/>
                <w:szCs w:val="20"/>
              </w:rPr>
            </w:pPr>
          </w:p>
        </w:tc>
      </w:tr>
      <w:tr w:rsidR="007E11E5" w:rsidRPr="007E11E5" w14:paraId="5D24861B"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5EE8B16C"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11th Grade Chronic Absenteeism</w:t>
            </w:r>
          </w:p>
        </w:tc>
        <w:tc>
          <w:tcPr>
            <w:tcW w:w="1405" w:type="dxa"/>
            <w:tcBorders>
              <w:top w:val="nil"/>
              <w:left w:val="nil"/>
              <w:bottom w:val="nil"/>
              <w:right w:val="nil"/>
            </w:tcBorders>
            <w:shd w:val="clear" w:color="auto" w:fill="auto"/>
            <w:noWrap/>
            <w:vAlign w:val="bottom"/>
            <w:hideMark/>
          </w:tcPr>
          <w:p w14:paraId="1FEB734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0.0058</w:t>
            </w:r>
          </w:p>
        </w:tc>
        <w:tc>
          <w:tcPr>
            <w:tcW w:w="900" w:type="dxa"/>
            <w:tcBorders>
              <w:top w:val="nil"/>
              <w:left w:val="nil"/>
              <w:bottom w:val="nil"/>
              <w:right w:val="nil"/>
            </w:tcBorders>
            <w:shd w:val="clear" w:color="auto" w:fill="auto"/>
            <w:noWrap/>
            <w:vAlign w:val="bottom"/>
            <w:hideMark/>
          </w:tcPr>
          <w:p w14:paraId="26B2F62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0.0098</w:t>
            </w:r>
          </w:p>
        </w:tc>
        <w:tc>
          <w:tcPr>
            <w:tcW w:w="266" w:type="dxa"/>
            <w:tcBorders>
              <w:top w:val="nil"/>
              <w:left w:val="nil"/>
              <w:bottom w:val="nil"/>
              <w:right w:val="nil"/>
            </w:tcBorders>
            <w:shd w:val="clear" w:color="auto" w:fill="auto"/>
            <w:noWrap/>
            <w:vAlign w:val="bottom"/>
            <w:hideMark/>
          </w:tcPr>
          <w:p w14:paraId="3A997A2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2CEFF10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0.0041</w:t>
            </w:r>
          </w:p>
        </w:tc>
        <w:tc>
          <w:tcPr>
            <w:tcW w:w="1000" w:type="dxa"/>
            <w:tcBorders>
              <w:top w:val="nil"/>
              <w:left w:val="nil"/>
              <w:bottom w:val="nil"/>
              <w:right w:val="nil"/>
            </w:tcBorders>
            <w:shd w:val="clear" w:color="auto" w:fill="auto"/>
            <w:noWrap/>
            <w:vAlign w:val="bottom"/>
            <w:hideMark/>
          </w:tcPr>
          <w:p w14:paraId="0BFF531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0.0068</w:t>
            </w:r>
          </w:p>
        </w:tc>
      </w:tr>
      <w:tr w:rsidR="007E11E5" w:rsidRPr="007E11E5" w14:paraId="510E655F"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5D399C5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062F89F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(0.0039)</w:t>
            </w:r>
          </w:p>
        </w:tc>
        <w:tc>
          <w:tcPr>
            <w:tcW w:w="900" w:type="dxa"/>
            <w:tcBorders>
              <w:top w:val="nil"/>
              <w:left w:val="nil"/>
              <w:bottom w:val="nil"/>
              <w:right w:val="nil"/>
            </w:tcBorders>
            <w:shd w:val="clear" w:color="auto" w:fill="auto"/>
            <w:noWrap/>
            <w:vAlign w:val="bottom"/>
            <w:hideMark/>
          </w:tcPr>
          <w:p w14:paraId="68CD038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(0.0064)</w:t>
            </w:r>
          </w:p>
        </w:tc>
        <w:tc>
          <w:tcPr>
            <w:tcW w:w="266" w:type="dxa"/>
            <w:tcBorders>
              <w:top w:val="nil"/>
              <w:left w:val="nil"/>
              <w:bottom w:val="nil"/>
              <w:right w:val="nil"/>
            </w:tcBorders>
            <w:shd w:val="clear" w:color="auto" w:fill="auto"/>
            <w:noWrap/>
            <w:vAlign w:val="bottom"/>
            <w:hideMark/>
          </w:tcPr>
          <w:p w14:paraId="1C0D255E"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3F5F3A0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(0.0032)</w:t>
            </w:r>
          </w:p>
        </w:tc>
        <w:tc>
          <w:tcPr>
            <w:tcW w:w="1000" w:type="dxa"/>
            <w:tcBorders>
              <w:top w:val="nil"/>
              <w:left w:val="nil"/>
              <w:bottom w:val="nil"/>
              <w:right w:val="nil"/>
            </w:tcBorders>
            <w:shd w:val="clear" w:color="auto" w:fill="auto"/>
            <w:noWrap/>
            <w:vAlign w:val="bottom"/>
            <w:hideMark/>
          </w:tcPr>
          <w:p w14:paraId="4341DED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(0.0053)</w:t>
            </w:r>
          </w:p>
        </w:tc>
      </w:tr>
      <w:tr w:rsidR="007E11E5" w:rsidRPr="007E11E5" w14:paraId="286E9100"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3053DF1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1CA2D060"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[0.070]</w:t>
            </w:r>
          </w:p>
        </w:tc>
        <w:tc>
          <w:tcPr>
            <w:tcW w:w="900" w:type="dxa"/>
            <w:tcBorders>
              <w:top w:val="nil"/>
              <w:left w:val="nil"/>
              <w:bottom w:val="nil"/>
              <w:right w:val="nil"/>
            </w:tcBorders>
            <w:shd w:val="clear" w:color="auto" w:fill="auto"/>
            <w:noWrap/>
            <w:vAlign w:val="bottom"/>
            <w:hideMark/>
          </w:tcPr>
          <w:p w14:paraId="2D20A3E1"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[0.063]</w:t>
            </w:r>
          </w:p>
        </w:tc>
        <w:tc>
          <w:tcPr>
            <w:tcW w:w="266" w:type="dxa"/>
            <w:tcBorders>
              <w:top w:val="nil"/>
              <w:left w:val="nil"/>
              <w:bottom w:val="nil"/>
              <w:right w:val="nil"/>
            </w:tcBorders>
            <w:shd w:val="clear" w:color="auto" w:fill="auto"/>
            <w:noWrap/>
            <w:vAlign w:val="bottom"/>
            <w:hideMark/>
          </w:tcPr>
          <w:p w14:paraId="583BC0A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0759F52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[0.105]</w:t>
            </w:r>
          </w:p>
        </w:tc>
        <w:tc>
          <w:tcPr>
            <w:tcW w:w="1000" w:type="dxa"/>
            <w:tcBorders>
              <w:top w:val="nil"/>
              <w:left w:val="nil"/>
              <w:bottom w:val="nil"/>
              <w:right w:val="nil"/>
            </w:tcBorders>
            <w:shd w:val="clear" w:color="auto" w:fill="auto"/>
            <w:noWrap/>
            <w:vAlign w:val="bottom"/>
            <w:hideMark/>
          </w:tcPr>
          <w:p w14:paraId="211E74A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[0.099]</w:t>
            </w:r>
          </w:p>
        </w:tc>
      </w:tr>
      <w:tr w:rsidR="007E11E5" w:rsidRPr="007E11E5" w14:paraId="752D10D5"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34BD6E6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6241A1F0"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AEE4E54"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33FB3B2"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405" w:type="dxa"/>
            <w:tcBorders>
              <w:top w:val="nil"/>
              <w:left w:val="nil"/>
              <w:bottom w:val="nil"/>
              <w:right w:val="nil"/>
            </w:tcBorders>
            <w:shd w:val="clear" w:color="auto" w:fill="auto"/>
            <w:noWrap/>
            <w:vAlign w:val="bottom"/>
            <w:hideMark/>
          </w:tcPr>
          <w:p w14:paraId="6DDDA2EE"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6AC07A9F" w14:textId="77777777" w:rsidR="007E11E5" w:rsidRPr="007E11E5" w:rsidRDefault="007E11E5" w:rsidP="007E11E5">
            <w:pPr>
              <w:spacing w:after="0" w:line="240" w:lineRule="auto"/>
              <w:rPr>
                <w:rFonts w:ascii="Times New Roman" w:eastAsia="Times New Roman" w:hAnsi="Times New Roman" w:cs="Times New Roman"/>
                <w:sz w:val="20"/>
                <w:szCs w:val="20"/>
              </w:rPr>
            </w:pPr>
          </w:p>
        </w:tc>
      </w:tr>
      <w:tr w:rsidR="007E11E5" w:rsidRPr="007E11E5" w14:paraId="4097075A"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5CEBAADF"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12th Grade Chronic Absenteeism</w:t>
            </w:r>
          </w:p>
        </w:tc>
        <w:tc>
          <w:tcPr>
            <w:tcW w:w="1405" w:type="dxa"/>
            <w:tcBorders>
              <w:top w:val="nil"/>
              <w:left w:val="nil"/>
              <w:bottom w:val="nil"/>
              <w:right w:val="nil"/>
            </w:tcBorders>
            <w:shd w:val="clear" w:color="auto" w:fill="auto"/>
            <w:noWrap/>
            <w:vAlign w:val="bottom"/>
            <w:hideMark/>
          </w:tcPr>
          <w:p w14:paraId="580711A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0.0078</w:t>
            </w:r>
          </w:p>
        </w:tc>
        <w:tc>
          <w:tcPr>
            <w:tcW w:w="900" w:type="dxa"/>
            <w:tcBorders>
              <w:top w:val="nil"/>
              <w:left w:val="nil"/>
              <w:bottom w:val="nil"/>
              <w:right w:val="nil"/>
            </w:tcBorders>
            <w:shd w:val="clear" w:color="auto" w:fill="auto"/>
            <w:noWrap/>
            <w:vAlign w:val="bottom"/>
            <w:hideMark/>
          </w:tcPr>
          <w:p w14:paraId="223C983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0.0132</w:t>
            </w:r>
          </w:p>
        </w:tc>
        <w:tc>
          <w:tcPr>
            <w:tcW w:w="266" w:type="dxa"/>
            <w:tcBorders>
              <w:top w:val="nil"/>
              <w:left w:val="nil"/>
              <w:bottom w:val="nil"/>
              <w:right w:val="nil"/>
            </w:tcBorders>
            <w:shd w:val="clear" w:color="auto" w:fill="auto"/>
            <w:noWrap/>
            <w:vAlign w:val="bottom"/>
            <w:hideMark/>
          </w:tcPr>
          <w:p w14:paraId="09A9704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4445CB0E"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0.0043</w:t>
            </w:r>
          </w:p>
        </w:tc>
        <w:tc>
          <w:tcPr>
            <w:tcW w:w="1000" w:type="dxa"/>
            <w:tcBorders>
              <w:top w:val="nil"/>
              <w:left w:val="nil"/>
              <w:bottom w:val="nil"/>
              <w:right w:val="nil"/>
            </w:tcBorders>
            <w:shd w:val="clear" w:color="auto" w:fill="auto"/>
            <w:noWrap/>
            <w:vAlign w:val="bottom"/>
            <w:hideMark/>
          </w:tcPr>
          <w:p w14:paraId="448BC1C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0.0073</w:t>
            </w:r>
          </w:p>
        </w:tc>
      </w:tr>
      <w:tr w:rsidR="007E11E5" w:rsidRPr="007E11E5" w14:paraId="235BCF7D"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7D01E9C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4D72483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(0.0038)</w:t>
            </w:r>
          </w:p>
        </w:tc>
        <w:tc>
          <w:tcPr>
            <w:tcW w:w="900" w:type="dxa"/>
            <w:tcBorders>
              <w:top w:val="nil"/>
              <w:left w:val="nil"/>
              <w:bottom w:val="nil"/>
              <w:right w:val="nil"/>
            </w:tcBorders>
            <w:shd w:val="clear" w:color="auto" w:fill="auto"/>
            <w:noWrap/>
            <w:vAlign w:val="bottom"/>
            <w:hideMark/>
          </w:tcPr>
          <w:p w14:paraId="3449466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(0.0064)</w:t>
            </w:r>
          </w:p>
        </w:tc>
        <w:tc>
          <w:tcPr>
            <w:tcW w:w="266" w:type="dxa"/>
            <w:tcBorders>
              <w:top w:val="nil"/>
              <w:left w:val="nil"/>
              <w:bottom w:val="nil"/>
              <w:right w:val="nil"/>
            </w:tcBorders>
            <w:shd w:val="clear" w:color="auto" w:fill="auto"/>
            <w:noWrap/>
            <w:vAlign w:val="bottom"/>
            <w:hideMark/>
          </w:tcPr>
          <w:p w14:paraId="7A1F219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17581923"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(0.0032)</w:t>
            </w:r>
          </w:p>
        </w:tc>
        <w:tc>
          <w:tcPr>
            <w:tcW w:w="1000" w:type="dxa"/>
            <w:tcBorders>
              <w:top w:val="nil"/>
              <w:left w:val="nil"/>
              <w:bottom w:val="nil"/>
              <w:right w:val="nil"/>
            </w:tcBorders>
            <w:shd w:val="clear" w:color="auto" w:fill="auto"/>
            <w:noWrap/>
            <w:vAlign w:val="bottom"/>
            <w:hideMark/>
          </w:tcPr>
          <w:p w14:paraId="29C91C9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(0.0054)</w:t>
            </w:r>
          </w:p>
        </w:tc>
      </w:tr>
      <w:tr w:rsidR="007E11E5" w:rsidRPr="007E11E5" w14:paraId="7A5B5C6B"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1433AC1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1D5D418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[0.021]</w:t>
            </w:r>
          </w:p>
        </w:tc>
        <w:tc>
          <w:tcPr>
            <w:tcW w:w="900" w:type="dxa"/>
            <w:tcBorders>
              <w:top w:val="nil"/>
              <w:left w:val="nil"/>
              <w:bottom w:val="nil"/>
              <w:right w:val="nil"/>
            </w:tcBorders>
            <w:shd w:val="clear" w:color="auto" w:fill="auto"/>
            <w:noWrap/>
            <w:vAlign w:val="bottom"/>
            <w:hideMark/>
          </w:tcPr>
          <w:p w14:paraId="1DA8803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[0.019]</w:t>
            </w:r>
          </w:p>
        </w:tc>
        <w:tc>
          <w:tcPr>
            <w:tcW w:w="266" w:type="dxa"/>
            <w:tcBorders>
              <w:top w:val="nil"/>
              <w:left w:val="nil"/>
              <w:bottom w:val="nil"/>
              <w:right w:val="nil"/>
            </w:tcBorders>
            <w:shd w:val="clear" w:color="auto" w:fill="auto"/>
            <w:noWrap/>
            <w:vAlign w:val="bottom"/>
            <w:hideMark/>
          </w:tcPr>
          <w:p w14:paraId="644C589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5FF0383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[0.092]</w:t>
            </w:r>
          </w:p>
        </w:tc>
        <w:tc>
          <w:tcPr>
            <w:tcW w:w="1000" w:type="dxa"/>
            <w:tcBorders>
              <w:top w:val="nil"/>
              <w:left w:val="nil"/>
              <w:bottom w:val="nil"/>
              <w:right w:val="nil"/>
            </w:tcBorders>
            <w:shd w:val="clear" w:color="auto" w:fill="auto"/>
            <w:noWrap/>
            <w:vAlign w:val="bottom"/>
            <w:hideMark/>
          </w:tcPr>
          <w:p w14:paraId="1DA9136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[0.089]</w:t>
            </w:r>
          </w:p>
        </w:tc>
      </w:tr>
      <w:tr w:rsidR="007E11E5" w:rsidRPr="007E11E5" w14:paraId="02867AC7"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1DF55F9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696030B0"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A38C92C"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F8A72C7"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405" w:type="dxa"/>
            <w:tcBorders>
              <w:top w:val="nil"/>
              <w:left w:val="nil"/>
              <w:bottom w:val="nil"/>
              <w:right w:val="nil"/>
            </w:tcBorders>
            <w:shd w:val="clear" w:color="auto" w:fill="auto"/>
            <w:noWrap/>
            <w:vAlign w:val="bottom"/>
            <w:hideMark/>
          </w:tcPr>
          <w:p w14:paraId="5D62154E"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16D84973" w14:textId="77777777" w:rsidR="007E11E5" w:rsidRPr="007E11E5" w:rsidRDefault="007E11E5" w:rsidP="007E11E5">
            <w:pPr>
              <w:spacing w:after="0" w:line="240" w:lineRule="auto"/>
              <w:rPr>
                <w:rFonts w:ascii="Times New Roman" w:eastAsia="Times New Roman" w:hAnsi="Times New Roman" w:cs="Times New Roman"/>
                <w:sz w:val="20"/>
                <w:szCs w:val="20"/>
              </w:rPr>
            </w:pPr>
          </w:p>
        </w:tc>
      </w:tr>
      <w:tr w:rsidR="007E11E5" w:rsidRPr="007E11E5" w14:paraId="122EA7B4"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7C20C808"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11th Grade Discipline Rate</w:t>
            </w:r>
          </w:p>
        </w:tc>
        <w:tc>
          <w:tcPr>
            <w:tcW w:w="1405" w:type="dxa"/>
            <w:tcBorders>
              <w:top w:val="nil"/>
              <w:left w:val="nil"/>
              <w:bottom w:val="nil"/>
              <w:right w:val="nil"/>
            </w:tcBorders>
            <w:shd w:val="clear" w:color="auto" w:fill="auto"/>
            <w:noWrap/>
            <w:vAlign w:val="bottom"/>
            <w:hideMark/>
          </w:tcPr>
          <w:p w14:paraId="10A6CD6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0.0011</w:t>
            </w:r>
          </w:p>
        </w:tc>
        <w:tc>
          <w:tcPr>
            <w:tcW w:w="900" w:type="dxa"/>
            <w:tcBorders>
              <w:top w:val="nil"/>
              <w:left w:val="nil"/>
              <w:bottom w:val="nil"/>
              <w:right w:val="nil"/>
            </w:tcBorders>
            <w:shd w:val="clear" w:color="auto" w:fill="auto"/>
            <w:noWrap/>
            <w:vAlign w:val="bottom"/>
            <w:hideMark/>
          </w:tcPr>
          <w:p w14:paraId="6A22A19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0.0018</w:t>
            </w:r>
          </w:p>
        </w:tc>
        <w:tc>
          <w:tcPr>
            <w:tcW w:w="266" w:type="dxa"/>
            <w:tcBorders>
              <w:top w:val="nil"/>
              <w:left w:val="nil"/>
              <w:bottom w:val="nil"/>
              <w:right w:val="nil"/>
            </w:tcBorders>
            <w:shd w:val="clear" w:color="auto" w:fill="auto"/>
            <w:noWrap/>
            <w:vAlign w:val="bottom"/>
            <w:hideMark/>
          </w:tcPr>
          <w:p w14:paraId="4D9DE80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3DDB745E"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0.0014</w:t>
            </w:r>
          </w:p>
        </w:tc>
        <w:tc>
          <w:tcPr>
            <w:tcW w:w="1000" w:type="dxa"/>
            <w:tcBorders>
              <w:top w:val="nil"/>
              <w:left w:val="nil"/>
              <w:bottom w:val="nil"/>
              <w:right w:val="nil"/>
            </w:tcBorders>
            <w:shd w:val="clear" w:color="auto" w:fill="auto"/>
            <w:noWrap/>
            <w:vAlign w:val="bottom"/>
            <w:hideMark/>
          </w:tcPr>
          <w:p w14:paraId="270BFE7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0.0025</w:t>
            </w:r>
          </w:p>
        </w:tc>
      </w:tr>
      <w:tr w:rsidR="007E11E5" w:rsidRPr="007E11E5" w14:paraId="73502E8F"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22E450E6"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2C005D5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(0.0010)</w:t>
            </w:r>
          </w:p>
        </w:tc>
        <w:tc>
          <w:tcPr>
            <w:tcW w:w="900" w:type="dxa"/>
            <w:tcBorders>
              <w:top w:val="nil"/>
              <w:left w:val="nil"/>
              <w:bottom w:val="nil"/>
              <w:right w:val="nil"/>
            </w:tcBorders>
            <w:shd w:val="clear" w:color="auto" w:fill="auto"/>
            <w:noWrap/>
            <w:vAlign w:val="bottom"/>
            <w:hideMark/>
          </w:tcPr>
          <w:p w14:paraId="2509F85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(0.0017)</w:t>
            </w:r>
          </w:p>
        </w:tc>
        <w:tc>
          <w:tcPr>
            <w:tcW w:w="266" w:type="dxa"/>
            <w:tcBorders>
              <w:top w:val="nil"/>
              <w:left w:val="nil"/>
              <w:bottom w:val="nil"/>
              <w:right w:val="nil"/>
            </w:tcBorders>
            <w:shd w:val="clear" w:color="auto" w:fill="auto"/>
            <w:noWrap/>
            <w:vAlign w:val="bottom"/>
            <w:hideMark/>
          </w:tcPr>
          <w:p w14:paraId="0A89401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4E6C1F9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(0.0014)</w:t>
            </w:r>
          </w:p>
        </w:tc>
        <w:tc>
          <w:tcPr>
            <w:tcW w:w="1000" w:type="dxa"/>
            <w:tcBorders>
              <w:top w:val="nil"/>
              <w:left w:val="nil"/>
              <w:bottom w:val="nil"/>
              <w:right w:val="nil"/>
            </w:tcBorders>
            <w:shd w:val="clear" w:color="auto" w:fill="auto"/>
            <w:noWrap/>
            <w:vAlign w:val="bottom"/>
            <w:hideMark/>
          </w:tcPr>
          <w:p w14:paraId="2506073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(0.0024)</w:t>
            </w:r>
          </w:p>
        </w:tc>
      </w:tr>
      <w:tr w:rsidR="007E11E5" w:rsidRPr="007E11E5" w14:paraId="0B505F21"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661712C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1E37DBE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[0.134]</w:t>
            </w:r>
          </w:p>
        </w:tc>
        <w:tc>
          <w:tcPr>
            <w:tcW w:w="900" w:type="dxa"/>
            <w:tcBorders>
              <w:top w:val="nil"/>
              <w:left w:val="nil"/>
              <w:bottom w:val="nil"/>
              <w:right w:val="nil"/>
            </w:tcBorders>
            <w:shd w:val="clear" w:color="auto" w:fill="auto"/>
            <w:noWrap/>
            <w:vAlign w:val="bottom"/>
            <w:hideMark/>
          </w:tcPr>
          <w:p w14:paraId="5FFCA3B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[0.137]</w:t>
            </w:r>
          </w:p>
        </w:tc>
        <w:tc>
          <w:tcPr>
            <w:tcW w:w="266" w:type="dxa"/>
            <w:tcBorders>
              <w:top w:val="nil"/>
              <w:left w:val="nil"/>
              <w:bottom w:val="nil"/>
              <w:right w:val="nil"/>
            </w:tcBorders>
            <w:shd w:val="clear" w:color="auto" w:fill="auto"/>
            <w:noWrap/>
            <w:vAlign w:val="bottom"/>
            <w:hideMark/>
          </w:tcPr>
          <w:p w14:paraId="7A22233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0AADA623"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[0.150]</w:t>
            </w:r>
          </w:p>
        </w:tc>
        <w:tc>
          <w:tcPr>
            <w:tcW w:w="1000" w:type="dxa"/>
            <w:tcBorders>
              <w:top w:val="nil"/>
              <w:left w:val="nil"/>
              <w:bottom w:val="nil"/>
              <w:right w:val="nil"/>
            </w:tcBorders>
            <w:shd w:val="clear" w:color="auto" w:fill="auto"/>
            <w:noWrap/>
            <w:vAlign w:val="bottom"/>
            <w:hideMark/>
          </w:tcPr>
          <w:p w14:paraId="42CB462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[0.155]</w:t>
            </w:r>
          </w:p>
        </w:tc>
      </w:tr>
      <w:tr w:rsidR="007E11E5" w:rsidRPr="007E11E5" w14:paraId="4B184B11"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255E379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2A87D4C8"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37FABB39"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8ED46E3"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405" w:type="dxa"/>
            <w:tcBorders>
              <w:top w:val="nil"/>
              <w:left w:val="nil"/>
              <w:bottom w:val="nil"/>
              <w:right w:val="nil"/>
            </w:tcBorders>
            <w:shd w:val="clear" w:color="auto" w:fill="auto"/>
            <w:noWrap/>
            <w:vAlign w:val="bottom"/>
            <w:hideMark/>
          </w:tcPr>
          <w:p w14:paraId="31C52963"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73D19A45" w14:textId="77777777" w:rsidR="007E11E5" w:rsidRPr="007E11E5" w:rsidRDefault="007E11E5" w:rsidP="007E11E5">
            <w:pPr>
              <w:spacing w:after="0" w:line="240" w:lineRule="auto"/>
              <w:rPr>
                <w:rFonts w:ascii="Times New Roman" w:eastAsia="Times New Roman" w:hAnsi="Times New Roman" w:cs="Times New Roman"/>
                <w:sz w:val="20"/>
                <w:szCs w:val="20"/>
              </w:rPr>
            </w:pPr>
          </w:p>
        </w:tc>
      </w:tr>
      <w:tr w:rsidR="007E11E5" w:rsidRPr="007E11E5" w14:paraId="42D9201D"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7E04AAB5"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12th Grade Discipline Rate</w:t>
            </w:r>
          </w:p>
        </w:tc>
        <w:tc>
          <w:tcPr>
            <w:tcW w:w="1405" w:type="dxa"/>
            <w:tcBorders>
              <w:top w:val="nil"/>
              <w:left w:val="nil"/>
              <w:bottom w:val="nil"/>
              <w:right w:val="nil"/>
            </w:tcBorders>
            <w:shd w:val="clear" w:color="auto" w:fill="auto"/>
            <w:noWrap/>
            <w:vAlign w:val="bottom"/>
            <w:hideMark/>
          </w:tcPr>
          <w:p w14:paraId="1415D24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0.0010</w:t>
            </w:r>
          </w:p>
        </w:tc>
        <w:tc>
          <w:tcPr>
            <w:tcW w:w="900" w:type="dxa"/>
            <w:tcBorders>
              <w:top w:val="nil"/>
              <w:left w:val="nil"/>
              <w:bottom w:val="nil"/>
              <w:right w:val="nil"/>
            </w:tcBorders>
            <w:shd w:val="clear" w:color="auto" w:fill="auto"/>
            <w:noWrap/>
            <w:vAlign w:val="bottom"/>
            <w:hideMark/>
          </w:tcPr>
          <w:p w14:paraId="243180D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0.0016</w:t>
            </w:r>
          </w:p>
        </w:tc>
        <w:tc>
          <w:tcPr>
            <w:tcW w:w="266" w:type="dxa"/>
            <w:tcBorders>
              <w:top w:val="nil"/>
              <w:left w:val="nil"/>
              <w:bottom w:val="nil"/>
              <w:right w:val="nil"/>
            </w:tcBorders>
            <w:shd w:val="clear" w:color="auto" w:fill="auto"/>
            <w:noWrap/>
            <w:vAlign w:val="bottom"/>
            <w:hideMark/>
          </w:tcPr>
          <w:p w14:paraId="1A2923D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375066C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0.0015</w:t>
            </w:r>
          </w:p>
        </w:tc>
        <w:tc>
          <w:tcPr>
            <w:tcW w:w="1000" w:type="dxa"/>
            <w:tcBorders>
              <w:top w:val="nil"/>
              <w:left w:val="nil"/>
              <w:bottom w:val="nil"/>
              <w:right w:val="nil"/>
            </w:tcBorders>
            <w:shd w:val="clear" w:color="auto" w:fill="auto"/>
            <w:noWrap/>
            <w:vAlign w:val="bottom"/>
            <w:hideMark/>
          </w:tcPr>
          <w:p w14:paraId="22842701"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0.0026</w:t>
            </w:r>
          </w:p>
        </w:tc>
      </w:tr>
      <w:tr w:rsidR="007E11E5" w:rsidRPr="007E11E5" w14:paraId="514C3618"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1EB1CEB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2653A4E3"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(0.0010)</w:t>
            </w:r>
          </w:p>
        </w:tc>
        <w:tc>
          <w:tcPr>
            <w:tcW w:w="900" w:type="dxa"/>
            <w:tcBorders>
              <w:top w:val="nil"/>
              <w:left w:val="nil"/>
              <w:bottom w:val="nil"/>
              <w:right w:val="nil"/>
            </w:tcBorders>
            <w:shd w:val="clear" w:color="auto" w:fill="auto"/>
            <w:noWrap/>
            <w:vAlign w:val="bottom"/>
            <w:hideMark/>
          </w:tcPr>
          <w:p w14:paraId="71E9559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(0.0016)</w:t>
            </w:r>
          </w:p>
        </w:tc>
        <w:tc>
          <w:tcPr>
            <w:tcW w:w="266" w:type="dxa"/>
            <w:tcBorders>
              <w:top w:val="nil"/>
              <w:left w:val="nil"/>
              <w:bottom w:val="nil"/>
              <w:right w:val="nil"/>
            </w:tcBorders>
            <w:shd w:val="clear" w:color="auto" w:fill="auto"/>
            <w:noWrap/>
            <w:vAlign w:val="bottom"/>
            <w:hideMark/>
          </w:tcPr>
          <w:p w14:paraId="1F85FD8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725C7610"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(0.0010)</w:t>
            </w:r>
          </w:p>
        </w:tc>
        <w:tc>
          <w:tcPr>
            <w:tcW w:w="1000" w:type="dxa"/>
            <w:tcBorders>
              <w:top w:val="nil"/>
              <w:left w:val="nil"/>
              <w:bottom w:val="nil"/>
              <w:right w:val="nil"/>
            </w:tcBorders>
            <w:shd w:val="clear" w:color="auto" w:fill="auto"/>
            <w:noWrap/>
            <w:vAlign w:val="bottom"/>
            <w:hideMark/>
          </w:tcPr>
          <w:p w14:paraId="602A495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(0.0017)</w:t>
            </w:r>
          </w:p>
        </w:tc>
      </w:tr>
      <w:tr w:rsidR="007E11E5" w:rsidRPr="007E11E5" w14:paraId="11EAD7CE"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73C405F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4226C1DB"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[0.161]</w:t>
            </w:r>
          </w:p>
        </w:tc>
        <w:tc>
          <w:tcPr>
            <w:tcW w:w="900" w:type="dxa"/>
            <w:tcBorders>
              <w:top w:val="nil"/>
              <w:left w:val="nil"/>
              <w:bottom w:val="nil"/>
              <w:right w:val="nil"/>
            </w:tcBorders>
            <w:shd w:val="clear" w:color="auto" w:fill="auto"/>
            <w:noWrap/>
            <w:vAlign w:val="bottom"/>
            <w:hideMark/>
          </w:tcPr>
          <w:p w14:paraId="63E7CDA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[0.156]</w:t>
            </w:r>
          </w:p>
        </w:tc>
        <w:tc>
          <w:tcPr>
            <w:tcW w:w="266" w:type="dxa"/>
            <w:tcBorders>
              <w:top w:val="nil"/>
              <w:left w:val="nil"/>
              <w:bottom w:val="nil"/>
              <w:right w:val="nil"/>
            </w:tcBorders>
            <w:shd w:val="clear" w:color="auto" w:fill="auto"/>
            <w:noWrap/>
            <w:vAlign w:val="bottom"/>
            <w:hideMark/>
          </w:tcPr>
          <w:p w14:paraId="4EC8F9A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0F1F274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[0.059]</w:t>
            </w:r>
          </w:p>
        </w:tc>
        <w:tc>
          <w:tcPr>
            <w:tcW w:w="1000" w:type="dxa"/>
            <w:tcBorders>
              <w:top w:val="nil"/>
              <w:left w:val="nil"/>
              <w:bottom w:val="nil"/>
              <w:right w:val="nil"/>
            </w:tcBorders>
            <w:shd w:val="clear" w:color="auto" w:fill="auto"/>
            <w:noWrap/>
            <w:vAlign w:val="bottom"/>
            <w:hideMark/>
          </w:tcPr>
          <w:p w14:paraId="3933C3C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[0.066]</w:t>
            </w:r>
          </w:p>
        </w:tc>
      </w:tr>
      <w:tr w:rsidR="007E11E5" w:rsidRPr="007E11E5" w14:paraId="0D76A6C1"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7965AEE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4CF30505"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2146078"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2C5924C"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405" w:type="dxa"/>
            <w:tcBorders>
              <w:top w:val="nil"/>
              <w:left w:val="nil"/>
              <w:bottom w:val="nil"/>
              <w:right w:val="nil"/>
            </w:tcBorders>
            <w:shd w:val="clear" w:color="auto" w:fill="auto"/>
            <w:noWrap/>
            <w:vAlign w:val="bottom"/>
            <w:hideMark/>
          </w:tcPr>
          <w:p w14:paraId="708A11A6"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7BD3F54E" w14:textId="77777777" w:rsidR="007E11E5" w:rsidRPr="007E11E5" w:rsidRDefault="007E11E5" w:rsidP="007E11E5">
            <w:pPr>
              <w:spacing w:after="0" w:line="240" w:lineRule="auto"/>
              <w:rPr>
                <w:rFonts w:ascii="Times New Roman" w:eastAsia="Times New Roman" w:hAnsi="Times New Roman" w:cs="Times New Roman"/>
                <w:sz w:val="20"/>
                <w:szCs w:val="20"/>
              </w:rPr>
            </w:pPr>
          </w:p>
        </w:tc>
      </w:tr>
      <w:tr w:rsidR="007E11E5" w:rsidRPr="007E11E5" w14:paraId="36B9CEF5"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1BE7DF81"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Not Proficient in Math</w:t>
            </w:r>
          </w:p>
        </w:tc>
        <w:tc>
          <w:tcPr>
            <w:tcW w:w="1405" w:type="dxa"/>
            <w:tcBorders>
              <w:top w:val="nil"/>
              <w:left w:val="nil"/>
              <w:bottom w:val="nil"/>
              <w:right w:val="nil"/>
            </w:tcBorders>
            <w:shd w:val="clear" w:color="auto" w:fill="auto"/>
            <w:noWrap/>
            <w:vAlign w:val="bottom"/>
            <w:hideMark/>
          </w:tcPr>
          <w:p w14:paraId="297623D8"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-0.0055</w:t>
            </w:r>
          </w:p>
        </w:tc>
        <w:tc>
          <w:tcPr>
            <w:tcW w:w="900" w:type="dxa"/>
            <w:tcBorders>
              <w:top w:val="nil"/>
              <w:left w:val="nil"/>
              <w:bottom w:val="nil"/>
              <w:right w:val="nil"/>
            </w:tcBorders>
            <w:shd w:val="clear" w:color="auto" w:fill="auto"/>
            <w:noWrap/>
            <w:vAlign w:val="bottom"/>
            <w:hideMark/>
          </w:tcPr>
          <w:p w14:paraId="3449CFF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-0.0102</w:t>
            </w:r>
          </w:p>
        </w:tc>
        <w:tc>
          <w:tcPr>
            <w:tcW w:w="266" w:type="dxa"/>
            <w:tcBorders>
              <w:top w:val="nil"/>
              <w:left w:val="nil"/>
              <w:bottom w:val="nil"/>
              <w:right w:val="nil"/>
            </w:tcBorders>
            <w:shd w:val="clear" w:color="auto" w:fill="auto"/>
            <w:noWrap/>
            <w:vAlign w:val="bottom"/>
            <w:hideMark/>
          </w:tcPr>
          <w:p w14:paraId="0EBCF16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0186DE9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-0.0058</w:t>
            </w:r>
          </w:p>
        </w:tc>
        <w:tc>
          <w:tcPr>
            <w:tcW w:w="1000" w:type="dxa"/>
            <w:tcBorders>
              <w:top w:val="nil"/>
              <w:left w:val="nil"/>
              <w:bottom w:val="nil"/>
              <w:right w:val="nil"/>
            </w:tcBorders>
            <w:shd w:val="clear" w:color="auto" w:fill="auto"/>
            <w:noWrap/>
            <w:vAlign w:val="bottom"/>
            <w:hideMark/>
          </w:tcPr>
          <w:p w14:paraId="2E16AB63"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-0.0107</w:t>
            </w:r>
          </w:p>
        </w:tc>
      </w:tr>
      <w:tr w:rsidR="007E11E5" w:rsidRPr="007E11E5" w14:paraId="51DD2668"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114551C1"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2B5E1283"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(0.0057)</w:t>
            </w:r>
          </w:p>
        </w:tc>
        <w:tc>
          <w:tcPr>
            <w:tcW w:w="900" w:type="dxa"/>
            <w:tcBorders>
              <w:top w:val="nil"/>
              <w:left w:val="nil"/>
              <w:bottom w:val="nil"/>
              <w:right w:val="nil"/>
            </w:tcBorders>
            <w:shd w:val="clear" w:color="auto" w:fill="auto"/>
            <w:noWrap/>
            <w:vAlign w:val="bottom"/>
            <w:hideMark/>
          </w:tcPr>
          <w:p w14:paraId="52F8E44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(0.0102)</w:t>
            </w:r>
          </w:p>
        </w:tc>
        <w:tc>
          <w:tcPr>
            <w:tcW w:w="266" w:type="dxa"/>
            <w:tcBorders>
              <w:top w:val="nil"/>
              <w:left w:val="nil"/>
              <w:bottom w:val="nil"/>
              <w:right w:val="nil"/>
            </w:tcBorders>
            <w:shd w:val="clear" w:color="auto" w:fill="auto"/>
            <w:noWrap/>
            <w:vAlign w:val="bottom"/>
            <w:hideMark/>
          </w:tcPr>
          <w:p w14:paraId="315B97CC"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21DB329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(0.0060)</w:t>
            </w:r>
          </w:p>
        </w:tc>
        <w:tc>
          <w:tcPr>
            <w:tcW w:w="1000" w:type="dxa"/>
            <w:tcBorders>
              <w:top w:val="nil"/>
              <w:left w:val="nil"/>
              <w:bottom w:val="nil"/>
              <w:right w:val="nil"/>
            </w:tcBorders>
            <w:shd w:val="clear" w:color="auto" w:fill="auto"/>
            <w:noWrap/>
            <w:vAlign w:val="bottom"/>
            <w:hideMark/>
          </w:tcPr>
          <w:p w14:paraId="712FCD20"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(0.0107)</w:t>
            </w:r>
          </w:p>
        </w:tc>
      </w:tr>
      <w:tr w:rsidR="007E11E5" w:rsidRPr="007E11E5" w14:paraId="278CC02C"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2C173F4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12E30B9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[0.168]</w:t>
            </w:r>
          </w:p>
        </w:tc>
        <w:tc>
          <w:tcPr>
            <w:tcW w:w="900" w:type="dxa"/>
            <w:tcBorders>
              <w:top w:val="nil"/>
              <w:left w:val="nil"/>
              <w:bottom w:val="nil"/>
              <w:right w:val="nil"/>
            </w:tcBorders>
            <w:shd w:val="clear" w:color="auto" w:fill="auto"/>
            <w:noWrap/>
            <w:vAlign w:val="bottom"/>
            <w:hideMark/>
          </w:tcPr>
          <w:p w14:paraId="2B406B4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[0.159]</w:t>
            </w:r>
          </w:p>
        </w:tc>
        <w:tc>
          <w:tcPr>
            <w:tcW w:w="266" w:type="dxa"/>
            <w:tcBorders>
              <w:top w:val="nil"/>
              <w:left w:val="nil"/>
              <w:bottom w:val="nil"/>
              <w:right w:val="nil"/>
            </w:tcBorders>
            <w:shd w:val="clear" w:color="auto" w:fill="auto"/>
            <w:noWrap/>
            <w:vAlign w:val="bottom"/>
            <w:hideMark/>
          </w:tcPr>
          <w:p w14:paraId="61618C2A"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764B189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[0.168]</w:t>
            </w:r>
          </w:p>
        </w:tc>
        <w:tc>
          <w:tcPr>
            <w:tcW w:w="1000" w:type="dxa"/>
            <w:tcBorders>
              <w:top w:val="nil"/>
              <w:left w:val="nil"/>
              <w:bottom w:val="nil"/>
              <w:right w:val="nil"/>
            </w:tcBorders>
            <w:shd w:val="clear" w:color="auto" w:fill="auto"/>
            <w:noWrap/>
            <w:vAlign w:val="bottom"/>
            <w:hideMark/>
          </w:tcPr>
          <w:p w14:paraId="39FC8525"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[0.157]</w:t>
            </w:r>
          </w:p>
        </w:tc>
      </w:tr>
      <w:tr w:rsidR="007E11E5" w:rsidRPr="007E11E5" w14:paraId="64D08329"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5DB528C1"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09E96CFA"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B0665C5"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F7B2430"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405" w:type="dxa"/>
            <w:tcBorders>
              <w:top w:val="nil"/>
              <w:left w:val="nil"/>
              <w:bottom w:val="nil"/>
              <w:right w:val="nil"/>
            </w:tcBorders>
            <w:shd w:val="clear" w:color="auto" w:fill="auto"/>
            <w:noWrap/>
            <w:vAlign w:val="bottom"/>
            <w:hideMark/>
          </w:tcPr>
          <w:p w14:paraId="5228154F" w14:textId="77777777" w:rsidR="007E11E5" w:rsidRPr="007E11E5" w:rsidRDefault="007E11E5" w:rsidP="007E11E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66C669AA" w14:textId="77777777" w:rsidR="007E11E5" w:rsidRPr="007E11E5" w:rsidRDefault="007E11E5" w:rsidP="007E11E5">
            <w:pPr>
              <w:spacing w:after="0" w:line="240" w:lineRule="auto"/>
              <w:rPr>
                <w:rFonts w:ascii="Times New Roman" w:eastAsia="Times New Roman" w:hAnsi="Times New Roman" w:cs="Times New Roman"/>
                <w:sz w:val="20"/>
                <w:szCs w:val="20"/>
              </w:rPr>
            </w:pPr>
          </w:p>
        </w:tc>
      </w:tr>
      <w:tr w:rsidR="007E11E5" w:rsidRPr="007E11E5" w14:paraId="19638744"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2E44A505"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Not Proficient in ELA</w:t>
            </w:r>
          </w:p>
        </w:tc>
        <w:tc>
          <w:tcPr>
            <w:tcW w:w="1405" w:type="dxa"/>
            <w:tcBorders>
              <w:top w:val="nil"/>
              <w:left w:val="nil"/>
              <w:bottom w:val="nil"/>
              <w:right w:val="nil"/>
            </w:tcBorders>
            <w:shd w:val="clear" w:color="auto" w:fill="auto"/>
            <w:noWrap/>
            <w:vAlign w:val="bottom"/>
            <w:hideMark/>
          </w:tcPr>
          <w:p w14:paraId="1A7B849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-0.0004</w:t>
            </w:r>
          </w:p>
        </w:tc>
        <w:tc>
          <w:tcPr>
            <w:tcW w:w="900" w:type="dxa"/>
            <w:tcBorders>
              <w:top w:val="nil"/>
              <w:left w:val="nil"/>
              <w:bottom w:val="nil"/>
              <w:right w:val="nil"/>
            </w:tcBorders>
            <w:shd w:val="clear" w:color="auto" w:fill="auto"/>
            <w:noWrap/>
            <w:vAlign w:val="bottom"/>
            <w:hideMark/>
          </w:tcPr>
          <w:p w14:paraId="0F9A4B2F"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-0.0007</w:t>
            </w:r>
          </w:p>
        </w:tc>
        <w:tc>
          <w:tcPr>
            <w:tcW w:w="266" w:type="dxa"/>
            <w:tcBorders>
              <w:top w:val="nil"/>
              <w:left w:val="nil"/>
              <w:bottom w:val="nil"/>
              <w:right w:val="nil"/>
            </w:tcBorders>
            <w:shd w:val="clear" w:color="auto" w:fill="auto"/>
            <w:noWrap/>
            <w:vAlign w:val="bottom"/>
            <w:hideMark/>
          </w:tcPr>
          <w:p w14:paraId="2D42F1A3"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7C3CD074"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-0.0025</w:t>
            </w:r>
          </w:p>
        </w:tc>
        <w:tc>
          <w:tcPr>
            <w:tcW w:w="1000" w:type="dxa"/>
            <w:tcBorders>
              <w:top w:val="nil"/>
              <w:left w:val="nil"/>
              <w:bottom w:val="nil"/>
              <w:right w:val="nil"/>
            </w:tcBorders>
            <w:shd w:val="clear" w:color="auto" w:fill="auto"/>
            <w:noWrap/>
            <w:vAlign w:val="bottom"/>
            <w:hideMark/>
          </w:tcPr>
          <w:p w14:paraId="4415F4F7"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-0.0047</w:t>
            </w:r>
          </w:p>
        </w:tc>
      </w:tr>
      <w:tr w:rsidR="007E11E5" w:rsidRPr="007E11E5" w14:paraId="17BD328B" w14:textId="77777777" w:rsidTr="007E11E5">
        <w:trPr>
          <w:trHeight w:val="260"/>
          <w:jc w:val="center"/>
        </w:trPr>
        <w:tc>
          <w:tcPr>
            <w:tcW w:w="3128" w:type="dxa"/>
            <w:tcBorders>
              <w:top w:val="nil"/>
              <w:left w:val="nil"/>
              <w:bottom w:val="nil"/>
              <w:right w:val="nil"/>
            </w:tcBorders>
            <w:shd w:val="clear" w:color="auto" w:fill="auto"/>
            <w:noWrap/>
            <w:vAlign w:val="bottom"/>
            <w:hideMark/>
          </w:tcPr>
          <w:p w14:paraId="1A4905E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7E73823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(0.0052)</w:t>
            </w:r>
          </w:p>
        </w:tc>
        <w:tc>
          <w:tcPr>
            <w:tcW w:w="900" w:type="dxa"/>
            <w:tcBorders>
              <w:top w:val="nil"/>
              <w:left w:val="nil"/>
              <w:bottom w:val="nil"/>
              <w:right w:val="nil"/>
            </w:tcBorders>
            <w:shd w:val="clear" w:color="auto" w:fill="auto"/>
            <w:noWrap/>
            <w:vAlign w:val="bottom"/>
            <w:hideMark/>
          </w:tcPr>
          <w:p w14:paraId="3056A2DD"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(0.0096)</w:t>
            </w:r>
          </w:p>
        </w:tc>
        <w:tc>
          <w:tcPr>
            <w:tcW w:w="266" w:type="dxa"/>
            <w:tcBorders>
              <w:top w:val="nil"/>
              <w:left w:val="nil"/>
              <w:bottom w:val="nil"/>
              <w:right w:val="nil"/>
            </w:tcBorders>
            <w:shd w:val="clear" w:color="auto" w:fill="auto"/>
            <w:noWrap/>
            <w:vAlign w:val="bottom"/>
            <w:hideMark/>
          </w:tcPr>
          <w:p w14:paraId="06B2C4F1"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p>
        </w:tc>
        <w:tc>
          <w:tcPr>
            <w:tcW w:w="1405" w:type="dxa"/>
            <w:tcBorders>
              <w:top w:val="nil"/>
              <w:left w:val="nil"/>
              <w:bottom w:val="nil"/>
              <w:right w:val="nil"/>
            </w:tcBorders>
            <w:shd w:val="clear" w:color="auto" w:fill="auto"/>
            <w:noWrap/>
            <w:vAlign w:val="bottom"/>
            <w:hideMark/>
          </w:tcPr>
          <w:p w14:paraId="1339FE10"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(0.0057)</w:t>
            </w:r>
          </w:p>
        </w:tc>
        <w:tc>
          <w:tcPr>
            <w:tcW w:w="1000" w:type="dxa"/>
            <w:tcBorders>
              <w:top w:val="nil"/>
              <w:left w:val="nil"/>
              <w:bottom w:val="nil"/>
              <w:right w:val="nil"/>
            </w:tcBorders>
            <w:shd w:val="clear" w:color="auto" w:fill="auto"/>
            <w:noWrap/>
            <w:vAlign w:val="bottom"/>
            <w:hideMark/>
          </w:tcPr>
          <w:p w14:paraId="32D45B3E"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(0.0105)</w:t>
            </w:r>
          </w:p>
        </w:tc>
      </w:tr>
      <w:tr w:rsidR="007E11E5" w:rsidRPr="007E11E5" w14:paraId="0922A8E2" w14:textId="77777777" w:rsidTr="007E11E5">
        <w:trPr>
          <w:trHeight w:val="260"/>
          <w:jc w:val="center"/>
        </w:trPr>
        <w:tc>
          <w:tcPr>
            <w:tcW w:w="3128" w:type="dxa"/>
            <w:tcBorders>
              <w:top w:val="nil"/>
              <w:left w:val="nil"/>
              <w:bottom w:val="single" w:sz="4" w:space="0" w:color="auto"/>
              <w:right w:val="nil"/>
            </w:tcBorders>
            <w:shd w:val="clear" w:color="auto" w:fill="auto"/>
            <w:noWrap/>
            <w:vAlign w:val="bottom"/>
            <w:hideMark/>
          </w:tcPr>
          <w:p w14:paraId="5048A9E1"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 </w:t>
            </w:r>
          </w:p>
        </w:tc>
        <w:tc>
          <w:tcPr>
            <w:tcW w:w="1405" w:type="dxa"/>
            <w:tcBorders>
              <w:top w:val="nil"/>
              <w:left w:val="nil"/>
              <w:bottom w:val="single" w:sz="4" w:space="0" w:color="auto"/>
              <w:right w:val="nil"/>
            </w:tcBorders>
            <w:shd w:val="clear" w:color="auto" w:fill="auto"/>
            <w:noWrap/>
            <w:vAlign w:val="bottom"/>
            <w:hideMark/>
          </w:tcPr>
          <w:p w14:paraId="0EA9FD19"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[0.470]</w:t>
            </w:r>
          </w:p>
        </w:tc>
        <w:tc>
          <w:tcPr>
            <w:tcW w:w="900" w:type="dxa"/>
            <w:tcBorders>
              <w:top w:val="nil"/>
              <w:left w:val="nil"/>
              <w:bottom w:val="single" w:sz="4" w:space="0" w:color="auto"/>
              <w:right w:val="nil"/>
            </w:tcBorders>
            <w:shd w:val="clear" w:color="auto" w:fill="auto"/>
            <w:noWrap/>
            <w:vAlign w:val="bottom"/>
            <w:hideMark/>
          </w:tcPr>
          <w:p w14:paraId="2A5F7230"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[0.469]</w:t>
            </w:r>
          </w:p>
        </w:tc>
        <w:tc>
          <w:tcPr>
            <w:tcW w:w="266" w:type="dxa"/>
            <w:tcBorders>
              <w:top w:val="nil"/>
              <w:left w:val="nil"/>
              <w:bottom w:val="single" w:sz="4" w:space="0" w:color="auto"/>
              <w:right w:val="nil"/>
            </w:tcBorders>
            <w:shd w:val="clear" w:color="auto" w:fill="auto"/>
            <w:noWrap/>
            <w:vAlign w:val="bottom"/>
            <w:hideMark/>
          </w:tcPr>
          <w:p w14:paraId="2AAC6791" w14:textId="77777777" w:rsidR="007E11E5" w:rsidRPr="007E11E5" w:rsidRDefault="007E11E5" w:rsidP="007E11E5">
            <w:pPr>
              <w:spacing w:after="0" w:line="240" w:lineRule="auto"/>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 </w:t>
            </w:r>
          </w:p>
        </w:tc>
        <w:tc>
          <w:tcPr>
            <w:tcW w:w="1405" w:type="dxa"/>
            <w:tcBorders>
              <w:top w:val="nil"/>
              <w:left w:val="nil"/>
              <w:bottom w:val="single" w:sz="4" w:space="0" w:color="auto"/>
              <w:right w:val="nil"/>
            </w:tcBorders>
            <w:shd w:val="clear" w:color="auto" w:fill="auto"/>
            <w:noWrap/>
            <w:vAlign w:val="bottom"/>
            <w:hideMark/>
          </w:tcPr>
          <w:p w14:paraId="330DEE22"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[0.331]</w:t>
            </w:r>
          </w:p>
        </w:tc>
        <w:tc>
          <w:tcPr>
            <w:tcW w:w="1000" w:type="dxa"/>
            <w:tcBorders>
              <w:top w:val="nil"/>
              <w:left w:val="nil"/>
              <w:bottom w:val="single" w:sz="4" w:space="0" w:color="auto"/>
              <w:right w:val="nil"/>
            </w:tcBorders>
            <w:shd w:val="clear" w:color="auto" w:fill="auto"/>
            <w:noWrap/>
            <w:vAlign w:val="bottom"/>
            <w:hideMark/>
          </w:tcPr>
          <w:p w14:paraId="38755AA1" w14:textId="77777777" w:rsidR="007E11E5" w:rsidRPr="007E11E5" w:rsidRDefault="007E11E5" w:rsidP="007E11E5">
            <w:pPr>
              <w:spacing w:after="0" w:line="240" w:lineRule="auto"/>
              <w:jc w:val="center"/>
              <w:rPr>
                <w:rFonts w:ascii="Times New Roman" w:eastAsia="Times New Roman" w:hAnsi="Times New Roman" w:cs="Times New Roman"/>
                <w:color w:val="000000"/>
                <w:sz w:val="20"/>
                <w:szCs w:val="20"/>
              </w:rPr>
            </w:pPr>
            <w:r w:rsidRPr="007E11E5">
              <w:rPr>
                <w:rFonts w:ascii="Times New Roman" w:eastAsia="Times New Roman" w:hAnsi="Times New Roman" w:cs="Times New Roman"/>
                <w:color w:val="000000"/>
                <w:sz w:val="20"/>
                <w:szCs w:val="20"/>
              </w:rPr>
              <w:t>[0.327]</w:t>
            </w:r>
          </w:p>
        </w:tc>
      </w:tr>
      <w:tr w:rsidR="007E11E5" w:rsidRPr="007E11E5" w14:paraId="014CD7DC" w14:textId="77777777" w:rsidTr="007E11E5">
        <w:trPr>
          <w:trHeight w:val="260"/>
          <w:jc w:val="center"/>
        </w:trPr>
        <w:tc>
          <w:tcPr>
            <w:tcW w:w="8104" w:type="dxa"/>
            <w:gridSpan w:val="6"/>
            <w:tcBorders>
              <w:top w:val="single" w:sz="4" w:space="0" w:color="auto"/>
              <w:left w:val="nil"/>
              <w:bottom w:val="nil"/>
              <w:right w:val="nil"/>
            </w:tcBorders>
            <w:shd w:val="clear" w:color="auto" w:fill="auto"/>
            <w:noWrap/>
            <w:vAlign w:val="bottom"/>
            <w:hideMark/>
          </w:tcPr>
          <w:p w14:paraId="11B5AA24" w14:textId="5EDDC3A2" w:rsidR="007E11E5" w:rsidRPr="007E11E5" w:rsidRDefault="007E11E5" w:rsidP="007E11E5">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i/>
                <w:iCs/>
                <w:color w:val="000000"/>
                <w:sz w:val="20"/>
                <w:szCs w:val="20"/>
              </w:rPr>
              <w:t xml:space="preserve">Notes: </w:t>
            </w:r>
            <w:r>
              <w:rPr>
                <w:rFonts w:ascii="Times New Roman" w:eastAsia="Times New Roman" w:hAnsi="Times New Roman" w:cs="Times New Roman"/>
                <w:color w:val="000000"/>
                <w:sz w:val="20"/>
                <w:szCs w:val="20"/>
              </w:rPr>
              <w:t>This table reports estimates of equations (3) and (4) where the treatment variable is the number of recreational marijuana dispensaries</w:t>
            </w:r>
            <w:r w:rsidR="00D17206">
              <w:rPr>
                <w:rFonts w:ascii="Times New Roman" w:eastAsia="Times New Roman" w:hAnsi="Times New Roman" w:cs="Times New Roman"/>
                <w:color w:val="000000"/>
                <w:sz w:val="20"/>
                <w:szCs w:val="20"/>
              </w:rPr>
              <w:t xml:space="preserve">, either those that won the lottery or opened, within 10 minutes of a school. </w:t>
            </w:r>
            <w:r w:rsidR="00D17206">
              <w:rPr>
                <w:rFonts w:ascii="Times New Roman" w:eastAsia="Times New Roman" w:hAnsi="Times New Roman" w:cs="Times New Roman"/>
                <w:sz w:val="20"/>
                <w:szCs w:val="20"/>
              </w:rPr>
              <w:t>All specifications include the 2014-15 and 2015-16 school years, as well as controls for the proportions of free-or-reduced-price lunch, Black, Hispanic, and Asian students, and indicators for whether the school is in a city, town, or suburb. The omitted locale is rural. Each column also includes year fixed effects. Standard errors clustered by school are in parentheses and one-sided p-values are in square brackets.</w:t>
            </w:r>
            <w:r w:rsidRPr="007E11E5">
              <w:rPr>
                <w:rFonts w:ascii="Times New Roman" w:eastAsia="Times New Roman" w:hAnsi="Times New Roman" w:cs="Times New Roman"/>
                <w:color w:val="000000"/>
                <w:sz w:val="20"/>
                <w:szCs w:val="20"/>
              </w:rPr>
              <w:t> </w:t>
            </w:r>
          </w:p>
        </w:tc>
      </w:tr>
    </w:tbl>
    <w:p w14:paraId="25738BC3" w14:textId="26E0321E" w:rsidR="009253C4" w:rsidRDefault="009253C4" w:rsidP="009253C4">
      <w:pPr>
        <w:tabs>
          <w:tab w:val="left" w:pos="990"/>
        </w:tabs>
        <w:rPr>
          <w:rFonts w:ascii="Times New Roman" w:hAnsi="Times New Roman" w:cs="Times New Roman"/>
          <w:b/>
          <w:bCs/>
          <w:sz w:val="32"/>
          <w:szCs w:val="32"/>
        </w:rPr>
      </w:pPr>
    </w:p>
    <w:p w14:paraId="38BBA105" w14:textId="5CC58E75" w:rsidR="009253C4" w:rsidRPr="009253C4" w:rsidRDefault="009253C4" w:rsidP="009253C4">
      <w:pPr>
        <w:tabs>
          <w:tab w:val="left" w:pos="990"/>
        </w:tabs>
        <w:rPr>
          <w:rFonts w:ascii="Times New Roman" w:hAnsi="Times New Roman" w:cs="Times New Roman"/>
          <w:sz w:val="32"/>
          <w:szCs w:val="32"/>
        </w:rPr>
        <w:sectPr w:rsidR="009253C4" w:rsidRPr="009253C4" w:rsidSect="00F63F86">
          <w:headerReference w:type="default" r:id="rId42"/>
          <w:pgSz w:w="12240" w:h="15840"/>
          <w:pgMar w:top="1440" w:right="1440" w:bottom="1440" w:left="1440" w:header="720" w:footer="720" w:gutter="0"/>
          <w:cols w:space="720"/>
          <w:docGrid w:linePitch="360"/>
        </w:sectPr>
      </w:pPr>
      <w:r>
        <w:rPr>
          <w:rFonts w:ascii="Times New Roman" w:hAnsi="Times New Roman" w:cs="Times New Roman"/>
          <w:sz w:val="32"/>
          <w:szCs w:val="32"/>
        </w:rPr>
        <w:tab/>
      </w:r>
    </w:p>
    <w:tbl>
      <w:tblPr>
        <w:tblW w:w="9542" w:type="dxa"/>
        <w:jc w:val="center"/>
        <w:tblLook w:val="04A0" w:firstRow="1" w:lastRow="0" w:firstColumn="1" w:lastColumn="0" w:noHBand="0" w:noVBand="1"/>
      </w:tblPr>
      <w:tblGrid>
        <w:gridCol w:w="3060"/>
        <w:gridCol w:w="999"/>
        <w:gridCol w:w="966"/>
        <w:gridCol w:w="1183"/>
        <w:gridCol w:w="266"/>
        <w:gridCol w:w="903"/>
        <w:gridCol w:w="982"/>
        <w:gridCol w:w="1183"/>
      </w:tblGrid>
      <w:tr w:rsidR="00FC65F2" w:rsidRPr="00FC65F2" w14:paraId="405D5595" w14:textId="77777777" w:rsidTr="00FC65F2">
        <w:trPr>
          <w:trHeight w:val="270"/>
          <w:jc w:val="center"/>
        </w:trPr>
        <w:tc>
          <w:tcPr>
            <w:tcW w:w="9542" w:type="dxa"/>
            <w:gridSpan w:val="8"/>
            <w:tcBorders>
              <w:top w:val="nil"/>
              <w:left w:val="nil"/>
              <w:bottom w:val="double" w:sz="6" w:space="0" w:color="auto"/>
              <w:right w:val="nil"/>
            </w:tcBorders>
            <w:shd w:val="clear" w:color="auto" w:fill="auto"/>
            <w:noWrap/>
            <w:vAlign w:val="bottom"/>
            <w:hideMark/>
          </w:tcPr>
          <w:p w14:paraId="50507851" w14:textId="1F8EB4C6" w:rsidR="00FC65F2" w:rsidRDefault="00FC65F2" w:rsidP="00FC65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CB76AD">
              <w:rPr>
                <w:rFonts w:ascii="Times New Roman" w:eastAsia="Times New Roman" w:hAnsi="Times New Roman" w:cs="Times New Roman"/>
                <w:sz w:val="24"/>
                <w:szCs w:val="24"/>
              </w:rPr>
              <w:t>1</w:t>
            </w:r>
            <w:r w:rsidR="00A0534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FC65F2">
              <w:rPr>
                <w:rFonts w:ascii="Times New Roman" w:eastAsia="Times New Roman" w:hAnsi="Times New Roman" w:cs="Times New Roman"/>
                <w:sz w:val="24"/>
                <w:szCs w:val="24"/>
              </w:rPr>
              <w:t>Instrumental Variable Estimates of the Effects of Recreational Marijuana Dispensaries on All Outcomes by School Locality </w:t>
            </w:r>
          </w:p>
          <w:p w14:paraId="1F19EB1C" w14:textId="49F8292D" w:rsidR="00FC65F2" w:rsidRPr="00FC65F2" w:rsidRDefault="00FC65F2" w:rsidP="00015D34">
            <w:pPr>
              <w:spacing w:after="0" w:line="240" w:lineRule="auto"/>
              <w:rPr>
                <w:rFonts w:ascii="Times New Roman" w:eastAsia="Times New Roman" w:hAnsi="Times New Roman" w:cs="Times New Roman"/>
                <w:sz w:val="24"/>
                <w:szCs w:val="24"/>
              </w:rPr>
            </w:pPr>
          </w:p>
        </w:tc>
      </w:tr>
      <w:tr w:rsidR="00FC65F2" w:rsidRPr="00FC65F2" w14:paraId="2B397B8B" w14:textId="77777777" w:rsidTr="00FC65F2">
        <w:trPr>
          <w:trHeight w:val="270"/>
          <w:jc w:val="center"/>
        </w:trPr>
        <w:tc>
          <w:tcPr>
            <w:tcW w:w="3060" w:type="dxa"/>
            <w:tcBorders>
              <w:top w:val="nil"/>
              <w:left w:val="nil"/>
              <w:bottom w:val="nil"/>
              <w:right w:val="nil"/>
            </w:tcBorders>
            <w:shd w:val="clear" w:color="auto" w:fill="auto"/>
            <w:noWrap/>
            <w:vAlign w:val="bottom"/>
            <w:hideMark/>
          </w:tcPr>
          <w:p w14:paraId="57A908B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3148" w:type="dxa"/>
            <w:gridSpan w:val="3"/>
            <w:tcBorders>
              <w:top w:val="nil"/>
              <w:left w:val="nil"/>
              <w:bottom w:val="single" w:sz="4" w:space="0" w:color="auto"/>
              <w:right w:val="nil"/>
            </w:tcBorders>
            <w:shd w:val="clear" w:color="auto" w:fill="auto"/>
            <w:noWrap/>
            <w:vAlign w:val="bottom"/>
            <w:hideMark/>
          </w:tcPr>
          <w:p w14:paraId="0AC17C8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Female</w:t>
            </w:r>
          </w:p>
        </w:tc>
        <w:tc>
          <w:tcPr>
            <w:tcW w:w="266" w:type="dxa"/>
            <w:tcBorders>
              <w:top w:val="nil"/>
              <w:left w:val="nil"/>
              <w:bottom w:val="nil"/>
              <w:right w:val="nil"/>
            </w:tcBorders>
            <w:shd w:val="clear" w:color="auto" w:fill="auto"/>
            <w:noWrap/>
            <w:vAlign w:val="bottom"/>
            <w:hideMark/>
          </w:tcPr>
          <w:p w14:paraId="3BD210A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3068" w:type="dxa"/>
            <w:gridSpan w:val="3"/>
            <w:tcBorders>
              <w:top w:val="nil"/>
              <w:left w:val="nil"/>
              <w:bottom w:val="single" w:sz="4" w:space="0" w:color="auto"/>
              <w:right w:val="nil"/>
            </w:tcBorders>
            <w:shd w:val="clear" w:color="auto" w:fill="auto"/>
            <w:noWrap/>
            <w:vAlign w:val="bottom"/>
            <w:hideMark/>
          </w:tcPr>
          <w:p w14:paraId="04D6459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Male</w:t>
            </w:r>
          </w:p>
        </w:tc>
      </w:tr>
      <w:tr w:rsidR="00FC65F2" w:rsidRPr="00FC65F2" w14:paraId="2329F861"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57453F5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169CB1A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u w:val="single"/>
              </w:rPr>
            </w:pPr>
            <w:r w:rsidRPr="00FC65F2">
              <w:rPr>
                <w:rFonts w:ascii="Times New Roman" w:eastAsia="Times New Roman" w:hAnsi="Times New Roman" w:cs="Times New Roman"/>
                <w:color w:val="000000"/>
                <w:sz w:val="20"/>
                <w:szCs w:val="20"/>
                <w:u w:val="single"/>
              </w:rPr>
              <w:t>City</w:t>
            </w:r>
          </w:p>
        </w:tc>
        <w:tc>
          <w:tcPr>
            <w:tcW w:w="966" w:type="dxa"/>
            <w:tcBorders>
              <w:top w:val="nil"/>
              <w:left w:val="nil"/>
              <w:bottom w:val="nil"/>
              <w:right w:val="nil"/>
            </w:tcBorders>
            <w:shd w:val="clear" w:color="auto" w:fill="auto"/>
            <w:noWrap/>
            <w:vAlign w:val="bottom"/>
            <w:hideMark/>
          </w:tcPr>
          <w:p w14:paraId="1457DF2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u w:val="single"/>
              </w:rPr>
            </w:pPr>
            <w:r w:rsidRPr="00FC65F2">
              <w:rPr>
                <w:rFonts w:ascii="Times New Roman" w:eastAsia="Times New Roman" w:hAnsi="Times New Roman" w:cs="Times New Roman"/>
                <w:color w:val="000000"/>
                <w:sz w:val="20"/>
                <w:szCs w:val="20"/>
                <w:u w:val="single"/>
              </w:rPr>
              <w:t>Suburb</w:t>
            </w:r>
          </w:p>
        </w:tc>
        <w:tc>
          <w:tcPr>
            <w:tcW w:w="1183" w:type="dxa"/>
            <w:tcBorders>
              <w:top w:val="nil"/>
              <w:left w:val="nil"/>
              <w:bottom w:val="nil"/>
              <w:right w:val="nil"/>
            </w:tcBorders>
            <w:shd w:val="clear" w:color="auto" w:fill="auto"/>
            <w:noWrap/>
            <w:vAlign w:val="bottom"/>
            <w:hideMark/>
          </w:tcPr>
          <w:p w14:paraId="0A17ED2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u w:val="single"/>
              </w:rPr>
            </w:pPr>
            <w:r w:rsidRPr="00FC65F2">
              <w:rPr>
                <w:rFonts w:ascii="Times New Roman" w:eastAsia="Times New Roman" w:hAnsi="Times New Roman" w:cs="Times New Roman"/>
                <w:color w:val="000000"/>
                <w:sz w:val="20"/>
                <w:szCs w:val="20"/>
                <w:u w:val="single"/>
              </w:rPr>
              <w:t>Town/Rural</w:t>
            </w:r>
          </w:p>
        </w:tc>
        <w:tc>
          <w:tcPr>
            <w:tcW w:w="266" w:type="dxa"/>
            <w:tcBorders>
              <w:top w:val="nil"/>
              <w:left w:val="nil"/>
              <w:bottom w:val="nil"/>
              <w:right w:val="nil"/>
            </w:tcBorders>
            <w:shd w:val="clear" w:color="auto" w:fill="auto"/>
            <w:noWrap/>
            <w:vAlign w:val="bottom"/>
            <w:hideMark/>
          </w:tcPr>
          <w:p w14:paraId="52F2984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u w:val="single"/>
              </w:rPr>
            </w:pPr>
          </w:p>
        </w:tc>
        <w:tc>
          <w:tcPr>
            <w:tcW w:w="903" w:type="dxa"/>
            <w:tcBorders>
              <w:top w:val="nil"/>
              <w:left w:val="nil"/>
              <w:bottom w:val="nil"/>
              <w:right w:val="nil"/>
            </w:tcBorders>
            <w:shd w:val="clear" w:color="auto" w:fill="auto"/>
            <w:noWrap/>
            <w:vAlign w:val="bottom"/>
            <w:hideMark/>
          </w:tcPr>
          <w:p w14:paraId="3FC9FB0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u w:val="single"/>
              </w:rPr>
            </w:pPr>
            <w:r w:rsidRPr="00FC65F2">
              <w:rPr>
                <w:rFonts w:ascii="Times New Roman" w:eastAsia="Times New Roman" w:hAnsi="Times New Roman" w:cs="Times New Roman"/>
                <w:color w:val="000000"/>
                <w:sz w:val="20"/>
                <w:szCs w:val="20"/>
                <w:u w:val="single"/>
              </w:rPr>
              <w:t>City</w:t>
            </w:r>
          </w:p>
        </w:tc>
        <w:tc>
          <w:tcPr>
            <w:tcW w:w="982" w:type="dxa"/>
            <w:tcBorders>
              <w:top w:val="nil"/>
              <w:left w:val="nil"/>
              <w:bottom w:val="nil"/>
              <w:right w:val="nil"/>
            </w:tcBorders>
            <w:shd w:val="clear" w:color="auto" w:fill="auto"/>
            <w:noWrap/>
            <w:vAlign w:val="bottom"/>
            <w:hideMark/>
          </w:tcPr>
          <w:p w14:paraId="42B0C7D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u w:val="single"/>
              </w:rPr>
            </w:pPr>
            <w:r w:rsidRPr="00FC65F2">
              <w:rPr>
                <w:rFonts w:ascii="Times New Roman" w:eastAsia="Times New Roman" w:hAnsi="Times New Roman" w:cs="Times New Roman"/>
                <w:color w:val="000000"/>
                <w:sz w:val="20"/>
                <w:szCs w:val="20"/>
                <w:u w:val="single"/>
              </w:rPr>
              <w:t>Suburb</w:t>
            </w:r>
          </w:p>
        </w:tc>
        <w:tc>
          <w:tcPr>
            <w:tcW w:w="1183" w:type="dxa"/>
            <w:tcBorders>
              <w:top w:val="nil"/>
              <w:left w:val="nil"/>
              <w:bottom w:val="nil"/>
              <w:right w:val="nil"/>
            </w:tcBorders>
            <w:shd w:val="clear" w:color="auto" w:fill="auto"/>
            <w:noWrap/>
            <w:vAlign w:val="bottom"/>
            <w:hideMark/>
          </w:tcPr>
          <w:p w14:paraId="12F02E3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u w:val="single"/>
              </w:rPr>
            </w:pPr>
            <w:r w:rsidRPr="00FC65F2">
              <w:rPr>
                <w:rFonts w:ascii="Times New Roman" w:eastAsia="Times New Roman" w:hAnsi="Times New Roman" w:cs="Times New Roman"/>
                <w:color w:val="000000"/>
                <w:sz w:val="20"/>
                <w:szCs w:val="20"/>
                <w:u w:val="single"/>
              </w:rPr>
              <w:t>Town/Rural</w:t>
            </w:r>
          </w:p>
        </w:tc>
      </w:tr>
      <w:tr w:rsidR="00FC65F2" w:rsidRPr="00FC65F2" w14:paraId="1620BD46" w14:textId="77777777" w:rsidTr="00FC65F2">
        <w:trPr>
          <w:trHeight w:val="260"/>
          <w:jc w:val="center"/>
        </w:trPr>
        <w:tc>
          <w:tcPr>
            <w:tcW w:w="3060" w:type="dxa"/>
            <w:tcBorders>
              <w:top w:val="nil"/>
              <w:left w:val="nil"/>
              <w:bottom w:val="single" w:sz="4" w:space="0" w:color="auto"/>
              <w:right w:val="nil"/>
            </w:tcBorders>
            <w:shd w:val="clear" w:color="auto" w:fill="auto"/>
            <w:noWrap/>
            <w:vAlign w:val="bottom"/>
            <w:hideMark/>
          </w:tcPr>
          <w:p w14:paraId="1C2A7982"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Dependent Variable</w:t>
            </w:r>
          </w:p>
        </w:tc>
        <w:tc>
          <w:tcPr>
            <w:tcW w:w="999" w:type="dxa"/>
            <w:tcBorders>
              <w:top w:val="nil"/>
              <w:left w:val="nil"/>
              <w:bottom w:val="single" w:sz="4" w:space="0" w:color="auto"/>
              <w:right w:val="nil"/>
            </w:tcBorders>
            <w:shd w:val="clear" w:color="auto" w:fill="auto"/>
            <w:noWrap/>
            <w:vAlign w:val="bottom"/>
            <w:hideMark/>
          </w:tcPr>
          <w:p w14:paraId="248422A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w:t>
            </w:r>
          </w:p>
        </w:tc>
        <w:tc>
          <w:tcPr>
            <w:tcW w:w="966" w:type="dxa"/>
            <w:tcBorders>
              <w:top w:val="nil"/>
              <w:left w:val="nil"/>
              <w:bottom w:val="single" w:sz="4" w:space="0" w:color="auto"/>
              <w:right w:val="nil"/>
            </w:tcBorders>
            <w:shd w:val="clear" w:color="auto" w:fill="auto"/>
            <w:noWrap/>
            <w:vAlign w:val="bottom"/>
            <w:hideMark/>
          </w:tcPr>
          <w:p w14:paraId="7C3243D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(2)</w:t>
            </w:r>
          </w:p>
        </w:tc>
        <w:tc>
          <w:tcPr>
            <w:tcW w:w="1183" w:type="dxa"/>
            <w:tcBorders>
              <w:top w:val="nil"/>
              <w:left w:val="nil"/>
              <w:bottom w:val="single" w:sz="4" w:space="0" w:color="auto"/>
              <w:right w:val="nil"/>
            </w:tcBorders>
            <w:shd w:val="clear" w:color="auto" w:fill="auto"/>
            <w:noWrap/>
            <w:vAlign w:val="bottom"/>
            <w:hideMark/>
          </w:tcPr>
          <w:p w14:paraId="2F62AEB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(3)</w:t>
            </w:r>
          </w:p>
        </w:tc>
        <w:tc>
          <w:tcPr>
            <w:tcW w:w="266" w:type="dxa"/>
            <w:tcBorders>
              <w:top w:val="nil"/>
              <w:left w:val="nil"/>
              <w:bottom w:val="single" w:sz="4" w:space="0" w:color="auto"/>
              <w:right w:val="nil"/>
            </w:tcBorders>
            <w:shd w:val="clear" w:color="auto" w:fill="auto"/>
            <w:noWrap/>
            <w:vAlign w:val="bottom"/>
            <w:hideMark/>
          </w:tcPr>
          <w:p w14:paraId="77D62B5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6E49F95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(4)</w:t>
            </w:r>
          </w:p>
        </w:tc>
        <w:tc>
          <w:tcPr>
            <w:tcW w:w="982" w:type="dxa"/>
            <w:tcBorders>
              <w:top w:val="nil"/>
              <w:left w:val="nil"/>
              <w:bottom w:val="single" w:sz="4" w:space="0" w:color="auto"/>
              <w:right w:val="nil"/>
            </w:tcBorders>
            <w:shd w:val="clear" w:color="auto" w:fill="auto"/>
            <w:noWrap/>
            <w:vAlign w:val="bottom"/>
            <w:hideMark/>
          </w:tcPr>
          <w:p w14:paraId="26EFF3F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(5)</w:t>
            </w:r>
          </w:p>
        </w:tc>
        <w:tc>
          <w:tcPr>
            <w:tcW w:w="1183" w:type="dxa"/>
            <w:tcBorders>
              <w:top w:val="nil"/>
              <w:left w:val="nil"/>
              <w:bottom w:val="single" w:sz="4" w:space="0" w:color="auto"/>
              <w:right w:val="nil"/>
            </w:tcBorders>
            <w:shd w:val="clear" w:color="auto" w:fill="auto"/>
            <w:noWrap/>
            <w:vAlign w:val="bottom"/>
            <w:hideMark/>
          </w:tcPr>
          <w:p w14:paraId="5E7052A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(6)</w:t>
            </w:r>
          </w:p>
        </w:tc>
      </w:tr>
      <w:tr w:rsidR="00FC65F2" w:rsidRPr="00FC65F2" w14:paraId="6B443BFB"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0109D4AA"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11th-Grade Dropout Rate</w:t>
            </w:r>
          </w:p>
        </w:tc>
        <w:tc>
          <w:tcPr>
            <w:tcW w:w="999" w:type="dxa"/>
            <w:tcBorders>
              <w:top w:val="nil"/>
              <w:left w:val="nil"/>
              <w:bottom w:val="nil"/>
              <w:right w:val="nil"/>
            </w:tcBorders>
            <w:shd w:val="clear" w:color="auto" w:fill="auto"/>
            <w:noWrap/>
            <w:vAlign w:val="bottom"/>
            <w:hideMark/>
          </w:tcPr>
          <w:p w14:paraId="7130340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0.038</w:t>
            </w:r>
          </w:p>
        </w:tc>
        <w:tc>
          <w:tcPr>
            <w:tcW w:w="966" w:type="dxa"/>
            <w:tcBorders>
              <w:top w:val="nil"/>
              <w:left w:val="nil"/>
              <w:bottom w:val="nil"/>
              <w:right w:val="nil"/>
            </w:tcBorders>
            <w:shd w:val="clear" w:color="auto" w:fill="auto"/>
            <w:noWrap/>
            <w:vAlign w:val="bottom"/>
            <w:hideMark/>
          </w:tcPr>
          <w:p w14:paraId="6147F7A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0.022</w:t>
            </w:r>
          </w:p>
        </w:tc>
        <w:tc>
          <w:tcPr>
            <w:tcW w:w="1183" w:type="dxa"/>
            <w:tcBorders>
              <w:top w:val="nil"/>
              <w:left w:val="nil"/>
              <w:bottom w:val="nil"/>
              <w:right w:val="nil"/>
            </w:tcBorders>
            <w:shd w:val="clear" w:color="auto" w:fill="auto"/>
            <w:noWrap/>
            <w:vAlign w:val="bottom"/>
            <w:hideMark/>
          </w:tcPr>
          <w:p w14:paraId="20F5DA8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0.044</w:t>
            </w:r>
          </w:p>
        </w:tc>
        <w:tc>
          <w:tcPr>
            <w:tcW w:w="266" w:type="dxa"/>
            <w:tcBorders>
              <w:top w:val="nil"/>
              <w:left w:val="nil"/>
              <w:bottom w:val="nil"/>
              <w:right w:val="nil"/>
            </w:tcBorders>
            <w:shd w:val="clear" w:color="auto" w:fill="auto"/>
            <w:noWrap/>
            <w:vAlign w:val="bottom"/>
            <w:hideMark/>
          </w:tcPr>
          <w:p w14:paraId="12CE353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0BDCE26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0.025</w:t>
            </w:r>
          </w:p>
        </w:tc>
        <w:tc>
          <w:tcPr>
            <w:tcW w:w="982" w:type="dxa"/>
            <w:tcBorders>
              <w:top w:val="nil"/>
              <w:left w:val="nil"/>
              <w:bottom w:val="nil"/>
              <w:right w:val="nil"/>
            </w:tcBorders>
            <w:shd w:val="clear" w:color="auto" w:fill="auto"/>
            <w:noWrap/>
            <w:vAlign w:val="bottom"/>
            <w:hideMark/>
          </w:tcPr>
          <w:p w14:paraId="33E5D48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0.047</w:t>
            </w:r>
          </w:p>
        </w:tc>
        <w:tc>
          <w:tcPr>
            <w:tcW w:w="1183" w:type="dxa"/>
            <w:tcBorders>
              <w:top w:val="nil"/>
              <w:left w:val="nil"/>
              <w:bottom w:val="nil"/>
              <w:right w:val="nil"/>
            </w:tcBorders>
            <w:shd w:val="clear" w:color="auto" w:fill="auto"/>
            <w:noWrap/>
            <w:vAlign w:val="bottom"/>
            <w:hideMark/>
          </w:tcPr>
          <w:p w14:paraId="1316C30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0.041</w:t>
            </w:r>
          </w:p>
        </w:tc>
      </w:tr>
      <w:tr w:rsidR="00FC65F2" w:rsidRPr="00FC65F2" w14:paraId="411E416B"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33BDE99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17B83FB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(0.0387)</w:t>
            </w:r>
          </w:p>
        </w:tc>
        <w:tc>
          <w:tcPr>
            <w:tcW w:w="966" w:type="dxa"/>
            <w:tcBorders>
              <w:top w:val="nil"/>
              <w:left w:val="nil"/>
              <w:bottom w:val="nil"/>
              <w:right w:val="nil"/>
            </w:tcBorders>
            <w:shd w:val="clear" w:color="auto" w:fill="auto"/>
            <w:noWrap/>
            <w:vAlign w:val="bottom"/>
            <w:hideMark/>
          </w:tcPr>
          <w:p w14:paraId="1271503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(0.0100)</w:t>
            </w:r>
          </w:p>
        </w:tc>
        <w:tc>
          <w:tcPr>
            <w:tcW w:w="1183" w:type="dxa"/>
            <w:tcBorders>
              <w:top w:val="nil"/>
              <w:left w:val="nil"/>
              <w:bottom w:val="nil"/>
              <w:right w:val="nil"/>
            </w:tcBorders>
            <w:shd w:val="clear" w:color="auto" w:fill="auto"/>
            <w:noWrap/>
            <w:vAlign w:val="bottom"/>
            <w:hideMark/>
          </w:tcPr>
          <w:p w14:paraId="201EDD5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(0.0424)</w:t>
            </w:r>
          </w:p>
        </w:tc>
        <w:tc>
          <w:tcPr>
            <w:tcW w:w="266" w:type="dxa"/>
            <w:tcBorders>
              <w:top w:val="nil"/>
              <w:left w:val="nil"/>
              <w:bottom w:val="nil"/>
              <w:right w:val="nil"/>
            </w:tcBorders>
            <w:shd w:val="clear" w:color="auto" w:fill="auto"/>
            <w:noWrap/>
            <w:vAlign w:val="bottom"/>
            <w:hideMark/>
          </w:tcPr>
          <w:p w14:paraId="5B1E358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0F7B37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(0.0533)</w:t>
            </w:r>
          </w:p>
        </w:tc>
        <w:tc>
          <w:tcPr>
            <w:tcW w:w="982" w:type="dxa"/>
            <w:tcBorders>
              <w:top w:val="nil"/>
              <w:left w:val="nil"/>
              <w:bottom w:val="nil"/>
              <w:right w:val="nil"/>
            </w:tcBorders>
            <w:shd w:val="clear" w:color="auto" w:fill="auto"/>
            <w:noWrap/>
            <w:vAlign w:val="bottom"/>
            <w:hideMark/>
          </w:tcPr>
          <w:p w14:paraId="29ABA92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(0.0199)</w:t>
            </w:r>
          </w:p>
        </w:tc>
        <w:tc>
          <w:tcPr>
            <w:tcW w:w="1183" w:type="dxa"/>
            <w:tcBorders>
              <w:top w:val="nil"/>
              <w:left w:val="nil"/>
              <w:bottom w:val="nil"/>
              <w:right w:val="nil"/>
            </w:tcBorders>
            <w:shd w:val="clear" w:color="auto" w:fill="auto"/>
            <w:noWrap/>
            <w:vAlign w:val="bottom"/>
            <w:hideMark/>
          </w:tcPr>
          <w:p w14:paraId="3985125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(0.0368)</w:t>
            </w:r>
          </w:p>
        </w:tc>
      </w:tr>
      <w:tr w:rsidR="00FC65F2" w:rsidRPr="00FC65F2" w14:paraId="651D627A"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40C0723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31EAD21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[0.161]</w:t>
            </w:r>
          </w:p>
        </w:tc>
        <w:tc>
          <w:tcPr>
            <w:tcW w:w="966" w:type="dxa"/>
            <w:tcBorders>
              <w:top w:val="nil"/>
              <w:left w:val="nil"/>
              <w:bottom w:val="nil"/>
              <w:right w:val="nil"/>
            </w:tcBorders>
            <w:shd w:val="clear" w:color="auto" w:fill="auto"/>
            <w:noWrap/>
            <w:vAlign w:val="bottom"/>
            <w:hideMark/>
          </w:tcPr>
          <w:p w14:paraId="1889BC7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[0.015]</w:t>
            </w:r>
          </w:p>
        </w:tc>
        <w:tc>
          <w:tcPr>
            <w:tcW w:w="1183" w:type="dxa"/>
            <w:tcBorders>
              <w:top w:val="nil"/>
              <w:left w:val="nil"/>
              <w:bottom w:val="nil"/>
              <w:right w:val="nil"/>
            </w:tcBorders>
            <w:shd w:val="clear" w:color="auto" w:fill="auto"/>
            <w:noWrap/>
            <w:vAlign w:val="bottom"/>
            <w:hideMark/>
          </w:tcPr>
          <w:p w14:paraId="770F85A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[0.148]</w:t>
            </w:r>
          </w:p>
        </w:tc>
        <w:tc>
          <w:tcPr>
            <w:tcW w:w="266" w:type="dxa"/>
            <w:tcBorders>
              <w:top w:val="nil"/>
              <w:left w:val="nil"/>
              <w:bottom w:val="nil"/>
              <w:right w:val="nil"/>
            </w:tcBorders>
            <w:shd w:val="clear" w:color="auto" w:fill="auto"/>
            <w:noWrap/>
            <w:vAlign w:val="bottom"/>
            <w:hideMark/>
          </w:tcPr>
          <w:p w14:paraId="29875DD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928CD6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[0.321]</w:t>
            </w:r>
          </w:p>
        </w:tc>
        <w:tc>
          <w:tcPr>
            <w:tcW w:w="982" w:type="dxa"/>
            <w:tcBorders>
              <w:top w:val="nil"/>
              <w:left w:val="nil"/>
              <w:bottom w:val="nil"/>
              <w:right w:val="nil"/>
            </w:tcBorders>
            <w:shd w:val="clear" w:color="auto" w:fill="auto"/>
            <w:noWrap/>
            <w:vAlign w:val="bottom"/>
            <w:hideMark/>
          </w:tcPr>
          <w:p w14:paraId="3D5D251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[0.009]</w:t>
            </w:r>
          </w:p>
        </w:tc>
        <w:tc>
          <w:tcPr>
            <w:tcW w:w="1183" w:type="dxa"/>
            <w:tcBorders>
              <w:top w:val="nil"/>
              <w:left w:val="nil"/>
              <w:bottom w:val="nil"/>
              <w:right w:val="nil"/>
            </w:tcBorders>
            <w:shd w:val="clear" w:color="auto" w:fill="auto"/>
            <w:noWrap/>
            <w:vAlign w:val="bottom"/>
            <w:hideMark/>
          </w:tcPr>
          <w:p w14:paraId="3964A51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[0.132]</w:t>
            </w:r>
          </w:p>
        </w:tc>
      </w:tr>
      <w:tr w:rsidR="00FC65F2" w:rsidRPr="00FC65F2" w14:paraId="28323A26"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3357D25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4B2D1C4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92</w:t>
            </w:r>
          </w:p>
        </w:tc>
        <w:tc>
          <w:tcPr>
            <w:tcW w:w="966" w:type="dxa"/>
            <w:tcBorders>
              <w:top w:val="nil"/>
              <w:left w:val="nil"/>
              <w:bottom w:val="nil"/>
              <w:right w:val="nil"/>
            </w:tcBorders>
            <w:shd w:val="clear" w:color="auto" w:fill="auto"/>
            <w:noWrap/>
            <w:vAlign w:val="bottom"/>
            <w:hideMark/>
          </w:tcPr>
          <w:p w14:paraId="1CA2FDB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100</w:t>
            </w:r>
          </w:p>
        </w:tc>
        <w:tc>
          <w:tcPr>
            <w:tcW w:w="1183" w:type="dxa"/>
            <w:tcBorders>
              <w:top w:val="nil"/>
              <w:left w:val="nil"/>
              <w:bottom w:val="nil"/>
              <w:right w:val="nil"/>
            </w:tcBorders>
            <w:shd w:val="clear" w:color="auto" w:fill="auto"/>
            <w:noWrap/>
            <w:vAlign w:val="bottom"/>
            <w:hideMark/>
          </w:tcPr>
          <w:p w14:paraId="33EBAC6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54</w:t>
            </w:r>
          </w:p>
        </w:tc>
        <w:tc>
          <w:tcPr>
            <w:tcW w:w="266" w:type="dxa"/>
            <w:tcBorders>
              <w:top w:val="nil"/>
              <w:left w:val="nil"/>
              <w:bottom w:val="nil"/>
              <w:right w:val="nil"/>
            </w:tcBorders>
            <w:shd w:val="clear" w:color="auto" w:fill="auto"/>
            <w:noWrap/>
            <w:vAlign w:val="bottom"/>
            <w:hideMark/>
          </w:tcPr>
          <w:p w14:paraId="7342706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6DE9F4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92</w:t>
            </w:r>
          </w:p>
        </w:tc>
        <w:tc>
          <w:tcPr>
            <w:tcW w:w="982" w:type="dxa"/>
            <w:tcBorders>
              <w:top w:val="nil"/>
              <w:left w:val="nil"/>
              <w:bottom w:val="nil"/>
              <w:right w:val="nil"/>
            </w:tcBorders>
            <w:shd w:val="clear" w:color="auto" w:fill="auto"/>
            <w:noWrap/>
            <w:vAlign w:val="bottom"/>
            <w:hideMark/>
          </w:tcPr>
          <w:p w14:paraId="3590E61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100</w:t>
            </w:r>
          </w:p>
        </w:tc>
        <w:tc>
          <w:tcPr>
            <w:tcW w:w="1183" w:type="dxa"/>
            <w:tcBorders>
              <w:top w:val="nil"/>
              <w:left w:val="nil"/>
              <w:bottom w:val="nil"/>
              <w:right w:val="nil"/>
            </w:tcBorders>
            <w:shd w:val="clear" w:color="auto" w:fill="auto"/>
            <w:noWrap/>
            <w:vAlign w:val="bottom"/>
            <w:hideMark/>
          </w:tcPr>
          <w:p w14:paraId="12D8F4C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54</w:t>
            </w:r>
          </w:p>
        </w:tc>
      </w:tr>
      <w:tr w:rsidR="00FC65F2" w:rsidRPr="00FC65F2" w14:paraId="38595981"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29ED99D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1B32FB36" w14:textId="77777777" w:rsidR="00FC65F2" w:rsidRPr="00FC65F2" w:rsidRDefault="00FC65F2" w:rsidP="00FC65F2">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0DDC0C01"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4DC53D7B"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2D47D97"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4CE2BE88"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82" w:type="dxa"/>
            <w:tcBorders>
              <w:top w:val="nil"/>
              <w:left w:val="nil"/>
              <w:bottom w:val="nil"/>
              <w:right w:val="nil"/>
            </w:tcBorders>
            <w:shd w:val="clear" w:color="auto" w:fill="auto"/>
            <w:noWrap/>
            <w:vAlign w:val="bottom"/>
            <w:hideMark/>
          </w:tcPr>
          <w:p w14:paraId="31B4357C"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697493DC"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r>
      <w:tr w:rsidR="00FC65F2" w:rsidRPr="00FC65F2" w14:paraId="4F37DFA5"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56CB89FF"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12th-Grade Dropout Rate</w:t>
            </w:r>
          </w:p>
        </w:tc>
        <w:tc>
          <w:tcPr>
            <w:tcW w:w="999" w:type="dxa"/>
            <w:tcBorders>
              <w:top w:val="nil"/>
              <w:left w:val="nil"/>
              <w:bottom w:val="nil"/>
              <w:right w:val="nil"/>
            </w:tcBorders>
            <w:shd w:val="clear" w:color="auto" w:fill="auto"/>
            <w:noWrap/>
            <w:vAlign w:val="bottom"/>
            <w:hideMark/>
          </w:tcPr>
          <w:p w14:paraId="5979D73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0.059</w:t>
            </w:r>
          </w:p>
        </w:tc>
        <w:tc>
          <w:tcPr>
            <w:tcW w:w="966" w:type="dxa"/>
            <w:tcBorders>
              <w:top w:val="nil"/>
              <w:left w:val="nil"/>
              <w:bottom w:val="nil"/>
              <w:right w:val="nil"/>
            </w:tcBorders>
            <w:shd w:val="clear" w:color="auto" w:fill="auto"/>
            <w:noWrap/>
            <w:vAlign w:val="bottom"/>
            <w:hideMark/>
          </w:tcPr>
          <w:p w14:paraId="3241980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0.021</w:t>
            </w:r>
          </w:p>
        </w:tc>
        <w:tc>
          <w:tcPr>
            <w:tcW w:w="1183" w:type="dxa"/>
            <w:tcBorders>
              <w:top w:val="nil"/>
              <w:left w:val="nil"/>
              <w:bottom w:val="nil"/>
              <w:right w:val="nil"/>
            </w:tcBorders>
            <w:shd w:val="clear" w:color="auto" w:fill="auto"/>
            <w:noWrap/>
            <w:vAlign w:val="bottom"/>
            <w:hideMark/>
          </w:tcPr>
          <w:p w14:paraId="1971BF2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0.048</w:t>
            </w:r>
          </w:p>
        </w:tc>
        <w:tc>
          <w:tcPr>
            <w:tcW w:w="266" w:type="dxa"/>
            <w:tcBorders>
              <w:top w:val="nil"/>
              <w:left w:val="nil"/>
              <w:bottom w:val="nil"/>
              <w:right w:val="nil"/>
            </w:tcBorders>
            <w:shd w:val="clear" w:color="auto" w:fill="auto"/>
            <w:noWrap/>
            <w:vAlign w:val="bottom"/>
            <w:hideMark/>
          </w:tcPr>
          <w:p w14:paraId="3BBEEBA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66306C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0.070</w:t>
            </w:r>
          </w:p>
        </w:tc>
        <w:tc>
          <w:tcPr>
            <w:tcW w:w="982" w:type="dxa"/>
            <w:tcBorders>
              <w:top w:val="nil"/>
              <w:left w:val="nil"/>
              <w:bottom w:val="nil"/>
              <w:right w:val="nil"/>
            </w:tcBorders>
            <w:shd w:val="clear" w:color="auto" w:fill="auto"/>
            <w:noWrap/>
            <w:vAlign w:val="bottom"/>
            <w:hideMark/>
          </w:tcPr>
          <w:p w14:paraId="400831C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0.025</w:t>
            </w:r>
          </w:p>
        </w:tc>
        <w:tc>
          <w:tcPr>
            <w:tcW w:w="1183" w:type="dxa"/>
            <w:tcBorders>
              <w:top w:val="nil"/>
              <w:left w:val="nil"/>
              <w:bottom w:val="nil"/>
              <w:right w:val="nil"/>
            </w:tcBorders>
            <w:shd w:val="clear" w:color="auto" w:fill="auto"/>
            <w:noWrap/>
            <w:vAlign w:val="bottom"/>
            <w:hideMark/>
          </w:tcPr>
          <w:p w14:paraId="156B44B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0.091</w:t>
            </w:r>
          </w:p>
        </w:tc>
      </w:tr>
      <w:tr w:rsidR="00FC65F2" w:rsidRPr="00FC65F2" w14:paraId="7C71E577"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2D8B9B8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5FD9602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(0.0631)</w:t>
            </w:r>
          </w:p>
        </w:tc>
        <w:tc>
          <w:tcPr>
            <w:tcW w:w="966" w:type="dxa"/>
            <w:tcBorders>
              <w:top w:val="nil"/>
              <w:left w:val="nil"/>
              <w:bottom w:val="nil"/>
              <w:right w:val="nil"/>
            </w:tcBorders>
            <w:shd w:val="clear" w:color="auto" w:fill="auto"/>
            <w:noWrap/>
            <w:vAlign w:val="bottom"/>
            <w:hideMark/>
          </w:tcPr>
          <w:p w14:paraId="314BA70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(0.0310)</w:t>
            </w:r>
          </w:p>
        </w:tc>
        <w:tc>
          <w:tcPr>
            <w:tcW w:w="1183" w:type="dxa"/>
            <w:tcBorders>
              <w:top w:val="nil"/>
              <w:left w:val="nil"/>
              <w:bottom w:val="nil"/>
              <w:right w:val="nil"/>
            </w:tcBorders>
            <w:shd w:val="clear" w:color="auto" w:fill="auto"/>
            <w:noWrap/>
            <w:vAlign w:val="bottom"/>
            <w:hideMark/>
          </w:tcPr>
          <w:p w14:paraId="3E532A4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(0.0457)</w:t>
            </w:r>
          </w:p>
        </w:tc>
        <w:tc>
          <w:tcPr>
            <w:tcW w:w="266" w:type="dxa"/>
            <w:tcBorders>
              <w:top w:val="nil"/>
              <w:left w:val="nil"/>
              <w:bottom w:val="nil"/>
              <w:right w:val="nil"/>
            </w:tcBorders>
            <w:shd w:val="clear" w:color="auto" w:fill="auto"/>
            <w:noWrap/>
            <w:vAlign w:val="bottom"/>
            <w:hideMark/>
          </w:tcPr>
          <w:p w14:paraId="1789E03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F6BE34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(0.0627)</w:t>
            </w:r>
          </w:p>
        </w:tc>
        <w:tc>
          <w:tcPr>
            <w:tcW w:w="982" w:type="dxa"/>
            <w:tcBorders>
              <w:top w:val="nil"/>
              <w:left w:val="nil"/>
              <w:bottom w:val="nil"/>
              <w:right w:val="nil"/>
            </w:tcBorders>
            <w:shd w:val="clear" w:color="auto" w:fill="auto"/>
            <w:noWrap/>
            <w:vAlign w:val="bottom"/>
            <w:hideMark/>
          </w:tcPr>
          <w:p w14:paraId="08FA8B8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(0.0533)</w:t>
            </w:r>
          </w:p>
        </w:tc>
        <w:tc>
          <w:tcPr>
            <w:tcW w:w="1183" w:type="dxa"/>
            <w:tcBorders>
              <w:top w:val="nil"/>
              <w:left w:val="nil"/>
              <w:bottom w:val="nil"/>
              <w:right w:val="nil"/>
            </w:tcBorders>
            <w:shd w:val="clear" w:color="auto" w:fill="auto"/>
            <w:noWrap/>
            <w:vAlign w:val="bottom"/>
            <w:hideMark/>
          </w:tcPr>
          <w:p w14:paraId="0EC6D1F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(0.0698)</w:t>
            </w:r>
          </w:p>
        </w:tc>
      </w:tr>
      <w:tr w:rsidR="00FC65F2" w:rsidRPr="00FC65F2" w14:paraId="284FA353"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387D064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2F66E25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[0.177]</w:t>
            </w:r>
          </w:p>
        </w:tc>
        <w:tc>
          <w:tcPr>
            <w:tcW w:w="966" w:type="dxa"/>
            <w:tcBorders>
              <w:top w:val="nil"/>
              <w:left w:val="nil"/>
              <w:bottom w:val="nil"/>
              <w:right w:val="nil"/>
            </w:tcBorders>
            <w:shd w:val="clear" w:color="auto" w:fill="auto"/>
            <w:noWrap/>
            <w:vAlign w:val="bottom"/>
            <w:hideMark/>
          </w:tcPr>
          <w:p w14:paraId="1905991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[0.253]</w:t>
            </w:r>
          </w:p>
        </w:tc>
        <w:tc>
          <w:tcPr>
            <w:tcW w:w="1183" w:type="dxa"/>
            <w:tcBorders>
              <w:top w:val="nil"/>
              <w:left w:val="nil"/>
              <w:bottom w:val="nil"/>
              <w:right w:val="nil"/>
            </w:tcBorders>
            <w:shd w:val="clear" w:color="auto" w:fill="auto"/>
            <w:noWrap/>
            <w:vAlign w:val="bottom"/>
            <w:hideMark/>
          </w:tcPr>
          <w:p w14:paraId="06CFDD4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[0.148]</w:t>
            </w:r>
          </w:p>
        </w:tc>
        <w:tc>
          <w:tcPr>
            <w:tcW w:w="266" w:type="dxa"/>
            <w:tcBorders>
              <w:top w:val="nil"/>
              <w:left w:val="nil"/>
              <w:bottom w:val="nil"/>
              <w:right w:val="nil"/>
            </w:tcBorders>
            <w:shd w:val="clear" w:color="auto" w:fill="auto"/>
            <w:noWrap/>
            <w:vAlign w:val="bottom"/>
            <w:hideMark/>
          </w:tcPr>
          <w:p w14:paraId="6F67D9C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7E1ABF5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[0.133]</w:t>
            </w:r>
          </w:p>
        </w:tc>
        <w:tc>
          <w:tcPr>
            <w:tcW w:w="982" w:type="dxa"/>
            <w:tcBorders>
              <w:top w:val="nil"/>
              <w:left w:val="nil"/>
              <w:bottom w:val="nil"/>
              <w:right w:val="nil"/>
            </w:tcBorders>
            <w:shd w:val="clear" w:color="auto" w:fill="auto"/>
            <w:noWrap/>
            <w:vAlign w:val="bottom"/>
            <w:hideMark/>
          </w:tcPr>
          <w:p w14:paraId="632A9BC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[0.323]</w:t>
            </w:r>
          </w:p>
        </w:tc>
        <w:tc>
          <w:tcPr>
            <w:tcW w:w="1183" w:type="dxa"/>
            <w:tcBorders>
              <w:top w:val="nil"/>
              <w:left w:val="nil"/>
              <w:bottom w:val="nil"/>
              <w:right w:val="nil"/>
            </w:tcBorders>
            <w:shd w:val="clear" w:color="auto" w:fill="auto"/>
            <w:noWrap/>
            <w:vAlign w:val="bottom"/>
            <w:hideMark/>
          </w:tcPr>
          <w:p w14:paraId="74A63BC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[0.098]</w:t>
            </w:r>
          </w:p>
        </w:tc>
      </w:tr>
      <w:tr w:rsidR="00FC65F2" w:rsidRPr="00FC65F2" w14:paraId="47DC9488"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123967D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3F508D6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121</w:t>
            </w:r>
          </w:p>
        </w:tc>
        <w:tc>
          <w:tcPr>
            <w:tcW w:w="966" w:type="dxa"/>
            <w:tcBorders>
              <w:top w:val="nil"/>
              <w:left w:val="nil"/>
              <w:bottom w:val="nil"/>
              <w:right w:val="nil"/>
            </w:tcBorders>
            <w:shd w:val="clear" w:color="auto" w:fill="auto"/>
            <w:noWrap/>
            <w:vAlign w:val="bottom"/>
            <w:hideMark/>
          </w:tcPr>
          <w:p w14:paraId="104D5F0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147</w:t>
            </w:r>
          </w:p>
        </w:tc>
        <w:tc>
          <w:tcPr>
            <w:tcW w:w="1183" w:type="dxa"/>
            <w:tcBorders>
              <w:top w:val="nil"/>
              <w:left w:val="nil"/>
              <w:bottom w:val="nil"/>
              <w:right w:val="nil"/>
            </w:tcBorders>
            <w:shd w:val="clear" w:color="auto" w:fill="auto"/>
            <w:noWrap/>
            <w:vAlign w:val="bottom"/>
            <w:hideMark/>
          </w:tcPr>
          <w:p w14:paraId="0343EC7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65</w:t>
            </w:r>
          </w:p>
        </w:tc>
        <w:tc>
          <w:tcPr>
            <w:tcW w:w="266" w:type="dxa"/>
            <w:tcBorders>
              <w:top w:val="nil"/>
              <w:left w:val="nil"/>
              <w:bottom w:val="nil"/>
              <w:right w:val="nil"/>
            </w:tcBorders>
            <w:shd w:val="clear" w:color="auto" w:fill="auto"/>
            <w:noWrap/>
            <w:vAlign w:val="bottom"/>
            <w:hideMark/>
          </w:tcPr>
          <w:p w14:paraId="5FD2241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BBF179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121</w:t>
            </w:r>
          </w:p>
        </w:tc>
        <w:tc>
          <w:tcPr>
            <w:tcW w:w="982" w:type="dxa"/>
            <w:tcBorders>
              <w:top w:val="nil"/>
              <w:left w:val="nil"/>
              <w:bottom w:val="nil"/>
              <w:right w:val="nil"/>
            </w:tcBorders>
            <w:shd w:val="clear" w:color="auto" w:fill="auto"/>
            <w:noWrap/>
            <w:vAlign w:val="bottom"/>
            <w:hideMark/>
          </w:tcPr>
          <w:p w14:paraId="0CF8E42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147</w:t>
            </w:r>
          </w:p>
        </w:tc>
        <w:tc>
          <w:tcPr>
            <w:tcW w:w="1183" w:type="dxa"/>
            <w:tcBorders>
              <w:top w:val="nil"/>
              <w:left w:val="nil"/>
              <w:bottom w:val="nil"/>
              <w:right w:val="nil"/>
            </w:tcBorders>
            <w:shd w:val="clear" w:color="auto" w:fill="auto"/>
            <w:noWrap/>
            <w:vAlign w:val="bottom"/>
            <w:hideMark/>
          </w:tcPr>
          <w:p w14:paraId="4355A66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65</w:t>
            </w:r>
          </w:p>
        </w:tc>
      </w:tr>
      <w:tr w:rsidR="00FC65F2" w:rsidRPr="00FC65F2" w14:paraId="4EC15A4F"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743AEF3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13F7C13D" w14:textId="77777777" w:rsidR="00FC65F2" w:rsidRPr="00FC65F2" w:rsidRDefault="00FC65F2" w:rsidP="00FC65F2">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22BCF3BD"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45DF6470"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61D012B"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41C2985A"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82" w:type="dxa"/>
            <w:tcBorders>
              <w:top w:val="nil"/>
              <w:left w:val="nil"/>
              <w:bottom w:val="nil"/>
              <w:right w:val="nil"/>
            </w:tcBorders>
            <w:shd w:val="clear" w:color="auto" w:fill="auto"/>
            <w:noWrap/>
            <w:vAlign w:val="bottom"/>
            <w:hideMark/>
          </w:tcPr>
          <w:p w14:paraId="615B8458"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0EF10108"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r>
      <w:tr w:rsidR="00FC65F2" w:rsidRPr="00FC65F2" w14:paraId="068FAC87"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6AB270B3"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11th-Grade Chronic Absenteeism</w:t>
            </w:r>
          </w:p>
        </w:tc>
        <w:tc>
          <w:tcPr>
            <w:tcW w:w="999" w:type="dxa"/>
            <w:tcBorders>
              <w:top w:val="nil"/>
              <w:left w:val="nil"/>
              <w:bottom w:val="nil"/>
              <w:right w:val="nil"/>
            </w:tcBorders>
            <w:shd w:val="clear" w:color="auto" w:fill="auto"/>
            <w:noWrap/>
            <w:vAlign w:val="bottom"/>
            <w:hideMark/>
          </w:tcPr>
          <w:p w14:paraId="5A9A615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-0.035</w:t>
            </w:r>
          </w:p>
        </w:tc>
        <w:tc>
          <w:tcPr>
            <w:tcW w:w="966" w:type="dxa"/>
            <w:tcBorders>
              <w:top w:val="nil"/>
              <w:left w:val="nil"/>
              <w:bottom w:val="nil"/>
              <w:right w:val="nil"/>
            </w:tcBorders>
            <w:shd w:val="clear" w:color="auto" w:fill="auto"/>
            <w:noWrap/>
            <w:vAlign w:val="bottom"/>
            <w:hideMark/>
          </w:tcPr>
          <w:p w14:paraId="6F95FA8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0.281</w:t>
            </w:r>
          </w:p>
        </w:tc>
        <w:tc>
          <w:tcPr>
            <w:tcW w:w="1183" w:type="dxa"/>
            <w:tcBorders>
              <w:top w:val="nil"/>
              <w:left w:val="nil"/>
              <w:bottom w:val="nil"/>
              <w:right w:val="nil"/>
            </w:tcBorders>
            <w:shd w:val="clear" w:color="auto" w:fill="auto"/>
            <w:noWrap/>
            <w:vAlign w:val="bottom"/>
            <w:hideMark/>
          </w:tcPr>
          <w:p w14:paraId="67BA2E9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0.034</w:t>
            </w:r>
          </w:p>
        </w:tc>
        <w:tc>
          <w:tcPr>
            <w:tcW w:w="266" w:type="dxa"/>
            <w:tcBorders>
              <w:top w:val="nil"/>
              <w:left w:val="nil"/>
              <w:bottom w:val="nil"/>
              <w:right w:val="nil"/>
            </w:tcBorders>
            <w:shd w:val="clear" w:color="auto" w:fill="auto"/>
            <w:noWrap/>
            <w:vAlign w:val="bottom"/>
            <w:hideMark/>
          </w:tcPr>
          <w:p w14:paraId="6C9B482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C2CCBF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-0.028</w:t>
            </w:r>
          </w:p>
        </w:tc>
        <w:tc>
          <w:tcPr>
            <w:tcW w:w="982" w:type="dxa"/>
            <w:tcBorders>
              <w:top w:val="nil"/>
              <w:left w:val="nil"/>
              <w:bottom w:val="nil"/>
              <w:right w:val="nil"/>
            </w:tcBorders>
            <w:shd w:val="clear" w:color="auto" w:fill="auto"/>
            <w:noWrap/>
            <w:vAlign w:val="bottom"/>
            <w:hideMark/>
          </w:tcPr>
          <w:p w14:paraId="7D990EC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0.255</w:t>
            </w:r>
          </w:p>
        </w:tc>
        <w:tc>
          <w:tcPr>
            <w:tcW w:w="1183" w:type="dxa"/>
            <w:tcBorders>
              <w:top w:val="nil"/>
              <w:left w:val="nil"/>
              <w:bottom w:val="nil"/>
              <w:right w:val="nil"/>
            </w:tcBorders>
            <w:shd w:val="clear" w:color="auto" w:fill="auto"/>
            <w:noWrap/>
            <w:vAlign w:val="bottom"/>
            <w:hideMark/>
          </w:tcPr>
          <w:p w14:paraId="73D9D36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-0.018</w:t>
            </w:r>
          </w:p>
        </w:tc>
      </w:tr>
      <w:tr w:rsidR="00FC65F2" w:rsidRPr="00FC65F2" w14:paraId="0796ACEF"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50DA5AA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63D3DD6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(0.1380)</w:t>
            </w:r>
          </w:p>
        </w:tc>
        <w:tc>
          <w:tcPr>
            <w:tcW w:w="966" w:type="dxa"/>
            <w:tcBorders>
              <w:top w:val="nil"/>
              <w:left w:val="nil"/>
              <w:bottom w:val="nil"/>
              <w:right w:val="nil"/>
            </w:tcBorders>
            <w:shd w:val="clear" w:color="auto" w:fill="auto"/>
            <w:noWrap/>
            <w:vAlign w:val="bottom"/>
            <w:hideMark/>
          </w:tcPr>
          <w:p w14:paraId="51E1AF7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(0.2050)</w:t>
            </w:r>
          </w:p>
        </w:tc>
        <w:tc>
          <w:tcPr>
            <w:tcW w:w="1183" w:type="dxa"/>
            <w:tcBorders>
              <w:top w:val="nil"/>
              <w:left w:val="nil"/>
              <w:bottom w:val="nil"/>
              <w:right w:val="nil"/>
            </w:tcBorders>
            <w:shd w:val="clear" w:color="auto" w:fill="auto"/>
            <w:noWrap/>
            <w:vAlign w:val="bottom"/>
            <w:hideMark/>
          </w:tcPr>
          <w:p w14:paraId="5A15CD3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(0.0664)</w:t>
            </w:r>
          </w:p>
        </w:tc>
        <w:tc>
          <w:tcPr>
            <w:tcW w:w="266" w:type="dxa"/>
            <w:tcBorders>
              <w:top w:val="nil"/>
              <w:left w:val="nil"/>
              <w:bottom w:val="nil"/>
              <w:right w:val="nil"/>
            </w:tcBorders>
            <w:shd w:val="clear" w:color="auto" w:fill="auto"/>
            <w:noWrap/>
            <w:vAlign w:val="bottom"/>
            <w:hideMark/>
          </w:tcPr>
          <w:p w14:paraId="116E6E0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480D5F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(0.1130)</w:t>
            </w:r>
          </w:p>
        </w:tc>
        <w:tc>
          <w:tcPr>
            <w:tcW w:w="982" w:type="dxa"/>
            <w:tcBorders>
              <w:top w:val="nil"/>
              <w:left w:val="nil"/>
              <w:bottom w:val="nil"/>
              <w:right w:val="nil"/>
            </w:tcBorders>
            <w:shd w:val="clear" w:color="auto" w:fill="auto"/>
            <w:noWrap/>
            <w:vAlign w:val="bottom"/>
            <w:hideMark/>
          </w:tcPr>
          <w:p w14:paraId="6D9D5E7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(0.1890)</w:t>
            </w:r>
          </w:p>
        </w:tc>
        <w:tc>
          <w:tcPr>
            <w:tcW w:w="1183" w:type="dxa"/>
            <w:tcBorders>
              <w:top w:val="nil"/>
              <w:left w:val="nil"/>
              <w:bottom w:val="nil"/>
              <w:right w:val="nil"/>
            </w:tcBorders>
            <w:shd w:val="clear" w:color="auto" w:fill="auto"/>
            <w:noWrap/>
            <w:vAlign w:val="bottom"/>
            <w:hideMark/>
          </w:tcPr>
          <w:p w14:paraId="493EC19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(0.0657)</w:t>
            </w:r>
          </w:p>
        </w:tc>
      </w:tr>
      <w:tr w:rsidR="00FC65F2" w:rsidRPr="00FC65F2" w14:paraId="536ECF80"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3A74FAD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34C7851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[0.401]</w:t>
            </w:r>
          </w:p>
        </w:tc>
        <w:tc>
          <w:tcPr>
            <w:tcW w:w="966" w:type="dxa"/>
            <w:tcBorders>
              <w:top w:val="nil"/>
              <w:left w:val="nil"/>
              <w:bottom w:val="nil"/>
              <w:right w:val="nil"/>
            </w:tcBorders>
            <w:shd w:val="clear" w:color="auto" w:fill="auto"/>
            <w:noWrap/>
            <w:vAlign w:val="bottom"/>
            <w:hideMark/>
          </w:tcPr>
          <w:p w14:paraId="6549704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[0.086]</w:t>
            </w:r>
          </w:p>
        </w:tc>
        <w:tc>
          <w:tcPr>
            <w:tcW w:w="1183" w:type="dxa"/>
            <w:tcBorders>
              <w:top w:val="nil"/>
              <w:left w:val="nil"/>
              <w:bottom w:val="nil"/>
              <w:right w:val="nil"/>
            </w:tcBorders>
            <w:shd w:val="clear" w:color="auto" w:fill="auto"/>
            <w:noWrap/>
            <w:vAlign w:val="bottom"/>
            <w:hideMark/>
          </w:tcPr>
          <w:p w14:paraId="4D66864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[0.307]</w:t>
            </w:r>
          </w:p>
        </w:tc>
        <w:tc>
          <w:tcPr>
            <w:tcW w:w="266" w:type="dxa"/>
            <w:tcBorders>
              <w:top w:val="nil"/>
              <w:left w:val="nil"/>
              <w:bottom w:val="nil"/>
              <w:right w:val="nil"/>
            </w:tcBorders>
            <w:shd w:val="clear" w:color="auto" w:fill="auto"/>
            <w:noWrap/>
            <w:vAlign w:val="bottom"/>
            <w:hideMark/>
          </w:tcPr>
          <w:p w14:paraId="713B1E9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0412B42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[0.403]</w:t>
            </w:r>
          </w:p>
        </w:tc>
        <w:tc>
          <w:tcPr>
            <w:tcW w:w="982" w:type="dxa"/>
            <w:tcBorders>
              <w:top w:val="nil"/>
              <w:left w:val="nil"/>
              <w:bottom w:val="nil"/>
              <w:right w:val="nil"/>
            </w:tcBorders>
            <w:shd w:val="clear" w:color="auto" w:fill="auto"/>
            <w:noWrap/>
            <w:vAlign w:val="bottom"/>
            <w:hideMark/>
          </w:tcPr>
          <w:p w14:paraId="5C94D49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[0.089]</w:t>
            </w:r>
          </w:p>
        </w:tc>
        <w:tc>
          <w:tcPr>
            <w:tcW w:w="1183" w:type="dxa"/>
            <w:tcBorders>
              <w:top w:val="nil"/>
              <w:left w:val="nil"/>
              <w:bottom w:val="nil"/>
              <w:right w:val="nil"/>
            </w:tcBorders>
            <w:shd w:val="clear" w:color="auto" w:fill="auto"/>
            <w:noWrap/>
            <w:vAlign w:val="bottom"/>
            <w:hideMark/>
          </w:tcPr>
          <w:p w14:paraId="54AB873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[0.393]</w:t>
            </w:r>
          </w:p>
        </w:tc>
      </w:tr>
      <w:tr w:rsidR="00FC65F2" w:rsidRPr="00FC65F2" w14:paraId="785BE2AD"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5D1B33C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779DF75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124</w:t>
            </w:r>
          </w:p>
        </w:tc>
        <w:tc>
          <w:tcPr>
            <w:tcW w:w="966" w:type="dxa"/>
            <w:tcBorders>
              <w:top w:val="nil"/>
              <w:left w:val="nil"/>
              <w:bottom w:val="nil"/>
              <w:right w:val="nil"/>
            </w:tcBorders>
            <w:shd w:val="clear" w:color="auto" w:fill="auto"/>
            <w:noWrap/>
            <w:vAlign w:val="bottom"/>
            <w:hideMark/>
          </w:tcPr>
          <w:p w14:paraId="0226983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138</w:t>
            </w:r>
          </w:p>
        </w:tc>
        <w:tc>
          <w:tcPr>
            <w:tcW w:w="1183" w:type="dxa"/>
            <w:tcBorders>
              <w:top w:val="nil"/>
              <w:left w:val="nil"/>
              <w:bottom w:val="nil"/>
              <w:right w:val="nil"/>
            </w:tcBorders>
            <w:shd w:val="clear" w:color="auto" w:fill="auto"/>
            <w:noWrap/>
            <w:vAlign w:val="bottom"/>
            <w:hideMark/>
          </w:tcPr>
          <w:p w14:paraId="1DAAB7D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54</w:t>
            </w:r>
          </w:p>
        </w:tc>
        <w:tc>
          <w:tcPr>
            <w:tcW w:w="266" w:type="dxa"/>
            <w:tcBorders>
              <w:top w:val="nil"/>
              <w:left w:val="nil"/>
              <w:bottom w:val="nil"/>
              <w:right w:val="nil"/>
            </w:tcBorders>
            <w:shd w:val="clear" w:color="auto" w:fill="auto"/>
            <w:noWrap/>
            <w:vAlign w:val="bottom"/>
            <w:hideMark/>
          </w:tcPr>
          <w:p w14:paraId="395AC97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6AEF79F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124</w:t>
            </w:r>
          </w:p>
        </w:tc>
        <w:tc>
          <w:tcPr>
            <w:tcW w:w="982" w:type="dxa"/>
            <w:tcBorders>
              <w:top w:val="nil"/>
              <w:left w:val="nil"/>
              <w:bottom w:val="nil"/>
              <w:right w:val="nil"/>
            </w:tcBorders>
            <w:shd w:val="clear" w:color="auto" w:fill="auto"/>
            <w:noWrap/>
            <w:vAlign w:val="bottom"/>
            <w:hideMark/>
          </w:tcPr>
          <w:p w14:paraId="00282C7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138</w:t>
            </w:r>
          </w:p>
        </w:tc>
        <w:tc>
          <w:tcPr>
            <w:tcW w:w="1183" w:type="dxa"/>
            <w:tcBorders>
              <w:top w:val="nil"/>
              <w:left w:val="nil"/>
              <w:bottom w:val="nil"/>
              <w:right w:val="nil"/>
            </w:tcBorders>
            <w:shd w:val="clear" w:color="auto" w:fill="auto"/>
            <w:noWrap/>
            <w:vAlign w:val="bottom"/>
            <w:hideMark/>
          </w:tcPr>
          <w:p w14:paraId="203DA7D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54</w:t>
            </w:r>
          </w:p>
        </w:tc>
      </w:tr>
      <w:tr w:rsidR="00FC65F2" w:rsidRPr="00FC65F2" w14:paraId="4087A86F"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781408B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339E8CA0" w14:textId="77777777" w:rsidR="00FC65F2" w:rsidRPr="00FC65F2" w:rsidRDefault="00FC65F2" w:rsidP="00FC65F2">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6485A89F"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76A2B513"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B098785"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7A0EFA2"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82" w:type="dxa"/>
            <w:tcBorders>
              <w:top w:val="nil"/>
              <w:left w:val="nil"/>
              <w:bottom w:val="nil"/>
              <w:right w:val="nil"/>
            </w:tcBorders>
            <w:shd w:val="clear" w:color="auto" w:fill="auto"/>
            <w:noWrap/>
            <w:vAlign w:val="bottom"/>
            <w:hideMark/>
          </w:tcPr>
          <w:p w14:paraId="1415C610"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225C0DBC"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r>
      <w:tr w:rsidR="00FC65F2" w:rsidRPr="00FC65F2" w14:paraId="038486FF"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2F557A93"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12th-Grade Chronic Absenteeism</w:t>
            </w:r>
          </w:p>
        </w:tc>
        <w:tc>
          <w:tcPr>
            <w:tcW w:w="999" w:type="dxa"/>
            <w:tcBorders>
              <w:top w:val="nil"/>
              <w:left w:val="nil"/>
              <w:bottom w:val="nil"/>
              <w:right w:val="nil"/>
            </w:tcBorders>
            <w:shd w:val="clear" w:color="auto" w:fill="auto"/>
            <w:noWrap/>
            <w:vAlign w:val="bottom"/>
            <w:hideMark/>
          </w:tcPr>
          <w:p w14:paraId="7D4C217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-0.041</w:t>
            </w:r>
          </w:p>
        </w:tc>
        <w:tc>
          <w:tcPr>
            <w:tcW w:w="966" w:type="dxa"/>
            <w:tcBorders>
              <w:top w:val="nil"/>
              <w:left w:val="nil"/>
              <w:bottom w:val="nil"/>
              <w:right w:val="nil"/>
            </w:tcBorders>
            <w:shd w:val="clear" w:color="auto" w:fill="auto"/>
            <w:noWrap/>
            <w:vAlign w:val="bottom"/>
            <w:hideMark/>
          </w:tcPr>
          <w:p w14:paraId="6CAD61D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0.254</w:t>
            </w:r>
          </w:p>
        </w:tc>
        <w:tc>
          <w:tcPr>
            <w:tcW w:w="1183" w:type="dxa"/>
            <w:tcBorders>
              <w:top w:val="nil"/>
              <w:left w:val="nil"/>
              <w:bottom w:val="nil"/>
              <w:right w:val="nil"/>
            </w:tcBorders>
            <w:shd w:val="clear" w:color="auto" w:fill="auto"/>
            <w:noWrap/>
            <w:vAlign w:val="bottom"/>
            <w:hideMark/>
          </w:tcPr>
          <w:p w14:paraId="528F868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0.080</w:t>
            </w:r>
          </w:p>
        </w:tc>
        <w:tc>
          <w:tcPr>
            <w:tcW w:w="266" w:type="dxa"/>
            <w:tcBorders>
              <w:top w:val="nil"/>
              <w:left w:val="nil"/>
              <w:bottom w:val="nil"/>
              <w:right w:val="nil"/>
            </w:tcBorders>
            <w:shd w:val="clear" w:color="auto" w:fill="auto"/>
            <w:noWrap/>
            <w:vAlign w:val="bottom"/>
            <w:hideMark/>
          </w:tcPr>
          <w:p w14:paraId="67294BB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649FDA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0.012</w:t>
            </w:r>
          </w:p>
        </w:tc>
        <w:tc>
          <w:tcPr>
            <w:tcW w:w="982" w:type="dxa"/>
            <w:tcBorders>
              <w:top w:val="nil"/>
              <w:left w:val="nil"/>
              <w:bottom w:val="nil"/>
              <w:right w:val="nil"/>
            </w:tcBorders>
            <w:shd w:val="clear" w:color="auto" w:fill="auto"/>
            <w:noWrap/>
            <w:vAlign w:val="bottom"/>
            <w:hideMark/>
          </w:tcPr>
          <w:p w14:paraId="4F93B6A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0.201</w:t>
            </w:r>
          </w:p>
        </w:tc>
        <w:tc>
          <w:tcPr>
            <w:tcW w:w="1183" w:type="dxa"/>
            <w:tcBorders>
              <w:top w:val="nil"/>
              <w:left w:val="nil"/>
              <w:bottom w:val="nil"/>
              <w:right w:val="nil"/>
            </w:tcBorders>
            <w:shd w:val="clear" w:color="auto" w:fill="auto"/>
            <w:noWrap/>
            <w:vAlign w:val="bottom"/>
            <w:hideMark/>
          </w:tcPr>
          <w:p w14:paraId="70D3AC4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0.009</w:t>
            </w:r>
          </w:p>
        </w:tc>
      </w:tr>
      <w:tr w:rsidR="00FC65F2" w:rsidRPr="00FC65F2" w14:paraId="28733F33"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0E3B937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1E952A3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(0.1480)</w:t>
            </w:r>
          </w:p>
        </w:tc>
        <w:tc>
          <w:tcPr>
            <w:tcW w:w="966" w:type="dxa"/>
            <w:tcBorders>
              <w:top w:val="nil"/>
              <w:left w:val="nil"/>
              <w:bottom w:val="nil"/>
              <w:right w:val="nil"/>
            </w:tcBorders>
            <w:shd w:val="clear" w:color="auto" w:fill="auto"/>
            <w:noWrap/>
            <w:vAlign w:val="bottom"/>
            <w:hideMark/>
          </w:tcPr>
          <w:p w14:paraId="5B81BF6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(0.1540)</w:t>
            </w:r>
          </w:p>
        </w:tc>
        <w:tc>
          <w:tcPr>
            <w:tcW w:w="1183" w:type="dxa"/>
            <w:tcBorders>
              <w:top w:val="nil"/>
              <w:left w:val="nil"/>
              <w:bottom w:val="nil"/>
              <w:right w:val="nil"/>
            </w:tcBorders>
            <w:shd w:val="clear" w:color="auto" w:fill="auto"/>
            <w:noWrap/>
            <w:vAlign w:val="bottom"/>
            <w:hideMark/>
          </w:tcPr>
          <w:p w14:paraId="1B996F9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(0.0625)</w:t>
            </w:r>
          </w:p>
        </w:tc>
        <w:tc>
          <w:tcPr>
            <w:tcW w:w="266" w:type="dxa"/>
            <w:tcBorders>
              <w:top w:val="nil"/>
              <w:left w:val="nil"/>
              <w:bottom w:val="nil"/>
              <w:right w:val="nil"/>
            </w:tcBorders>
            <w:shd w:val="clear" w:color="auto" w:fill="auto"/>
            <w:noWrap/>
            <w:vAlign w:val="bottom"/>
            <w:hideMark/>
          </w:tcPr>
          <w:p w14:paraId="685B007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062EDFA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(0.1520)</w:t>
            </w:r>
          </w:p>
        </w:tc>
        <w:tc>
          <w:tcPr>
            <w:tcW w:w="982" w:type="dxa"/>
            <w:tcBorders>
              <w:top w:val="nil"/>
              <w:left w:val="nil"/>
              <w:bottom w:val="nil"/>
              <w:right w:val="nil"/>
            </w:tcBorders>
            <w:shd w:val="clear" w:color="auto" w:fill="auto"/>
            <w:noWrap/>
            <w:vAlign w:val="bottom"/>
            <w:hideMark/>
          </w:tcPr>
          <w:p w14:paraId="4F46E98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(0.1280)</w:t>
            </w:r>
          </w:p>
        </w:tc>
        <w:tc>
          <w:tcPr>
            <w:tcW w:w="1183" w:type="dxa"/>
            <w:tcBorders>
              <w:top w:val="nil"/>
              <w:left w:val="nil"/>
              <w:bottom w:val="nil"/>
              <w:right w:val="nil"/>
            </w:tcBorders>
            <w:shd w:val="clear" w:color="auto" w:fill="auto"/>
            <w:noWrap/>
            <w:vAlign w:val="bottom"/>
            <w:hideMark/>
          </w:tcPr>
          <w:p w14:paraId="6E78B98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(0.0591)</w:t>
            </w:r>
          </w:p>
        </w:tc>
      </w:tr>
      <w:tr w:rsidR="00FC65F2" w:rsidRPr="00FC65F2" w14:paraId="63628A51"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684C4D6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5243873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[0.391]</w:t>
            </w:r>
          </w:p>
        </w:tc>
        <w:tc>
          <w:tcPr>
            <w:tcW w:w="966" w:type="dxa"/>
            <w:tcBorders>
              <w:top w:val="nil"/>
              <w:left w:val="nil"/>
              <w:bottom w:val="nil"/>
              <w:right w:val="nil"/>
            </w:tcBorders>
            <w:shd w:val="clear" w:color="auto" w:fill="auto"/>
            <w:noWrap/>
            <w:vAlign w:val="bottom"/>
            <w:hideMark/>
          </w:tcPr>
          <w:p w14:paraId="03A75EC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[0.050]</w:t>
            </w:r>
          </w:p>
        </w:tc>
        <w:tc>
          <w:tcPr>
            <w:tcW w:w="1183" w:type="dxa"/>
            <w:tcBorders>
              <w:top w:val="nil"/>
              <w:left w:val="nil"/>
              <w:bottom w:val="nil"/>
              <w:right w:val="nil"/>
            </w:tcBorders>
            <w:shd w:val="clear" w:color="auto" w:fill="auto"/>
            <w:noWrap/>
            <w:vAlign w:val="bottom"/>
            <w:hideMark/>
          </w:tcPr>
          <w:p w14:paraId="46EB3C8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[0.101]</w:t>
            </w:r>
          </w:p>
        </w:tc>
        <w:tc>
          <w:tcPr>
            <w:tcW w:w="266" w:type="dxa"/>
            <w:tcBorders>
              <w:top w:val="nil"/>
              <w:left w:val="nil"/>
              <w:bottom w:val="nil"/>
              <w:right w:val="nil"/>
            </w:tcBorders>
            <w:shd w:val="clear" w:color="auto" w:fill="auto"/>
            <w:noWrap/>
            <w:vAlign w:val="bottom"/>
            <w:hideMark/>
          </w:tcPr>
          <w:p w14:paraId="497CD64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55359BE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[0.468]</w:t>
            </w:r>
          </w:p>
        </w:tc>
        <w:tc>
          <w:tcPr>
            <w:tcW w:w="982" w:type="dxa"/>
            <w:tcBorders>
              <w:top w:val="nil"/>
              <w:left w:val="nil"/>
              <w:bottom w:val="nil"/>
              <w:right w:val="nil"/>
            </w:tcBorders>
            <w:shd w:val="clear" w:color="auto" w:fill="auto"/>
            <w:noWrap/>
            <w:vAlign w:val="bottom"/>
            <w:hideMark/>
          </w:tcPr>
          <w:p w14:paraId="04AB415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[0.058]</w:t>
            </w:r>
          </w:p>
        </w:tc>
        <w:tc>
          <w:tcPr>
            <w:tcW w:w="1183" w:type="dxa"/>
            <w:tcBorders>
              <w:top w:val="nil"/>
              <w:left w:val="nil"/>
              <w:bottom w:val="nil"/>
              <w:right w:val="nil"/>
            </w:tcBorders>
            <w:shd w:val="clear" w:color="auto" w:fill="auto"/>
            <w:noWrap/>
            <w:vAlign w:val="bottom"/>
            <w:hideMark/>
          </w:tcPr>
          <w:p w14:paraId="38F67E9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[0.441]</w:t>
            </w:r>
          </w:p>
        </w:tc>
      </w:tr>
      <w:tr w:rsidR="00FC65F2" w:rsidRPr="00FC65F2" w14:paraId="34230441"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5661391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6AD8F8C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120</w:t>
            </w:r>
          </w:p>
        </w:tc>
        <w:tc>
          <w:tcPr>
            <w:tcW w:w="966" w:type="dxa"/>
            <w:tcBorders>
              <w:top w:val="nil"/>
              <w:left w:val="nil"/>
              <w:bottom w:val="nil"/>
              <w:right w:val="nil"/>
            </w:tcBorders>
            <w:shd w:val="clear" w:color="auto" w:fill="auto"/>
            <w:noWrap/>
            <w:vAlign w:val="bottom"/>
            <w:hideMark/>
          </w:tcPr>
          <w:p w14:paraId="20CC018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137</w:t>
            </w:r>
          </w:p>
        </w:tc>
        <w:tc>
          <w:tcPr>
            <w:tcW w:w="1183" w:type="dxa"/>
            <w:tcBorders>
              <w:top w:val="nil"/>
              <w:left w:val="nil"/>
              <w:bottom w:val="nil"/>
              <w:right w:val="nil"/>
            </w:tcBorders>
            <w:shd w:val="clear" w:color="auto" w:fill="auto"/>
            <w:noWrap/>
            <w:vAlign w:val="bottom"/>
            <w:hideMark/>
          </w:tcPr>
          <w:p w14:paraId="4D640E0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67</w:t>
            </w:r>
          </w:p>
        </w:tc>
        <w:tc>
          <w:tcPr>
            <w:tcW w:w="266" w:type="dxa"/>
            <w:tcBorders>
              <w:top w:val="nil"/>
              <w:left w:val="nil"/>
              <w:bottom w:val="nil"/>
              <w:right w:val="nil"/>
            </w:tcBorders>
            <w:shd w:val="clear" w:color="auto" w:fill="auto"/>
            <w:noWrap/>
            <w:vAlign w:val="bottom"/>
            <w:hideMark/>
          </w:tcPr>
          <w:p w14:paraId="127B2F4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1AD0D57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120</w:t>
            </w:r>
          </w:p>
        </w:tc>
        <w:tc>
          <w:tcPr>
            <w:tcW w:w="982" w:type="dxa"/>
            <w:tcBorders>
              <w:top w:val="nil"/>
              <w:left w:val="nil"/>
              <w:bottom w:val="nil"/>
              <w:right w:val="nil"/>
            </w:tcBorders>
            <w:shd w:val="clear" w:color="auto" w:fill="auto"/>
            <w:noWrap/>
            <w:vAlign w:val="bottom"/>
            <w:hideMark/>
          </w:tcPr>
          <w:p w14:paraId="5899EB9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137</w:t>
            </w:r>
          </w:p>
        </w:tc>
        <w:tc>
          <w:tcPr>
            <w:tcW w:w="1183" w:type="dxa"/>
            <w:tcBorders>
              <w:top w:val="nil"/>
              <w:left w:val="nil"/>
              <w:bottom w:val="nil"/>
              <w:right w:val="nil"/>
            </w:tcBorders>
            <w:shd w:val="clear" w:color="auto" w:fill="auto"/>
            <w:noWrap/>
            <w:vAlign w:val="bottom"/>
            <w:hideMark/>
          </w:tcPr>
          <w:p w14:paraId="23EF733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67</w:t>
            </w:r>
          </w:p>
        </w:tc>
      </w:tr>
      <w:tr w:rsidR="00FC65F2" w:rsidRPr="00FC65F2" w14:paraId="4AF3EA98"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3E67093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11D8F6B2" w14:textId="77777777" w:rsidR="00FC65F2" w:rsidRPr="00FC65F2" w:rsidRDefault="00FC65F2" w:rsidP="00FC65F2">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4B7CC63B"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0CCDAEC9"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9B71755"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006E835"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82" w:type="dxa"/>
            <w:tcBorders>
              <w:top w:val="nil"/>
              <w:left w:val="nil"/>
              <w:bottom w:val="nil"/>
              <w:right w:val="nil"/>
            </w:tcBorders>
            <w:shd w:val="clear" w:color="auto" w:fill="auto"/>
            <w:noWrap/>
            <w:vAlign w:val="bottom"/>
            <w:hideMark/>
          </w:tcPr>
          <w:p w14:paraId="7406E1F0"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4716A63A"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r>
      <w:tr w:rsidR="00FC65F2" w:rsidRPr="00FC65F2" w14:paraId="06FB76CB"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0A7B95CD"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11th-Grade Discipline Rate</w:t>
            </w:r>
          </w:p>
        </w:tc>
        <w:tc>
          <w:tcPr>
            <w:tcW w:w="999" w:type="dxa"/>
            <w:tcBorders>
              <w:top w:val="nil"/>
              <w:left w:val="nil"/>
              <w:bottom w:val="nil"/>
              <w:right w:val="nil"/>
            </w:tcBorders>
            <w:shd w:val="clear" w:color="auto" w:fill="auto"/>
            <w:noWrap/>
            <w:vAlign w:val="bottom"/>
            <w:hideMark/>
          </w:tcPr>
          <w:p w14:paraId="422E7F0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0.007</w:t>
            </w:r>
          </w:p>
        </w:tc>
        <w:tc>
          <w:tcPr>
            <w:tcW w:w="966" w:type="dxa"/>
            <w:tcBorders>
              <w:top w:val="nil"/>
              <w:left w:val="nil"/>
              <w:bottom w:val="nil"/>
              <w:right w:val="nil"/>
            </w:tcBorders>
            <w:shd w:val="clear" w:color="auto" w:fill="auto"/>
            <w:noWrap/>
            <w:vAlign w:val="bottom"/>
            <w:hideMark/>
          </w:tcPr>
          <w:p w14:paraId="0CCB700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0.047</w:t>
            </w:r>
          </w:p>
        </w:tc>
        <w:tc>
          <w:tcPr>
            <w:tcW w:w="1183" w:type="dxa"/>
            <w:tcBorders>
              <w:top w:val="nil"/>
              <w:left w:val="nil"/>
              <w:bottom w:val="nil"/>
              <w:right w:val="nil"/>
            </w:tcBorders>
            <w:shd w:val="clear" w:color="auto" w:fill="auto"/>
            <w:noWrap/>
            <w:vAlign w:val="bottom"/>
            <w:hideMark/>
          </w:tcPr>
          <w:p w14:paraId="7394AF0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-0.015</w:t>
            </w:r>
          </w:p>
        </w:tc>
        <w:tc>
          <w:tcPr>
            <w:tcW w:w="266" w:type="dxa"/>
            <w:tcBorders>
              <w:top w:val="nil"/>
              <w:left w:val="nil"/>
              <w:bottom w:val="nil"/>
              <w:right w:val="nil"/>
            </w:tcBorders>
            <w:shd w:val="clear" w:color="auto" w:fill="auto"/>
            <w:noWrap/>
            <w:vAlign w:val="bottom"/>
            <w:hideMark/>
          </w:tcPr>
          <w:p w14:paraId="2A0A8EA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720EAB9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-0.013</w:t>
            </w:r>
          </w:p>
        </w:tc>
        <w:tc>
          <w:tcPr>
            <w:tcW w:w="982" w:type="dxa"/>
            <w:tcBorders>
              <w:top w:val="nil"/>
              <w:left w:val="nil"/>
              <w:bottom w:val="nil"/>
              <w:right w:val="nil"/>
            </w:tcBorders>
            <w:shd w:val="clear" w:color="auto" w:fill="auto"/>
            <w:noWrap/>
            <w:vAlign w:val="bottom"/>
            <w:hideMark/>
          </w:tcPr>
          <w:p w14:paraId="37DA091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0.003</w:t>
            </w:r>
          </w:p>
        </w:tc>
        <w:tc>
          <w:tcPr>
            <w:tcW w:w="1183" w:type="dxa"/>
            <w:tcBorders>
              <w:top w:val="nil"/>
              <w:left w:val="nil"/>
              <w:bottom w:val="nil"/>
              <w:right w:val="nil"/>
            </w:tcBorders>
            <w:shd w:val="clear" w:color="auto" w:fill="auto"/>
            <w:noWrap/>
            <w:vAlign w:val="bottom"/>
            <w:hideMark/>
          </w:tcPr>
          <w:p w14:paraId="429C732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0.035</w:t>
            </w:r>
          </w:p>
        </w:tc>
      </w:tr>
      <w:tr w:rsidR="00FC65F2" w:rsidRPr="00FC65F2" w14:paraId="21E4E8DF"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7808FD5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0BED052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(0.0142)</w:t>
            </w:r>
          </w:p>
        </w:tc>
        <w:tc>
          <w:tcPr>
            <w:tcW w:w="966" w:type="dxa"/>
            <w:tcBorders>
              <w:top w:val="nil"/>
              <w:left w:val="nil"/>
              <w:bottom w:val="nil"/>
              <w:right w:val="nil"/>
            </w:tcBorders>
            <w:shd w:val="clear" w:color="auto" w:fill="auto"/>
            <w:noWrap/>
            <w:vAlign w:val="bottom"/>
            <w:hideMark/>
          </w:tcPr>
          <w:p w14:paraId="1EEA476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(0.0252)</w:t>
            </w:r>
          </w:p>
        </w:tc>
        <w:tc>
          <w:tcPr>
            <w:tcW w:w="1183" w:type="dxa"/>
            <w:tcBorders>
              <w:top w:val="nil"/>
              <w:left w:val="nil"/>
              <w:bottom w:val="nil"/>
              <w:right w:val="nil"/>
            </w:tcBorders>
            <w:shd w:val="clear" w:color="auto" w:fill="auto"/>
            <w:noWrap/>
            <w:vAlign w:val="bottom"/>
            <w:hideMark/>
          </w:tcPr>
          <w:p w14:paraId="1CC2561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(0.0161)</w:t>
            </w:r>
          </w:p>
        </w:tc>
        <w:tc>
          <w:tcPr>
            <w:tcW w:w="266" w:type="dxa"/>
            <w:tcBorders>
              <w:top w:val="nil"/>
              <w:left w:val="nil"/>
              <w:bottom w:val="nil"/>
              <w:right w:val="nil"/>
            </w:tcBorders>
            <w:shd w:val="clear" w:color="auto" w:fill="auto"/>
            <w:noWrap/>
            <w:vAlign w:val="bottom"/>
            <w:hideMark/>
          </w:tcPr>
          <w:p w14:paraId="666EA7F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E2EC49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(0.0339)</w:t>
            </w:r>
          </w:p>
        </w:tc>
        <w:tc>
          <w:tcPr>
            <w:tcW w:w="982" w:type="dxa"/>
            <w:tcBorders>
              <w:top w:val="nil"/>
              <w:left w:val="nil"/>
              <w:bottom w:val="nil"/>
              <w:right w:val="nil"/>
            </w:tcBorders>
            <w:shd w:val="clear" w:color="auto" w:fill="auto"/>
            <w:noWrap/>
            <w:vAlign w:val="bottom"/>
            <w:hideMark/>
          </w:tcPr>
          <w:p w14:paraId="2338931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(0.0258)</w:t>
            </w:r>
          </w:p>
        </w:tc>
        <w:tc>
          <w:tcPr>
            <w:tcW w:w="1183" w:type="dxa"/>
            <w:tcBorders>
              <w:top w:val="nil"/>
              <w:left w:val="nil"/>
              <w:bottom w:val="nil"/>
              <w:right w:val="nil"/>
            </w:tcBorders>
            <w:shd w:val="clear" w:color="auto" w:fill="auto"/>
            <w:noWrap/>
            <w:vAlign w:val="bottom"/>
            <w:hideMark/>
          </w:tcPr>
          <w:p w14:paraId="4C70E3E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(0.0220)</w:t>
            </w:r>
          </w:p>
        </w:tc>
      </w:tr>
      <w:tr w:rsidR="00FC65F2" w:rsidRPr="00FC65F2" w14:paraId="2C9C1BB1"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65C66A7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07EEF43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[0.307]</w:t>
            </w:r>
          </w:p>
        </w:tc>
        <w:tc>
          <w:tcPr>
            <w:tcW w:w="966" w:type="dxa"/>
            <w:tcBorders>
              <w:top w:val="nil"/>
              <w:left w:val="nil"/>
              <w:bottom w:val="nil"/>
              <w:right w:val="nil"/>
            </w:tcBorders>
            <w:shd w:val="clear" w:color="auto" w:fill="auto"/>
            <w:noWrap/>
            <w:vAlign w:val="bottom"/>
            <w:hideMark/>
          </w:tcPr>
          <w:p w14:paraId="751C3A3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[0.031]</w:t>
            </w:r>
          </w:p>
        </w:tc>
        <w:tc>
          <w:tcPr>
            <w:tcW w:w="1183" w:type="dxa"/>
            <w:tcBorders>
              <w:top w:val="nil"/>
              <w:left w:val="nil"/>
              <w:bottom w:val="nil"/>
              <w:right w:val="nil"/>
            </w:tcBorders>
            <w:shd w:val="clear" w:color="auto" w:fill="auto"/>
            <w:noWrap/>
            <w:vAlign w:val="bottom"/>
            <w:hideMark/>
          </w:tcPr>
          <w:p w14:paraId="56F27EC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[0.171]</w:t>
            </w:r>
          </w:p>
        </w:tc>
        <w:tc>
          <w:tcPr>
            <w:tcW w:w="266" w:type="dxa"/>
            <w:tcBorders>
              <w:top w:val="nil"/>
              <w:left w:val="nil"/>
              <w:bottom w:val="nil"/>
              <w:right w:val="nil"/>
            </w:tcBorders>
            <w:shd w:val="clear" w:color="auto" w:fill="auto"/>
            <w:noWrap/>
            <w:vAlign w:val="bottom"/>
            <w:hideMark/>
          </w:tcPr>
          <w:p w14:paraId="2FF6DC6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C715CA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[0.350]</w:t>
            </w:r>
          </w:p>
        </w:tc>
        <w:tc>
          <w:tcPr>
            <w:tcW w:w="982" w:type="dxa"/>
            <w:tcBorders>
              <w:top w:val="nil"/>
              <w:left w:val="nil"/>
              <w:bottom w:val="nil"/>
              <w:right w:val="nil"/>
            </w:tcBorders>
            <w:shd w:val="clear" w:color="auto" w:fill="auto"/>
            <w:noWrap/>
            <w:vAlign w:val="bottom"/>
            <w:hideMark/>
          </w:tcPr>
          <w:p w14:paraId="13FBCC8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[0.449]</w:t>
            </w:r>
          </w:p>
        </w:tc>
        <w:tc>
          <w:tcPr>
            <w:tcW w:w="1183" w:type="dxa"/>
            <w:tcBorders>
              <w:top w:val="nil"/>
              <w:left w:val="nil"/>
              <w:bottom w:val="nil"/>
              <w:right w:val="nil"/>
            </w:tcBorders>
            <w:shd w:val="clear" w:color="auto" w:fill="auto"/>
            <w:noWrap/>
            <w:vAlign w:val="bottom"/>
            <w:hideMark/>
          </w:tcPr>
          <w:p w14:paraId="3DE245C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[0.057]</w:t>
            </w:r>
          </w:p>
        </w:tc>
      </w:tr>
      <w:tr w:rsidR="00FC65F2" w:rsidRPr="00FC65F2" w14:paraId="3B0A9E67"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7BDF2FD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3C3A289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142</w:t>
            </w:r>
          </w:p>
        </w:tc>
        <w:tc>
          <w:tcPr>
            <w:tcW w:w="966" w:type="dxa"/>
            <w:tcBorders>
              <w:top w:val="nil"/>
              <w:left w:val="nil"/>
              <w:bottom w:val="nil"/>
              <w:right w:val="nil"/>
            </w:tcBorders>
            <w:shd w:val="clear" w:color="auto" w:fill="auto"/>
            <w:noWrap/>
            <w:vAlign w:val="bottom"/>
            <w:hideMark/>
          </w:tcPr>
          <w:p w14:paraId="1E33DD3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170</w:t>
            </w:r>
          </w:p>
        </w:tc>
        <w:tc>
          <w:tcPr>
            <w:tcW w:w="1183" w:type="dxa"/>
            <w:tcBorders>
              <w:top w:val="nil"/>
              <w:left w:val="nil"/>
              <w:bottom w:val="nil"/>
              <w:right w:val="nil"/>
            </w:tcBorders>
            <w:shd w:val="clear" w:color="auto" w:fill="auto"/>
            <w:noWrap/>
            <w:vAlign w:val="bottom"/>
            <w:hideMark/>
          </w:tcPr>
          <w:p w14:paraId="46BAF90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110</w:t>
            </w:r>
          </w:p>
        </w:tc>
        <w:tc>
          <w:tcPr>
            <w:tcW w:w="266" w:type="dxa"/>
            <w:tcBorders>
              <w:top w:val="nil"/>
              <w:left w:val="nil"/>
              <w:bottom w:val="nil"/>
              <w:right w:val="nil"/>
            </w:tcBorders>
            <w:shd w:val="clear" w:color="auto" w:fill="auto"/>
            <w:noWrap/>
            <w:vAlign w:val="bottom"/>
            <w:hideMark/>
          </w:tcPr>
          <w:p w14:paraId="0DEF434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EF5B3B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142</w:t>
            </w:r>
          </w:p>
        </w:tc>
        <w:tc>
          <w:tcPr>
            <w:tcW w:w="982" w:type="dxa"/>
            <w:tcBorders>
              <w:top w:val="nil"/>
              <w:left w:val="nil"/>
              <w:bottom w:val="nil"/>
              <w:right w:val="nil"/>
            </w:tcBorders>
            <w:shd w:val="clear" w:color="auto" w:fill="auto"/>
            <w:noWrap/>
            <w:vAlign w:val="bottom"/>
            <w:hideMark/>
          </w:tcPr>
          <w:p w14:paraId="22FB7B8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170</w:t>
            </w:r>
          </w:p>
        </w:tc>
        <w:tc>
          <w:tcPr>
            <w:tcW w:w="1183" w:type="dxa"/>
            <w:tcBorders>
              <w:top w:val="nil"/>
              <w:left w:val="nil"/>
              <w:bottom w:val="nil"/>
              <w:right w:val="nil"/>
            </w:tcBorders>
            <w:shd w:val="clear" w:color="auto" w:fill="auto"/>
            <w:noWrap/>
            <w:vAlign w:val="bottom"/>
            <w:hideMark/>
          </w:tcPr>
          <w:p w14:paraId="24BE7E9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110</w:t>
            </w:r>
          </w:p>
        </w:tc>
      </w:tr>
      <w:tr w:rsidR="00FC65F2" w:rsidRPr="00FC65F2" w14:paraId="3A788DED"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216B967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3777D375" w14:textId="77777777" w:rsidR="00FC65F2" w:rsidRPr="00FC65F2" w:rsidRDefault="00FC65F2" w:rsidP="00FC65F2">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0AF7F7E3"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65ED84C6"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40B7A71"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27652B13"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82" w:type="dxa"/>
            <w:tcBorders>
              <w:top w:val="nil"/>
              <w:left w:val="nil"/>
              <w:bottom w:val="nil"/>
              <w:right w:val="nil"/>
            </w:tcBorders>
            <w:shd w:val="clear" w:color="auto" w:fill="auto"/>
            <w:noWrap/>
            <w:vAlign w:val="bottom"/>
            <w:hideMark/>
          </w:tcPr>
          <w:p w14:paraId="6F325290"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78965645"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r>
      <w:tr w:rsidR="00FC65F2" w:rsidRPr="00FC65F2" w14:paraId="6C8FCE93"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3DE9967D"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12th-Grade Discipline Rate</w:t>
            </w:r>
          </w:p>
        </w:tc>
        <w:tc>
          <w:tcPr>
            <w:tcW w:w="999" w:type="dxa"/>
            <w:tcBorders>
              <w:top w:val="nil"/>
              <w:left w:val="nil"/>
              <w:bottom w:val="nil"/>
              <w:right w:val="nil"/>
            </w:tcBorders>
            <w:shd w:val="clear" w:color="auto" w:fill="auto"/>
            <w:noWrap/>
            <w:vAlign w:val="bottom"/>
            <w:hideMark/>
          </w:tcPr>
          <w:p w14:paraId="453F07A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0.018</w:t>
            </w:r>
          </w:p>
        </w:tc>
        <w:tc>
          <w:tcPr>
            <w:tcW w:w="966" w:type="dxa"/>
            <w:tcBorders>
              <w:top w:val="nil"/>
              <w:left w:val="nil"/>
              <w:bottom w:val="nil"/>
              <w:right w:val="nil"/>
            </w:tcBorders>
            <w:shd w:val="clear" w:color="auto" w:fill="auto"/>
            <w:noWrap/>
            <w:vAlign w:val="bottom"/>
            <w:hideMark/>
          </w:tcPr>
          <w:p w14:paraId="1E14C3F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0.050</w:t>
            </w:r>
          </w:p>
        </w:tc>
        <w:tc>
          <w:tcPr>
            <w:tcW w:w="1183" w:type="dxa"/>
            <w:tcBorders>
              <w:top w:val="nil"/>
              <w:left w:val="nil"/>
              <w:bottom w:val="nil"/>
              <w:right w:val="nil"/>
            </w:tcBorders>
            <w:shd w:val="clear" w:color="auto" w:fill="auto"/>
            <w:noWrap/>
            <w:vAlign w:val="bottom"/>
            <w:hideMark/>
          </w:tcPr>
          <w:p w14:paraId="1DAECD1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-0.020</w:t>
            </w:r>
          </w:p>
        </w:tc>
        <w:tc>
          <w:tcPr>
            <w:tcW w:w="266" w:type="dxa"/>
            <w:tcBorders>
              <w:top w:val="nil"/>
              <w:left w:val="nil"/>
              <w:bottom w:val="nil"/>
              <w:right w:val="nil"/>
            </w:tcBorders>
            <w:shd w:val="clear" w:color="auto" w:fill="auto"/>
            <w:noWrap/>
            <w:vAlign w:val="bottom"/>
            <w:hideMark/>
          </w:tcPr>
          <w:p w14:paraId="55FE0C6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0E2F5FC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0.001</w:t>
            </w:r>
          </w:p>
        </w:tc>
        <w:tc>
          <w:tcPr>
            <w:tcW w:w="982" w:type="dxa"/>
            <w:tcBorders>
              <w:top w:val="nil"/>
              <w:left w:val="nil"/>
              <w:bottom w:val="nil"/>
              <w:right w:val="nil"/>
            </w:tcBorders>
            <w:shd w:val="clear" w:color="auto" w:fill="auto"/>
            <w:noWrap/>
            <w:vAlign w:val="bottom"/>
            <w:hideMark/>
          </w:tcPr>
          <w:p w14:paraId="4A7944C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0.009</w:t>
            </w:r>
          </w:p>
        </w:tc>
        <w:tc>
          <w:tcPr>
            <w:tcW w:w="1183" w:type="dxa"/>
            <w:tcBorders>
              <w:top w:val="nil"/>
              <w:left w:val="nil"/>
              <w:bottom w:val="nil"/>
              <w:right w:val="nil"/>
            </w:tcBorders>
            <w:shd w:val="clear" w:color="auto" w:fill="auto"/>
            <w:noWrap/>
            <w:vAlign w:val="bottom"/>
            <w:hideMark/>
          </w:tcPr>
          <w:p w14:paraId="294F918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0.031</w:t>
            </w:r>
          </w:p>
        </w:tc>
      </w:tr>
      <w:tr w:rsidR="00FC65F2" w:rsidRPr="00FC65F2" w14:paraId="500D70D9"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63F4BD0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3F03ED3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(0.0178)</w:t>
            </w:r>
          </w:p>
        </w:tc>
        <w:tc>
          <w:tcPr>
            <w:tcW w:w="966" w:type="dxa"/>
            <w:tcBorders>
              <w:top w:val="nil"/>
              <w:left w:val="nil"/>
              <w:bottom w:val="nil"/>
              <w:right w:val="nil"/>
            </w:tcBorders>
            <w:shd w:val="clear" w:color="auto" w:fill="auto"/>
            <w:noWrap/>
            <w:vAlign w:val="bottom"/>
            <w:hideMark/>
          </w:tcPr>
          <w:p w14:paraId="14B10C2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(0.0245)</w:t>
            </w:r>
          </w:p>
        </w:tc>
        <w:tc>
          <w:tcPr>
            <w:tcW w:w="1183" w:type="dxa"/>
            <w:tcBorders>
              <w:top w:val="nil"/>
              <w:left w:val="nil"/>
              <w:bottom w:val="nil"/>
              <w:right w:val="nil"/>
            </w:tcBorders>
            <w:shd w:val="clear" w:color="auto" w:fill="auto"/>
            <w:noWrap/>
            <w:vAlign w:val="bottom"/>
            <w:hideMark/>
          </w:tcPr>
          <w:p w14:paraId="672B5F6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(0.0172)</w:t>
            </w:r>
          </w:p>
        </w:tc>
        <w:tc>
          <w:tcPr>
            <w:tcW w:w="266" w:type="dxa"/>
            <w:tcBorders>
              <w:top w:val="nil"/>
              <w:left w:val="nil"/>
              <w:bottom w:val="nil"/>
              <w:right w:val="nil"/>
            </w:tcBorders>
            <w:shd w:val="clear" w:color="auto" w:fill="auto"/>
            <w:noWrap/>
            <w:vAlign w:val="bottom"/>
            <w:hideMark/>
          </w:tcPr>
          <w:p w14:paraId="05F8A1B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E61413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(0.0195)</w:t>
            </w:r>
          </w:p>
        </w:tc>
        <w:tc>
          <w:tcPr>
            <w:tcW w:w="982" w:type="dxa"/>
            <w:tcBorders>
              <w:top w:val="nil"/>
              <w:left w:val="nil"/>
              <w:bottom w:val="nil"/>
              <w:right w:val="nil"/>
            </w:tcBorders>
            <w:shd w:val="clear" w:color="auto" w:fill="auto"/>
            <w:noWrap/>
            <w:vAlign w:val="bottom"/>
            <w:hideMark/>
          </w:tcPr>
          <w:p w14:paraId="640F193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(0.0204)</w:t>
            </w:r>
          </w:p>
        </w:tc>
        <w:tc>
          <w:tcPr>
            <w:tcW w:w="1183" w:type="dxa"/>
            <w:tcBorders>
              <w:top w:val="nil"/>
              <w:left w:val="nil"/>
              <w:bottom w:val="nil"/>
              <w:right w:val="nil"/>
            </w:tcBorders>
            <w:shd w:val="clear" w:color="auto" w:fill="auto"/>
            <w:noWrap/>
            <w:vAlign w:val="bottom"/>
            <w:hideMark/>
          </w:tcPr>
          <w:p w14:paraId="32465A9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(0.0213)</w:t>
            </w:r>
          </w:p>
        </w:tc>
      </w:tr>
      <w:tr w:rsidR="00FC65F2" w:rsidRPr="00FC65F2" w14:paraId="75CB3F84"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2EAF1E8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0F3412B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[0.151]</w:t>
            </w:r>
          </w:p>
        </w:tc>
        <w:tc>
          <w:tcPr>
            <w:tcW w:w="966" w:type="dxa"/>
            <w:tcBorders>
              <w:top w:val="nil"/>
              <w:left w:val="nil"/>
              <w:bottom w:val="nil"/>
              <w:right w:val="nil"/>
            </w:tcBorders>
            <w:shd w:val="clear" w:color="auto" w:fill="auto"/>
            <w:noWrap/>
            <w:vAlign w:val="bottom"/>
            <w:hideMark/>
          </w:tcPr>
          <w:p w14:paraId="5BBFBEB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[0.020]</w:t>
            </w:r>
          </w:p>
        </w:tc>
        <w:tc>
          <w:tcPr>
            <w:tcW w:w="1183" w:type="dxa"/>
            <w:tcBorders>
              <w:top w:val="nil"/>
              <w:left w:val="nil"/>
              <w:bottom w:val="nil"/>
              <w:right w:val="nil"/>
            </w:tcBorders>
            <w:shd w:val="clear" w:color="auto" w:fill="auto"/>
            <w:noWrap/>
            <w:vAlign w:val="bottom"/>
            <w:hideMark/>
          </w:tcPr>
          <w:p w14:paraId="66054FF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[0.129]</w:t>
            </w:r>
          </w:p>
        </w:tc>
        <w:tc>
          <w:tcPr>
            <w:tcW w:w="266" w:type="dxa"/>
            <w:tcBorders>
              <w:top w:val="nil"/>
              <w:left w:val="nil"/>
              <w:bottom w:val="nil"/>
              <w:right w:val="nil"/>
            </w:tcBorders>
            <w:shd w:val="clear" w:color="auto" w:fill="auto"/>
            <w:noWrap/>
            <w:vAlign w:val="bottom"/>
            <w:hideMark/>
          </w:tcPr>
          <w:p w14:paraId="74D8D75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3DCA426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[0.490]</w:t>
            </w:r>
          </w:p>
        </w:tc>
        <w:tc>
          <w:tcPr>
            <w:tcW w:w="982" w:type="dxa"/>
            <w:tcBorders>
              <w:top w:val="nil"/>
              <w:left w:val="nil"/>
              <w:bottom w:val="nil"/>
              <w:right w:val="nil"/>
            </w:tcBorders>
            <w:shd w:val="clear" w:color="auto" w:fill="auto"/>
            <w:noWrap/>
            <w:vAlign w:val="bottom"/>
            <w:hideMark/>
          </w:tcPr>
          <w:p w14:paraId="136257F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[0.330]</w:t>
            </w:r>
          </w:p>
        </w:tc>
        <w:tc>
          <w:tcPr>
            <w:tcW w:w="1183" w:type="dxa"/>
            <w:tcBorders>
              <w:top w:val="nil"/>
              <w:left w:val="nil"/>
              <w:bottom w:val="nil"/>
              <w:right w:val="nil"/>
            </w:tcBorders>
            <w:shd w:val="clear" w:color="auto" w:fill="auto"/>
            <w:noWrap/>
            <w:vAlign w:val="bottom"/>
            <w:hideMark/>
          </w:tcPr>
          <w:p w14:paraId="3ED468F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[0.075]</w:t>
            </w:r>
          </w:p>
        </w:tc>
      </w:tr>
      <w:tr w:rsidR="00FC65F2" w:rsidRPr="00FC65F2" w14:paraId="28DDD4D4"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115093D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5B44F76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140</w:t>
            </w:r>
          </w:p>
        </w:tc>
        <w:tc>
          <w:tcPr>
            <w:tcW w:w="966" w:type="dxa"/>
            <w:tcBorders>
              <w:top w:val="nil"/>
              <w:left w:val="nil"/>
              <w:bottom w:val="nil"/>
              <w:right w:val="nil"/>
            </w:tcBorders>
            <w:shd w:val="clear" w:color="auto" w:fill="auto"/>
            <w:noWrap/>
            <w:vAlign w:val="bottom"/>
            <w:hideMark/>
          </w:tcPr>
          <w:p w14:paraId="7FD4D34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172</w:t>
            </w:r>
          </w:p>
        </w:tc>
        <w:tc>
          <w:tcPr>
            <w:tcW w:w="1183" w:type="dxa"/>
            <w:tcBorders>
              <w:top w:val="nil"/>
              <w:left w:val="nil"/>
              <w:bottom w:val="nil"/>
              <w:right w:val="nil"/>
            </w:tcBorders>
            <w:shd w:val="clear" w:color="auto" w:fill="auto"/>
            <w:noWrap/>
            <w:vAlign w:val="bottom"/>
            <w:hideMark/>
          </w:tcPr>
          <w:p w14:paraId="22BA645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110</w:t>
            </w:r>
          </w:p>
        </w:tc>
        <w:tc>
          <w:tcPr>
            <w:tcW w:w="266" w:type="dxa"/>
            <w:tcBorders>
              <w:top w:val="nil"/>
              <w:left w:val="nil"/>
              <w:bottom w:val="nil"/>
              <w:right w:val="nil"/>
            </w:tcBorders>
            <w:shd w:val="clear" w:color="auto" w:fill="auto"/>
            <w:noWrap/>
            <w:vAlign w:val="bottom"/>
            <w:hideMark/>
          </w:tcPr>
          <w:p w14:paraId="63A77EA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BB3610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140</w:t>
            </w:r>
          </w:p>
        </w:tc>
        <w:tc>
          <w:tcPr>
            <w:tcW w:w="982" w:type="dxa"/>
            <w:tcBorders>
              <w:top w:val="nil"/>
              <w:left w:val="nil"/>
              <w:bottom w:val="nil"/>
              <w:right w:val="nil"/>
            </w:tcBorders>
            <w:shd w:val="clear" w:color="auto" w:fill="auto"/>
            <w:noWrap/>
            <w:vAlign w:val="bottom"/>
            <w:hideMark/>
          </w:tcPr>
          <w:p w14:paraId="1B9D390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172</w:t>
            </w:r>
          </w:p>
        </w:tc>
        <w:tc>
          <w:tcPr>
            <w:tcW w:w="1183" w:type="dxa"/>
            <w:tcBorders>
              <w:top w:val="nil"/>
              <w:left w:val="nil"/>
              <w:bottom w:val="nil"/>
              <w:right w:val="nil"/>
            </w:tcBorders>
            <w:shd w:val="clear" w:color="auto" w:fill="auto"/>
            <w:noWrap/>
            <w:vAlign w:val="bottom"/>
            <w:hideMark/>
          </w:tcPr>
          <w:p w14:paraId="79A0CCC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110</w:t>
            </w:r>
          </w:p>
        </w:tc>
      </w:tr>
      <w:tr w:rsidR="00FC65F2" w:rsidRPr="00FC65F2" w14:paraId="6645B419"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613A825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1CA6F55C" w14:textId="77777777" w:rsidR="00FC65F2" w:rsidRPr="00FC65F2" w:rsidRDefault="00FC65F2" w:rsidP="00FC65F2">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4C1F9546"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72AE89E0"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CEC4259"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7EBA206D"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82" w:type="dxa"/>
            <w:tcBorders>
              <w:top w:val="nil"/>
              <w:left w:val="nil"/>
              <w:bottom w:val="nil"/>
              <w:right w:val="nil"/>
            </w:tcBorders>
            <w:shd w:val="clear" w:color="auto" w:fill="auto"/>
            <w:noWrap/>
            <w:vAlign w:val="bottom"/>
            <w:hideMark/>
          </w:tcPr>
          <w:p w14:paraId="457AFC78"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1A345FA3"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r>
      <w:tr w:rsidR="00FC65F2" w:rsidRPr="00FC65F2" w14:paraId="23198920"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1B1B12A7"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Not Proficient in Math</w:t>
            </w:r>
          </w:p>
        </w:tc>
        <w:tc>
          <w:tcPr>
            <w:tcW w:w="999" w:type="dxa"/>
            <w:tcBorders>
              <w:top w:val="nil"/>
              <w:left w:val="nil"/>
              <w:bottom w:val="nil"/>
              <w:right w:val="nil"/>
            </w:tcBorders>
            <w:shd w:val="clear" w:color="auto" w:fill="auto"/>
            <w:noWrap/>
            <w:vAlign w:val="bottom"/>
            <w:hideMark/>
          </w:tcPr>
          <w:p w14:paraId="78A755E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0.052</w:t>
            </w:r>
          </w:p>
        </w:tc>
        <w:tc>
          <w:tcPr>
            <w:tcW w:w="966" w:type="dxa"/>
            <w:tcBorders>
              <w:top w:val="nil"/>
              <w:left w:val="nil"/>
              <w:bottom w:val="nil"/>
              <w:right w:val="nil"/>
            </w:tcBorders>
            <w:shd w:val="clear" w:color="auto" w:fill="auto"/>
            <w:noWrap/>
            <w:vAlign w:val="bottom"/>
            <w:hideMark/>
          </w:tcPr>
          <w:p w14:paraId="4697527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0.005</w:t>
            </w:r>
          </w:p>
        </w:tc>
        <w:tc>
          <w:tcPr>
            <w:tcW w:w="1183" w:type="dxa"/>
            <w:tcBorders>
              <w:top w:val="nil"/>
              <w:left w:val="nil"/>
              <w:bottom w:val="nil"/>
              <w:right w:val="nil"/>
            </w:tcBorders>
            <w:shd w:val="clear" w:color="auto" w:fill="auto"/>
            <w:noWrap/>
            <w:vAlign w:val="bottom"/>
            <w:hideMark/>
          </w:tcPr>
          <w:p w14:paraId="3643671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-0.176</w:t>
            </w:r>
          </w:p>
        </w:tc>
        <w:tc>
          <w:tcPr>
            <w:tcW w:w="266" w:type="dxa"/>
            <w:tcBorders>
              <w:top w:val="nil"/>
              <w:left w:val="nil"/>
              <w:bottom w:val="nil"/>
              <w:right w:val="nil"/>
            </w:tcBorders>
            <w:shd w:val="clear" w:color="auto" w:fill="auto"/>
            <w:noWrap/>
            <w:vAlign w:val="bottom"/>
            <w:hideMark/>
          </w:tcPr>
          <w:p w14:paraId="52D6984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0D9BA04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0.017</w:t>
            </w:r>
          </w:p>
        </w:tc>
        <w:tc>
          <w:tcPr>
            <w:tcW w:w="982" w:type="dxa"/>
            <w:tcBorders>
              <w:top w:val="nil"/>
              <w:left w:val="nil"/>
              <w:bottom w:val="nil"/>
              <w:right w:val="nil"/>
            </w:tcBorders>
            <w:shd w:val="clear" w:color="auto" w:fill="auto"/>
            <w:noWrap/>
            <w:vAlign w:val="bottom"/>
            <w:hideMark/>
          </w:tcPr>
          <w:p w14:paraId="265F784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-0.102</w:t>
            </w:r>
          </w:p>
        </w:tc>
        <w:tc>
          <w:tcPr>
            <w:tcW w:w="1183" w:type="dxa"/>
            <w:tcBorders>
              <w:top w:val="nil"/>
              <w:left w:val="nil"/>
              <w:bottom w:val="nil"/>
              <w:right w:val="nil"/>
            </w:tcBorders>
            <w:shd w:val="clear" w:color="auto" w:fill="auto"/>
            <w:noWrap/>
            <w:vAlign w:val="bottom"/>
            <w:hideMark/>
          </w:tcPr>
          <w:p w14:paraId="37967BD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-0.150</w:t>
            </w:r>
          </w:p>
        </w:tc>
      </w:tr>
      <w:tr w:rsidR="00FC65F2" w:rsidRPr="00FC65F2" w14:paraId="30C5BB45"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25AE55F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2C238C5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(0.0746)</w:t>
            </w:r>
          </w:p>
        </w:tc>
        <w:tc>
          <w:tcPr>
            <w:tcW w:w="966" w:type="dxa"/>
            <w:tcBorders>
              <w:top w:val="nil"/>
              <w:left w:val="nil"/>
              <w:bottom w:val="nil"/>
              <w:right w:val="nil"/>
            </w:tcBorders>
            <w:shd w:val="clear" w:color="auto" w:fill="auto"/>
            <w:noWrap/>
            <w:vAlign w:val="bottom"/>
            <w:hideMark/>
          </w:tcPr>
          <w:p w14:paraId="6ACBA94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(0.1200)</w:t>
            </w:r>
          </w:p>
        </w:tc>
        <w:tc>
          <w:tcPr>
            <w:tcW w:w="1183" w:type="dxa"/>
            <w:tcBorders>
              <w:top w:val="nil"/>
              <w:left w:val="nil"/>
              <w:bottom w:val="nil"/>
              <w:right w:val="nil"/>
            </w:tcBorders>
            <w:shd w:val="clear" w:color="auto" w:fill="auto"/>
            <w:noWrap/>
            <w:vAlign w:val="bottom"/>
            <w:hideMark/>
          </w:tcPr>
          <w:p w14:paraId="2229705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(0.0992)</w:t>
            </w:r>
          </w:p>
        </w:tc>
        <w:tc>
          <w:tcPr>
            <w:tcW w:w="266" w:type="dxa"/>
            <w:tcBorders>
              <w:top w:val="nil"/>
              <w:left w:val="nil"/>
              <w:bottom w:val="nil"/>
              <w:right w:val="nil"/>
            </w:tcBorders>
            <w:shd w:val="clear" w:color="auto" w:fill="auto"/>
            <w:noWrap/>
            <w:vAlign w:val="bottom"/>
            <w:hideMark/>
          </w:tcPr>
          <w:p w14:paraId="2AC897E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6C780C8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(0.0845)</w:t>
            </w:r>
          </w:p>
        </w:tc>
        <w:tc>
          <w:tcPr>
            <w:tcW w:w="982" w:type="dxa"/>
            <w:tcBorders>
              <w:top w:val="nil"/>
              <w:left w:val="nil"/>
              <w:bottom w:val="nil"/>
              <w:right w:val="nil"/>
            </w:tcBorders>
            <w:shd w:val="clear" w:color="auto" w:fill="auto"/>
            <w:noWrap/>
            <w:vAlign w:val="bottom"/>
            <w:hideMark/>
          </w:tcPr>
          <w:p w14:paraId="5486475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(0.1400)</w:t>
            </w:r>
          </w:p>
        </w:tc>
        <w:tc>
          <w:tcPr>
            <w:tcW w:w="1183" w:type="dxa"/>
            <w:tcBorders>
              <w:top w:val="nil"/>
              <w:left w:val="nil"/>
              <w:bottom w:val="nil"/>
              <w:right w:val="nil"/>
            </w:tcBorders>
            <w:shd w:val="clear" w:color="auto" w:fill="auto"/>
            <w:noWrap/>
            <w:vAlign w:val="bottom"/>
            <w:hideMark/>
          </w:tcPr>
          <w:p w14:paraId="3E6B2DB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(0.0878)</w:t>
            </w:r>
          </w:p>
        </w:tc>
      </w:tr>
      <w:tr w:rsidR="00FC65F2" w:rsidRPr="00FC65F2" w14:paraId="2C7F9CFD"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2CAE0E3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2C64777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[0.245]</w:t>
            </w:r>
          </w:p>
        </w:tc>
        <w:tc>
          <w:tcPr>
            <w:tcW w:w="966" w:type="dxa"/>
            <w:tcBorders>
              <w:top w:val="nil"/>
              <w:left w:val="nil"/>
              <w:bottom w:val="nil"/>
              <w:right w:val="nil"/>
            </w:tcBorders>
            <w:shd w:val="clear" w:color="auto" w:fill="auto"/>
            <w:noWrap/>
            <w:vAlign w:val="bottom"/>
            <w:hideMark/>
          </w:tcPr>
          <w:p w14:paraId="254843D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[0.485]</w:t>
            </w:r>
          </w:p>
        </w:tc>
        <w:tc>
          <w:tcPr>
            <w:tcW w:w="1183" w:type="dxa"/>
            <w:tcBorders>
              <w:top w:val="nil"/>
              <w:left w:val="nil"/>
              <w:bottom w:val="nil"/>
              <w:right w:val="nil"/>
            </w:tcBorders>
            <w:shd w:val="clear" w:color="auto" w:fill="auto"/>
            <w:noWrap/>
            <w:vAlign w:val="bottom"/>
            <w:hideMark/>
          </w:tcPr>
          <w:p w14:paraId="605F2B4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[0.039]</w:t>
            </w:r>
          </w:p>
        </w:tc>
        <w:tc>
          <w:tcPr>
            <w:tcW w:w="266" w:type="dxa"/>
            <w:tcBorders>
              <w:top w:val="nil"/>
              <w:left w:val="nil"/>
              <w:bottom w:val="nil"/>
              <w:right w:val="nil"/>
            </w:tcBorders>
            <w:shd w:val="clear" w:color="auto" w:fill="auto"/>
            <w:noWrap/>
            <w:vAlign w:val="bottom"/>
            <w:hideMark/>
          </w:tcPr>
          <w:p w14:paraId="3E0C280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736830D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[0.423]</w:t>
            </w:r>
          </w:p>
        </w:tc>
        <w:tc>
          <w:tcPr>
            <w:tcW w:w="982" w:type="dxa"/>
            <w:tcBorders>
              <w:top w:val="nil"/>
              <w:left w:val="nil"/>
              <w:bottom w:val="nil"/>
              <w:right w:val="nil"/>
            </w:tcBorders>
            <w:shd w:val="clear" w:color="auto" w:fill="auto"/>
            <w:noWrap/>
            <w:vAlign w:val="bottom"/>
            <w:hideMark/>
          </w:tcPr>
          <w:p w14:paraId="7F27817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[0.233]</w:t>
            </w:r>
          </w:p>
        </w:tc>
        <w:tc>
          <w:tcPr>
            <w:tcW w:w="1183" w:type="dxa"/>
            <w:tcBorders>
              <w:top w:val="nil"/>
              <w:left w:val="nil"/>
              <w:bottom w:val="nil"/>
              <w:right w:val="nil"/>
            </w:tcBorders>
            <w:shd w:val="clear" w:color="auto" w:fill="auto"/>
            <w:noWrap/>
            <w:vAlign w:val="bottom"/>
            <w:hideMark/>
          </w:tcPr>
          <w:p w14:paraId="299DF9A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[0.044]</w:t>
            </w:r>
          </w:p>
        </w:tc>
      </w:tr>
      <w:tr w:rsidR="00FC65F2" w:rsidRPr="00FC65F2" w14:paraId="5284AC95"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36B6728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105445A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107</w:t>
            </w:r>
          </w:p>
        </w:tc>
        <w:tc>
          <w:tcPr>
            <w:tcW w:w="966" w:type="dxa"/>
            <w:tcBorders>
              <w:top w:val="nil"/>
              <w:left w:val="nil"/>
              <w:bottom w:val="nil"/>
              <w:right w:val="nil"/>
            </w:tcBorders>
            <w:shd w:val="clear" w:color="auto" w:fill="auto"/>
            <w:noWrap/>
            <w:vAlign w:val="bottom"/>
            <w:hideMark/>
          </w:tcPr>
          <w:p w14:paraId="0C00589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142</w:t>
            </w:r>
          </w:p>
        </w:tc>
        <w:tc>
          <w:tcPr>
            <w:tcW w:w="1183" w:type="dxa"/>
            <w:tcBorders>
              <w:top w:val="nil"/>
              <w:left w:val="nil"/>
              <w:bottom w:val="nil"/>
              <w:right w:val="nil"/>
            </w:tcBorders>
            <w:shd w:val="clear" w:color="auto" w:fill="auto"/>
            <w:noWrap/>
            <w:vAlign w:val="bottom"/>
            <w:hideMark/>
          </w:tcPr>
          <w:p w14:paraId="045301D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89</w:t>
            </w:r>
          </w:p>
        </w:tc>
        <w:tc>
          <w:tcPr>
            <w:tcW w:w="266" w:type="dxa"/>
            <w:tcBorders>
              <w:top w:val="nil"/>
              <w:left w:val="nil"/>
              <w:bottom w:val="nil"/>
              <w:right w:val="nil"/>
            </w:tcBorders>
            <w:shd w:val="clear" w:color="auto" w:fill="auto"/>
            <w:noWrap/>
            <w:vAlign w:val="bottom"/>
            <w:hideMark/>
          </w:tcPr>
          <w:p w14:paraId="7F7AEB1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299A154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107</w:t>
            </w:r>
          </w:p>
        </w:tc>
        <w:tc>
          <w:tcPr>
            <w:tcW w:w="982" w:type="dxa"/>
            <w:tcBorders>
              <w:top w:val="nil"/>
              <w:left w:val="nil"/>
              <w:bottom w:val="nil"/>
              <w:right w:val="nil"/>
            </w:tcBorders>
            <w:shd w:val="clear" w:color="auto" w:fill="auto"/>
            <w:noWrap/>
            <w:vAlign w:val="bottom"/>
            <w:hideMark/>
          </w:tcPr>
          <w:p w14:paraId="172FB7C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142</w:t>
            </w:r>
          </w:p>
        </w:tc>
        <w:tc>
          <w:tcPr>
            <w:tcW w:w="1183" w:type="dxa"/>
            <w:tcBorders>
              <w:top w:val="nil"/>
              <w:left w:val="nil"/>
              <w:bottom w:val="nil"/>
              <w:right w:val="nil"/>
            </w:tcBorders>
            <w:shd w:val="clear" w:color="auto" w:fill="auto"/>
            <w:noWrap/>
            <w:vAlign w:val="bottom"/>
            <w:hideMark/>
          </w:tcPr>
          <w:p w14:paraId="1CAA762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89</w:t>
            </w:r>
          </w:p>
        </w:tc>
      </w:tr>
      <w:tr w:rsidR="00FC65F2" w:rsidRPr="00FC65F2" w14:paraId="424B92D5"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46DDC33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4497152F" w14:textId="77777777" w:rsidR="00FC65F2" w:rsidRPr="00FC65F2" w:rsidRDefault="00FC65F2" w:rsidP="00FC65F2">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73147DBE"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7428E1C6"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F6A5D97"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E956305"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982" w:type="dxa"/>
            <w:tcBorders>
              <w:top w:val="nil"/>
              <w:left w:val="nil"/>
              <w:bottom w:val="nil"/>
              <w:right w:val="nil"/>
            </w:tcBorders>
            <w:shd w:val="clear" w:color="auto" w:fill="auto"/>
            <w:noWrap/>
            <w:vAlign w:val="bottom"/>
            <w:hideMark/>
          </w:tcPr>
          <w:p w14:paraId="14045F48"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14:paraId="06C803EF" w14:textId="77777777" w:rsidR="00FC65F2" w:rsidRPr="00FC65F2" w:rsidRDefault="00FC65F2" w:rsidP="00FC65F2">
            <w:pPr>
              <w:spacing w:after="0" w:line="240" w:lineRule="auto"/>
              <w:jc w:val="center"/>
              <w:rPr>
                <w:rFonts w:ascii="Times New Roman" w:eastAsia="Times New Roman" w:hAnsi="Times New Roman" w:cs="Times New Roman"/>
                <w:sz w:val="20"/>
                <w:szCs w:val="20"/>
              </w:rPr>
            </w:pPr>
          </w:p>
        </w:tc>
      </w:tr>
      <w:tr w:rsidR="00FC65F2" w:rsidRPr="00FC65F2" w14:paraId="68489FB3"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684CD942"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Not Proficient in ELA</w:t>
            </w:r>
          </w:p>
        </w:tc>
        <w:tc>
          <w:tcPr>
            <w:tcW w:w="999" w:type="dxa"/>
            <w:tcBorders>
              <w:top w:val="nil"/>
              <w:left w:val="nil"/>
              <w:bottom w:val="nil"/>
              <w:right w:val="nil"/>
            </w:tcBorders>
            <w:shd w:val="clear" w:color="auto" w:fill="auto"/>
            <w:noWrap/>
            <w:vAlign w:val="bottom"/>
            <w:hideMark/>
          </w:tcPr>
          <w:p w14:paraId="673797A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0.326</w:t>
            </w:r>
          </w:p>
        </w:tc>
        <w:tc>
          <w:tcPr>
            <w:tcW w:w="966" w:type="dxa"/>
            <w:tcBorders>
              <w:top w:val="nil"/>
              <w:left w:val="nil"/>
              <w:bottom w:val="nil"/>
              <w:right w:val="nil"/>
            </w:tcBorders>
            <w:shd w:val="clear" w:color="auto" w:fill="auto"/>
            <w:noWrap/>
            <w:vAlign w:val="bottom"/>
            <w:hideMark/>
          </w:tcPr>
          <w:p w14:paraId="5AC3053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0.038</w:t>
            </w:r>
          </w:p>
        </w:tc>
        <w:tc>
          <w:tcPr>
            <w:tcW w:w="1183" w:type="dxa"/>
            <w:tcBorders>
              <w:top w:val="nil"/>
              <w:left w:val="nil"/>
              <w:bottom w:val="nil"/>
              <w:right w:val="nil"/>
            </w:tcBorders>
            <w:shd w:val="clear" w:color="auto" w:fill="auto"/>
            <w:noWrap/>
            <w:vAlign w:val="bottom"/>
            <w:hideMark/>
          </w:tcPr>
          <w:p w14:paraId="06AB02DE"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-0.163</w:t>
            </w:r>
          </w:p>
        </w:tc>
        <w:tc>
          <w:tcPr>
            <w:tcW w:w="266" w:type="dxa"/>
            <w:tcBorders>
              <w:top w:val="nil"/>
              <w:left w:val="nil"/>
              <w:bottom w:val="nil"/>
              <w:right w:val="nil"/>
            </w:tcBorders>
            <w:shd w:val="clear" w:color="auto" w:fill="auto"/>
            <w:noWrap/>
            <w:vAlign w:val="bottom"/>
            <w:hideMark/>
          </w:tcPr>
          <w:p w14:paraId="6999BEDC"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4A3BF15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0.144</w:t>
            </w:r>
          </w:p>
        </w:tc>
        <w:tc>
          <w:tcPr>
            <w:tcW w:w="982" w:type="dxa"/>
            <w:tcBorders>
              <w:top w:val="nil"/>
              <w:left w:val="nil"/>
              <w:bottom w:val="nil"/>
              <w:right w:val="nil"/>
            </w:tcBorders>
            <w:shd w:val="clear" w:color="auto" w:fill="auto"/>
            <w:noWrap/>
            <w:vAlign w:val="bottom"/>
            <w:hideMark/>
          </w:tcPr>
          <w:p w14:paraId="78A55969"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-0.038</w:t>
            </w:r>
          </w:p>
        </w:tc>
        <w:tc>
          <w:tcPr>
            <w:tcW w:w="1183" w:type="dxa"/>
            <w:tcBorders>
              <w:top w:val="nil"/>
              <w:left w:val="nil"/>
              <w:bottom w:val="nil"/>
              <w:right w:val="nil"/>
            </w:tcBorders>
            <w:shd w:val="clear" w:color="auto" w:fill="auto"/>
            <w:noWrap/>
            <w:vAlign w:val="bottom"/>
            <w:hideMark/>
          </w:tcPr>
          <w:p w14:paraId="7A63F8B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-0.131</w:t>
            </w:r>
          </w:p>
        </w:tc>
      </w:tr>
      <w:tr w:rsidR="00FC65F2" w:rsidRPr="00FC65F2" w14:paraId="461C1958"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45238A8A"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7F86BB47"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(0.3860)</w:t>
            </w:r>
          </w:p>
        </w:tc>
        <w:tc>
          <w:tcPr>
            <w:tcW w:w="966" w:type="dxa"/>
            <w:tcBorders>
              <w:top w:val="nil"/>
              <w:left w:val="nil"/>
              <w:bottom w:val="nil"/>
              <w:right w:val="nil"/>
            </w:tcBorders>
            <w:shd w:val="clear" w:color="auto" w:fill="auto"/>
            <w:noWrap/>
            <w:vAlign w:val="bottom"/>
            <w:hideMark/>
          </w:tcPr>
          <w:p w14:paraId="6ECB894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(0.1180)</w:t>
            </w:r>
          </w:p>
        </w:tc>
        <w:tc>
          <w:tcPr>
            <w:tcW w:w="1183" w:type="dxa"/>
            <w:tcBorders>
              <w:top w:val="nil"/>
              <w:left w:val="nil"/>
              <w:bottom w:val="nil"/>
              <w:right w:val="nil"/>
            </w:tcBorders>
            <w:shd w:val="clear" w:color="auto" w:fill="auto"/>
            <w:noWrap/>
            <w:vAlign w:val="bottom"/>
            <w:hideMark/>
          </w:tcPr>
          <w:p w14:paraId="115D6333"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(0.0929)</w:t>
            </w:r>
          </w:p>
        </w:tc>
        <w:tc>
          <w:tcPr>
            <w:tcW w:w="266" w:type="dxa"/>
            <w:tcBorders>
              <w:top w:val="nil"/>
              <w:left w:val="nil"/>
              <w:bottom w:val="nil"/>
              <w:right w:val="nil"/>
            </w:tcBorders>
            <w:shd w:val="clear" w:color="auto" w:fill="auto"/>
            <w:noWrap/>
            <w:vAlign w:val="bottom"/>
            <w:hideMark/>
          </w:tcPr>
          <w:p w14:paraId="46B3543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68B3E1F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(0.3360)</w:t>
            </w:r>
          </w:p>
        </w:tc>
        <w:tc>
          <w:tcPr>
            <w:tcW w:w="982" w:type="dxa"/>
            <w:tcBorders>
              <w:top w:val="nil"/>
              <w:left w:val="nil"/>
              <w:bottom w:val="nil"/>
              <w:right w:val="nil"/>
            </w:tcBorders>
            <w:shd w:val="clear" w:color="auto" w:fill="auto"/>
            <w:noWrap/>
            <w:vAlign w:val="bottom"/>
            <w:hideMark/>
          </w:tcPr>
          <w:p w14:paraId="57F1460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(0.1430)</w:t>
            </w:r>
          </w:p>
        </w:tc>
        <w:tc>
          <w:tcPr>
            <w:tcW w:w="1183" w:type="dxa"/>
            <w:tcBorders>
              <w:top w:val="nil"/>
              <w:left w:val="nil"/>
              <w:bottom w:val="nil"/>
              <w:right w:val="nil"/>
            </w:tcBorders>
            <w:shd w:val="clear" w:color="auto" w:fill="auto"/>
            <w:noWrap/>
            <w:vAlign w:val="bottom"/>
            <w:hideMark/>
          </w:tcPr>
          <w:p w14:paraId="5E177CD0"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(0.1120)</w:t>
            </w:r>
          </w:p>
        </w:tc>
      </w:tr>
      <w:tr w:rsidR="00FC65F2" w:rsidRPr="00FC65F2" w14:paraId="28D7A65D" w14:textId="77777777" w:rsidTr="00FC65F2">
        <w:trPr>
          <w:trHeight w:val="260"/>
          <w:jc w:val="center"/>
        </w:trPr>
        <w:tc>
          <w:tcPr>
            <w:tcW w:w="3060" w:type="dxa"/>
            <w:tcBorders>
              <w:top w:val="nil"/>
              <w:left w:val="nil"/>
              <w:bottom w:val="nil"/>
              <w:right w:val="nil"/>
            </w:tcBorders>
            <w:shd w:val="clear" w:color="auto" w:fill="auto"/>
            <w:noWrap/>
            <w:vAlign w:val="bottom"/>
            <w:hideMark/>
          </w:tcPr>
          <w:p w14:paraId="3F05206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99" w:type="dxa"/>
            <w:tcBorders>
              <w:top w:val="nil"/>
              <w:left w:val="nil"/>
              <w:bottom w:val="nil"/>
              <w:right w:val="nil"/>
            </w:tcBorders>
            <w:shd w:val="clear" w:color="auto" w:fill="auto"/>
            <w:noWrap/>
            <w:vAlign w:val="bottom"/>
            <w:hideMark/>
          </w:tcPr>
          <w:p w14:paraId="42B81A2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[0.199]</w:t>
            </w:r>
          </w:p>
        </w:tc>
        <w:tc>
          <w:tcPr>
            <w:tcW w:w="966" w:type="dxa"/>
            <w:tcBorders>
              <w:top w:val="nil"/>
              <w:left w:val="nil"/>
              <w:bottom w:val="nil"/>
              <w:right w:val="nil"/>
            </w:tcBorders>
            <w:shd w:val="clear" w:color="auto" w:fill="auto"/>
            <w:noWrap/>
            <w:vAlign w:val="bottom"/>
            <w:hideMark/>
          </w:tcPr>
          <w:p w14:paraId="2BD0401B"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[0.375]</w:t>
            </w:r>
          </w:p>
        </w:tc>
        <w:tc>
          <w:tcPr>
            <w:tcW w:w="1183" w:type="dxa"/>
            <w:tcBorders>
              <w:top w:val="nil"/>
              <w:left w:val="nil"/>
              <w:bottom w:val="nil"/>
              <w:right w:val="nil"/>
            </w:tcBorders>
            <w:shd w:val="clear" w:color="auto" w:fill="auto"/>
            <w:noWrap/>
            <w:vAlign w:val="bottom"/>
            <w:hideMark/>
          </w:tcPr>
          <w:p w14:paraId="6F3821E6"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[0.040]</w:t>
            </w:r>
          </w:p>
        </w:tc>
        <w:tc>
          <w:tcPr>
            <w:tcW w:w="266" w:type="dxa"/>
            <w:tcBorders>
              <w:top w:val="nil"/>
              <w:left w:val="nil"/>
              <w:bottom w:val="nil"/>
              <w:right w:val="nil"/>
            </w:tcBorders>
            <w:shd w:val="clear" w:color="auto" w:fill="auto"/>
            <w:noWrap/>
            <w:vAlign w:val="bottom"/>
            <w:hideMark/>
          </w:tcPr>
          <w:p w14:paraId="5779697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p>
        </w:tc>
        <w:tc>
          <w:tcPr>
            <w:tcW w:w="903" w:type="dxa"/>
            <w:tcBorders>
              <w:top w:val="nil"/>
              <w:left w:val="nil"/>
              <w:bottom w:val="nil"/>
              <w:right w:val="nil"/>
            </w:tcBorders>
            <w:shd w:val="clear" w:color="auto" w:fill="auto"/>
            <w:noWrap/>
            <w:vAlign w:val="bottom"/>
            <w:hideMark/>
          </w:tcPr>
          <w:p w14:paraId="67CEFBAD"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[0.335]</w:t>
            </w:r>
          </w:p>
        </w:tc>
        <w:tc>
          <w:tcPr>
            <w:tcW w:w="982" w:type="dxa"/>
            <w:tcBorders>
              <w:top w:val="nil"/>
              <w:left w:val="nil"/>
              <w:bottom w:val="nil"/>
              <w:right w:val="nil"/>
            </w:tcBorders>
            <w:shd w:val="clear" w:color="auto" w:fill="auto"/>
            <w:noWrap/>
            <w:vAlign w:val="bottom"/>
            <w:hideMark/>
          </w:tcPr>
          <w:p w14:paraId="0A99FDB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[0.396]</w:t>
            </w:r>
          </w:p>
        </w:tc>
        <w:tc>
          <w:tcPr>
            <w:tcW w:w="1183" w:type="dxa"/>
            <w:tcBorders>
              <w:top w:val="nil"/>
              <w:left w:val="nil"/>
              <w:bottom w:val="nil"/>
              <w:right w:val="nil"/>
            </w:tcBorders>
            <w:shd w:val="clear" w:color="auto" w:fill="auto"/>
            <w:noWrap/>
            <w:vAlign w:val="bottom"/>
            <w:hideMark/>
          </w:tcPr>
          <w:p w14:paraId="50A6C4C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[0.122]</w:t>
            </w:r>
          </w:p>
        </w:tc>
      </w:tr>
      <w:tr w:rsidR="00FC65F2" w:rsidRPr="00FC65F2" w14:paraId="10C482EB" w14:textId="77777777" w:rsidTr="00FC65F2">
        <w:trPr>
          <w:trHeight w:val="260"/>
          <w:jc w:val="center"/>
        </w:trPr>
        <w:tc>
          <w:tcPr>
            <w:tcW w:w="3060" w:type="dxa"/>
            <w:tcBorders>
              <w:top w:val="nil"/>
              <w:left w:val="nil"/>
              <w:bottom w:val="single" w:sz="4" w:space="0" w:color="auto"/>
              <w:right w:val="nil"/>
            </w:tcBorders>
            <w:shd w:val="clear" w:color="auto" w:fill="auto"/>
            <w:noWrap/>
            <w:vAlign w:val="bottom"/>
            <w:hideMark/>
          </w:tcPr>
          <w:p w14:paraId="74160DBB" w14:textId="77777777" w:rsidR="00FC65F2" w:rsidRPr="00FC65F2" w:rsidRDefault="00FC65F2" w:rsidP="00FC65F2">
            <w:pPr>
              <w:spacing w:after="0" w:line="240" w:lineRule="auto"/>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 </w:t>
            </w:r>
          </w:p>
        </w:tc>
        <w:tc>
          <w:tcPr>
            <w:tcW w:w="999" w:type="dxa"/>
            <w:tcBorders>
              <w:top w:val="nil"/>
              <w:left w:val="nil"/>
              <w:bottom w:val="single" w:sz="4" w:space="0" w:color="auto"/>
              <w:right w:val="nil"/>
            </w:tcBorders>
            <w:shd w:val="clear" w:color="auto" w:fill="auto"/>
            <w:noWrap/>
            <w:vAlign w:val="bottom"/>
            <w:hideMark/>
          </w:tcPr>
          <w:p w14:paraId="0D19B7DF"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109</w:t>
            </w:r>
          </w:p>
        </w:tc>
        <w:tc>
          <w:tcPr>
            <w:tcW w:w="966" w:type="dxa"/>
            <w:tcBorders>
              <w:top w:val="nil"/>
              <w:left w:val="nil"/>
              <w:bottom w:val="single" w:sz="4" w:space="0" w:color="auto"/>
              <w:right w:val="nil"/>
            </w:tcBorders>
            <w:shd w:val="clear" w:color="auto" w:fill="auto"/>
            <w:noWrap/>
            <w:vAlign w:val="bottom"/>
            <w:hideMark/>
          </w:tcPr>
          <w:p w14:paraId="2EAFA01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139</w:t>
            </w:r>
          </w:p>
        </w:tc>
        <w:tc>
          <w:tcPr>
            <w:tcW w:w="1183" w:type="dxa"/>
            <w:tcBorders>
              <w:top w:val="nil"/>
              <w:left w:val="nil"/>
              <w:bottom w:val="single" w:sz="4" w:space="0" w:color="auto"/>
              <w:right w:val="nil"/>
            </w:tcBorders>
            <w:shd w:val="clear" w:color="auto" w:fill="auto"/>
            <w:noWrap/>
            <w:vAlign w:val="bottom"/>
            <w:hideMark/>
          </w:tcPr>
          <w:p w14:paraId="229D16B4"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72</w:t>
            </w:r>
          </w:p>
        </w:tc>
        <w:tc>
          <w:tcPr>
            <w:tcW w:w="266" w:type="dxa"/>
            <w:tcBorders>
              <w:top w:val="nil"/>
              <w:left w:val="nil"/>
              <w:bottom w:val="single" w:sz="4" w:space="0" w:color="auto"/>
              <w:right w:val="nil"/>
            </w:tcBorders>
            <w:shd w:val="clear" w:color="auto" w:fill="auto"/>
            <w:noWrap/>
            <w:vAlign w:val="bottom"/>
            <w:hideMark/>
          </w:tcPr>
          <w:p w14:paraId="7F7CBF65"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 </w:t>
            </w:r>
          </w:p>
        </w:tc>
        <w:tc>
          <w:tcPr>
            <w:tcW w:w="903" w:type="dxa"/>
            <w:tcBorders>
              <w:top w:val="nil"/>
              <w:left w:val="nil"/>
              <w:bottom w:val="single" w:sz="4" w:space="0" w:color="auto"/>
              <w:right w:val="nil"/>
            </w:tcBorders>
            <w:shd w:val="clear" w:color="auto" w:fill="auto"/>
            <w:noWrap/>
            <w:vAlign w:val="bottom"/>
            <w:hideMark/>
          </w:tcPr>
          <w:p w14:paraId="6FC774E2"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109</w:t>
            </w:r>
          </w:p>
        </w:tc>
        <w:tc>
          <w:tcPr>
            <w:tcW w:w="982" w:type="dxa"/>
            <w:tcBorders>
              <w:top w:val="nil"/>
              <w:left w:val="nil"/>
              <w:bottom w:val="single" w:sz="4" w:space="0" w:color="auto"/>
              <w:right w:val="nil"/>
            </w:tcBorders>
            <w:shd w:val="clear" w:color="auto" w:fill="auto"/>
            <w:noWrap/>
            <w:vAlign w:val="bottom"/>
            <w:hideMark/>
          </w:tcPr>
          <w:p w14:paraId="51DBF138"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139</w:t>
            </w:r>
          </w:p>
        </w:tc>
        <w:tc>
          <w:tcPr>
            <w:tcW w:w="1183" w:type="dxa"/>
            <w:tcBorders>
              <w:top w:val="nil"/>
              <w:left w:val="nil"/>
              <w:bottom w:val="single" w:sz="4" w:space="0" w:color="auto"/>
              <w:right w:val="nil"/>
            </w:tcBorders>
            <w:shd w:val="clear" w:color="auto" w:fill="auto"/>
            <w:noWrap/>
            <w:vAlign w:val="bottom"/>
            <w:hideMark/>
          </w:tcPr>
          <w:p w14:paraId="7DC1D991" w14:textId="77777777" w:rsidR="00FC65F2" w:rsidRPr="00FC65F2" w:rsidRDefault="00FC65F2" w:rsidP="00FC65F2">
            <w:pPr>
              <w:spacing w:after="0" w:line="240" w:lineRule="auto"/>
              <w:jc w:val="center"/>
              <w:rPr>
                <w:rFonts w:ascii="Times New Roman" w:eastAsia="Times New Roman" w:hAnsi="Times New Roman" w:cs="Times New Roman"/>
                <w:color w:val="000000"/>
                <w:sz w:val="20"/>
                <w:szCs w:val="20"/>
              </w:rPr>
            </w:pPr>
            <w:r w:rsidRPr="00FC65F2">
              <w:rPr>
                <w:rFonts w:ascii="Times New Roman" w:eastAsia="Times New Roman" w:hAnsi="Times New Roman" w:cs="Times New Roman"/>
                <w:color w:val="000000"/>
                <w:sz w:val="20"/>
                <w:szCs w:val="20"/>
              </w:rPr>
              <w:t>72</w:t>
            </w:r>
          </w:p>
        </w:tc>
      </w:tr>
      <w:tr w:rsidR="00FC65F2" w:rsidRPr="00FC65F2" w14:paraId="56B1D231" w14:textId="77777777" w:rsidTr="00FC65F2">
        <w:trPr>
          <w:trHeight w:val="260"/>
          <w:jc w:val="center"/>
        </w:trPr>
        <w:tc>
          <w:tcPr>
            <w:tcW w:w="9542" w:type="dxa"/>
            <w:gridSpan w:val="8"/>
            <w:tcBorders>
              <w:top w:val="single" w:sz="4" w:space="0" w:color="auto"/>
              <w:left w:val="nil"/>
              <w:bottom w:val="nil"/>
              <w:right w:val="nil"/>
            </w:tcBorders>
            <w:shd w:val="clear" w:color="auto" w:fill="auto"/>
            <w:noWrap/>
            <w:vAlign w:val="bottom"/>
            <w:hideMark/>
          </w:tcPr>
          <w:p w14:paraId="5DDF32EF" w14:textId="45A7ABC3" w:rsidR="00FC65F2" w:rsidRPr="00FC65F2" w:rsidRDefault="00FC65F2" w:rsidP="00FC65F2">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i/>
                <w:iCs/>
                <w:sz w:val="20"/>
                <w:szCs w:val="20"/>
              </w:rPr>
              <w:t xml:space="preserve">Notes: </w:t>
            </w:r>
            <w:r>
              <w:rPr>
                <w:rFonts w:ascii="Times New Roman" w:eastAsia="Times New Roman" w:hAnsi="Times New Roman" w:cs="Times New Roman"/>
                <w:sz w:val="20"/>
                <w:szCs w:val="20"/>
              </w:rPr>
              <w:t>This table reports IV estimates from equation (4). 10MinsLottery is the instrument for 10MinsOpen</w:t>
            </w:r>
            <w:r w:rsidR="0029655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Each column includes the 2014-15 and 2015-16 school years, year fixed effects, and controls for the proportions of free-or-reduced-price lunch, Black, Hispanic, and Asian students. Standard errors clustered by school are in parentheses. One-sided p-values are in square brackets. The number of observations is listed beneath the p-values.</w:t>
            </w:r>
          </w:p>
        </w:tc>
      </w:tr>
    </w:tbl>
    <w:p w14:paraId="05902BCA" w14:textId="7986C6F3" w:rsidR="00252BC1" w:rsidRDefault="00252BC1" w:rsidP="00D750E1">
      <w:pPr>
        <w:rPr>
          <w:rFonts w:ascii="Times New Roman" w:hAnsi="Times New Roman" w:cs="Times New Roman"/>
          <w:b/>
          <w:bCs/>
          <w:sz w:val="32"/>
          <w:szCs w:val="32"/>
        </w:rPr>
        <w:sectPr w:rsidR="00252BC1" w:rsidSect="00F63F86">
          <w:headerReference w:type="default" r:id="rId43"/>
          <w:pgSz w:w="12240" w:h="15840"/>
          <w:pgMar w:top="1440" w:right="1440" w:bottom="1440" w:left="1440" w:header="720" w:footer="720" w:gutter="0"/>
          <w:cols w:space="720"/>
          <w:docGrid w:linePitch="360"/>
        </w:sectPr>
      </w:pPr>
    </w:p>
    <w:p w14:paraId="0C774175" w14:textId="259CE1EF" w:rsidR="00D750E1" w:rsidRDefault="00D750E1" w:rsidP="00D750E1">
      <w:pPr>
        <w:rPr>
          <w:rFonts w:ascii="Times New Roman" w:hAnsi="Times New Roman" w:cs="Times New Roman"/>
          <w:b/>
          <w:bCs/>
          <w:sz w:val="32"/>
          <w:szCs w:val="32"/>
        </w:rPr>
      </w:pPr>
      <w:r>
        <w:rPr>
          <w:rFonts w:ascii="Times New Roman" w:hAnsi="Times New Roman" w:cs="Times New Roman"/>
          <w:b/>
          <w:bCs/>
          <w:sz w:val="32"/>
          <w:szCs w:val="32"/>
        </w:rPr>
        <w:lastRenderedPageBreak/>
        <w:t>Appendix</w:t>
      </w:r>
    </w:p>
    <w:tbl>
      <w:tblPr>
        <w:tblW w:w="10766" w:type="dxa"/>
        <w:jc w:val="center"/>
        <w:tblLook w:val="04A0" w:firstRow="1" w:lastRow="0" w:firstColumn="1" w:lastColumn="0" w:noHBand="0" w:noVBand="1"/>
      </w:tblPr>
      <w:tblGrid>
        <w:gridCol w:w="5100"/>
        <w:gridCol w:w="900"/>
        <w:gridCol w:w="900"/>
        <w:gridCol w:w="900"/>
        <w:gridCol w:w="266"/>
        <w:gridCol w:w="900"/>
        <w:gridCol w:w="900"/>
        <w:gridCol w:w="900"/>
      </w:tblGrid>
      <w:tr w:rsidR="00FE5FBA" w:rsidRPr="00FE488C" w14:paraId="1D3A44B4" w14:textId="77777777" w:rsidTr="00E674E0">
        <w:trPr>
          <w:trHeight w:val="270"/>
          <w:jc w:val="center"/>
        </w:trPr>
        <w:tc>
          <w:tcPr>
            <w:tcW w:w="10766" w:type="dxa"/>
            <w:gridSpan w:val="8"/>
            <w:tcBorders>
              <w:top w:val="nil"/>
              <w:left w:val="nil"/>
              <w:bottom w:val="double" w:sz="6" w:space="0" w:color="auto"/>
              <w:right w:val="nil"/>
            </w:tcBorders>
            <w:shd w:val="clear" w:color="auto" w:fill="auto"/>
            <w:noWrap/>
            <w:vAlign w:val="bottom"/>
            <w:hideMark/>
          </w:tcPr>
          <w:p w14:paraId="411674C7" w14:textId="67F7F888" w:rsidR="00FE5FBA" w:rsidRDefault="00FE5FBA" w:rsidP="00FE5FBA">
            <w:pPr>
              <w:spacing w:after="0" w:line="240" w:lineRule="auto"/>
              <w:jc w:val="center"/>
              <w:rPr>
                <w:rFonts w:ascii="Times New Roman" w:eastAsia="Times New Roman" w:hAnsi="Times New Roman" w:cs="Times New Roman"/>
                <w:color w:val="000000"/>
                <w:sz w:val="24"/>
                <w:szCs w:val="24"/>
              </w:rPr>
            </w:pPr>
            <w:r w:rsidRPr="007E3A04">
              <w:rPr>
                <w:rFonts w:ascii="Times New Roman" w:eastAsia="Times New Roman" w:hAnsi="Times New Roman" w:cs="Times New Roman"/>
                <w:color w:val="000000"/>
                <w:sz w:val="24"/>
                <w:szCs w:val="24"/>
              </w:rPr>
              <w:t>Table A1: First-Stage Regression</w:t>
            </w:r>
            <w:r>
              <w:rPr>
                <w:rFonts w:ascii="Times New Roman" w:eastAsia="Times New Roman" w:hAnsi="Times New Roman" w:cs="Times New Roman"/>
                <w:color w:val="000000"/>
                <w:sz w:val="24"/>
                <w:szCs w:val="24"/>
              </w:rPr>
              <w:t xml:space="preserve"> Estimates</w:t>
            </w:r>
            <w:r w:rsidRPr="007E3A04">
              <w:rPr>
                <w:rFonts w:ascii="Times New Roman" w:eastAsia="Times New Roman" w:hAnsi="Times New Roman" w:cs="Times New Roman"/>
                <w:color w:val="000000"/>
                <w:sz w:val="24"/>
                <w:szCs w:val="24"/>
              </w:rPr>
              <w:t xml:space="preserve"> of whether a School is within 10 Minutes of an Open Dispensary on whether a School is within 10 Minutes of a Lottery Winner for the Samples Used in the Dropout Rate Regressions</w:t>
            </w:r>
          </w:p>
          <w:p w14:paraId="2F065DF6" w14:textId="77777777" w:rsidR="00EF105D" w:rsidRDefault="00EF105D" w:rsidP="00FE5FBA">
            <w:pPr>
              <w:spacing w:after="0" w:line="240" w:lineRule="auto"/>
              <w:jc w:val="center"/>
              <w:rPr>
                <w:rFonts w:ascii="Times New Roman" w:eastAsia="Times New Roman" w:hAnsi="Times New Roman" w:cs="Times New Roman"/>
                <w:color w:val="000000"/>
                <w:sz w:val="24"/>
                <w:szCs w:val="24"/>
              </w:rPr>
            </w:pPr>
          </w:p>
          <w:p w14:paraId="0F968A09" w14:textId="523B1EB9" w:rsidR="00FE5FBA" w:rsidRPr="00FE488C" w:rsidRDefault="00FE5FBA" w:rsidP="00FE488C">
            <w:pPr>
              <w:spacing w:after="0" w:line="240" w:lineRule="auto"/>
              <w:rPr>
                <w:rFonts w:ascii="Times New Roman" w:eastAsia="Times New Roman" w:hAnsi="Times New Roman" w:cs="Times New Roman"/>
                <w:sz w:val="20"/>
                <w:szCs w:val="20"/>
              </w:rPr>
            </w:pPr>
          </w:p>
        </w:tc>
      </w:tr>
      <w:tr w:rsidR="00FE488C" w:rsidRPr="00FE488C" w14:paraId="486A136A" w14:textId="77777777" w:rsidTr="00E674E0">
        <w:trPr>
          <w:trHeight w:val="270"/>
          <w:jc w:val="center"/>
        </w:trPr>
        <w:tc>
          <w:tcPr>
            <w:tcW w:w="5100" w:type="dxa"/>
            <w:tcBorders>
              <w:top w:val="nil"/>
              <w:left w:val="nil"/>
              <w:bottom w:val="nil"/>
              <w:right w:val="nil"/>
            </w:tcBorders>
            <w:shd w:val="clear" w:color="auto" w:fill="auto"/>
            <w:noWrap/>
            <w:vAlign w:val="bottom"/>
            <w:hideMark/>
          </w:tcPr>
          <w:p w14:paraId="5F6A612A" w14:textId="77777777" w:rsidR="00FE488C" w:rsidRPr="00FE488C" w:rsidRDefault="00FE488C" w:rsidP="00FE488C">
            <w:pPr>
              <w:spacing w:after="0" w:line="240" w:lineRule="auto"/>
              <w:rPr>
                <w:rFonts w:ascii="Times New Roman" w:eastAsia="Times New Roman" w:hAnsi="Times New Roman" w:cs="Times New Roman"/>
                <w:sz w:val="20"/>
                <w:szCs w:val="20"/>
              </w:rPr>
            </w:pPr>
          </w:p>
        </w:tc>
        <w:tc>
          <w:tcPr>
            <w:tcW w:w="2700" w:type="dxa"/>
            <w:gridSpan w:val="3"/>
            <w:tcBorders>
              <w:top w:val="double" w:sz="6" w:space="0" w:color="auto"/>
              <w:left w:val="nil"/>
              <w:bottom w:val="single" w:sz="4" w:space="0" w:color="auto"/>
              <w:right w:val="nil"/>
            </w:tcBorders>
            <w:shd w:val="clear" w:color="auto" w:fill="auto"/>
            <w:noWrap/>
            <w:vAlign w:val="bottom"/>
            <w:hideMark/>
          </w:tcPr>
          <w:p w14:paraId="0F1E75CE"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11th</w:t>
            </w:r>
          </w:p>
        </w:tc>
        <w:tc>
          <w:tcPr>
            <w:tcW w:w="266" w:type="dxa"/>
            <w:tcBorders>
              <w:top w:val="nil"/>
              <w:left w:val="nil"/>
              <w:bottom w:val="nil"/>
              <w:right w:val="nil"/>
            </w:tcBorders>
            <w:shd w:val="clear" w:color="auto" w:fill="auto"/>
            <w:noWrap/>
            <w:vAlign w:val="bottom"/>
            <w:hideMark/>
          </w:tcPr>
          <w:p w14:paraId="1E9A28BE"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700" w:type="dxa"/>
            <w:gridSpan w:val="3"/>
            <w:tcBorders>
              <w:top w:val="double" w:sz="6" w:space="0" w:color="auto"/>
              <w:left w:val="nil"/>
              <w:bottom w:val="single" w:sz="4" w:space="0" w:color="auto"/>
              <w:right w:val="nil"/>
            </w:tcBorders>
            <w:shd w:val="clear" w:color="auto" w:fill="auto"/>
            <w:noWrap/>
            <w:vAlign w:val="bottom"/>
            <w:hideMark/>
          </w:tcPr>
          <w:p w14:paraId="1B19D0C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12th</w:t>
            </w:r>
          </w:p>
        </w:tc>
      </w:tr>
      <w:tr w:rsidR="00FE488C" w:rsidRPr="00FE488C" w14:paraId="4721E6A7" w14:textId="77777777" w:rsidTr="00E674E0">
        <w:trPr>
          <w:trHeight w:val="260"/>
          <w:jc w:val="center"/>
        </w:trPr>
        <w:tc>
          <w:tcPr>
            <w:tcW w:w="5100" w:type="dxa"/>
            <w:tcBorders>
              <w:top w:val="nil"/>
              <w:left w:val="nil"/>
              <w:bottom w:val="single" w:sz="4" w:space="0" w:color="auto"/>
              <w:right w:val="nil"/>
            </w:tcBorders>
            <w:shd w:val="clear" w:color="auto" w:fill="auto"/>
            <w:noWrap/>
            <w:vAlign w:val="bottom"/>
            <w:hideMark/>
          </w:tcPr>
          <w:p w14:paraId="2877B628"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1393DE8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nil"/>
            </w:tcBorders>
            <w:shd w:val="clear" w:color="auto" w:fill="auto"/>
            <w:noWrap/>
            <w:vAlign w:val="bottom"/>
            <w:hideMark/>
          </w:tcPr>
          <w:p w14:paraId="2ACD555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nil"/>
            </w:tcBorders>
            <w:shd w:val="clear" w:color="auto" w:fill="auto"/>
            <w:noWrap/>
            <w:vAlign w:val="bottom"/>
            <w:hideMark/>
          </w:tcPr>
          <w:p w14:paraId="224E973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w:t>
            </w:r>
          </w:p>
        </w:tc>
        <w:tc>
          <w:tcPr>
            <w:tcW w:w="266" w:type="dxa"/>
            <w:tcBorders>
              <w:top w:val="nil"/>
              <w:left w:val="nil"/>
              <w:bottom w:val="single" w:sz="4" w:space="0" w:color="auto"/>
              <w:right w:val="nil"/>
            </w:tcBorders>
            <w:shd w:val="clear" w:color="auto" w:fill="auto"/>
            <w:noWrap/>
            <w:vAlign w:val="bottom"/>
            <w:hideMark/>
          </w:tcPr>
          <w:p w14:paraId="3C0CA2F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4BD523E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w:t>
            </w:r>
          </w:p>
        </w:tc>
        <w:tc>
          <w:tcPr>
            <w:tcW w:w="900" w:type="dxa"/>
            <w:tcBorders>
              <w:top w:val="nil"/>
              <w:left w:val="nil"/>
              <w:bottom w:val="single" w:sz="4" w:space="0" w:color="auto"/>
              <w:right w:val="nil"/>
            </w:tcBorders>
            <w:shd w:val="clear" w:color="auto" w:fill="auto"/>
            <w:noWrap/>
            <w:vAlign w:val="bottom"/>
            <w:hideMark/>
          </w:tcPr>
          <w:p w14:paraId="4ACFB2B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(5)</w:t>
            </w:r>
          </w:p>
        </w:tc>
        <w:tc>
          <w:tcPr>
            <w:tcW w:w="900" w:type="dxa"/>
            <w:tcBorders>
              <w:top w:val="nil"/>
              <w:left w:val="nil"/>
              <w:bottom w:val="single" w:sz="4" w:space="0" w:color="auto"/>
              <w:right w:val="nil"/>
            </w:tcBorders>
            <w:shd w:val="clear" w:color="auto" w:fill="auto"/>
            <w:noWrap/>
            <w:vAlign w:val="bottom"/>
            <w:hideMark/>
          </w:tcPr>
          <w:p w14:paraId="1D07966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(6)</w:t>
            </w:r>
          </w:p>
        </w:tc>
      </w:tr>
      <w:tr w:rsidR="00FE488C" w:rsidRPr="00FE488C" w14:paraId="5C017B19" w14:textId="77777777" w:rsidTr="00E674E0">
        <w:trPr>
          <w:trHeight w:val="260"/>
          <w:jc w:val="center"/>
        </w:trPr>
        <w:tc>
          <w:tcPr>
            <w:tcW w:w="5100" w:type="dxa"/>
            <w:tcBorders>
              <w:top w:val="nil"/>
              <w:left w:val="nil"/>
              <w:bottom w:val="nil"/>
              <w:right w:val="nil"/>
            </w:tcBorders>
            <w:shd w:val="clear" w:color="auto" w:fill="auto"/>
            <w:noWrap/>
            <w:vAlign w:val="bottom"/>
            <w:hideMark/>
          </w:tcPr>
          <w:p w14:paraId="7A9A6A75"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School is within 10 Mins of an Open Dispensary</w:t>
            </w:r>
          </w:p>
        </w:tc>
        <w:tc>
          <w:tcPr>
            <w:tcW w:w="900" w:type="dxa"/>
            <w:tcBorders>
              <w:top w:val="nil"/>
              <w:left w:val="nil"/>
              <w:bottom w:val="nil"/>
              <w:right w:val="nil"/>
            </w:tcBorders>
            <w:shd w:val="clear" w:color="auto" w:fill="auto"/>
            <w:noWrap/>
            <w:vAlign w:val="bottom"/>
            <w:hideMark/>
          </w:tcPr>
          <w:p w14:paraId="10F309E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0.387</w:t>
            </w:r>
          </w:p>
        </w:tc>
        <w:tc>
          <w:tcPr>
            <w:tcW w:w="900" w:type="dxa"/>
            <w:tcBorders>
              <w:top w:val="nil"/>
              <w:left w:val="nil"/>
              <w:bottom w:val="nil"/>
              <w:right w:val="nil"/>
            </w:tcBorders>
            <w:shd w:val="clear" w:color="auto" w:fill="auto"/>
            <w:noWrap/>
            <w:vAlign w:val="bottom"/>
            <w:hideMark/>
          </w:tcPr>
          <w:p w14:paraId="56CEF4D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0.260</w:t>
            </w:r>
          </w:p>
        </w:tc>
        <w:tc>
          <w:tcPr>
            <w:tcW w:w="900" w:type="dxa"/>
            <w:tcBorders>
              <w:top w:val="nil"/>
              <w:left w:val="nil"/>
              <w:bottom w:val="nil"/>
              <w:right w:val="nil"/>
            </w:tcBorders>
            <w:shd w:val="clear" w:color="auto" w:fill="auto"/>
            <w:noWrap/>
            <w:vAlign w:val="bottom"/>
            <w:hideMark/>
          </w:tcPr>
          <w:p w14:paraId="5C94093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0.348</w:t>
            </w:r>
          </w:p>
        </w:tc>
        <w:tc>
          <w:tcPr>
            <w:tcW w:w="266" w:type="dxa"/>
            <w:tcBorders>
              <w:top w:val="nil"/>
              <w:left w:val="nil"/>
              <w:bottom w:val="nil"/>
              <w:right w:val="nil"/>
            </w:tcBorders>
            <w:shd w:val="clear" w:color="auto" w:fill="auto"/>
            <w:noWrap/>
            <w:vAlign w:val="bottom"/>
            <w:hideMark/>
          </w:tcPr>
          <w:p w14:paraId="363166E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0459E6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0.349</w:t>
            </w:r>
          </w:p>
        </w:tc>
        <w:tc>
          <w:tcPr>
            <w:tcW w:w="900" w:type="dxa"/>
            <w:tcBorders>
              <w:top w:val="nil"/>
              <w:left w:val="nil"/>
              <w:bottom w:val="nil"/>
              <w:right w:val="nil"/>
            </w:tcBorders>
            <w:shd w:val="clear" w:color="auto" w:fill="auto"/>
            <w:noWrap/>
            <w:vAlign w:val="bottom"/>
            <w:hideMark/>
          </w:tcPr>
          <w:p w14:paraId="29DAEA9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0.223</w:t>
            </w:r>
          </w:p>
        </w:tc>
        <w:tc>
          <w:tcPr>
            <w:tcW w:w="900" w:type="dxa"/>
            <w:tcBorders>
              <w:top w:val="nil"/>
              <w:left w:val="nil"/>
              <w:bottom w:val="nil"/>
              <w:right w:val="nil"/>
            </w:tcBorders>
            <w:shd w:val="clear" w:color="auto" w:fill="auto"/>
            <w:noWrap/>
            <w:vAlign w:val="bottom"/>
            <w:hideMark/>
          </w:tcPr>
          <w:p w14:paraId="4E66E23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0.300</w:t>
            </w:r>
          </w:p>
        </w:tc>
      </w:tr>
      <w:tr w:rsidR="00FE488C" w:rsidRPr="00FE488C" w14:paraId="0463C774" w14:textId="77777777" w:rsidTr="00E674E0">
        <w:trPr>
          <w:trHeight w:val="260"/>
          <w:jc w:val="center"/>
        </w:trPr>
        <w:tc>
          <w:tcPr>
            <w:tcW w:w="5100" w:type="dxa"/>
            <w:tcBorders>
              <w:top w:val="nil"/>
              <w:left w:val="nil"/>
              <w:bottom w:val="nil"/>
              <w:right w:val="nil"/>
            </w:tcBorders>
            <w:shd w:val="clear" w:color="auto" w:fill="auto"/>
            <w:noWrap/>
            <w:vAlign w:val="bottom"/>
            <w:hideMark/>
          </w:tcPr>
          <w:p w14:paraId="3FDC587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33B3DD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(0.1029)</w:t>
            </w:r>
          </w:p>
        </w:tc>
        <w:tc>
          <w:tcPr>
            <w:tcW w:w="900" w:type="dxa"/>
            <w:tcBorders>
              <w:top w:val="nil"/>
              <w:left w:val="nil"/>
              <w:bottom w:val="nil"/>
              <w:right w:val="nil"/>
            </w:tcBorders>
            <w:shd w:val="clear" w:color="auto" w:fill="auto"/>
            <w:noWrap/>
            <w:vAlign w:val="bottom"/>
            <w:hideMark/>
          </w:tcPr>
          <w:p w14:paraId="12BFAB0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(0.1109)</w:t>
            </w:r>
          </w:p>
        </w:tc>
        <w:tc>
          <w:tcPr>
            <w:tcW w:w="900" w:type="dxa"/>
            <w:tcBorders>
              <w:top w:val="nil"/>
              <w:left w:val="nil"/>
              <w:bottom w:val="nil"/>
              <w:right w:val="nil"/>
            </w:tcBorders>
            <w:shd w:val="clear" w:color="auto" w:fill="auto"/>
            <w:noWrap/>
            <w:vAlign w:val="bottom"/>
            <w:hideMark/>
          </w:tcPr>
          <w:p w14:paraId="5E10400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(0.1036)</w:t>
            </w:r>
          </w:p>
        </w:tc>
        <w:tc>
          <w:tcPr>
            <w:tcW w:w="266" w:type="dxa"/>
            <w:tcBorders>
              <w:top w:val="nil"/>
              <w:left w:val="nil"/>
              <w:bottom w:val="nil"/>
              <w:right w:val="nil"/>
            </w:tcBorders>
            <w:shd w:val="clear" w:color="auto" w:fill="auto"/>
            <w:noWrap/>
            <w:vAlign w:val="bottom"/>
            <w:hideMark/>
          </w:tcPr>
          <w:p w14:paraId="3074FDE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33E151D"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(0.0961)</w:t>
            </w:r>
          </w:p>
        </w:tc>
        <w:tc>
          <w:tcPr>
            <w:tcW w:w="900" w:type="dxa"/>
            <w:tcBorders>
              <w:top w:val="nil"/>
              <w:left w:val="nil"/>
              <w:bottom w:val="nil"/>
              <w:right w:val="nil"/>
            </w:tcBorders>
            <w:shd w:val="clear" w:color="auto" w:fill="auto"/>
            <w:noWrap/>
            <w:vAlign w:val="bottom"/>
            <w:hideMark/>
          </w:tcPr>
          <w:p w14:paraId="4FBCACD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(0.1025)</w:t>
            </w:r>
          </w:p>
        </w:tc>
        <w:tc>
          <w:tcPr>
            <w:tcW w:w="900" w:type="dxa"/>
            <w:tcBorders>
              <w:top w:val="nil"/>
              <w:left w:val="nil"/>
              <w:bottom w:val="nil"/>
              <w:right w:val="nil"/>
            </w:tcBorders>
            <w:shd w:val="clear" w:color="auto" w:fill="auto"/>
            <w:noWrap/>
            <w:vAlign w:val="bottom"/>
            <w:hideMark/>
          </w:tcPr>
          <w:p w14:paraId="14405E0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(0.0997)</w:t>
            </w:r>
          </w:p>
        </w:tc>
      </w:tr>
      <w:tr w:rsidR="00FE488C" w:rsidRPr="00FE488C" w14:paraId="1B2A3A56" w14:textId="77777777" w:rsidTr="00E674E0">
        <w:trPr>
          <w:trHeight w:val="260"/>
          <w:jc w:val="center"/>
        </w:trPr>
        <w:tc>
          <w:tcPr>
            <w:tcW w:w="5100" w:type="dxa"/>
            <w:tcBorders>
              <w:top w:val="nil"/>
              <w:left w:val="nil"/>
              <w:bottom w:val="nil"/>
              <w:right w:val="nil"/>
            </w:tcBorders>
            <w:shd w:val="clear" w:color="auto" w:fill="auto"/>
            <w:noWrap/>
            <w:vAlign w:val="bottom"/>
            <w:hideMark/>
          </w:tcPr>
          <w:p w14:paraId="02E75442"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Dispensary License Applicants in 10 Mins</w:t>
            </w:r>
          </w:p>
        </w:tc>
        <w:tc>
          <w:tcPr>
            <w:tcW w:w="900" w:type="dxa"/>
            <w:tcBorders>
              <w:top w:val="nil"/>
              <w:left w:val="nil"/>
              <w:bottom w:val="nil"/>
              <w:right w:val="nil"/>
            </w:tcBorders>
            <w:shd w:val="clear" w:color="auto" w:fill="auto"/>
            <w:noWrap/>
            <w:vAlign w:val="bottom"/>
            <w:hideMark/>
          </w:tcPr>
          <w:p w14:paraId="7F981468"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853CEF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1237F45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66" w:type="dxa"/>
            <w:tcBorders>
              <w:top w:val="nil"/>
              <w:left w:val="nil"/>
              <w:bottom w:val="nil"/>
              <w:right w:val="nil"/>
            </w:tcBorders>
            <w:shd w:val="clear" w:color="auto" w:fill="auto"/>
            <w:noWrap/>
            <w:vAlign w:val="bottom"/>
            <w:hideMark/>
          </w:tcPr>
          <w:p w14:paraId="07A449FA"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4B6B60A"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30727CA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332485B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r>
      <w:tr w:rsidR="00FE488C" w:rsidRPr="00FE488C" w14:paraId="2746ADBB" w14:textId="77777777" w:rsidTr="00E674E0">
        <w:trPr>
          <w:trHeight w:val="260"/>
          <w:jc w:val="center"/>
        </w:trPr>
        <w:tc>
          <w:tcPr>
            <w:tcW w:w="5100" w:type="dxa"/>
            <w:tcBorders>
              <w:top w:val="nil"/>
              <w:left w:val="nil"/>
              <w:bottom w:val="nil"/>
              <w:right w:val="nil"/>
            </w:tcBorders>
            <w:shd w:val="clear" w:color="auto" w:fill="auto"/>
            <w:noWrap/>
            <w:vAlign w:val="center"/>
            <w:hideMark/>
          </w:tcPr>
          <w:p w14:paraId="3E0CB6F4"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School Locale Indicators, Student Characteristics, Year FEs</w:t>
            </w:r>
          </w:p>
        </w:tc>
        <w:tc>
          <w:tcPr>
            <w:tcW w:w="900" w:type="dxa"/>
            <w:tcBorders>
              <w:top w:val="nil"/>
              <w:left w:val="nil"/>
              <w:bottom w:val="nil"/>
              <w:right w:val="nil"/>
            </w:tcBorders>
            <w:shd w:val="clear" w:color="auto" w:fill="auto"/>
            <w:noWrap/>
            <w:vAlign w:val="bottom"/>
            <w:hideMark/>
          </w:tcPr>
          <w:p w14:paraId="08D393F3"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7DF7492"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1287CDB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266" w:type="dxa"/>
            <w:tcBorders>
              <w:top w:val="nil"/>
              <w:left w:val="nil"/>
              <w:bottom w:val="nil"/>
              <w:right w:val="nil"/>
            </w:tcBorders>
            <w:shd w:val="clear" w:color="auto" w:fill="auto"/>
            <w:noWrap/>
            <w:vAlign w:val="bottom"/>
            <w:hideMark/>
          </w:tcPr>
          <w:p w14:paraId="7EEBED0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BF0EF93"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5239F90"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2AD23E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r>
      <w:tr w:rsidR="00FE488C" w:rsidRPr="00FE488C" w14:paraId="30FBEEBF" w14:textId="77777777" w:rsidTr="00E674E0">
        <w:trPr>
          <w:trHeight w:val="260"/>
          <w:jc w:val="center"/>
        </w:trPr>
        <w:tc>
          <w:tcPr>
            <w:tcW w:w="5100" w:type="dxa"/>
            <w:tcBorders>
              <w:top w:val="nil"/>
              <w:left w:val="nil"/>
              <w:bottom w:val="nil"/>
              <w:right w:val="nil"/>
            </w:tcBorders>
            <w:shd w:val="clear" w:color="auto" w:fill="auto"/>
            <w:noWrap/>
            <w:vAlign w:val="bottom"/>
            <w:hideMark/>
          </w:tcPr>
          <w:p w14:paraId="5D83B8D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1573579" w14:textId="77777777" w:rsidR="00FE488C" w:rsidRPr="00FE488C" w:rsidRDefault="00FE488C" w:rsidP="00FE488C">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9AB383A"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898D7AC"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A96A9B8"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0F9AF37"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15C3B3BD"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FD31C93"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r>
      <w:tr w:rsidR="00FE488C" w:rsidRPr="00FE488C" w14:paraId="69525A3C" w14:textId="77777777" w:rsidTr="00E674E0">
        <w:trPr>
          <w:trHeight w:val="260"/>
          <w:jc w:val="center"/>
        </w:trPr>
        <w:tc>
          <w:tcPr>
            <w:tcW w:w="5100" w:type="dxa"/>
            <w:tcBorders>
              <w:top w:val="nil"/>
              <w:left w:val="nil"/>
              <w:bottom w:val="nil"/>
              <w:right w:val="nil"/>
            </w:tcBorders>
            <w:shd w:val="clear" w:color="auto" w:fill="auto"/>
            <w:noWrap/>
            <w:vAlign w:val="bottom"/>
            <w:hideMark/>
          </w:tcPr>
          <w:p w14:paraId="4C02E9D5"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First-Stage F-statistic</w:t>
            </w:r>
          </w:p>
        </w:tc>
        <w:tc>
          <w:tcPr>
            <w:tcW w:w="900" w:type="dxa"/>
            <w:tcBorders>
              <w:top w:val="nil"/>
              <w:left w:val="nil"/>
              <w:bottom w:val="nil"/>
              <w:right w:val="nil"/>
            </w:tcBorders>
            <w:shd w:val="clear" w:color="auto" w:fill="auto"/>
            <w:noWrap/>
            <w:vAlign w:val="bottom"/>
            <w:hideMark/>
          </w:tcPr>
          <w:p w14:paraId="26D15F0E"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14.10</w:t>
            </w:r>
          </w:p>
        </w:tc>
        <w:tc>
          <w:tcPr>
            <w:tcW w:w="900" w:type="dxa"/>
            <w:tcBorders>
              <w:top w:val="nil"/>
              <w:left w:val="nil"/>
              <w:bottom w:val="nil"/>
              <w:right w:val="nil"/>
            </w:tcBorders>
            <w:shd w:val="clear" w:color="auto" w:fill="auto"/>
            <w:noWrap/>
            <w:vAlign w:val="bottom"/>
            <w:hideMark/>
          </w:tcPr>
          <w:p w14:paraId="49386B4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5.50</w:t>
            </w:r>
          </w:p>
        </w:tc>
        <w:tc>
          <w:tcPr>
            <w:tcW w:w="900" w:type="dxa"/>
            <w:tcBorders>
              <w:top w:val="nil"/>
              <w:left w:val="nil"/>
              <w:bottom w:val="nil"/>
              <w:right w:val="nil"/>
            </w:tcBorders>
            <w:shd w:val="clear" w:color="auto" w:fill="auto"/>
            <w:noWrap/>
            <w:vAlign w:val="bottom"/>
            <w:hideMark/>
          </w:tcPr>
          <w:p w14:paraId="1478A92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11.28</w:t>
            </w:r>
          </w:p>
        </w:tc>
        <w:tc>
          <w:tcPr>
            <w:tcW w:w="266" w:type="dxa"/>
            <w:tcBorders>
              <w:top w:val="nil"/>
              <w:left w:val="nil"/>
              <w:bottom w:val="nil"/>
              <w:right w:val="nil"/>
            </w:tcBorders>
            <w:shd w:val="clear" w:color="auto" w:fill="auto"/>
            <w:noWrap/>
            <w:vAlign w:val="bottom"/>
            <w:hideMark/>
          </w:tcPr>
          <w:p w14:paraId="73FD607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A6B346F"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13.18</w:t>
            </w:r>
          </w:p>
        </w:tc>
        <w:tc>
          <w:tcPr>
            <w:tcW w:w="900" w:type="dxa"/>
            <w:tcBorders>
              <w:top w:val="nil"/>
              <w:left w:val="nil"/>
              <w:bottom w:val="nil"/>
              <w:right w:val="nil"/>
            </w:tcBorders>
            <w:shd w:val="clear" w:color="auto" w:fill="auto"/>
            <w:noWrap/>
            <w:vAlign w:val="bottom"/>
            <w:hideMark/>
          </w:tcPr>
          <w:p w14:paraId="5DC779F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4.72</w:t>
            </w:r>
          </w:p>
        </w:tc>
        <w:tc>
          <w:tcPr>
            <w:tcW w:w="900" w:type="dxa"/>
            <w:tcBorders>
              <w:top w:val="nil"/>
              <w:left w:val="nil"/>
              <w:bottom w:val="nil"/>
              <w:right w:val="nil"/>
            </w:tcBorders>
            <w:shd w:val="clear" w:color="auto" w:fill="auto"/>
            <w:noWrap/>
            <w:vAlign w:val="bottom"/>
            <w:hideMark/>
          </w:tcPr>
          <w:p w14:paraId="489DD07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9.03</w:t>
            </w:r>
          </w:p>
        </w:tc>
      </w:tr>
      <w:tr w:rsidR="00FE488C" w:rsidRPr="00FE488C" w14:paraId="465B7C90" w14:textId="77777777" w:rsidTr="00E674E0">
        <w:trPr>
          <w:trHeight w:val="260"/>
          <w:jc w:val="center"/>
        </w:trPr>
        <w:tc>
          <w:tcPr>
            <w:tcW w:w="5100" w:type="dxa"/>
            <w:tcBorders>
              <w:top w:val="nil"/>
              <w:left w:val="nil"/>
              <w:bottom w:val="single" w:sz="4" w:space="0" w:color="auto"/>
              <w:right w:val="nil"/>
            </w:tcBorders>
            <w:shd w:val="clear" w:color="auto" w:fill="auto"/>
            <w:noWrap/>
            <w:vAlign w:val="bottom"/>
            <w:hideMark/>
          </w:tcPr>
          <w:p w14:paraId="175CB22D"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Observations</w:t>
            </w:r>
          </w:p>
        </w:tc>
        <w:tc>
          <w:tcPr>
            <w:tcW w:w="900" w:type="dxa"/>
            <w:tcBorders>
              <w:top w:val="nil"/>
              <w:left w:val="nil"/>
              <w:bottom w:val="single" w:sz="4" w:space="0" w:color="auto"/>
              <w:right w:val="nil"/>
            </w:tcBorders>
            <w:shd w:val="clear" w:color="auto" w:fill="auto"/>
            <w:noWrap/>
            <w:vAlign w:val="bottom"/>
            <w:hideMark/>
          </w:tcPr>
          <w:p w14:paraId="5A2C1DE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246</w:t>
            </w:r>
          </w:p>
        </w:tc>
        <w:tc>
          <w:tcPr>
            <w:tcW w:w="900" w:type="dxa"/>
            <w:tcBorders>
              <w:top w:val="nil"/>
              <w:left w:val="nil"/>
              <w:bottom w:val="single" w:sz="4" w:space="0" w:color="auto"/>
              <w:right w:val="nil"/>
            </w:tcBorders>
            <w:shd w:val="clear" w:color="auto" w:fill="auto"/>
            <w:noWrap/>
            <w:vAlign w:val="bottom"/>
            <w:hideMark/>
          </w:tcPr>
          <w:p w14:paraId="6984BBB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246</w:t>
            </w:r>
          </w:p>
        </w:tc>
        <w:tc>
          <w:tcPr>
            <w:tcW w:w="900" w:type="dxa"/>
            <w:tcBorders>
              <w:top w:val="nil"/>
              <w:left w:val="nil"/>
              <w:bottom w:val="single" w:sz="4" w:space="0" w:color="auto"/>
              <w:right w:val="nil"/>
            </w:tcBorders>
            <w:shd w:val="clear" w:color="auto" w:fill="auto"/>
            <w:noWrap/>
            <w:vAlign w:val="bottom"/>
            <w:hideMark/>
          </w:tcPr>
          <w:p w14:paraId="2421C17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246</w:t>
            </w:r>
          </w:p>
        </w:tc>
        <w:tc>
          <w:tcPr>
            <w:tcW w:w="266" w:type="dxa"/>
            <w:tcBorders>
              <w:top w:val="nil"/>
              <w:left w:val="nil"/>
              <w:bottom w:val="single" w:sz="4" w:space="0" w:color="auto"/>
              <w:right w:val="nil"/>
            </w:tcBorders>
            <w:shd w:val="clear" w:color="auto" w:fill="auto"/>
            <w:noWrap/>
            <w:vAlign w:val="bottom"/>
            <w:hideMark/>
          </w:tcPr>
          <w:p w14:paraId="3E08646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6300794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333</w:t>
            </w:r>
          </w:p>
        </w:tc>
        <w:tc>
          <w:tcPr>
            <w:tcW w:w="900" w:type="dxa"/>
            <w:tcBorders>
              <w:top w:val="nil"/>
              <w:left w:val="nil"/>
              <w:bottom w:val="single" w:sz="4" w:space="0" w:color="auto"/>
              <w:right w:val="nil"/>
            </w:tcBorders>
            <w:shd w:val="clear" w:color="auto" w:fill="auto"/>
            <w:noWrap/>
            <w:vAlign w:val="bottom"/>
            <w:hideMark/>
          </w:tcPr>
          <w:p w14:paraId="2439FCB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333</w:t>
            </w:r>
          </w:p>
        </w:tc>
        <w:tc>
          <w:tcPr>
            <w:tcW w:w="900" w:type="dxa"/>
            <w:tcBorders>
              <w:top w:val="nil"/>
              <w:left w:val="nil"/>
              <w:bottom w:val="single" w:sz="4" w:space="0" w:color="auto"/>
              <w:right w:val="nil"/>
            </w:tcBorders>
            <w:shd w:val="clear" w:color="auto" w:fill="auto"/>
            <w:noWrap/>
            <w:vAlign w:val="bottom"/>
            <w:hideMark/>
          </w:tcPr>
          <w:p w14:paraId="5FA1342D"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333</w:t>
            </w:r>
          </w:p>
        </w:tc>
      </w:tr>
      <w:tr w:rsidR="007A55E7" w:rsidRPr="00FE488C" w14:paraId="204A2392" w14:textId="77777777" w:rsidTr="00E674E0">
        <w:trPr>
          <w:trHeight w:val="260"/>
          <w:jc w:val="center"/>
        </w:trPr>
        <w:tc>
          <w:tcPr>
            <w:tcW w:w="10766" w:type="dxa"/>
            <w:gridSpan w:val="8"/>
            <w:tcBorders>
              <w:top w:val="single" w:sz="4" w:space="0" w:color="auto"/>
              <w:left w:val="nil"/>
              <w:right w:val="nil"/>
            </w:tcBorders>
            <w:shd w:val="clear" w:color="auto" w:fill="auto"/>
            <w:noWrap/>
            <w:vAlign w:val="bottom"/>
          </w:tcPr>
          <w:p w14:paraId="04F75A26" w14:textId="17D3B359" w:rsidR="007A55E7" w:rsidRPr="00FE488C" w:rsidRDefault="007A55E7" w:rsidP="007A55E7">
            <w:pPr>
              <w:spacing w:after="0" w:line="240" w:lineRule="auto"/>
              <w:jc w:val="both"/>
              <w:rPr>
                <w:rFonts w:ascii="Times New Roman" w:eastAsia="Times New Roman" w:hAnsi="Times New Roman" w:cs="Times New Roman"/>
                <w:color w:val="000000"/>
                <w:sz w:val="20"/>
                <w:szCs w:val="20"/>
              </w:rPr>
            </w:pPr>
            <w:r w:rsidRPr="00E674E0">
              <w:rPr>
                <w:rFonts w:ascii="Times New Roman" w:eastAsia="Times New Roman" w:hAnsi="Times New Roman" w:cs="Times New Roman"/>
                <w:i/>
                <w:iCs/>
                <w:sz w:val="20"/>
                <w:szCs w:val="20"/>
              </w:rPr>
              <w:t xml:space="preserve">Notes: </w:t>
            </w:r>
            <w:r w:rsidRPr="00E674E0">
              <w:rPr>
                <w:rFonts w:ascii="Times New Roman" w:eastAsia="Times New Roman" w:hAnsi="Times New Roman" w:cs="Times New Roman"/>
                <w:sz w:val="20"/>
                <w:szCs w:val="20"/>
              </w:rPr>
              <w:t>This table reports marginal effects from the estimation of the first stage of the IV estimation of equation (</w:t>
            </w:r>
            <w:r w:rsidR="000D4249">
              <w:rPr>
                <w:rFonts w:ascii="Times New Roman" w:eastAsia="Times New Roman" w:hAnsi="Times New Roman" w:cs="Times New Roman"/>
                <w:sz w:val="20"/>
                <w:szCs w:val="20"/>
              </w:rPr>
              <w:t>4</w:t>
            </w:r>
            <w:r w:rsidRPr="00E674E0">
              <w:rPr>
                <w:rFonts w:ascii="Times New Roman" w:eastAsia="Times New Roman" w:hAnsi="Times New Roman" w:cs="Times New Roman"/>
                <w:sz w:val="20"/>
                <w:szCs w:val="20"/>
              </w:rPr>
              <w:t>). Each column represents a regression of 10MinsOpen on 10MinsLottery and covariates for the sample of schools used in the dropout rate regressions for either 11</w:t>
            </w:r>
            <w:r w:rsidRPr="00E674E0">
              <w:rPr>
                <w:rFonts w:ascii="Times New Roman" w:eastAsia="Times New Roman" w:hAnsi="Times New Roman" w:cs="Times New Roman"/>
                <w:sz w:val="20"/>
                <w:szCs w:val="20"/>
                <w:vertAlign w:val="superscript"/>
              </w:rPr>
              <w:t>th</w:t>
            </w:r>
            <w:r w:rsidRPr="00E674E0">
              <w:rPr>
                <w:rFonts w:ascii="Times New Roman" w:eastAsia="Times New Roman" w:hAnsi="Times New Roman" w:cs="Times New Roman"/>
                <w:sz w:val="20"/>
                <w:szCs w:val="20"/>
              </w:rPr>
              <w:t>- or 12</w:t>
            </w:r>
            <w:r w:rsidRPr="00E674E0">
              <w:rPr>
                <w:rFonts w:ascii="Times New Roman" w:eastAsia="Times New Roman" w:hAnsi="Times New Roman" w:cs="Times New Roman"/>
                <w:sz w:val="20"/>
                <w:szCs w:val="20"/>
                <w:vertAlign w:val="superscript"/>
              </w:rPr>
              <w:t>th</w:t>
            </w:r>
            <w:r w:rsidRPr="00E674E0">
              <w:rPr>
                <w:rFonts w:ascii="Times New Roman" w:eastAsia="Times New Roman" w:hAnsi="Times New Roman" w:cs="Times New Roman"/>
                <w:sz w:val="20"/>
                <w:szCs w:val="20"/>
              </w:rPr>
              <w:t xml:space="preserve">-grade. Linear probability models are used for estimation. All specifications include the 2014-15 and 2015-16 school years. School controls include the proportions of free-or-reduced-price lunch, Black, Hispanic, and Asian students, and indicators for whether the school is in a city, town, or suburb. The omitted locale is rural. Standard errors clustered by school are in parentheses. </w:t>
            </w:r>
            <w:proofErr w:type="spellStart"/>
            <w:r w:rsidRPr="00E674E0">
              <w:rPr>
                <w:rFonts w:ascii="Times New Roman" w:eastAsia="Times New Roman" w:hAnsi="Times New Roman" w:cs="Times New Roman"/>
                <w:sz w:val="20"/>
                <w:szCs w:val="20"/>
              </w:rPr>
              <w:t>Kleibergen-Paap</w:t>
            </w:r>
            <w:proofErr w:type="spellEnd"/>
            <w:r w:rsidRPr="00E674E0">
              <w:rPr>
                <w:rFonts w:ascii="Times New Roman" w:eastAsia="Times New Roman" w:hAnsi="Times New Roman" w:cs="Times New Roman"/>
                <w:sz w:val="20"/>
                <w:szCs w:val="20"/>
              </w:rPr>
              <w:t xml:space="preserve"> F-statistics from a test for weak instruments are also reported.</w:t>
            </w:r>
          </w:p>
        </w:tc>
      </w:tr>
    </w:tbl>
    <w:p w14:paraId="3AE87CB5" w14:textId="78B7C169" w:rsidR="00FE488C" w:rsidRDefault="00FE488C" w:rsidP="00D750E1">
      <w:pPr>
        <w:rPr>
          <w:rFonts w:ascii="Times New Roman" w:hAnsi="Times New Roman" w:cs="Times New Roman"/>
          <w:sz w:val="24"/>
          <w:szCs w:val="24"/>
        </w:rPr>
        <w:sectPr w:rsidR="00FE488C" w:rsidSect="000735D6">
          <w:headerReference w:type="default" r:id="rId44"/>
          <w:pgSz w:w="12240" w:h="15840"/>
          <w:pgMar w:top="1440" w:right="1440" w:bottom="1440" w:left="1440" w:header="720" w:footer="720" w:gutter="0"/>
          <w:cols w:space="720"/>
          <w:docGrid w:linePitch="360"/>
        </w:sectPr>
      </w:pPr>
    </w:p>
    <w:tbl>
      <w:tblPr>
        <w:tblW w:w="10766" w:type="dxa"/>
        <w:jc w:val="center"/>
        <w:tblLook w:val="04A0" w:firstRow="1" w:lastRow="0" w:firstColumn="1" w:lastColumn="0" w:noHBand="0" w:noVBand="1"/>
      </w:tblPr>
      <w:tblGrid>
        <w:gridCol w:w="5100"/>
        <w:gridCol w:w="900"/>
        <w:gridCol w:w="900"/>
        <w:gridCol w:w="900"/>
        <w:gridCol w:w="266"/>
        <w:gridCol w:w="900"/>
        <w:gridCol w:w="900"/>
        <w:gridCol w:w="900"/>
      </w:tblGrid>
      <w:tr w:rsidR="00EF105D" w:rsidRPr="00FE488C" w14:paraId="2E8E5CFA" w14:textId="77777777" w:rsidTr="00B87948">
        <w:trPr>
          <w:trHeight w:val="270"/>
          <w:jc w:val="center"/>
        </w:trPr>
        <w:tc>
          <w:tcPr>
            <w:tcW w:w="10766" w:type="dxa"/>
            <w:gridSpan w:val="8"/>
            <w:tcBorders>
              <w:top w:val="nil"/>
              <w:left w:val="nil"/>
              <w:bottom w:val="double" w:sz="6" w:space="0" w:color="auto"/>
              <w:right w:val="nil"/>
            </w:tcBorders>
            <w:shd w:val="clear" w:color="auto" w:fill="auto"/>
            <w:noWrap/>
            <w:vAlign w:val="bottom"/>
            <w:hideMark/>
          </w:tcPr>
          <w:p w14:paraId="0515EFF0" w14:textId="1D6CCD5F" w:rsidR="00EF105D" w:rsidRDefault="00EF105D" w:rsidP="00EF105D">
            <w:pPr>
              <w:spacing w:after="0" w:line="240" w:lineRule="auto"/>
              <w:jc w:val="center"/>
              <w:rPr>
                <w:rFonts w:ascii="Times New Roman" w:eastAsia="Times New Roman" w:hAnsi="Times New Roman" w:cs="Times New Roman"/>
                <w:color w:val="000000"/>
                <w:sz w:val="24"/>
                <w:szCs w:val="24"/>
              </w:rPr>
            </w:pPr>
            <w:r w:rsidRPr="007E3A04">
              <w:rPr>
                <w:rFonts w:ascii="Times New Roman" w:eastAsia="Times New Roman" w:hAnsi="Times New Roman" w:cs="Times New Roman"/>
                <w:color w:val="000000"/>
                <w:sz w:val="24"/>
                <w:szCs w:val="24"/>
              </w:rPr>
              <w:lastRenderedPageBreak/>
              <w:t>Table A</w:t>
            </w:r>
            <w:r>
              <w:rPr>
                <w:rFonts w:ascii="Times New Roman" w:eastAsia="Times New Roman" w:hAnsi="Times New Roman" w:cs="Times New Roman"/>
                <w:color w:val="000000"/>
                <w:sz w:val="24"/>
                <w:szCs w:val="24"/>
              </w:rPr>
              <w:t>2</w:t>
            </w:r>
            <w:r w:rsidRPr="007E3A04">
              <w:rPr>
                <w:rFonts w:ascii="Times New Roman" w:eastAsia="Times New Roman" w:hAnsi="Times New Roman" w:cs="Times New Roman"/>
                <w:color w:val="000000"/>
                <w:sz w:val="24"/>
                <w:szCs w:val="24"/>
              </w:rPr>
              <w:t xml:space="preserve">: First-Stage Regression </w:t>
            </w:r>
            <w:r>
              <w:rPr>
                <w:rFonts w:ascii="Times New Roman" w:eastAsia="Times New Roman" w:hAnsi="Times New Roman" w:cs="Times New Roman"/>
                <w:color w:val="000000"/>
                <w:sz w:val="24"/>
                <w:szCs w:val="24"/>
              </w:rPr>
              <w:t xml:space="preserve">Estimates </w:t>
            </w:r>
            <w:r w:rsidRPr="007E3A04">
              <w:rPr>
                <w:rFonts w:ascii="Times New Roman" w:eastAsia="Times New Roman" w:hAnsi="Times New Roman" w:cs="Times New Roman"/>
                <w:color w:val="000000"/>
                <w:sz w:val="24"/>
                <w:szCs w:val="24"/>
              </w:rPr>
              <w:t xml:space="preserve">of whether a School is within 10 Minutes of an Open Dispensary on whether a School is within 10 Minutes of a Lottery Winner for the Samples Used in the </w:t>
            </w:r>
            <w:r>
              <w:rPr>
                <w:rFonts w:ascii="Times New Roman" w:eastAsia="Times New Roman" w:hAnsi="Times New Roman" w:cs="Times New Roman"/>
                <w:color w:val="000000"/>
                <w:sz w:val="24"/>
                <w:szCs w:val="24"/>
              </w:rPr>
              <w:t>Chronic Absenteeism</w:t>
            </w:r>
            <w:r w:rsidRPr="007E3A04">
              <w:rPr>
                <w:rFonts w:ascii="Times New Roman" w:eastAsia="Times New Roman" w:hAnsi="Times New Roman" w:cs="Times New Roman"/>
                <w:color w:val="000000"/>
                <w:sz w:val="24"/>
                <w:szCs w:val="24"/>
              </w:rPr>
              <w:t xml:space="preserve"> Rate Regressions</w:t>
            </w:r>
          </w:p>
          <w:p w14:paraId="720F75CC" w14:textId="77777777" w:rsidR="00B87948" w:rsidRDefault="00B87948" w:rsidP="00EF105D">
            <w:pPr>
              <w:spacing w:after="0" w:line="240" w:lineRule="auto"/>
              <w:jc w:val="center"/>
              <w:rPr>
                <w:rFonts w:ascii="Times New Roman" w:eastAsia="Times New Roman" w:hAnsi="Times New Roman" w:cs="Times New Roman"/>
                <w:color w:val="000000"/>
                <w:sz w:val="24"/>
                <w:szCs w:val="24"/>
              </w:rPr>
            </w:pPr>
          </w:p>
          <w:p w14:paraId="2E7DE386" w14:textId="193443B3" w:rsidR="00EF105D" w:rsidRPr="00FE488C" w:rsidRDefault="00EF105D" w:rsidP="00FE488C">
            <w:pPr>
              <w:spacing w:after="0" w:line="240" w:lineRule="auto"/>
              <w:jc w:val="center"/>
              <w:rPr>
                <w:rFonts w:ascii="Times New Roman" w:eastAsia="Times New Roman" w:hAnsi="Times New Roman" w:cs="Times New Roman"/>
                <w:color w:val="000000"/>
                <w:sz w:val="20"/>
                <w:szCs w:val="20"/>
              </w:rPr>
            </w:pPr>
          </w:p>
        </w:tc>
      </w:tr>
      <w:tr w:rsidR="00FE488C" w:rsidRPr="00FE488C" w14:paraId="1199D1E1" w14:textId="77777777" w:rsidTr="00B87948">
        <w:trPr>
          <w:trHeight w:val="270"/>
          <w:jc w:val="center"/>
        </w:trPr>
        <w:tc>
          <w:tcPr>
            <w:tcW w:w="5100" w:type="dxa"/>
            <w:tcBorders>
              <w:top w:val="nil"/>
              <w:left w:val="nil"/>
              <w:bottom w:val="nil"/>
              <w:right w:val="nil"/>
            </w:tcBorders>
            <w:shd w:val="clear" w:color="auto" w:fill="auto"/>
            <w:noWrap/>
            <w:vAlign w:val="bottom"/>
            <w:hideMark/>
          </w:tcPr>
          <w:p w14:paraId="2691BFB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700" w:type="dxa"/>
            <w:gridSpan w:val="3"/>
            <w:tcBorders>
              <w:top w:val="double" w:sz="6" w:space="0" w:color="auto"/>
              <w:left w:val="nil"/>
              <w:bottom w:val="single" w:sz="4" w:space="0" w:color="auto"/>
              <w:right w:val="nil"/>
            </w:tcBorders>
            <w:shd w:val="clear" w:color="auto" w:fill="auto"/>
            <w:noWrap/>
            <w:vAlign w:val="bottom"/>
            <w:hideMark/>
          </w:tcPr>
          <w:p w14:paraId="40754BC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11th</w:t>
            </w:r>
          </w:p>
        </w:tc>
        <w:tc>
          <w:tcPr>
            <w:tcW w:w="266" w:type="dxa"/>
            <w:tcBorders>
              <w:top w:val="nil"/>
              <w:left w:val="nil"/>
              <w:bottom w:val="nil"/>
              <w:right w:val="nil"/>
            </w:tcBorders>
            <w:shd w:val="clear" w:color="auto" w:fill="auto"/>
            <w:noWrap/>
            <w:vAlign w:val="bottom"/>
            <w:hideMark/>
          </w:tcPr>
          <w:p w14:paraId="6EE8681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700" w:type="dxa"/>
            <w:gridSpan w:val="3"/>
            <w:tcBorders>
              <w:top w:val="double" w:sz="6" w:space="0" w:color="auto"/>
              <w:left w:val="nil"/>
              <w:bottom w:val="single" w:sz="4" w:space="0" w:color="auto"/>
              <w:right w:val="nil"/>
            </w:tcBorders>
            <w:shd w:val="clear" w:color="auto" w:fill="auto"/>
            <w:noWrap/>
            <w:vAlign w:val="bottom"/>
            <w:hideMark/>
          </w:tcPr>
          <w:p w14:paraId="64EDCB3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12th</w:t>
            </w:r>
          </w:p>
        </w:tc>
      </w:tr>
      <w:tr w:rsidR="00FE488C" w:rsidRPr="00FE488C" w14:paraId="00450936" w14:textId="77777777" w:rsidTr="00B87948">
        <w:trPr>
          <w:trHeight w:val="260"/>
          <w:jc w:val="center"/>
        </w:trPr>
        <w:tc>
          <w:tcPr>
            <w:tcW w:w="5100" w:type="dxa"/>
            <w:tcBorders>
              <w:top w:val="nil"/>
              <w:left w:val="nil"/>
              <w:bottom w:val="single" w:sz="4" w:space="0" w:color="auto"/>
              <w:right w:val="nil"/>
            </w:tcBorders>
            <w:shd w:val="clear" w:color="auto" w:fill="auto"/>
            <w:noWrap/>
            <w:vAlign w:val="bottom"/>
            <w:hideMark/>
          </w:tcPr>
          <w:p w14:paraId="5515507F"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2DBDF4F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nil"/>
            </w:tcBorders>
            <w:shd w:val="clear" w:color="auto" w:fill="auto"/>
            <w:noWrap/>
            <w:vAlign w:val="bottom"/>
            <w:hideMark/>
          </w:tcPr>
          <w:p w14:paraId="6B6BD05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nil"/>
            </w:tcBorders>
            <w:shd w:val="clear" w:color="auto" w:fill="auto"/>
            <w:noWrap/>
            <w:vAlign w:val="bottom"/>
            <w:hideMark/>
          </w:tcPr>
          <w:p w14:paraId="2223A7C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w:t>
            </w:r>
          </w:p>
        </w:tc>
        <w:tc>
          <w:tcPr>
            <w:tcW w:w="266" w:type="dxa"/>
            <w:tcBorders>
              <w:top w:val="nil"/>
              <w:left w:val="nil"/>
              <w:bottom w:val="single" w:sz="4" w:space="0" w:color="auto"/>
              <w:right w:val="nil"/>
            </w:tcBorders>
            <w:shd w:val="clear" w:color="auto" w:fill="auto"/>
            <w:noWrap/>
            <w:vAlign w:val="bottom"/>
            <w:hideMark/>
          </w:tcPr>
          <w:p w14:paraId="4CE8CDA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1A26F86F"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w:t>
            </w:r>
          </w:p>
        </w:tc>
        <w:tc>
          <w:tcPr>
            <w:tcW w:w="900" w:type="dxa"/>
            <w:tcBorders>
              <w:top w:val="nil"/>
              <w:left w:val="nil"/>
              <w:bottom w:val="single" w:sz="4" w:space="0" w:color="auto"/>
              <w:right w:val="nil"/>
            </w:tcBorders>
            <w:shd w:val="clear" w:color="auto" w:fill="auto"/>
            <w:noWrap/>
            <w:vAlign w:val="bottom"/>
            <w:hideMark/>
          </w:tcPr>
          <w:p w14:paraId="64156F9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(5)</w:t>
            </w:r>
          </w:p>
        </w:tc>
        <w:tc>
          <w:tcPr>
            <w:tcW w:w="900" w:type="dxa"/>
            <w:tcBorders>
              <w:top w:val="nil"/>
              <w:left w:val="nil"/>
              <w:bottom w:val="single" w:sz="4" w:space="0" w:color="auto"/>
              <w:right w:val="nil"/>
            </w:tcBorders>
            <w:shd w:val="clear" w:color="auto" w:fill="auto"/>
            <w:noWrap/>
            <w:vAlign w:val="bottom"/>
            <w:hideMark/>
          </w:tcPr>
          <w:p w14:paraId="2567200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(6)</w:t>
            </w:r>
          </w:p>
        </w:tc>
      </w:tr>
      <w:tr w:rsidR="00FE488C" w:rsidRPr="00FE488C" w14:paraId="0537D951" w14:textId="77777777" w:rsidTr="00B87948">
        <w:trPr>
          <w:trHeight w:val="260"/>
          <w:jc w:val="center"/>
        </w:trPr>
        <w:tc>
          <w:tcPr>
            <w:tcW w:w="5100" w:type="dxa"/>
            <w:tcBorders>
              <w:top w:val="nil"/>
              <w:left w:val="nil"/>
              <w:bottom w:val="nil"/>
              <w:right w:val="nil"/>
            </w:tcBorders>
            <w:shd w:val="clear" w:color="auto" w:fill="auto"/>
            <w:noWrap/>
            <w:vAlign w:val="bottom"/>
            <w:hideMark/>
          </w:tcPr>
          <w:p w14:paraId="737F0D78"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School is within 10 Mins of an Open Dispensary</w:t>
            </w:r>
          </w:p>
        </w:tc>
        <w:tc>
          <w:tcPr>
            <w:tcW w:w="900" w:type="dxa"/>
            <w:tcBorders>
              <w:top w:val="nil"/>
              <w:left w:val="nil"/>
              <w:bottom w:val="nil"/>
              <w:right w:val="nil"/>
            </w:tcBorders>
            <w:shd w:val="clear" w:color="auto" w:fill="auto"/>
            <w:noWrap/>
            <w:vAlign w:val="bottom"/>
            <w:hideMark/>
          </w:tcPr>
          <w:p w14:paraId="6C349EE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0.437</w:t>
            </w:r>
          </w:p>
        </w:tc>
        <w:tc>
          <w:tcPr>
            <w:tcW w:w="900" w:type="dxa"/>
            <w:tcBorders>
              <w:top w:val="nil"/>
              <w:left w:val="nil"/>
              <w:bottom w:val="nil"/>
              <w:right w:val="nil"/>
            </w:tcBorders>
            <w:shd w:val="clear" w:color="auto" w:fill="auto"/>
            <w:noWrap/>
            <w:vAlign w:val="bottom"/>
            <w:hideMark/>
          </w:tcPr>
          <w:p w14:paraId="39C17C02"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0.302</w:t>
            </w:r>
          </w:p>
        </w:tc>
        <w:tc>
          <w:tcPr>
            <w:tcW w:w="900" w:type="dxa"/>
            <w:tcBorders>
              <w:top w:val="nil"/>
              <w:left w:val="nil"/>
              <w:bottom w:val="nil"/>
              <w:right w:val="nil"/>
            </w:tcBorders>
            <w:shd w:val="clear" w:color="auto" w:fill="auto"/>
            <w:noWrap/>
            <w:vAlign w:val="bottom"/>
            <w:hideMark/>
          </w:tcPr>
          <w:p w14:paraId="4EBF1C1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0.367</w:t>
            </w:r>
          </w:p>
        </w:tc>
        <w:tc>
          <w:tcPr>
            <w:tcW w:w="266" w:type="dxa"/>
            <w:tcBorders>
              <w:top w:val="nil"/>
              <w:left w:val="nil"/>
              <w:bottom w:val="nil"/>
              <w:right w:val="nil"/>
            </w:tcBorders>
            <w:shd w:val="clear" w:color="auto" w:fill="auto"/>
            <w:noWrap/>
            <w:vAlign w:val="bottom"/>
            <w:hideMark/>
          </w:tcPr>
          <w:p w14:paraId="14A55D2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26F3368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0.441</w:t>
            </w:r>
          </w:p>
        </w:tc>
        <w:tc>
          <w:tcPr>
            <w:tcW w:w="900" w:type="dxa"/>
            <w:tcBorders>
              <w:top w:val="nil"/>
              <w:left w:val="nil"/>
              <w:bottom w:val="nil"/>
              <w:right w:val="nil"/>
            </w:tcBorders>
            <w:shd w:val="clear" w:color="auto" w:fill="auto"/>
            <w:noWrap/>
            <w:vAlign w:val="bottom"/>
            <w:hideMark/>
          </w:tcPr>
          <w:p w14:paraId="5B7F839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0.310</w:t>
            </w:r>
          </w:p>
        </w:tc>
        <w:tc>
          <w:tcPr>
            <w:tcW w:w="900" w:type="dxa"/>
            <w:tcBorders>
              <w:top w:val="nil"/>
              <w:left w:val="nil"/>
              <w:bottom w:val="nil"/>
              <w:right w:val="nil"/>
            </w:tcBorders>
            <w:shd w:val="clear" w:color="auto" w:fill="auto"/>
            <w:noWrap/>
            <w:vAlign w:val="bottom"/>
            <w:hideMark/>
          </w:tcPr>
          <w:p w14:paraId="45E88B6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0.394</w:t>
            </w:r>
          </w:p>
        </w:tc>
      </w:tr>
      <w:tr w:rsidR="00FE488C" w:rsidRPr="00FE488C" w14:paraId="3F0B24F8" w14:textId="77777777" w:rsidTr="00B87948">
        <w:trPr>
          <w:trHeight w:val="260"/>
          <w:jc w:val="center"/>
        </w:trPr>
        <w:tc>
          <w:tcPr>
            <w:tcW w:w="5100" w:type="dxa"/>
            <w:tcBorders>
              <w:top w:val="nil"/>
              <w:left w:val="nil"/>
              <w:bottom w:val="nil"/>
              <w:right w:val="nil"/>
            </w:tcBorders>
            <w:shd w:val="clear" w:color="auto" w:fill="auto"/>
            <w:noWrap/>
            <w:vAlign w:val="bottom"/>
            <w:hideMark/>
          </w:tcPr>
          <w:p w14:paraId="4A989A1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B5B6D5E"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(0.0908)</w:t>
            </w:r>
          </w:p>
        </w:tc>
        <w:tc>
          <w:tcPr>
            <w:tcW w:w="900" w:type="dxa"/>
            <w:tcBorders>
              <w:top w:val="nil"/>
              <w:left w:val="nil"/>
              <w:bottom w:val="nil"/>
              <w:right w:val="nil"/>
            </w:tcBorders>
            <w:shd w:val="clear" w:color="auto" w:fill="auto"/>
            <w:noWrap/>
            <w:vAlign w:val="bottom"/>
            <w:hideMark/>
          </w:tcPr>
          <w:p w14:paraId="5D7F9E4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(0.0987)</w:t>
            </w:r>
          </w:p>
        </w:tc>
        <w:tc>
          <w:tcPr>
            <w:tcW w:w="900" w:type="dxa"/>
            <w:tcBorders>
              <w:top w:val="nil"/>
              <w:left w:val="nil"/>
              <w:bottom w:val="nil"/>
              <w:right w:val="nil"/>
            </w:tcBorders>
            <w:shd w:val="clear" w:color="auto" w:fill="auto"/>
            <w:noWrap/>
            <w:vAlign w:val="bottom"/>
            <w:hideMark/>
          </w:tcPr>
          <w:p w14:paraId="03E77ED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(0.0942)</w:t>
            </w:r>
          </w:p>
        </w:tc>
        <w:tc>
          <w:tcPr>
            <w:tcW w:w="266" w:type="dxa"/>
            <w:tcBorders>
              <w:top w:val="nil"/>
              <w:left w:val="nil"/>
              <w:bottom w:val="nil"/>
              <w:right w:val="nil"/>
            </w:tcBorders>
            <w:shd w:val="clear" w:color="auto" w:fill="auto"/>
            <w:noWrap/>
            <w:vAlign w:val="bottom"/>
            <w:hideMark/>
          </w:tcPr>
          <w:p w14:paraId="62FA5D77"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9E08A2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(0.0881)</w:t>
            </w:r>
          </w:p>
        </w:tc>
        <w:tc>
          <w:tcPr>
            <w:tcW w:w="900" w:type="dxa"/>
            <w:tcBorders>
              <w:top w:val="nil"/>
              <w:left w:val="nil"/>
              <w:bottom w:val="nil"/>
              <w:right w:val="nil"/>
            </w:tcBorders>
            <w:shd w:val="clear" w:color="auto" w:fill="auto"/>
            <w:noWrap/>
            <w:vAlign w:val="bottom"/>
            <w:hideMark/>
          </w:tcPr>
          <w:p w14:paraId="761FDD0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(0.0957)</w:t>
            </w:r>
          </w:p>
        </w:tc>
        <w:tc>
          <w:tcPr>
            <w:tcW w:w="900" w:type="dxa"/>
            <w:tcBorders>
              <w:top w:val="nil"/>
              <w:left w:val="nil"/>
              <w:bottom w:val="nil"/>
              <w:right w:val="nil"/>
            </w:tcBorders>
            <w:shd w:val="clear" w:color="auto" w:fill="auto"/>
            <w:noWrap/>
            <w:vAlign w:val="bottom"/>
            <w:hideMark/>
          </w:tcPr>
          <w:p w14:paraId="3F6FCCA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(0.0905)</w:t>
            </w:r>
          </w:p>
        </w:tc>
      </w:tr>
      <w:tr w:rsidR="00FE488C" w:rsidRPr="00FE488C" w14:paraId="6C5A9F20" w14:textId="77777777" w:rsidTr="00B87948">
        <w:trPr>
          <w:trHeight w:val="260"/>
          <w:jc w:val="center"/>
        </w:trPr>
        <w:tc>
          <w:tcPr>
            <w:tcW w:w="5100" w:type="dxa"/>
            <w:tcBorders>
              <w:top w:val="nil"/>
              <w:left w:val="nil"/>
              <w:bottom w:val="nil"/>
              <w:right w:val="nil"/>
            </w:tcBorders>
            <w:shd w:val="clear" w:color="auto" w:fill="auto"/>
            <w:noWrap/>
            <w:vAlign w:val="bottom"/>
            <w:hideMark/>
          </w:tcPr>
          <w:p w14:paraId="29961310"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Dispensary License Applicants in 10 Mins</w:t>
            </w:r>
          </w:p>
        </w:tc>
        <w:tc>
          <w:tcPr>
            <w:tcW w:w="900" w:type="dxa"/>
            <w:tcBorders>
              <w:top w:val="nil"/>
              <w:left w:val="nil"/>
              <w:bottom w:val="nil"/>
              <w:right w:val="nil"/>
            </w:tcBorders>
            <w:shd w:val="clear" w:color="auto" w:fill="auto"/>
            <w:noWrap/>
            <w:vAlign w:val="bottom"/>
            <w:hideMark/>
          </w:tcPr>
          <w:p w14:paraId="7D6625E6"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52C8E7A2"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006B0E1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66" w:type="dxa"/>
            <w:tcBorders>
              <w:top w:val="nil"/>
              <w:left w:val="nil"/>
              <w:bottom w:val="nil"/>
              <w:right w:val="nil"/>
            </w:tcBorders>
            <w:shd w:val="clear" w:color="auto" w:fill="auto"/>
            <w:noWrap/>
            <w:vAlign w:val="bottom"/>
            <w:hideMark/>
          </w:tcPr>
          <w:p w14:paraId="260852D6"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85EA45A"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1D3D00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45E1392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r>
      <w:tr w:rsidR="00FE488C" w:rsidRPr="00FE488C" w14:paraId="143E5DB0" w14:textId="77777777" w:rsidTr="00B87948">
        <w:trPr>
          <w:trHeight w:val="260"/>
          <w:jc w:val="center"/>
        </w:trPr>
        <w:tc>
          <w:tcPr>
            <w:tcW w:w="5100" w:type="dxa"/>
            <w:tcBorders>
              <w:top w:val="nil"/>
              <w:left w:val="nil"/>
              <w:bottom w:val="nil"/>
              <w:right w:val="nil"/>
            </w:tcBorders>
            <w:shd w:val="clear" w:color="auto" w:fill="auto"/>
            <w:noWrap/>
            <w:vAlign w:val="center"/>
            <w:hideMark/>
          </w:tcPr>
          <w:p w14:paraId="6B978888"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School Locale Indicators, Student Characteristics, Year FEs</w:t>
            </w:r>
          </w:p>
        </w:tc>
        <w:tc>
          <w:tcPr>
            <w:tcW w:w="900" w:type="dxa"/>
            <w:tcBorders>
              <w:top w:val="nil"/>
              <w:left w:val="nil"/>
              <w:bottom w:val="nil"/>
              <w:right w:val="nil"/>
            </w:tcBorders>
            <w:shd w:val="clear" w:color="auto" w:fill="auto"/>
            <w:noWrap/>
            <w:vAlign w:val="bottom"/>
            <w:hideMark/>
          </w:tcPr>
          <w:p w14:paraId="2F5DB7A1"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95A5675"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9B39E7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266" w:type="dxa"/>
            <w:tcBorders>
              <w:top w:val="nil"/>
              <w:left w:val="nil"/>
              <w:bottom w:val="nil"/>
              <w:right w:val="nil"/>
            </w:tcBorders>
            <w:shd w:val="clear" w:color="auto" w:fill="auto"/>
            <w:noWrap/>
            <w:vAlign w:val="bottom"/>
            <w:hideMark/>
          </w:tcPr>
          <w:p w14:paraId="5AD344DF"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760612B3"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208483F"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2C8966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r>
      <w:tr w:rsidR="00FE488C" w:rsidRPr="00FE488C" w14:paraId="3AF1056D" w14:textId="77777777" w:rsidTr="00B87948">
        <w:trPr>
          <w:trHeight w:val="260"/>
          <w:jc w:val="center"/>
        </w:trPr>
        <w:tc>
          <w:tcPr>
            <w:tcW w:w="5100" w:type="dxa"/>
            <w:tcBorders>
              <w:top w:val="nil"/>
              <w:left w:val="nil"/>
              <w:bottom w:val="nil"/>
              <w:right w:val="nil"/>
            </w:tcBorders>
            <w:shd w:val="clear" w:color="auto" w:fill="auto"/>
            <w:noWrap/>
            <w:vAlign w:val="bottom"/>
            <w:hideMark/>
          </w:tcPr>
          <w:p w14:paraId="379CD70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6F1A97E" w14:textId="77777777" w:rsidR="00FE488C" w:rsidRPr="00FE488C" w:rsidRDefault="00FE488C" w:rsidP="00FE488C">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00015F9"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E57CB13"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91654AB"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8BB09DF"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A76A3A0"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4701561"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r>
      <w:tr w:rsidR="00FE488C" w:rsidRPr="00FE488C" w14:paraId="458F52BD" w14:textId="77777777" w:rsidTr="00B87948">
        <w:trPr>
          <w:trHeight w:val="260"/>
          <w:jc w:val="center"/>
        </w:trPr>
        <w:tc>
          <w:tcPr>
            <w:tcW w:w="5100" w:type="dxa"/>
            <w:tcBorders>
              <w:top w:val="nil"/>
              <w:left w:val="nil"/>
              <w:bottom w:val="nil"/>
              <w:right w:val="nil"/>
            </w:tcBorders>
            <w:shd w:val="clear" w:color="auto" w:fill="auto"/>
            <w:noWrap/>
            <w:vAlign w:val="bottom"/>
            <w:hideMark/>
          </w:tcPr>
          <w:p w14:paraId="4B6A029C"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First-Stage F-statistic</w:t>
            </w:r>
          </w:p>
        </w:tc>
        <w:tc>
          <w:tcPr>
            <w:tcW w:w="900" w:type="dxa"/>
            <w:tcBorders>
              <w:top w:val="nil"/>
              <w:left w:val="nil"/>
              <w:bottom w:val="nil"/>
              <w:right w:val="nil"/>
            </w:tcBorders>
            <w:shd w:val="clear" w:color="auto" w:fill="auto"/>
            <w:noWrap/>
            <w:vAlign w:val="bottom"/>
            <w:hideMark/>
          </w:tcPr>
          <w:p w14:paraId="3CF2F69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23.17</w:t>
            </w:r>
          </w:p>
        </w:tc>
        <w:tc>
          <w:tcPr>
            <w:tcW w:w="900" w:type="dxa"/>
            <w:tcBorders>
              <w:top w:val="nil"/>
              <w:left w:val="nil"/>
              <w:bottom w:val="nil"/>
              <w:right w:val="nil"/>
            </w:tcBorders>
            <w:shd w:val="clear" w:color="auto" w:fill="auto"/>
            <w:noWrap/>
            <w:vAlign w:val="bottom"/>
            <w:hideMark/>
          </w:tcPr>
          <w:p w14:paraId="4FEB93A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9.35</w:t>
            </w:r>
          </w:p>
        </w:tc>
        <w:tc>
          <w:tcPr>
            <w:tcW w:w="900" w:type="dxa"/>
            <w:tcBorders>
              <w:top w:val="nil"/>
              <w:left w:val="nil"/>
              <w:bottom w:val="nil"/>
              <w:right w:val="nil"/>
            </w:tcBorders>
            <w:shd w:val="clear" w:color="auto" w:fill="auto"/>
            <w:noWrap/>
            <w:vAlign w:val="bottom"/>
            <w:hideMark/>
          </w:tcPr>
          <w:p w14:paraId="1B8BD3A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15.19</w:t>
            </w:r>
          </w:p>
        </w:tc>
        <w:tc>
          <w:tcPr>
            <w:tcW w:w="266" w:type="dxa"/>
            <w:tcBorders>
              <w:top w:val="nil"/>
              <w:left w:val="nil"/>
              <w:bottom w:val="nil"/>
              <w:right w:val="nil"/>
            </w:tcBorders>
            <w:shd w:val="clear" w:color="auto" w:fill="auto"/>
            <w:noWrap/>
            <w:vAlign w:val="bottom"/>
            <w:hideMark/>
          </w:tcPr>
          <w:p w14:paraId="5E441FD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768630F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25.07</w:t>
            </w:r>
          </w:p>
        </w:tc>
        <w:tc>
          <w:tcPr>
            <w:tcW w:w="900" w:type="dxa"/>
            <w:tcBorders>
              <w:top w:val="nil"/>
              <w:left w:val="nil"/>
              <w:bottom w:val="nil"/>
              <w:right w:val="nil"/>
            </w:tcBorders>
            <w:shd w:val="clear" w:color="auto" w:fill="auto"/>
            <w:noWrap/>
            <w:vAlign w:val="bottom"/>
            <w:hideMark/>
          </w:tcPr>
          <w:p w14:paraId="1511D7A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10.47</w:t>
            </w:r>
          </w:p>
        </w:tc>
        <w:tc>
          <w:tcPr>
            <w:tcW w:w="900" w:type="dxa"/>
            <w:tcBorders>
              <w:top w:val="nil"/>
              <w:left w:val="nil"/>
              <w:bottom w:val="nil"/>
              <w:right w:val="nil"/>
            </w:tcBorders>
            <w:shd w:val="clear" w:color="auto" w:fill="auto"/>
            <w:noWrap/>
            <w:vAlign w:val="bottom"/>
            <w:hideMark/>
          </w:tcPr>
          <w:p w14:paraId="688B5D8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18.95</w:t>
            </w:r>
          </w:p>
        </w:tc>
      </w:tr>
      <w:tr w:rsidR="00FE488C" w:rsidRPr="00FE488C" w14:paraId="37EB9D31" w14:textId="77777777" w:rsidTr="00B87948">
        <w:trPr>
          <w:trHeight w:val="260"/>
          <w:jc w:val="center"/>
        </w:trPr>
        <w:tc>
          <w:tcPr>
            <w:tcW w:w="5100" w:type="dxa"/>
            <w:tcBorders>
              <w:top w:val="nil"/>
              <w:left w:val="nil"/>
              <w:bottom w:val="single" w:sz="4" w:space="0" w:color="auto"/>
              <w:right w:val="nil"/>
            </w:tcBorders>
            <w:shd w:val="clear" w:color="auto" w:fill="auto"/>
            <w:noWrap/>
            <w:vAlign w:val="bottom"/>
            <w:hideMark/>
          </w:tcPr>
          <w:p w14:paraId="266608EF"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Observations</w:t>
            </w:r>
          </w:p>
        </w:tc>
        <w:tc>
          <w:tcPr>
            <w:tcW w:w="900" w:type="dxa"/>
            <w:tcBorders>
              <w:top w:val="nil"/>
              <w:left w:val="nil"/>
              <w:bottom w:val="single" w:sz="4" w:space="0" w:color="auto"/>
              <w:right w:val="nil"/>
            </w:tcBorders>
            <w:shd w:val="clear" w:color="auto" w:fill="auto"/>
            <w:noWrap/>
            <w:vAlign w:val="bottom"/>
            <w:hideMark/>
          </w:tcPr>
          <w:p w14:paraId="33717E5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316</w:t>
            </w:r>
          </w:p>
        </w:tc>
        <w:tc>
          <w:tcPr>
            <w:tcW w:w="900" w:type="dxa"/>
            <w:tcBorders>
              <w:top w:val="nil"/>
              <w:left w:val="nil"/>
              <w:bottom w:val="single" w:sz="4" w:space="0" w:color="auto"/>
              <w:right w:val="nil"/>
            </w:tcBorders>
            <w:shd w:val="clear" w:color="auto" w:fill="auto"/>
            <w:noWrap/>
            <w:vAlign w:val="bottom"/>
            <w:hideMark/>
          </w:tcPr>
          <w:p w14:paraId="2409587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316</w:t>
            </w:r>
          </w:p>
        </w:tc>
        <w:tc>
          <w:tcPr>
            <w:tcW w:w="900" w:type="dxa"/>
            <w:tcBorders>
              <w:top w:val="nil"/>
              <w:left w:val="nil"/>
              <w:bottom w:val="single" w:sz="4" w:space="0" w:color="auto"/>
              <w:right w:val="nil"/>
            </w:tcBorders>
            <w:shd w:val="clear" w:color="auto" w:fill="auto"/>
            <w:noWrap/>
            <w:vAlign w:val="bottom"/>
            <w:hideMark/>
          </w:tcPr>
          <w:p w14:paraId="15941DF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316</w:t>
            </w:r>
          </w:p>
        </w:tc>
        <w:tc>
          <w:tcPr>
            <w:tcW w:w="266" w:type="dxa"/>
            <w:tcBorders>
              <w:top w:val="nil"/>
              <w:left w:val="nil"/>
              <w:bottom w:val="single" w:sz="4" w:space="0" w:color="auto"/>
              <w:right w:val="nil"/>
            </w:tcBorders>
            <w:shd w:val="clear" w:color="auto" w:fill="auto"/>
            <w:noWrap/>
            <w:vAlign w:val="bottom"/>
            <w:hideMark/>
          </w:tcPr>
          <w:p w14:paraId="6E4F01F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680B747D"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324</w:t>
            </w:r>
          </w:p>
        </w:tc>
        <w:tc>
          <w:tcPr>
            <w:tcW w:w="900" w:type="dxa"/>
            <w:tcBorders>
              <w:top w:val="nil"/>
              <w:left w:val="nil"/>
              <w:bottom w:val="single" w:sz="4" w:space="0" w:color="auto"/>
              <w:right w:val="nil"/>
            </w:tcBorders>
            <w:shd w:val="clear" w:color="auto" w:fill="auto"/>
            <w:noWrap/>
            <w:vAlign w:val="bottom"/>
            <w:hideMark/>
          </w:tcPr>
          <w:p w14:paraId="1A80C0BF"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324</w:t>
            </w:r>
          </w:p>
        </w:tc>
        <w:tc>
          <w:tcPr>
            <w:tcW w:w="900" w:type="dxa"/>
            <w:tcBorders>
              <w:top w:val="nil"/>
              <w:left w:val="nil"/>
              <w:bottom w:val="single" w:sz="4" w:space="0" w:color="auto"/>
              <w:right w:val="nil"/>
            </w:tcBorders>
            <w:shd w:val="clear" w:color="auto" w:fill="auto"/>
            <w:noWrap/>
            <w:vAlign w:val="bottom"/>
            <w:hideMark/>
          </w:tcPr>
          <w:p w14:paraId="586F10FD"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324</w:t>
            </w:r>
          </w:p>
        </w:tc>
      </w:tr>
      <w:tr w:rsidR="00EF105D" w:rsidRPr="00FE488C" w14:paraId="6A610D07" w14:textId="77777777" w:rsidTr="00B87948">
        <w:trPr>
          <w:trHeight w:val="260"/>
          <w:jc w:val="center"/>
        </w:trPr>
        <w:tc>
          <w:tcPr>
            <w:tcW w:w="10766" w:type="dxa"/>
            <w:gridSpan w:val="8"/>
            <w:tcBorders>
              <w:top w:val="nil"/>
              <w:left w:val="nil"/>
              <w:bottom w:val="nil"/>
              <w:right w:val="nil"/>
            </w:tcBorders>
            <w:shd w:val="clear" w:color="auto" w:fill="auto"/>
            <w:noWrap/>
            <w:vAlign w:val="bottom"/>
            <w:hideMark/>
          </w:tcPr>
          <w:p w14:paraId="069A5950" w14:textId="611F0CAB" w:rsidR="00EF105D" w:rsidRPr="00FE488C" w:rsidRDefault="00EF105D" w:rsidP="00EF105D">
            <w:pPr>
              <w:spacing w:after="0" w:line="240" w:lineRule="auto"/>
              <w:jc w:val="both"/>
              <w:rPr>
                <w:rFonts w:ascii="Times New Roman" w:eastAsia="Times New Roman" w:hAnsi="Times New Roman" w:cs="Times New Roman"/>
                <w:sz w:val="20"/>
                <w:szCs w:val="20"/>
              </w:rPr>
            </w:pPr>
            <w:r w:rsidRPr="00E674E0">
              <w:rPr>
                <w:rFonts w:ascii="Times New Roman" w:eastAsia="Times New Roman" w:hAnsi="Times New Roman" w:cs="Times New Roman"/>
                <w:i/>
                <w:iCs/>
                <w:sz w:val="20"/>
                <w:szCs w:val="20"/>
              </w:rPr>
              <w:t xml:space="preserve">Notes: </w:t>
            </w:r>
            <w:r w:rsidRPr="00E674E0">
              <w:rPr>
                <w:rFonts w:ascii="Times New Roman" w:eastAsia="Times New Roman" w:hAnsi="Times New Roman" w:cs="Times New Roman"/>
                <w:sz w:val="20"/>
                <w:szCs w:val="20"/>
              </w:rPr>
              <w:t>This table reports marginal effects from the estimation of the first stage of the IV estimation of equation (</w:t>
            </w:r>
            <w:r w:rsidR="000D4249">
              <w:rPr>
                <w:rFonts w:ascii="Times New Roman" w:eastAsia="Times New Roman" w:hAnsi="Times New Roman" w:cs="Times New Roman"/>
                <w:sz w:val="20"/>
                <w:szCs w:val="20"/>
              </w:rPr>
              <w:t>4</w:t>
            </w:r>
            <w:r w:rsidRPr="00E674E0">
              <w:rPr>
                <w:rFonts w:ascii="Times New Roman" w:eastAsia="Times New Roman" w:hAnsi="Times New Roman" w:cs="Times New Roman"/>
                <w:sz w:val="20"/>
                <w:szCs w:val="20"/>
              </w:rPr>
              <w:t xml:space="preserve">). Each column represents a regression of 10MinsOpen on 10MinsLottery and covariates for the sample of schools used in the </w:t>
            </w:r>
            <w:r w:rsidR="00723F67">
              <w:rPr>
                <w:rFonts w:ascii="Times New Roman" w:eastAsia="Times New Roman" w:hAnsi="Times New Roman" w:cs="Times New Roman"/>
                <w:sz w:val="20"/>
                <w:szCs w:val="20"/>
              </w:rPr>
              <w:t xml:space="preserve">chronic absenteeism </w:t>
            </w:r>
            <w:r w:rsidRPr="00E674E0">
              <w:rPr>
                <w:rFonts w:ascii="Times New Roman" w:eastAsia="Times New Roman" w:hAnsi="Times New Roman" w:cs="Times New Roman"/>
                <w:sz w:val="20"/>
                <w:szCs w:val="20"/>
              </w:rPr>
              <w:t>rate regressions for either 11</w:t>
            </w:r>
            <w:r w:rsidRPr="00E674E0">
              <w:rPr>
                <w:rFonts w:ascii="Times New Roman" w:eastAsia="Times New Roman" w:hAnsi="Times New Roman" w:cs="Times New Roman"/>
                <w:sz w:val="20"/>
                <w:szCs w:val="20"/>
                <w:vertAlign w:val="superscript"/>
              </w:rPr>
              <w:t>th</w:t>
            </w:r>
            <w:r w:rsidRPr="00E674E0">
              <w:rPr>
                <w:rFonts w:ascii="Times New Roman" w:eastAsia="Times New Roman" w:hAnsi="Times New Roman" w:cs="Times New Roman"/>
                <w:sz w:val="20"/>
                <w:szCs w:val="20"/>
              </w:rPr>
              <w:t>- or 12</w:t>
            </w:r>
            <w:r w:rsidRPr="00E674E0">
              <w:rPr>
                <w:rFonts w:ascii="Times New Roman" w:eastAsia="Times New Roman" w:hAnsi="Times New Roman" w:cs="Times New Roman"/>
                <w:sz w:val="20"/>
                <w:szCs w:val="20"/>
                <w:vertAlign w:val="superscript"/>
              </w:rPr>
              <w:t>th</w:t>
            </w:r>
            <w:r w:rsidRPr="00E674E0">
              <w:rPr>
                <w:rFonts w:ascii="Times New Roman" w:eastAsia="Times New Roman" w:hAnsi="Times New Roman" w:cs="Times New Roman"/>
                <w:sz w:val="20"/>
                <w:szCs w:val="20"/>
              </w:rPr>
              <w:t xml:space="preserve">-grade. Linear probability models are used for estimation. All specifications include the 2014-15 and 2015-16 school years. School controls include the proportions of free-or-reduced-price lunch, Black, Hispanic, and Asian students, and indicators for whether the school is in a city, town, or suburb. The omitted locale is rural. Standard errors clustered by school are in parentheses. </w:t>
            </w:r>
            <w:proofErr w:type="spellStart"/>
            <w:r w:rsidRPr="00E674E0">
              <w:rPr>
                <w:rFonts w:ascii="Times New Roman" w:eastAsia="Times New Roman" w:hAnsi="Times New Roman" w:cs="Times New Roman"/>
                <w:sz w:val="20"/>
                <w:szCs w:val="20"/>
              </w:rPr>
              <w:t>Kleibergen-Paap</w:t>
            </w:r>
            <w:proofErr w:type="spellEnd"/>
            <w:r w:rsidRPr="00E674E0">
              <w:rPr>
                <w:rFonts w:ascii="Times New Roman" w:eastAsia="Times New Roman" w:hAnsi="Times New Roman" w:cs="Times New Roman"/>
                <w:sz w:val="20"/>
                <w:szCs w:val="20"/>
              </w:rPr>
              <w:t xml:space="preserve"> F-statistics from a test for weak instruments are also reported.</w:t>
            </w:r>
          </w:p>
        </w:tc>
      </w:tr>
    </w:tbl>
    <w:p w14:paraId="0CE0597D" w14:textId="1A128DF6" w:rsidR="00FE488C" w:rsidRDefault="00FE488C" w:rsidP="00D750E1">
      <w:pPr>
        <w:rPr>
          <w:rFonts w:ascii="Times New Roman" w:hAnsi="Times New Roman" w:cs="Times New Roman"/>
          <w:sz w:val="24"/>
          <w:szCs w:val="24"/>
        </w:rPr>
        <w:sectPr w:rsidR="00FE488C" w:rsidSect="000735D6">
          <w:headerReference w:type="default" r:id="rId45"/>
          <w:pgSz w:w="12240" w:h="15840"/>
          <w:pgMar w:top="1440" w:right="1440" w:bottom="1440" w:left="1440" w:header="720" w:footer="720" w:gutter="0"/>
          <w:cols w:space="720"/>
          <w:docGrid w:linePitch="360"/>
        </w:sectPr>
      </w:pPr>
    </w:p>
    <w:tbl>
      <w:tblPr>
        <w:tblW w:w="10766" w:type="dxa"/>
        <w:jc w:val="center"/>
        <w:tblLook w:val="04A0" w:firstRow="1" w:lastRow="0" w:firstColumn="1" w:lastColumn="0" w:noHBand="0" w:noVBand="1"/>
      </w:tblPr>
      <w:tblGrid>
        <w:gridCol w:w="5100"/>
        <w:gridCol w:w="900"/>
        <w:gridCol w:w="900"/>
        <w:gridCol w:w="900"/>
        <w:gridCol w:w="266"/>
        <w:gridCol w:w="900"/>
        <w:gridCol w:w="900"/>
        <w:gridCol w:w="900"/>
      </w:tblGrid>
      <w:tr w:rsidR="00B87948" w:rsidRPr="00FE488C" w14:paraId="27DE65B4" w14:textId="77777777" w:rsidTr="00EB455F">
        <w:trPr>
          <w:trHeight w:val="270"/>
          <w:jc w:val="center"/>
        </w:trPr>
        <w:tc>
          <w:tcPr>
            <w:tcW w:w="10766" w:type="dxa"/>
            <w:gridSpan w:val="8"/>
            <w:tcBorders>
              <w:top w:val="nil"/>
              <w:left w:val="nil"/>
              <w:bottom w:val="double" w:sz="6" w:space="0" w:color="auto"/>
              <w:right w:val="nil"/>
            </w:tcBorders>
            <w:shd w:val="clear" w:color="auto" w:fill="auto"/>
            <w:noWrap/>
            <w:vAlign w:val="bottom"/>
            <w:hideMark/>
          </w:tcPr>
          <w:p w14:paraId="5A7B126E" w14:textId="77777777" w:rsidR="00B87948" w:rsidRPr="004A1965" w:rsidRDefault="00B87948" w:rsidP="00B87948">
            <w:pPr>
              <w:spacing w:after="0" w:line="240" w:lineRule="auto"/>
              <w:jc w:val="center"/>
              <w:rPr>
                <w:rFonts w:ascii="Times New Roman" w:eastAsia="Times New Roman" w:hAnsi="Times New Roman" w:cs="Times New Roman"/>
                <w:color w:val="000000"/>
                <w:sz w:val="24"/>
                <w:szCs w:val="24"/>
              </w:rPr>
            </w:pPr>
            <w:r w:rsidRPr="004A1965">
              <w:rPr>
                <w:rFonts w:ascii="Times New Roman" w:eastAsia="Times New Roman" w:hAnsi="Times New Roman" w:cs="Times New Roman"/>
                <w:color w:val="000000"/>
                <w:sz w:val="24"/>
                <w:szCs w:val="24"/>
              </w:rPr>
              <w:lastRenderedPageBreak/>
              <w:t>Table A3: First-Stage Regression Estimates of whether a School is within 10 Minutes of an Open Dispensary on whether a School is within 10 Minutes of a Lottery Winner for the Samples Used in the Discipline Rate Regressions</w:t>
            </w:r>
          </w:p>
          <w:p w14:paraId="75AA7884" w14:textId="39900ABC" w:rsidR="00B87948" w:rsidRPr="00FE488C" w:rsidRDefault="00B87948" w:rsidP="00FE488C">
            <w:pPr>
              <w:spacing w:after="0" w:line="240" w:lineRule="auto"/>
              <w:jc w:val="center"/>
              <w:rPr>
                <w:rFonts w:ascii="Times New Roman" w:eastAsia="Times New Roman" w:hAnsi="Times New Roman" w:cs="Times New Roman"/>
                <w:sz w:val="24"/>
                <w:szCs w:val="24"/>
              </w:rPr>
            </w:pPr>
            <w:r w:rsidRPr="00FE488C">
              <w:rPr>
                <w:rFonts w:ascii="Times New Roman" w:eastAsia="Times New Roman" w:hAnsi="Times New Roman" w:cs="Times New Roman"/>
                <w:color w:val="000000"/>
                <w:sz w:val="24"/>
                <w:szCs w:val="24"/>
              </w:rPr>
              <w:t> </w:t>
            </w:r>
          </w:p>
        </w:tc>
      </w:tr>
      <w:tr w:rsidR="00FE488C" w:rsidRPr="00FE488C" w14:paraId="0C38887C" w14:textId="77777777" w:rsidTr="00EB455F">
        <w:trPr>
          <w:trHeight w:val="270"/>
          <w:jc w:val="center"/>
        </w:trPr>
        <w:tc>
          <w:tcPr>
            <w:tcW w:w="5100" w:type="dxa"/>
            <w:tcBorders>
              <w:top w:val="nil"/>
              <w:left w:val="nil"/>
              <w:bottom w:val="nil"/>
              <w:right w:val="nil"/>
            </w:tcBorders>
            <w:shd w:val="clear" w:color="auto" w:fill="auto"/>
            <w:noWrap/>
            <w:vAlign w:val="bottom"/>
            <w:hideMark/>
          </w:tcPr>
          <w:p w14:paraId="19F066B6" w14:textId="77777777" w:rsidR="00FE488C" w:rsidRPr="00FE488C" w:rsidRDefault="00FE488C" w:rsidP="00FE488C">
            <w:pPr>
              <w:spacing w:after="0" w:line="240" w:lineRule="auto"/>
              <w:jc w:val="center"/>
              <w:rPr>
                <w:rFonts w:ascii="Times New Roman" w:eastAsia="Times New Roman" w:hAnsi="Times New Roman" w:cs="Times New Roman"/>
                <w:sz w:val="24"/>
                <w:szCs w:val="24"/>
              </w:rPr>
            </w:pPr>
          </w:p>
        </w:tc>
        <w:tc>
          <w:tcPr>
            <w:tcW w:w="2700" w:type="dxa"/>
            <w:gridSpan w:val="3"/>
            <w:tcBorders>
              <w:top w:val="double" w:sz="6" w:space="0" w:color="auto"/>
              <w:left w:val="nil"/>
              <w:bottom w:val="single" w:sz="4" w:space="0" w:color="auto"/>
              <w:right w:val="nil"/>
            </w:tcBorders>
            <w:shd w:val="clear" w:color="auto" w:fill="auto"/>
            <w:noWrap/>
            <w:vAlign w:val="bottom"/>
            <w:hideMark/>
          </w:tcPr>
          <w:p w14:paraId="36A1101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11th</w:t>
            </w:r>
          </w:p>
        </w:tc>
        <w:tc>
          <w:tcPr>
            <w:tcW w:w="266" w:type="dxa"/>
            <w:tcBorders>
              <w:top w:val="nil"/>
              <w:left w:val="nil"/>
              <w:bottom w:val="nil"/>
              <w:right w:val="nil"/>
            </w:tcBorders>
            <w:shd w:val="clear" w:color="auto" w:fill="auto"/>
            <w:noWrap/>
            <w:vAlign w:val="bottom"/>
            <w:hideMark/>
          </w:tcPr>
          <w:p w14:paraId="5BF1F54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700" w:type="dxa"/>
            <w:gridSpan w:val="3"/>
            <w:tcBorders>
              <w:top w:val="double" w:sz="6" w:space="0" w:color="auto"/>
              <w:left w:val="nil"/>
              <w:bottom w:val="single" w:sz="4" w:space="0" w:color="auto"/>
              <w:right w:val="nil"/>
            </w:tcBorders>
            <w:shd w:val="clear" w:color="auto" w:fill="auto"/>
            <w:noWrap/>
            <w:vAlign w:val="bottom"/>
            <w:hideMark/>
          </w:tcPr>
          <w:p w14:paraId="6C5B78D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12th</w:t>
            </w:r>
          </w:p>
        </w:tc>
      </w:tr>
      <w:tr w:rsidR="00FE488C" w:rsidRPr="00FE488C" w14:paraId="737C017A" w14:textId="77777777" w:rsidTr="00EB455F">
        <w:trPr>
          <w:trHeight w:val="260"/>
          <w:jc w:val="center"/>
        </w:trPr>
        <w:tc>
          <w:tcPr>
            <w:tcW w:w="5100" w:type="dxa"/>
            <w:tcBorders>
              <w:top w:val="nil"/>
              <w:left w:val="nil"/>
              <w:bottom w:val="single" w:sz="4" w:space="0" w:color="auto"/>
              <w:right w:val="nil"/>
            </w:tcBorders>
            <w:shd w:val="clear" w:color="auto" w:fill="auto"/>
            <w:noWrap/>
            <w:vAlign w:val="bottom"/>
            <w:hideMark/>
          </w:tcPr>
          <w:p w14:paraId="6FD8BA8F"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687A050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nil"/>
            </w:tcBorders>
            <w:shd w:val="clear" w:color="auto" w:fill="auto"/>
            <w:noWrap/>
            <w:vAlign w:val="bottom"/>
            <w:hideMark/>
          </w:tcPr>
          <w:p w14:paraId="2C1F816F"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nil"/>
            </w:tcBorders>
            <w:shd w:val="clear" w:color="auto" w:fill="auto"/>
            <w:noWrap/>
            <w:vAlign w:val="bottom"/>
            <w:hideMark/>
          </w:tcPr>
          <w:p w14:paraId="4FB5596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w:t>
            </w:r>
          </w:p>
        </w:tc>
        <w:tc>
          <w:tcPr>
            <w:tcW w:w="266" w:type="dxa"/>
            <w:tcBorders>
              <w:top w:val="nil"/>
              <w:left w:val="nil"/>
              <w:bottom w:val="single" w:sz="4" w:space="0" w:color="auto"/>
              <w:right w:val="nil"/>
            </w:tcBorders>
            <w:shd w:val="clear" w:color="auto" w:fill="auto"/>
            <w:noWrap/>
            <w:vAlign w:val="bottom"/>
            <w:hideMark/>
          </w:tcPr>
          <w:p w14:paraId="7B33118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7134CE8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w:t>
            </w:r>
          </w:p>
        </w:tc>
        <w:tc>
          <w:tcPr>
            <w:tcW w:w="900" w:type="dxa"/>
            <w:tcBorders>
              <w:top w:val="nil"/>
              <w:left w:val="nil"/>
              <w:bottom w:val="single" w:sz="4" w:space="0" w:color="auto"/>
              <w:right w:val="nil"/>
            </w:tcBorders>
            <w:shd w:val="clear" w:color="auto" w:fill="auto"/>
            <w:noWrap/>
            <w:vAlign w:val="bottom"/>
            <w:hideMark/>
          </w:tcPr>
          <w:p w14:paraId="11E3BA0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(5)</w:t>
            </w:r>
          </w:p>
        </w:tc>
        <w:tc>
          <w:tcPr>
            <w:tcW w:w="900" w:type="dxa"/>
            <w:tcBorders>
              <w:top w:val="nil"/>
              <w:left w:val="nil"/>
              <w:bottom w:val="single" w:sz="4" w:space="0" w:color="auto"/>
              <w:right w:val="nil"/>
            </w:tcBorders>
            <w:shd w:val="clear" w:color="auto" w:fill="auto"/>
            <w:noWrap/>
            <w:vAlign w:val="bottom"/>
            <w:hideMark/>
          </w:tcPr>
          <w:p w14:paraId="6864862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(6)</w:t>
            </w:r>
          </w:p>
        </w:tc>
      </w:tr>
      <w:tr w:rsidR="00FE488C" w:rsidRPr="00FE488C" w14:paraId="0AA66772" w14:textId="77777777" w:rsidTr="00EB455F">
        <w:trPr>
          <w:trHeight w:val="260"/>
          <w:jc w:val="center"/>
        </w:trPr>
        <w:tc>
          <w:tcPr>
            <w:tcW w:w="5100" w:type="dxa"/>
            <w:tcBorders>
              <w:top w:val="nil"/>
              <w:left w:val="nil"/>
              <w:bottom w:val="nil"/>
              <w:right w:val="nil"/>
            </w:tcBorders>
            <w:shd w:val="clear" w:color="auto" w:fill="auto"/>
            <w:noWrap/>
            <w:vAlign w:val="bottom"/>
            <w:hideMark/>
          </w:tcPr>
          <w:p w14:paraId="775187B3"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School is within 10 Mins of an Open Dispensary</w:t>
            </w:r>
          </w:p>
        </w:tc>
        <w:tc>
          <w:tcPr>
            <w:tcW w:w="900" w:type="dxa"/>
            <w:tcBorders>
              <w:top w:val="nil"/>
              <w:left w:val="nil"/>
              <w:bottom w:val="nil"/>
              <w:right w:val="nil"/>
            </w:tcBorders>
            <w:shd w:val="clear" w:color="auto" w:fill="auto"/>
            <w:noWrap/>
            <w:vAlign w:val="bottom"/>
            <w:hideMark/>
          </w:tcPr>
          <w:p w14:paraId="0DCFCAE7"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0.442</w:t>
            </w:r>
          </w:p>
        </w:tc>
        <w:tc>
          <w:tcPr>
            <w:tcW w:w="900" w:type="dxa"/>
            <w:tcBorders>
              <w:top w:val="nil"/>
              <w:left w:val="nil"/>
              <w:bottom w:val="nil"/>
              <w:right w:val="nil"/>
            </w:tcBorders>
            <w:shd w:val="clear" w:color="auto" w:fill="auto"/>
            <w:noWrap/>
            <w:vAlign w:val="bottom"/>
            <w:hideMark/>
          </w:tcPr>
          <w:p w14:paraId="77A7B08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0.316</w:t>
            </w:r>
          </w:p>
        </w:tc>
        <w:tc>
          <w:tcPr>
            <w:tcW w:w="900" w:type="dxa"/>
            <w:tcBorders>
              <w:top w:val="nil"/>
              <w:left w:val="nil"/>
              <w:bottom w:val="nil"/>
              <w:right w:val="nil"/>
            </w:tcBorders>
            <w:shd w:val="clear" w:color="auto" w:fill="auto"/>
            <w:noWrap/>
            <w:vAlign w:val="bottom"/>
            <w:hideMark/>
          </w:tcPr>
          <w:p w14:paraId="772CC04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0.376</w:t>
            </w:r>
          </w:p>
        </w:tc>
        <w:tc>
          <w:tcPr>
            <w:tcW w:w="266" w:type="dxa"/>
            <w:tcBorders>
              <w:top w:val="nil"/>
              <w:left w:val="nil"/>
              <w:bottom w:val="nil"/>
              <w:right w:val="nil"/>
            </w:tcBorders>
            <w:shd w:val="clear" w:color="auto" w:fill="auto"/>
            <w:noWrap/>
            <w:vAlign w:val="bottom"/>
            <w:hideMark/>
          </w:tcPr>
          <w:p w14:paraId="0AD9405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B85BCF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0.445</w:t>
            </w:r>
          </w:p>
        </w:tc>
        <w:tc>
          <w:tcPr>
            <w:tcW w:w="900" w:type="dxa"/>
            <w:tcBorders>
              <w:top w:val="nil"/>
              <w:left w:val="nil"/>
              <w:bottom w:val="nil"/>
              <w:right w:val="nil"/>
            </w:tcBorders>
            <w:shd w:val="clear" w:color="auto" w:fill="auto"/>
            <w:noWrap/>
            <w:vAlign w:val="bottom"/>
            <w:hideMark/>
          </w:tcPr>
          <w:p w14:paraId="64AE4F0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0.322</w:t>
            </w:r>
          </w:p>
        </w:tc>
        <w:tc>
          <w:tcPr>
            <w:tcW w:w="900" w:type="dxa"/>
            <w:tcBorders>
              <w:top w:val="nil"/>
              <w:left w:val="nil"/>
              <w:bottom w:val="nil"/>
              <w:right w:val="nil"/>
            </w:tcBorders>
            <w:shd w:val="clear" w:color="auto" w:fill="auto"/>
            <w:noWrap/>
            <w:vAlign w:val="bottom"/>
            <w:hideMark/>
          </w:tcPr>
          <w:p w14:paraId="0E19B0F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0.381</w:t>
            </w:r>
          </w:p>
        </w:tc>
      </w:tr>
      <w:tr w:rsidR="00FE488C" w:rsidRPr="00FE488C" w14:paraId="4D8A075A" w14:textId="77777777" w:rsidTr="00EB455F">
        <w:trPr>
          <w:trHeight w:val="260"/>
          <w:jc w:val="center"/>
        </w:trPr>
        <w:tc>
          <w:tcPr>
            <w:tcW w:w="5100" w:type="dxa"/>
            <w:tcBorders>
              <w:top w:val="nil"/>
              <w:left w:val="nil"/>
              <w:bottom w:val="nil"/>
              <w:right w:val="nil"/>
            </w:tcBorders>
            <w:shd w:val="clear" w:color="auto" w:fill="auto"/>
            <w:noWrap/>
            <w:vAlign w:val="bottom"/>
            <w:hideMark/>
          </w:tcPr>
          <w:p w14:paraId="2CDB3BF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7198F58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(0.0817)</w:t>
            </w:r>
          </w:p>
        </w:tc>
        <w:tc>
          <w:tcPr>
            <w:tcW w:w="900" w:type="dxa"/>
            <w:tcBorders>
              <w:top w:val="nil"/>
              <w:left w:val="nil"/>
              <w:bottom w:val="nil"/>
              <w:right w:val="nil"/>
            </w:tcBorders>
            <w:shd w:val="clear" w:color="auto" w:fill="auto"/>
            <w:noWrap/>
            <w:vAlign w:val="bottom"/>
            <w:hideMark/>
          </w:tcPr>
          <w:p w14:paraId="14104B1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(0.0881)</w:t>
            </w:r>
          </w:p>
        </w:tc>
        <w:tc>
          <w:tcPr>
            <w:tcW w:w="900" w:type="dxa"/>
            <w:tcBorders>
              <w:top w:val="nil"/>
              <w:left w:val="nil"/>
              <w:bottom w:val="nil"/>
              <w:right w:val="nil"/>
            </w:tcBorders>
            <w:shd w:val="clear" w:color="auto" w:fill="auto"/>
            <w:noWrap/>
            <w:vAlign w:val="bottom"/>
            <w:hideMark/>
          </w:tcPr>
          <w:p w14:paraId="501D3507"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(0.0848)</w:t>
            </w:r>
          </w:p>
        </w:tc>
        <w:tc>
          <w:tcPr>
            <w:tcW w:w="266" w:type="dxa"/>
            <w:tcBorders>
              <w:top w:val="nil"/>
              <w:left w:val="nil"/>
              <w:bottom w:val="nil"/>
              <w:right w:val="nil"/>
            </w:tcBorders>
            <w:shd w:val="clear" w:color="auto" w:fill="auto"/>
            <w:noWrap/>
            <w:vAlign w:val="bottom"/>
            <w:hideMark/>
          </w:tcPr>
          <w:p w14:paraId="0B88239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0C912E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(0.0816)</w:t>
            </w:r>
          </w:p>
        </w:tc>
        <w:tc>
          <w:tcPr>
            <w:tcW w:w="900" w:type="dxa"/>
            <w:tcBorders>
              <w:top w:val="nil"/>
              <w:left w:val="nil"/>
              <w:bottom w:val="nil"/>
              <w:right w:val="nil"/>
            </w:tcBorders>
            <w:shd w:val="clear" w:color="auto" w:fill="auto"/>
            <w:noWrap/>
            <w:vAlign w:val="bottom"/>
            <w:hideMark/>
          </w:tcPr>
          <w:p w14:paraId="3CE5BA6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(0.0879)</w:t>
            </w:r>
          </w:p>
        </w:tc>
        <w:tc>
          <w:tcPr>
            <w:tcW w:w="900" w:type="dxa"/>
            <w:tcBorders>
              <w:top w:val="nil"/>
              <w:left w:val="nil"/>
              <w:bottom w:val="nil"/>
              <w:right w:val="nil"/>
            </w:tcBorders>
            <w:shd w:val="clear" w:color="auto" w:fill="auto"/>
            <w:noWrap/>
            <w:vAlign w:val="bottom"/>
            <w:hideMark/>
          </w:tcPr>
          <w:p w14:paraId="542C962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(0.0848)</w:t>
            </w:r>
          </w:p>
        </w:tc>
      </w:tr>
      <w:tr w:rsidR="00FE488C" w:rsidRPr="00FE488C" w14:paraId="13C783FC" w14:textId="77777777" w:rsidTr="00EB455F">
        <w:trPr>
          <w:trHeight w:val="260"/>
          <w:jc w:val="center"/>
        </w:trPr>
        <w:tc>
          <w:tcPr>
            <w:tcW w:w="5100" w:type="dxa"/>
            <w:tcBorders>
              <w:top w:val="nil"/>
              <w:left w:val="nil"/>
              <w:bottom w:val="nil"/>
              <w:right w:val="nil"/>
            </w:tcBorders>
            <w:shd w:val="clear" w:color="auto" w:fill="auto"/>
            <w:noWrap/>
            <w:vAlign w:val="bottom"/>
            <w:hideMark/>
          </w:tcPr>
          <w:p w14:paraId="4348DAB7"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Dispensary License Applicants in 10 Mins</w:t>
            </w:r>
          </w:p>
        </w:tc>
        <w:tc>
          <w:tcPr>
            <w:tcW w:w="900" w:type="dxa"/>
            <w:tcBorders>
              <w:top w:val="nil"/>
              <w:left w:val="nil"/>
              <w:bottom w:val="nil"/>
              <w:right w:val="nil"/>
            </w:tcBorders>
            <w:shd w:val="clear" w:color="auto" w:fill="auto"/>
            <w:noWrap/>
            <w:vAlign w:val="bottom"/>
            <w:hideMark/>
          </w:tcPr>
          <w:p w14:paraId="5CFB8235"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7BF226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3A9728D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66" w:type="dxa"/>
            <w:tcBorders>
              <w:top w:val="nil"/>
              <w:left w:val="nil"/>
              <w:bottom w:val="nil"/>
              <w:right w:val="nil"/>
            </w:tcBorders>
            <w:shd w:val="clear" w:color="auto" w:fill="auto"/>
            <w:noWrap/>
            <w:vAlign w:val="bottom"/>
            <w:hideMark/>
          </w:tcPr>
          <w:p w14:paraId="5405FFF7"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539945B"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CFD109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63717CA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r>
      <w:tr w:rsidR="00FE488C" w:rsidRPr="00FE488C" w14:paraId="2184C4F5" w14:textId="77777777" w:rsidTr="00EB455F">
        <w:trPr>
          <w:trHeight w:val="260"/>
          <w:jc w:val="center"/>
        </w:trPr>
        <w:tc>
          <w:tcPr>
            <w:tcW w:w="5100" w:type="dxa"/>
            <w:tcBorders>
              <w:top w:val="nil"/>
              <w:left w:val="nil"/>
              <w:bottom w:val="nil"/>
              <w:right w:val="nil"/>
            </w:tcBorders>
            <w:shd w:val="clear" w:color="auto" w:fill="auto"/>
            <w:noWrap/>
            <w:vAlign w:val="center"/>
            <w:hideMark/>
          </w:tcPr>
          <w:p w14:paraId="681F1D4E"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School Locale Indicators, Student Characteristics, Year FEs</w:t>
            </w:r>
          </w:p>
        </w:tc>
        <w:tc>
          <w:tcPr>
            <w:tcW w:w="900" w:type="dxa"/>
            <w:tcBorders>
              <w:top w:val="nil"/>
              <w:left w:val="nil"/>
              <w:bottom w:val="nil"/>
              <w:right w:val="nil"/>
            </w:tcBorders>
            <w:shd w:val="clear" w:color="auto" w:fill="auto"/>
            <w:noWrap/>
            <w:vAlign w:val="bottom"/>
            <w:hideMark/>
          </w:tcPr>
          <w:p w14:paraId="0CB43379"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78275F47"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197F1B1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266" w:type="dxa"/>
            <w:tcBorders>
              <w:top w:val="nil"/>
              <w:left w:val="nil"/>
              <w:bottom w:val="nil"/>
              <w:right w:val="nil"/>
            </w:tcBorders>
            <w:shd w:val="clear" w:color="auto" w:fill="auto"/>
            <w:noWrap/>
            <w:vAlign w:val="bottom"/>
            <w:hideMark/>
          </w:tcPr>
          <w:p w14:paraId="3C3ECADF"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4FF9A979"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37E76657"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34DFA3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r>
      <w:tr w:rsidR="00FE488C" w:rsidRPr="00FE488C" w14:paraId="3306F678" w14:textId="77777777" w:rsidTr="00EB455F">
        <w:trPr>
          <w:trHeight w:val="260"/>
          <w:jc w:val="center"/>
        </w:trPr>
        <w:tc>
          <w:tcPr>
            <w:tcW w:w="5100" w:type="dxa"/>
            <w:tcBorders>
              <w:top w:val="nil"/>
              <w:left w:val="nil"/>
              <w:bottom w:val="nil"/>
              <w:right w:val="nil"/>
            </w:tcBorders>
            <w:shd w:val="clear" w:color="auto" w:fill="auto"/>
            <w:noWrap/>
            <w:vAlign w:val="bottom"/>
            <w:hideMark/>
          </w:tcPr>
          <w:p w14:paraId="7D84AE9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662AAA8C" w14:textId="77777777" w:rsidR="00FE488C" w:rsidRPr="00FE488C" w:rsidRDefault="00FE488C" w:rsidP="00FE488C">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DDDB905"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E0FA779"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9987858"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394D81F7"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D7FAAD5"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5C99FDE"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r>
      <w:tr w:rsidR="00FE488C" w:rsidRPr="00FE488C" w14:paraId="107BEC3C" w14:textId="77777777" w:rsidTr="00EB455F">
        <w:trPr>
          <w:trHeight w:val="260"/>
          <w:jc w:val="center"/>
        </w:trPr>
        <w:tc>
          <w:tcPr>
            <w:tcW w:w="5100" w:type="dxa"/>
            <w:tcBorders>
              <w:top w:val="nil"/>
              <w:left w:val="nil"/>
              <w:bottom w:val="nil"/>
              <w:right w:val="nil"/>
            </w:tcBorders>
            <w:shd w:val="clear" w:color="auto" w:fill="auto"/>
            <w:noWrap/>
            <w:vAlign w:val="bottom"/>
            <w:hideMark/>
          </w:tcPr>
          <w:p w14:paraId="2D2A25DF"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First-Stage F-statistic</w:t>
            </w:r>
          </w:p>
        </w:tc>
        <w:tc>
          <w:tcPr>
            <w:tcW w:w="900" w:type="dxa"/>
            <w:tcBorders>
              <w:top w:val="nil"/>
              <w:left w:val="nil"/>
              <w:bottom w:val="nil"/>
              <w:right w:val="nil"/>
            </w:tcBorders>
            <w:shd w:val="clear" w:color="auto" w:fill="auto"/>
            <w:noWrap/>
            <w:vAlign w:val="bottom"/>
            <w:hideMark/>
          </w:tcPr>
          <w:p w14:paraId="44FBB267"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29.27</w:t>
            </w:r>
          </w:p>
        </w:tc>
        <w:tc>
          <w:tcPr>
            <w:tcW w:w="900" w:type="dxa"/>
            <w:tcBorders>
              <w:top w:val="nil"/>
              <w:left w:val="nil"/>
              <w:bottom w:val="nil"/>
              <w:right w:val="nil"/>
            </w:tcBorders>
            <w:shd w:val="clear" w:color="auto" w:fill="auto"/>
            <w:noWrap/>
            <w:vAlign w:val="bottom"/>
            <w:hideMark/>
          </w:tcPr>
          <w:p w14:paraId="06F803D2"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12.87</w:t>
            </w:r>
          </w:p>
        </w:tc>
        <w:tc>
          <w:tcPr>
            <w:tcW w:w="900" w:type="dxa"/>
            <w:tcBorders>
              <w:top w:val="nil"/>
              <w:left w:val="nil"/>
              <w:bottom w:val="nil"/>
              <w:right w:val="nil"/>
            </w:tcBorders>
            <w:shd w:val="clear" w:color="auto" w:fill="auto"/>
            <w:noWrap/>
            <w:vAlign w:val="bottom"/>
            <w:hideMark/>
          </w:tcPr>
          <w:p w14:paraId="73B7401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19.65</w:t>
            </w:r>
          </w:p>
        </w:tc>
        <w:tc>
          <w:tcPr>
            <w:tcW w:w="266" w:type="dxa"/>
            <w:tcBorders>
              <w:top w:val="nil"/>
              <w:left w:val="nil"/>
              <w:bottom w:val="nil"/>
              <w:right w:val="nil"/>
            </w:tcBorders>
            <w:shd w:val="clear" w:color="auto" w:fill="auto"/>
            <w:noWrap/>
            <w:vAlign w:val="bottom"/>
            <w:hideMark/>
          </w:tcPr>
          <w:p w14:paraId="5821AF8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F57C8D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29.72</w:t>
            </w:r>
          </w:p>
        </w:tc>
        <w:tc>
          <w:tcPr>
            <w:tcW w:w="900" w:type="dxa"/>
            <w:tcBorders>
              <w:top w:val="nil"/>
              <w:left w:val="nil"/>
              <w:bottom w:val="nil"/>
              <w:right w:val="nil"/>
            </w:tcBorders>
            <w:shd w:val="clear" w:color="auto" w:fill="auto"/>
            <w:noWrap/>
            <w:vAlign w:val="bottom"/>
            <w:hideMark/>
          </w:tcPr>
          <w:p w14:paraId="05C121E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13.41</w:t>
            </w:r>
          </w:p>
        </w:tc>
        <w:tc>
          <w:tcPr>
            <w:tcW w:w="900" w:type="dxa"/>
            <w:tcBorders>
              <w:top w:val="nil"/>
              <w:left w:val="nil"/>
              <w:bottom w:val="nil"/>
              <w:right w:val="nil"/>
            </w:tcBorders>
            <w:shd w:val="clear" w:color="auto" w:fill="auto"/>
            <w:noWrap/>
            <w:vAlign w:val="bottom"/>
            <w:hideMark/>
          </w:tcPr>
          <w:p w14:paraId="5D3D373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20.19</w:t>
            </w:r>
          </w:p>
        </w:tc>
      </w:tr>
      <w:tr w:rsidR="00FE488C" w:rsidRPr="00FE488C" w14:paraId="67635CAF" w14:textId="77777777" w:rsidTr="00EB455F">
        <w:trPr>
          <w:trHeight w:val="260"/>
          <w:jc w:val="center"/>
        </w:trPr>
        <w:tc>
          <w:tcPr>
            <w:tcW w:w="5100" w:type="dxa"/>
            <w:tcBorders>
              <w:top w:val="nil"/>
              <w:left w:val="nil"/>
              <w:bottom w:val="single" w:sz="4" w:space="0" w:color="auto"/>
              <w:right w:val="nil"/>
            </w:tcBorders>
            <w:shd w:val="clear" w:color="auto" w:fill="auto"/>
            <w:noWrap/>
            <w:vAlign w:val="bottom"/>
            <w:hideMark/>
          </w:tcPr>
          <w:p w14:paraId="7D22768F"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Observations</w:t>
            </w:r>
          </w:p>
        </w:tc>
        <w:tc>
          <w:tcPr>
            <w:tcW w:w="900" w:type="dxa"/>
            <w:tcBorders>
              <w:top w:val="nil"/>
              <w:left w:val="nil"/>
              <w:bottom w:val="single" w:sz="4" w:space="0" w:color="auto"/>
              <w:right w:val="nil"/>
            </w:tcBorders>
            <w:shd w:val="clear" w:color="auto" w:fill="auto"/>
            <w:noWrap/>
            <w:vAlign w:val="bottom"/>
            <w:hideMark/>
          </w:tcPr>
          <w:p w14:paraId="2E2B581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422</w:t>
            </w:r>
          </w:p>
        </w:tc>
        <w:tc>
          <w:tcPr>
            <w:tcW w:w="900" w:type="dxa"/>
            <w:tcBorders>
              <w:top w:val="nil"/>
              <w:left w:val="nil"/>
              <w:bottom w:val="single" w:sz="4" w:space="0" w:color="auto"/>
              <w:right w:val="nil"/>
            </w:tcBorders>
            <w:shd w:val="clear" w:color="auto" w:fill="auto"/>
            <w:noWrap/>
            <w:vAlign w:val="bottom"/>
            <w:hideMark/>
          </w:tcPr>
          <w:p w14:paraId="4FDE516D"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422</w:t>
            </w:r>
          </w:p>
        </w:tc>
        <w:tc>
          <w:tcPr>
            <w:tcW w:w="900" w:type="dxa"/>
            <w:tcBorders>
              <w:top w:val="nil"/>
              <w:left w:val="nil"/>
              <w:bottom w:val="single" w:sz="4" w:space="0" w:color="auto"/>
              <w:right w:val="nil"/>
            </w:tcBorders>
            <w:shd w:val="clear" w:color="auto" w:fill="auto"/>
            <w:noWrap/>
            <w:vAlign w:val="bottom"/>
            <w:hideMark/>
          </w:tcPr>
          <w:p w14:paraId="1EE6A6D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422</w:t>
            </w:r>
          </w:p>
        </w:tc>
        <w:tc>
          <w:tcPr>
            <w:tcW w:w="266" w:type="dxa"/>
            <w:tcBorders>
              <w:top w:val="nil"/>
              <w:left w:val="nil"/>
              <w:bottom w:val="single" w:sz="4" w:space="0" w:color="auto"/>
              <w:right w:val="nil"/>
            </w:tcBorders>
            <w:shd w:val="clear" w:color="auto" w:fill="auto"/>
            <w:noWrap/>
            <w:vAlign w:val="bottom"/>
            <w:hideMark/>
          </w:tcPr>
          <w:p w14:paraId="119BD46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222F8F9E"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422</w:t>
            </w:r>
          </w:p>
        </w:tc>
        <w:tc>
          <w:tcPr>
            <w:tcW w:w="900" w:type="dxa"/>
            <w:tcBorders>
              <w:top w:val="nil"/>
              <w:left w:val="nil"/>
              <w:bottom w:val="single" w:sz="4" w:space="0" w:color="auto"/>
              <w:right w:val="nil"/>
            </w:tcBorders>
            <w:shd w:val="clear" w:color="auto" w:fill="auto"/>
            <w:noWrap/>
            <w:vAlign w:val="bottom"/>
            <w:hideMark/>
          </w:tcPr>
          <w:p w14:paraId="15A555F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422</w:t>
            </w:r>
          </w:p>
        </w:tc>
        <w:tc>
          <w:tcPr>
            <w:tcW w:w="900" w:type="dxa"/>
            <w:tcBorders>
              <w:top w:val="nil"/>
              <w:left w:val="nil"/>
              <w:bottom w:val="single" w:sz="4" w:space="0" w:color="auto"/>
              <w:right w:val="nil"/>
            </w:tcBorders>
            <w:shd w:val="clear" w:color="auto" w:fill="auto"/>
            <w:noWrap/>
            <w:vAlign w:val="bottom"/>
            <w:hideMark/>
          </w:tcPr>
          <w:p w14:paraId="02E0066E"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422</w:t>
            </w:r>
          </w:p>
        </w:tc>
      </w:tr>
      <w:tr w:rsidR="00B87948" w:rsidRPr="00FE488C" w14:paraId="168A19E9" w14:textId="77777777" w:rsidTr="00EB455F">
        <w:trPr>
          <w:trHeight w:val="260"/>
          <w:jc w:val="center"/>
        </w:trPr>
        <w:tc>
          <w:tcPr>
            <w:tcW w:w="10766" w:type="dxa"/>
            <w:gridSpan w:val="8"/>
            <w:tcBorders>
              <w:top w:val="nil"/>
              <w:left w:val="nil"/>
              <w:bottom w:val="nil"/>
              <w:right w:val="nil"/>
            </w:tcBorders>
            <w:shd w:val="clear" w:color="auto" w:fill="auto"/>
            <w:noWrap/>
            <w:vAlign w:val="bottom"/>
            <w:hideMark/>
          </w:tcPr>
          <w:p w14:paraId="033154AD" w14:textId="0B384D49" w:rsidR="00B87948" w:rsidRPr="00FE488C" w:rsidRDefault="00B87948" w:rsidP="00B87948">
            <w:pPr>
              <w:spacing w:after="0" w:line="240" w:lineRule="auto"/>
              <w:jc w:val="both"/>
              <w:rPr>
                <w:rFonts w:ascii="Times New Roman" w:eastAsia="Times New Roman" w:hAnsi="Times New Roman" w:cs="Times New Roman"/>
                <w:sz w:val="20"/>
                <w:szCs w:val="20"/>
              </w:rPr>
            </w:pPr>
            <w:r w:rsidRPr="00E674E0">
              <w:rPr>
                <w:rFonts w:ascii="Times New Roman" w:eastAsia="Times New Roman" w:hAnsi="Times New Roman" w:cs="Times New Roman"/>
                <w:i/>
                <w:iCs/>
                <w:sz w:val="20"/>
                <w:szCs w:val="20"/>
              </w:rPr>
              <w:t xml:space="preserve">Notes: </w:t>
            </w:r>
            <w:r w:rsidRPr="00E674E0">
              <w:rPr>
                <w:rFonts w:ascii="Times New Roman" w:eastAsia="Times New Roman" w:hAnsi="Times New Roman" w:cs="Times New Roman"/>
                <w:sz w:val="20"/>
                <w:szCs w:val="20"/>
              </w:rPr>
              <w:t>This table reports marginal effects from the estimation of the first stage of the IV estimation of equation (</w:t>
            </w:r>
            <w:r w:rsidR="000D4249">
              <w:rPr>
                <w:rFonts w:ascii="Times New Roman" w:eastAsia="Times New Roman" w:hAnsi="Times New Roman" w:cs="Times New Roman"/>
                <w:sz w:val="20"/>
                <w:szCs w:val="20"/>
              </w:rPr>
              <w:t>4</w:t>
            </w:r>
            <w:r w:rsidRPr="00E674E0">
              <w:rPr>
                <w:rFonts w:ascii="Times New Roman" w:eastAsia="Times New Roman" w:hAnsi="Times New Roman" w:cs="Times New Roman"/>
                <w:sz w:val="20"/>
                <w:szCs w:val="20"/>
              </w:rPr>
              <w:t xml:space="preserve">). Each column represents a regression of 10MinsOpen on 10MinsLottery and covariates for the sample of schools used in the </w:t>
            </w:r>
            <w:r>
              <w:rPr>
                <w:rFonts w:ascii="Times New Roman" w:eastAsia="Times New Roman" w:hAnsi="Times New Roman" w:cs="Times New Roman"/>
                <w:sz w:val="20"/>
                <w:szCs w:val="20"/>
              </w:rPr>
              <w:t xml:space="preserve">discipline </w:t>
            </w:r>
            <w:r w:rsidRPr="00E674E0">
              <w:rPr>
                <w:rFonts w:ascii="Times New Roman" w:eastAsia="Times New Roman" w:hAnsi="Times New Roman" w:cs="Times New Roman"/>
                <w:sz w:val="20"/>
                <w:szCs w:val="20"/>
              </w:rPr>
              <w:t>rate regressions for either 11</w:t>
            </w:r>
            <w:r w:rsidRPr="00E674E0">
              <w:rPr>
                <w:rFonts w:ascii="Times New Roman" w:eastAsia="Times New Roman" w:hAnsi="Times New Roman" w:cs="Times New Roman"/>
                <w:sz w:val="20"/>
                <w:szCs w:val="20"/>
                <w:vertAlign w:val="superscript"/>
              </w:rPr>
              <w:t>th</w:t>
            </w:r>
            <w:r w:rsidRPr="00E674E0">
              <w:rPr>
                <w:rFonts w:ascii="Times New Roman" w:eastAsia="Times New Roman" w:hAnsi="Times New Roman" w:cs="Times New Roman"/>
                <w:sz w:val="20"/>
                <w:szCs w:val="20"/>
              </w:rPr>
              <w:t>- or 12</w:t>
            </w:r>
            <w:r w:rsidRPr="00E674E0">
              <w:rPr>
                <w:rFonts w:ascii="Times New Roman" w:eastAsia="Times New Roman" w:hAnsi="Times New Roman" w:cs="Times New Roman"/>
                <w:sz w:val="20"/>
                <w:szCs w:val="20"/>
                <w:vertAlign w:val="superscript"/>
              </w:rPr>
              <w:t>th</w:t>
            </w:r>
            <w:r w:rsidRPr="00E674E0">
              <w:rPr>
                <w:rFonts w:ascii="Times New Roman" w:eastAsia="Times New Roman" w:hAnsi="Times New Roman" w:cs="Times New Roman"/>
                <w:sz w:val="20"/>
                <w:szCs w:val="20"/>
              </w:rPr>
              <w:t xml:space="preserve">-grade. Linear probability models are used for estimation. All specifications include the 2014-15 and 2015-16 school years. School controls include the proportions of free-or-reduced-price lunch, Black, Hispanic, and Asian students, and indicators for whether the school is in a city, town, or suburb. The omitted locale is rural. Standard errors clustered by school are in parentheses. </w:t>
            </w:r>
            <w:proofErr w:type="spellStart"/>
            <w:r w:rsidRPr="00E674E0">
              <w:rPr>
                <w:rFonts w:ascii="Times New Roman" w:eastAsia="Times New Roman" w:hAnsi="Times New Roman" w:cs="Times New Roman"/>
                <w:sz w:val="20"/>
                <w:szCs w:val="20"/>
              </w:rPr>
              <w:t>Kleibergen-Paap</w:t>
            </w:r>
            <w:proofErr w:type="spellEnd"/>
            <w:r w:rsidRPr="00E674E0">
              <w:rPr>
                <w:rFonts w:ascii="Times New Roman" w:eastAsia="Times New Roman" w:hAnsi="Times New Roman" w:cs="Times New Roman"/>
                <w:sz w:val="20"/>
                <w:szCs w:val="20"/>
              </w:rPr>
              <w:t xml:space="preserve"> F-statistics from a test for weak instruments are also reported.</w:t>
            </w:r>
          </w:p>
        </w:tc>
      </w:tr>
    </w:tbl>
    <w:p w14:paraId="1338C14C" w14:textId="6E308BB3" w:rsidR="00FE488C" w:rsidRDefault="00FE488C" w:rsidP="00D750E1">
      <w:pPr>
        <w:rPr>
          <w:rFonts w:ascii="Times New Roman" w:hAnsi="Times New Roman" w:cs="Times New Roman"/>
          <w:sz w:val="24"/>
          <w:szCs w:val="24"/>
        </w:rPr>
        <w:sectPr w:rsidR="00FE488C" w:rsidSect="000735D6">
          <w:headerReference w:type="default" r:id="rId46"/>
          <w:pgSz w:w="12240" w:h="15840"/>
          <w:pgMar w:top="1440" w:right="1440" w:bottom="1440" w:left="1440" w:header="720" w:footer="720" w:gutter="0"/>
          <w:cols w:space="720"/>
          <w:docGrid w:linePitch="360"/>
        </w:sectPr>
      </w:pPr>
    </w:p>
    <w:tbl>
      <w:tblPr>
        <w:tblW w:w="10586" w:type="dxa"/>
        <w:jc w:val="center"/>
        <w:tblLook w:val="04A0" w:firstRow="1" w:lastRow="0" w:firstColumn="1" w:lastColumn="0" w:noHBand="0" w:noVBand="1"/>
      </w:tblPr>
      <w:tblGrid>
        <w:gridCol w:w="4920"/>
        <w:gridCol w:w="900"/>
        <w:gridCol w:w="900"/>
        <w:gridCol w:w="900"/>
        <w:gridCol w:w="266"/>
        <w:gridCol w:w="900"/>
        <w:gridCol w:w="900"/>
        <w:gridCol w:w="900"/>
      </w:tblGrid>
      <w:tr w:rsidR="00EB455F" w:rsidRPr="00FE488C" w14:paraId="7AE6A3EB" w14:textId="77777777" w:rsidTr="00107C54">
        <w:trPr>
          <w:trHeight w:val="270"/>
          <w:jc w:val="center"/>
        </w:trPr>
        <w:tc>
          <w:tcPr>
            <w:tcW w:w="10586" w:type="dxa"/>
            <w:gridSpan w:val="8"/>
            <w:tcBorders>
              <w:top w:val="nil"/>
              <w:left w:val="nil"/>
              <w:bottom w:val="double" w:sz="6" w:space="0" w:color="auto"/>
              <w:right w:val="nil"/>
            </w:tcBorders>
            <w:shd w:val="clear" w:color="auto" w:fill="auto"/>
            <w:noWrap/>
            <w:vAlign w:val="bottom"/>
            <w:hideMark/>
          </w:tcPr>
          <w:p w14:paraId="322C900B" w14:textId="0F87FF7E" w:rsidR="00EB455F" w:rsidRDefault="00EB455F" w:rsidP="00EB455F">
            <w:pPr>
              <w:spacing w:after="0" w:line="240" w:lineRule="auto"/>
              <w:jc w:val="center"/>
              <w:rPr>
                <w:rFonts w:ascii="Times New Roman" w:eastAsia="Times New Roman" w:hAnsi="Times New Roman" w:cs="Times New Roman"/>
                <w:color w:val="000000"/>
                <w:sz w:val="24"/>
                <w:szCs w:val="24"/>
              </w:rPr>
            </w:pPr>
            <w:r w:rsidRPr="00E86E71">
              <w:rPr>
                <w:rFonts w:ascii="Times New Roman" w:eastAsia="Times New Roman" w:hAnsi="Times New Roman" w:cs="Times New Roman"/>
                <w:color w:val="000000"/>
                <w:sz w:val="24"/>
                <w:szCs w:val="24"/>
              </w:rPr>
              <w:lastRenderedPageBreak/>
              <w:t>Table A</w:t>
            </w:r>
            <w:r>
              <w:rPr>
                <w:rFonts w:ascii="Times New Roman" w:eastAsia="Times New Roman" w:hAnsi="Times New Roman" w:cs="Times New Roman"/>
                <w:color w:val="000000"/>
                <w:sz w:val="24"/>
                <w:szCs w:val="24"/>
              </w:rPr>
              <w:t>4</w:t>
            </w:r>
            <w:r w:rsidRPr="00E86E71">
              <w:rPr>
                <w:rFonts w:ascii="Times New Roman" w:eastAsia="Times New Roman" w:hAnsi="Times New Roman" w:cs="Times New Roman"/>
                <w:color w:val="000000"/>
                <w:sz w:val="24"/>
                <w:szCs w:val="24"/>
              </w:rPr>
              <w:t xml:space="preserve">: First-Stage Regression </w:t>
            </w:r>
            <w:r>
              <w:rPr>
                <w:rFonts w:ascii="Times New Roman" w:eastAsia="Times New Roman" w:hAnsi="Times New Roman" w:cs="Times New Roman"/>
                <w:color w:val="000000"/>
                <w:sz w:val="24"/>
                <w:szCs w:val="24"/>
              </w:rPr>
              <w:t xml:space="preserve">Estimates </w:t>
            </w:r>
            <w:r w:rsidRPr="00E86E71">
              <w:rPr>
                <w:rFonts w:ascii="Times New Roman" w:eastAsia="Times New Roman" w:hAnsi="Times New Roman" w:cs="Times New Roman"/>
                <w:color w:val="000000"/>
                <w:sz w:val="24"/>
                <w:szCs w:val="24"/>
              </w:rPr>
              <w:t xml:space="preserve">of whether a School is within 10 Minutes of an Open Dispensary on whether a School is within 10 Minutes of a Lottery Winner for the Samples Used in the </w:t>
            </w:r>
            <w:r>
              <w:rPr>
                <w:rFonts w:ascii="Times New Roman" w:eastAsia="Times New Roman" w:hAnsi="Times New Roman" w:cs="Times New Roman"/>
                <w:color w:val="000000"/>
                <w:sz w:val="24"/>
                <w:szCs w:val="24"/>
              </w:rPr>
              <w:t>Math and ELA</w:t>
            </w:r>
            <w:r w:rsidRPr="00E86E71">
              <w:rPr>
                <w:rFonts w:ascii="Times New Roman" w:eastAsia="Times New Roman" w:hAnsi="Times New Roman" w:cs="Times New Roman"/>
                <w:color w:val="000000"/>
                <w:sz w:val="24"/>
                <w:szCs w:val="24"/>
              </w:rPr>
              <w:t xml:space="preserve"> Regressions</w:t>
            </w:r>
          </w:p>
          <w:p w14:paraId="6F61455C" w14:textId="77777777" w:rsidR="00BF34C8" w:rsidRDefault="00BF34C8" w:rsidP="00EB455F">
            <w:pPr>
              <w:spacing w:after="0" w:line="240" w:lineRule="auto"/>
              <w:jc w:val="center"/>
              <w:rPr>
                <w:rFonts w:ascii="Times New Roman" w:eastAsia="Times New Roman" w:hAnsi="Times New Roman" w:cs="Times New Roman"/>
                <w:color w:val="000000"/>
                <w:sz w:val="24"/>
                <w:szCs w:val="24"/>
              </w:rPr>
            </w:pPr>
          </w:p>
          <w:p w14:paraId="6B3F6A87" w14:textId="0E4618A8" w:rsidR="00EB455F" w:rsidRPr="00FE488C" w:rsidRDefault="00EB455F" w:rsidP="00FE488C">
            <w:pPr>
              <w:spacing w:after="0" w:line="240" w:lineRule="auto"/>
              <w:jc w:val="center"/>
              <w:rPr>
                <w:rFonts w:ascii="Times New Roman" w:eastAsia="Times New Roman" w:hAnsi="Times New Roman" w:cs="Times New Roman"/>
                <w:sz w:val="20"/>
                <w:szCs w:val="20"/>
              </w:rPr>
            </w:pPr>
          </w:p>
        </w:tc>
      </w:tr>
      <w:tr w:rsidR="00FE488C" w:rsidRPr="00FE488C" w14:paraId="15B6363E" w14:textId="77777777" w:rsidTr="00107C54">
        <w:trPr>
          <w:trHeight w:val="270"/>
          <w:jc w:val="center"/>
        </w:trPr>
        <w:tc>
          <w:tcPr>
            <w:tcW w:w="4920" w:type="dxa"/>
            <w:tcBorders>
              <w:top w:val="nil"/>
              <w:left w:val="nil"/>
              <w:bottom w:val="nil"/>
              <w:right w:val="nil"/>
            </w:tcBorders>
            <w:shd w:val="clear" w:color="auto" w:fill="auto"/>
            <w:noWrap/>
            <w:vAlign w:val="bottom"/>
            <w:hideMark/>
          </w:tcPr>
          <w:p w14:paraId="7D2B62E2"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2700" w:type="dxa"/>
            <w:gridSpan w:val="3"/>
            <w:tcBorders>
              <w:top w:val="nil"/>
              <w:left w:val="nil"/>
              <w:bottom w:val="single" w:sz="4" w:space="0" w:color="auto"/>
              <w:right w:val="nil"/>
            </w:tcBorders>
            <w:shd w:val="clear" w:color="auto" w:fill="auto"/>
            <w:noWrap/>
            <w:vAlign w:val="bottom"/>
            <w:hideMark/>
          </w:tcPr>
          <w:p w14:paraId="047D635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Math</w:t>
            </w:r>
          </w:p>
        </w:tc>
        <w:tc>
          <w:tcPr>
            <w:tcW w:w="266" w:type="dxa"/>
            <w:tcBorders>
              <w:top w:val="nil"/>
              <w:left w:val="nil"/>
              <w:bottom w:val="nil"/>
              <w:right w:val="nil"/>
            </w:tcBorders>
            <w:shd w:val="clear" w:color="auto" w:fill="auto"/>
            <w:noWrap/>
            <w:vAlign w:val="bottom"/>
            <w:hideMark/>
          </w:tcPr>
          <w:p w14:paraId="59583E4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700" w:type="dxa"/>
            <w:gridSpan w:val="3"/>
            <w:tcBorders>
              <w:top w:val="double" w:sz="6" w:space="0" w:color="auto"/>
              <w:left w:val="nil"/>
              <w:bottom w:val="single" w:sz="4" w:space="0" w:color="auto"/>
              <w:right w:val="nil"/>
            </w:tcBorders>
            <w:shd w:val="clear" w:color="auto" w:fill="auto"/>
            <w:noWrap/>
            <w:vAlign w:val="bottom"/>
            <w:hideMark/>
          </w:tcPr>
          <w:p w14:paraId="295AA69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ELA</w:t>
            </w:r>
          </w:p>
        </w:tc>
      </w:tr>
      <w:tr w:rsidR="00FE488C" w:rsidRPr="00FE488C" w14:paraId="4772D9A5" w14:textId="77777777" w:rsidTr="00107C54">
        <w:trPr>
          <w:trHeight w:val="260"/>
          <w:jc w:val="center"/>
        </w:trPr>
        <w:tc>
          <w:tcPr>
            <w:tcW w:w="4920" w:type="dxa"/>
            <w:tcBorders>
              <w:top w:val="nil"/>
              <w:left w:val="nil"/>
              <w:bottom w:val="single" w:sz="4" w:space="0" w:color="auto"/>
              <w:right w:val="nil"/>
            </w:tcBorders>
            <w:shd w:val="clear" w:color="auto" w:fill="auto"/>
            <w:noWrap/>
            <w:vAlign w:val="bottom"/>
            <w:hideMark/>
          </w:tcPr>
          <w:p w14:paraId="0A4BA944"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13A946C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nil"/>
            </w:tcBorders>
            <w:shd w:val="clear" w:color="auto" w:fill="auto"/>
            <w:noWrap/>
            <w:vAlign w:val="bottom"/>
            <w:hideMark/>
          </w:tcPr>
          <w:p w14:paraId="600D3F8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nil"/>
            </w:tcBorders>
            <w:shd w:val="clear" w:color="auto" w:fill="auto"/>
            <w:noWrap/>
            <w:vAlign w:val="bottom"/>
            <w:hideMark/>
          </w:tcPr>
          <w:p w14:paraId="774ABB7D"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w:t>
            </w:r>
          </w:p>
        </w:tc>
        <w:tc>
          <w:tcPr>
            <w:tcW w:w="266" w:type="dxa"/>
            <w:tcBorders>
              <w:top w:val="nil"/>
              <w:left w:val="nil"/>
              <w:bottom w:val="single" w:sz="4" w:space="0" w:color="auto"/>
              <w:right w:val="nil"/>
            </w:tcBorders>
            <w:shd w:val="clear" w:color="auto" w:fill="auto"/>
            <w:noWrap/>
            <w:vAlign w:val="bottom"/>
            <w:hideMark/>
          </w:tcPr>
          <w:p w14:paraId="0907930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029FA37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(4)</w:t>
            </w:r>
          </w:p>
        </w:tc>
        <w:tc>
          <w:tcPr>
            <w:tcW w:w="900" w:type="dxa"/>
            <w:tcBorders>
              <w:top w:val="nil"/>
              <w:left w:val="nil"/>
              <w:bottom w:val="single" w:sz="4" w:space="0" w:color="auto"/>
              <w:right w:val="nil"/>
            </w:tcBorders>
            <w:shd w:val="clear" w:color="auto" w:fill="auto"/>
            <w:noWrap/>
            <w:vAlign w:val="bottom"/>
            <w:hideMark/>
          </w:tcPr>
          <w:p w14:paraId="414E1F9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(5)</w:t>
            </w:r>
          </w:p>
        </w:tc>
        <w:tc>
          <w:tcPr>
            <w:tcW w:w="900" w:type="dxa"/>
            <w:tcBorders>
              <w:top w:val="nil"/>
              <w:left w:val="nil"/>
              <w:bottom w:val="single" w:sz="4" w:space="0" w:color="auto"/>
              <w:right w:val="nil"/>
            </w:tcBorders>
            <w:shd w:val="clear" w:color="auto" w:fill="auto"/>
            <w:noWrap/>
            <w:vAlign w:val="bottom"/>
            <w:hideMark/>
          </w:tcPr>
          <w:p w14:paraId="6D1E88C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(6)</w:t>
            </w:r>
          </w:p>
        </w:tc>
      </w:tr>
      <w:tr w:rsidR="00FE488C" w:rsidRPr="00FE488C" w14:paraId="2956B442" w14:textId="77777777" w:rsidTr="00107C54">
        <w:trPr>
          <w:trHeight w:val="260"/>
          <w:jc w:val="center"/>
        </w:trPr>
        <w:tc>
          <w:tcPr>
            <w:tcW w:w="4920" w:type="dxa"/>
            <w:tcBorders>
              <w:top w:val="nil"/>
              <w:left w:val="nil"/>
              <w:bottom w:val="nil"/>
              <w:right w:val="nil"/>
            </w:tcBorders>
            <w:shd w:val="clear" w:color="auto" w:fill="auto"/>
            <w:noWrap/>
            <w:vAlign w:val="bottom"/>
            <w:hideMark/>
          </w:tcPr>
          <w:p w14:paraId="1C145933"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School is within 10 Mins of an Open Dispensary</w:t>
            </w:r>
          </w:p>
        </w:tc>
        <w:tc>
          <w:tcPr>
            <w:tcW w:w="900" w:type="dxa"/>
            <w:tcBorders>
              <w:top w:val="nil"/>
              <w:left w:val="nil"/>
              <w:bottom w:val="nil"/>
              <w:right w:val="nil"/>
            </w:tcBorders>
            <w:shd w:val="clear" w:color="auto" w:fill="auto"/>
            <w:noWrap/>
            <w:vAlign w:val="bottom"/>
            <w:hideMark/>
          </w:tcPr>
          <w:p w14:paraId="53AEAD3A"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0.484</w:t>
            </w:r>
          </w:p>
        </w:tc>
        <w:tc>
          <w:tcPr>
            <w:tcW w:w="900" w:type="dxa"/>
            <w:tcBorders>
              <w:top w:val="nil"/>
              <w:left w:val="nil"/>
              <w:bottom w:val="nil"/>
              <w:right w:val="nil"/>
            </w:tcBorders>
            <w:shd w:val="clear" w:color="auto" w:fill="auto"/>
            <w:noWrap/>
            <w:vAlign w:val="bottom"/>
            <w:hideMark/>
          </w:tcPr>
          <w:p w14:paraId="6F3870A5"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0.372</w:t>
            </w:r>
          </w:p>
        </w:tc>
        <w:tc>
          <w:tcPr>
            <w:tcW w:w="900" w:type="dxa"/>
            <w:tcBorders>
              <w:top w:val="nil"/>
              <w:left w:val="nil"/>
              <w:bottom w:val="nil"/>
              <w:right w:val="nil"/>
            </w:tcBorders>
            <w:shd w:val="clear" w:color="auto" w:fill="auto"/>
            <w:noWrap/>
            <w:vAlign w:val="bottom"/>
            <w:hideMark/>
          </w:tcPr>
          <w:p w14:paraId="63465D5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0.422</w:t>
            </w:r>
          </w:p>
        </w:tc>
        <w:tc>
          <w:tcPr>
            <w:tcW w:w="266" w:type="dxa"/>
            <w:tcBorders>
              <w:top w:val="nil"/>
              <w:left w:val="nil"/>
              <w:bottom w:val="nil"/>
              <w:right w:val="nil"/>
            </w:tcBorders>
            <w:shd w:val="clear" w:color="auto" w:fill="auto"/>
            <w:noWrap/>
            <w:vAlign w:val="bottom"/>
            <w:hideMark/>
          </w:tcPr>
          <w:p w14:paraId="1D77553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60D79A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0.410</w:t>
            </w:r>
          </w:p>
        </w:tc>
        <w:tc>
          <w:tcPr>
            <w:tcW w:w="900" w:type="dxa"/>
            <w:tcBorders>
              <w:top w:val="nil"/>
              <w:left w:val="nil"/>
              <w:bottom w:val="nil"/>
              <w:right w:val="nil"/>
            </w:tcBorders>
            <w:shd w:val="clear" w:color="auto" w:fill="auto"/>
            <w:noWrap/>
            <w:vAlign w:val="bottom"/>
            <w:hideMark/>
          </w:tcPr>
          <w:p w14:paraId="4DFFA3A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0.283</w:t>
            </w:r>
          </w:p>
        </w:tc>
        <w:tc>
          <w:tcPr>
            <w:tcW w:w="900" w:type="dxa"/>
            <w:tcBorders>
              <w:top w:val="nil"/>
              <w:left w:val="nil"/>
              <w:bottom w:val="nil"/>
              <w:right w:val="nil"/>
            </w:tcBorders>
            <w:shd w:val="clear" w:color="auto" w:fill="auto"/>
            <w:noWrap/>
            <w:vAlign w:val="bottom"/>
            <w:hideMark/>
          </w:tcPr>
          <w:p w14:paraId="6335FDCE"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0.354</w:t>
            </w:r>
          </w:p>
        </w:tc>
      </w:tr>
      <w:tr w:rsidR="00FE488C" w:rsidRPr="00FE488C" w14:paraId="41E82468" w14:textId="77777777" w:rsidTr="00107C54">
        <w:trPr>
          <w:trHeight w:val="260"/>
          <w:jc w:val="center"/>
        </w:trPr>
        <w:tc>
          <w:tcPr>
            <w:tcW w:w="4920" w:type="dxa"/>
            <w:tcBorders>
              <w:top w:val="nil"/>
              <w:left w:val="nil"/>
              <w:bottom w:val="nil"/>
              <w:right w:val="nil"/>
            </w:tcBorders>
            <w:shd w:val="clear" w:color="auto" w:fill="auto"/>
            <w:noWrap/>
            <w:vAlign w:val="bottom"/>
            <w:hideMark/>
          </w:tcPr>
          <w:p w14:paraId="7E4E1B7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57FCB9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(0.0848)</w:t>
            </w:r>
          </w:p>
        </w:tc>
        <w:tc>
          <w:tcPr>
            <w:tcW w:w="900" w:type="dxa"/>
            <w:tcBorders>
              <w:top w:val="nil"/>
              <w:left w:val="nil"/>
              <w:bottom w:val="nil"/>
              <w:right w:val="nil"/>
            </w:tcBorders>
            <w:shd w:val="clear" w:color="auto" w:fill="auto"/>
            <w:noWrap/>
            <w:vAlign w:val="bottom"/>
            <w:hideMark/>
          </w:tcPr>
          <w:p w14:paraId="62B23E57"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(0.0918)</w:t>
            </w:r>
          </w:p>
        </w:tc>
        <w:tc>
          <w:tcPr>
            <w:tcW w:w="900" w:type="dxa"/>
            <w:tcBorders>
              <w:top w:val="nil"/>
              <w:left w:val="nil"/>
              <w:bottom w:val="nil"/>
              <w:right w:val="nil"/>
            </w:tcBorders>
            <w:shd w:val="clear" w:color="auto" w:fill="auto"/>
            <w:noWrap/>
            <w:vAlign w:val="bottom"/>
            <w:hideMark/>
          </w:tcPr>
          <w:p w14:paraId="6B0E6B5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(0.0894)</w:t>
            </w:r>
          </w:p>
        </w:tc>
        <w:tc>
          <w:tcPr>
            <w:tcW w:w="266" w:type="dxa"/>
            <w:tcBorders>
              <w:top w:val="nil"/>
              <w:left w:val="nil"/>
              <w:bottom w:val="nil"/>
              <w:right w:val="nil"/>
            </w:tcBorders>
            <w:shd w:val="clear" w:color="auto" w:fill="auto"/>
            <w:noWrap/>
            <w:vAlign w:val="bottom"/>
            <w:hideMark/>
          </w:tcPr>
          <w:p w14:paraId="2337E8D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2ECD8B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(0.0898)</w:t>
            </w:r>
          </w:p>
        </w:tc>
        <w:tc>
          <w:tcPr>
            <w:tcW w:w="900" w:type="dxa"/>
            <w:tcBorders>
              <w:top w:val="nil"/>
              <w:left w:val="nil"/>
              <w:bottom w:val="nil"/>
              <w:right w:val="nil"/>
            </w:tcBorders>
            <w:shd w:val="clear" w:color="auto" w:fill="auto"/>
            <w:noWrap/>
            <w:vAlign w:val="bottom"/>
            <w:hideMark/>
          </w:tcPr>
          <w:p w14:paraId="43430FC4"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(0.0964)</w:t>
            </w:r>
          </w:p>
        </w:tc>
        <w:tc>
          <w:tcPr>
            <w:tcW w:w="900" w:type="dxa"/>
            <w:tcBorders>
              <w:top w:val="nil"/>
              <w:left w:val="nil"/>
              <w:bottom w:val="nil"/>
              <w:right w:val="nil"/>
            </w:tcBorders>
            <w:shd w:val="clear" w:color="auto" w:fill="auto"/>
            <w:noWrap/>
            <w:vAlign w:val="bottom"/>
            <w:hideMark/>
          </w:tcPr>
          <w:p w14:paraId="7EC0B4E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(0.0924)</w:t>
            </w:r>
          </w:p>
        </w:tc>
      </w:tr>
      <w:tr w:rsidR="00FE488C" w:rsidRPr="00FE488C" w14:paraId="1313F93E" w14:textId="77777777" w:rsidTr="00107C54">
        <w:trPr>
          <w:trHeight w:val="260"/>
          <w:jc w:val="center"/>
        </w:trPr>
        <w:tc>
          <w:tcPr>
            <w:tcW w:w="4920" w:type="dxa"/>
            <w:tcBorders>
              <w:top w:val="nil"/>
              <w:left w:val="nil"/>
              <w:bottom w:val="nil"/>
              <w:right w:val="nil"/>
            </w:tcBorders>
            <w:shd w:val="clear" w:color="auto" w:fill="auto"/>
            <w:noWrap/>
            <w:vAlign w:val="bottom"/>
            <w:hideMark/>
          </w:tcPr>
          <w:p w14:paraId="01C98F9D"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Dispensary License Applicants in 10 Mins</w:t>
            </w:r>
          </w:p>
        </w:tc>
        <w:tc>
          <w:tcPr>
            <w:tcW w:w="900" w:type="dxa"/>
            <w:tcBorders>
              <w:top w:val="nil"/>
              <w:left w:val="nil"/>
              <w:bottom w:val="nil"/>
              <w:right w:val="nil"/>
            </w:tcBorders>
            <w:shd w:val="clear" w:color="auto" w:fill="auto"/>
            <w:noWrap/>
            <w:vAlign w:val="bottom"/>
            <w:hideMark/>
          </w:tcPr>
          <w:p w14:paraId="2C9727BE"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DDC763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4DB03D27"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266" w:type="dxa"/>
            <w:tcBorders>
              <w:top w:val="nil"/>
              <w:left w:val="nil"/>
              <w:bottom w:val="nil"/>
              <w:right w:val="nil"/>
            </w:tcBorders>
            <w:shd w:val="clear" w:color="auto" w:fill="auto"/>
            <w:noWrap/>
            <w:vAlign w:val="bottom"/>
            <w:hideMark/>
          </w:tcPr>
          <w:p w14:paraId="7D26CFD7"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50060AB"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A8959D0"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900" w:type="dxa"/>
            <w:tcBorders>
              <w:top w:val="nil"/>
              <w:left w:val="nil"/>
              <w:bottom w:val="nil"/>
              <w:right w:val="nil"/>
            </w:tcBorders>
            <w:shd w:val="clear" w:color="auto" w:fill="auto"/>
            <w:noWrap/>
            <w:vAlign w:val="bottom"/>
            <w:hideMark/>
          </w:tcPr>
          <w:p w14:paraId="5247444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r>
      <w:tr w:rsidR="00FE488C" w:rsidRPr="00FE488C" w14:paraId="4565C14F" w14:textId="77777777" w:rsidTr="00107C54">
        <w:trPr>
          <w:trHeight w:val="260"/>
          <w:jc w:val="center"/>
        </w:trPr>
        <w:tc>
          <w:tcPr>
            <w:tcW w:w="4920" w:type="dxa"/>
            <w:tcBorders>
              <w:top w:val="nil"/>
              <w:left w:val="nil"/>
              <w:bottom w:val="nil"/>
              <w:right w:val="nil"/>
            </w:tcBorders>
            <w:shd w:val="clear" w:color="auto" w:fill="auto"/>
            <w:noWrap/>
            <w:vAlign w:val="center"/>
            <w:hideMark/>
          </w:tcPr>
          <w:p w14:paraId="004D8D01"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School Locale Indicators, Student Characteristics, Year FEs</w:t>
            </w:r>
          </w:p>
        </w:tc>
        <w:tc>
          <w:tcPr>
            <w:tcW w:w="900" w:type="dxa"/>
            <w:tcBorders>
              <w:top w:val="nil"/>
              <w:left w:val="nil"/>
              <w:bottom w:val="nil"/>
              <w:right w:val="nil"/>
            </w:tcBorders>
            <w:shd w:val="clear" w:color="auto" w:fill="auto"/>
            <w:noWrap/>
            <w:vAlign w:val="bottom"/>
            <w:hideMark/>
          </w:tcPr>
          <w:p w14:paraId="3A270BCC"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6FC5FF0"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1AF93F59"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c>
          <w:tcPr>
            <w:tcW w:w="266" w:type="dxa"/>
            <w:tcBorders>
              <w:top w:val="nil"/>
              <w:left w:val="nil"/>
              <w:bottom w:val="nil"/>
              <w:right w:val="nil"/>
            </w:tcBorders>
            <w:shd w:val="clear" w:color="auto" w:fill="auto"/>
            <w:noWrap/>
            <w:vAlign w:val="bottom"/>
            <w:hideMark/>
          </w:tcPr>
          <w:p w14:paraId="670005E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06EF878D"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E2FDFC6"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DA8879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X</w:t>
            </w:r>
          </w:p>
        </w:tc>
      </w:tr>
      <w:tr w:rsidR="00FE488C" w:rsidRPr="00FE488C" w14:paraId="2CCA28DA" w14:textId="77777777" w:rsidTr="00107C54">
        <w:trPr>
          <w:trHeight w:val="260"/>
          <w:jc w:val="center"/>
        </w:trPr>
        <w:tc>
          <w:tcPr>
            <w:tcW w:w="4920" w:type="dxa"/>
            <w:tcBorders>
              <w:top w:val="nil"/>
              <w:left w:val="nil"/>
              <w:bottom w:val="nil"/>
              <w:right w:val="nil"/>
            </w:tcBorders>
            <w:shd w:val="clear" w:color="auto" w:fill="auto"/>
            <w:noWrap/>
            <w:vAlign w:val="bottom"/>
            <w:hideMark/>
          </w:tcPr>
          <w:p w14:paraId="6BB5C272"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36F18BF2" w14:textId="77777777" w:rsidR="00FE488C" w:rsidRPr="00FE488C" w:rsidRDefault="00FE488C" w:rsidP="00FE488C">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B92988E"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1F37106"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343F3AF"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0E847D6"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6A188640"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9E33738" w14:textId="77777777" w:rsidR="00FE488C" w:rsidRPr="00FE488C" w:rsidRDefault="00FE488C" w:rsidP="00FE488C">
            <w:pPr>
              <w:spacing w:after="0" w:line="240" w:lineRule="auto"/>
              <w:jc w:val="center"/>
              <w:rPr>
                <w:rFonts w:ascii="Times New Roman" w:eastAsia="Times New Roman" w:hAnsi="Times New Roman" w:cs="Times New Roman"/>
                <w:sz w:val="20"/>
                <w:szCs w:val="20"/>
              </w:rPr>
            </w:pPr>
          </w:p>
        </w:tc>
      </w:tr>
      <w:tr w:rsidR="00FE488C" w:rsidRPr="00FE488C" w14:paraId="63FBF8B0" w14:textId="77777777" w:rsidTr="00107C54">
        <w:trPr>
          <w:trHeight w:val="260"/>
          <w:jc w:val="center"/>
        </w:trPr>
        <w:tc>
          <w:tcPr>
            <w:tcW w:w="4920" w:type="dxa"/>
            <w:tcBorders>
              <w:top w:val="nil"/>
              <w:left w:val="nil"/>
              <w:bottom w:val="nil"/>
              <w:right w:val="nil"/>
            </w:tcBorders>
            <w:shd w:val="clear" w:color="auto" w:fill="auto"/>
            <w:noWrap/>
            <w:vAlign w:val="bottom"/>
            <w:hideMark/>
          </w:tcPr>
          <w:p w14:paraId="628DEDF0"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First-Stage F-statistic</w:t>
            </w:r>
          </w:p>
        </w:tc>
        <w:tc>
          <w:tcPr>
            <w:tcW w:w="900" w:type="dxa"/>
            <w:tcBorders>
              <w:top w:val="nil"/>
              <w:left w:val="nil"/>
              <w:bottom w:val="nil"/>
              <w:right w:val="nil"/>
            </w:tcBorders>
            <w:shd w:val="clear" w:color="auto" w:fill="auto"/>
            <w:noWrap/>
            <w:vAlign w:val="bottom"/>
            <w:hideMark/>
          </w:tcPr>
          <w:p w14:paraId="79EDF99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32.54</w:t>
            </w:r>
          </w:p>
        </w:tc>
        <w:tc>
          <w:tcPr>
            <w:tcW w:w="900" w:type="dxa"/>
            <w:tcBorders>
              <w:top w:val="nil"/>
              <w:left w:val="nil"/>
              <w:bottom w:val="nil"/>
              <w:right w:val="nil"/>
            </w:tcBorders>
            <w:shd w:val="clear" w:color="auto" w:fill="auto"/>
            <w:noWrap/>
            <w:vAlign w:val="bottom"/>
            <w:hideMark/>
          </w:tcPr>
          <w:p w14:paraId="398DC55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16.39</w:t>
            </w:r>
          </w:p>
        </w:tc>
        <w:tc>
          <w:tcPr>
            <w:tcW w:w="900" w:type="dxa"/>
            <w:tcBorders>
              <w:top w:val="nil"/>
              <w:left w:val="nil"/>
              <w:bottom w:val="nil"/>
              <w:right w:val="nil"/>
            </w:tcBorders>
            <w:shd w:val="clear" w:color="auto" w:fill="auto"/>
            <w:noWrap/>
            <w:vAlign w:val="bottom"/>
            <w:hideMark/>
          </w:tcPr>
          <w:p w14:paraId="0ED780C8"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22.24</w:t>
            </w:r>
          </w:p>
        </w:tc>
        <w:tc>
          <w:tcPr>
            <w:tcW w:w="266" w:type="dxa"/>
            <w:tcBorders>
              <w:top w:val="nil"/>
              <w:left w:val="nil"/>
              <w:bottom w:val="nil"/>
              <w:right w:val="nil"/>
            </w:tcBorders>
            <w:shd w:val="clear" w:color="auto" w:fill="auto"/>
            <w:noWrap/>
            <w:vAlign w:val="bottom"/>
            <w:hideMark/>
          </w:tcPr>
          <w:p w14:paraId="7C742FA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14:paraId="1054FFF3"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20.85</w:t>
            </w:r>
          </w:p>
        </w:tc>
        <w:tc>
          <w:tcPr>
            <w:tcW w:w="900" w:type="dxa"/>
            <w:tcBorders>
              <w:top w:val="nil"/>
              <w:left w:val="nil"/>
              <w:bottom w:val="nil"/>
              <w:right w:val="nil"/>
            </w:tcBorders>
            <w:shd w:val="clear" w:color="auto" w:fill="auto"/>
            <w:noWrap/>
            <w:vAlign w:val="bottom"/>
            <w:hideMark/>
          </w:tcPr>
          <w:p w14:paraId="27EBBE82"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8.62</w:t>
            </w:r>
          </w:p>
        </w:tc>
        <w:tc>
          <w:tcPr>
            <w:tcW w:w="900" w:type="dxa"/>
            <w:tcBorders>
              <w:top w:val="nil"/>
              <w:left w:val="nil"/>
              <w:bottom w:val="nil"/>
              <w:right w:val="nil"/>
            </w:tcBorders>
            <w:shd w:val="clear" w:color="auto" w:fill="auto"/>
            <w:noWrap/>
            <w:vAlign w:val="bottom"/>
            <w:hideMark/>
          </w:tcPr>
          <w:p w14:paraId="19F841A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14.65</w:t>
            </w:r>
          </w:p>
        </w:tc>
      </w:tr>
      <w:tr w:rsidR="00FE488C" w:rsidRPr="00FE488C" w14:paraId="18AEA1F8" w14:textId="77777777" w:rsidTr="00107C54">
        <w:trPr>
          <w:trHeight w:val="260"/>
          <w:jc w:val="center"/>
        </w:trPr>
        <w:tc>
          <w:tcPr>
            <w:tcW w:w="4920" w:type="dxa"/>
            <w:tcBorders>
              <w:top w:val="nil"/>
              <w:left w:val="nil"/>
              <w:bottom w:val="single" w:sz="4" w:space="0" w:color="auto"/>
              <w:right w:val="nil"/>
            </w:tcBorders>
            <w:shd w:val="clear" w:color="auto" w:fill="auto"/>
            <w:noWrap/>
            <w:vAlign w:val="bottom"/>
            <w:hideMark/>
          </w:tcPr>
          <w:p w14:paraId="54806149" w14:textId="77777777" w:rsidR="00FE488C" w:rsidRPr="00FE488C" w:rsidRDefault="00FE488C" w:rsidP="00FE488C">
            <w:pPr>
              <w:spacing w:after="0" w:line="240" w:lineRule="auto"/>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Observations</w:t>
            </w:r>
          </w:p>
        </w:tc>
        <w:tc>
          <w:tcPr>
            <w:tcW w:w="900" w:type="dxa"/>
            <w:tcBorders>
              <w:top w:val="nil"/>
              <w:left w:val="nil"/>
              <w:bottom w:val="single" w:sz="4" w:space="0" w:color="auto"/>
              <w:right w:val="nil"/>
            </w:tcBorders>
            <w:shd w:val="clear" w:color="auto" w:fill="auto"/>
            <w:noWrap/>
            <w:vAlign w:val="bottom"/>
            <w:hideMark/>
          </w:tcPr>
          <w:p w14:paraId="5C211631"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338</w:t>
            </w:r>
          </w:p>
        </w:tc>
        <w:tc>
          <w:tcPr>
            <w:tcW w:w="900" w:type="dxa"/>
            <w:tcBorders>
              <w:top w:val="nil"/>
              <w:left w:val="nil"/>
              <w:bottom w:val="single" w:sz="4" w:space="0" w:color="auto"/>
              <w:right w:val="nil"/>
            </w:tcBorders>
            <w:shd w:val="clear" w:color="auto" w:fill="auto"/>
            <w:noWrap/>
            <w:vAlign w:val="bottom"/>
            <w:hideMark/>
          </w:tcPr>
          <w:p w14:paraId="7C5D4C7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338</w:t>
            </w:r>
          </w:p>
        </w:tc>
        <w:tc>
          <w:tcPr>
            <w:tcW w:w="900" w:type="dxa"/>
            <w:tcBorders>
              <w:top w:val="nil"/>
              <w:left w:val="nil"/>
              <w:bottom w:val="single" w:sz="4" w:space="0" w:color="auto"/>
              <w:right w:val="nil"/>
            </w:tcBorders>
            <w:shd w:val="clear" w:color="auto" w:fill="auto"/>
            <w:noWrap/>
            <w:vAlign w:val="bottom"/>
            <w:hideMark/>
          </w:tcPr>
          <w:p w14:paraId="224C2676"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338</w:t>
            </w:r>
          </w:p>
        </w:tc>
        <w:tc>
          <w:tcPr>
            <w:tcW w:w="266" w:type="dxa"/>
            <w:tcBorders>
              <w:top w:val="nil"/>
              <w:left w:val="nil"/>
              <w:bottom w:val="single" w:sz="4" w:space="0" w:color="auto"/>
              <w:right w:val="nil"/>
            </w:tcBorders>
            <w:shd w:val="clear" w:color="auto" w:fill="auto"/>
            <w:noWrap/>
            <w:vAlign w:val="bottom"/>
            <w:hideMark/>
          </w:tcPr>
          <w:p w14:paraId="5E6C489E"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nil"/>
            </w:tcBorders>
            <w:shd w:val="clear" w:color="auto" w:fill="auto"/>
            <w:noWrap/>
            <w:vAlign w:val="bottom"/>
            <w:hideMark/>
          </w:tcPr>
          <w:p w14:paraId="7B2AC7BC"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320</w:t>
            </w:r>
          </w:p>
        </w:tc>
        <w:tc>
          <w:tcPr>
            <w:tcW w:w="900" w:type="dxa"/>
            <w:tcBorders>
              <w:top w:val="nil"/>
              <w:left w:val="nil"/>
              <w:bottom w:val="single" w:sz="4" w:space="0" w:color="auto"/>
              <w:right w:val="nil"/>
            </w:tcBorders>
            <w:shd w:val="clear" w:color="auto" w:fill="auto"/>
            <w:noWrap/>
            <w:vAlign w:val="bottom"/>
            <w:hideMark/>
          </w:tcPr>
          <w:p w14:paraId="333D7E8B"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320</w:t>
            </w:r>
          </w:p>
        </w:tc>
        <w:tc>
          <w:tcPr>
            <w:tcW w:w="900" w:type="dxa"/>
            <w:tcBorders>
              <w:top w:val="nil"/>
              <w:left w:val="nil"/>
              <w:bottom w:val="single" w:sz="4" w:space="0" w:color="auto"/>
              <w:right w:val="nil"/>
            </w:tcBorders>
            <w:shd w:val="clear" w:color="auto" w:fill="auto"/>
            <w:noWrap/>
            <w:vAlign w:val="bottom"/>
            <w:hideMark/>
          </w:tcPr>
          <w:p w14:paraId="592C6F17" w14:textId="77777777" w:rsidR="00FE488C" w:rsidRPr="00FE488C" w:rsidRDefault="00FE488C" w:rsidP="00FE488C">
            <w:pPr>
              <w:spacing w:after="0" w:line="240" w:lineRule="auto"/>
              <w:jc w:val="center"/>
              <w:rPr>
                <w:rFonts w:ascii="Times New Roman" w:eastAsia="Times New Roman" w:hAnsi="Times New Roman" w:cs="Times New Roman"/>
                <w:color w:val="000000"/>
                <w:sz w:val="20"/>
                <w:szCs w:val="20"/>
              </w:rPr>
            </w:pPr>
            <w:r w:rsidRPr="00FE488C">
              <w:rPr>
                <w:rFonts w:ascii="Times New Roman" w:eastAsia="Times New Roman" w:hAnsi="Times New Roman" w:cs="Times New Roman"/>
                <w:color w:val="000000"/>
                <w:sz w:val="20"/>
                <w:szCs w:val="20"/>
              </w:rPr>
              <w:t>320</w:t>
            </w:r>
          </w:p>
        </w:tc>
      </w:tr>
      <w:tr w:rsidR="00EB455F" w:rsidRPr="00FE488C" w14:paraId="6D7BCDFD" w14:textId="77777777" w:rsidTr="00107C54">
        <w:trPr>
          <w:trHeight w:val="260"/>
          <w:jc w:val="center"/>
        </w:trPr>
        <w:tc>
          <w:tcPr>
            <w:tcW w:w="10586" w:type="dxa"/>
            <w:gridSpan w:val="8"/>
            <w:tcBorders>
              <w:top w:val="nil"/>
              <w:left w:val="nil"/>
              <w:bottom w:val="nil"/>
              <w:right w:val="nil"/>
            </w:tcBorders>
            <w:shd w:val="clear" w:color="auto" w:fill="auto"/>
            <w:noWrap/>
            <w:vAlign w:val="bottom"/>
            <w:hideMark/>
          </w:tcPr>
          <w:p w14:paraId="46CACF34" w14:textId="5AB5B4DD" w:rsidR="00EB455F" w:rsidRPr="00FE488C" w:rsidRDefault="00EB455F" w:rsidP="0010541F">
            <w:pPr>
              <w:spacing w:after="0" w:line="240" w:lineRule="auto"/>
              <w:jc w:val="both"/>
              <w:rPr>
                <w:rFonts w:ascii="Times New Roman" w:eastAsia="Times New Roman" w:hAnsi="Times New Roman" w:cs="Times New Roman"/>
                <w:sz w:val="20"/>
                <w:szCs w:val="20"/>
              </w:rPr>
            </w:pPr>
            <w:r w:rsidRPr="00E674E0">
              <w:rPr>
                <w:rFonts w:ascii="Times New Roman" w:eastAsia="Times New Roman" w:hAnsi="Times New Roman" w:cs="Times New Roman"/>
                <w:i/>
                <w:iCs/>
                <w:sz w:val="20"/>
                <w:szCs w:val="20"/>
              </w:rPr>
              <w:t xml:space="preserve">Notes: </w:t>
            </w:r>
            <w:r w:rsidRPr="00E674E0">
              <w:rPr>
                <w:rFonts w:ascii="Times New Roman" w:eastAsia="Times New Roman" w:hAnsi="Times New Roman" w:cs="Times New Roman"/>
                <w:sz w:val="20"/>
                <w:szCs w:val="20"/>
              </w:rPr>
              <w:t>This table reports marginal effects from the estimation of the first stage of the IV estimation of equation (</w:t>
            </w:r>
            <w:r w:rsidR="00257730">
              <w:rPr>
                <w:rFonts w:ascii="Times New Roman" w:eastAsia="Times New Roman" w:hAnsi="Times New Roman" w:cs="Times New Roman"/>
                <w:sz w:val="20"/>
                <w:szCs w:val="20"/>
              </w:rPr>
              <w:t>4</w:t>
            </w:r>
            <w:r w:rsidRPr="00E674E0">
              <w:rPr>
                <w:rFonts w:ascii="Times New Roman" w:eastAsia="Times New Roman" w:hAnsi="Times New Roman" w:cs="Times New Roman"/>
                <w:sz w:val="20"/>
                <w:szCs w:val="20"/>
              </w:rPr>
              <w:t xml:space="preserve">). Each column represents a regression of 10MinsOpen on 10MinsLottery and covariates for the sample of schools used in the </w:t>
            </w:r>
            <w:r>
              <w:rPr>
                <w:rFonts w:ascii="Times New Roman" w:eastAsia="Times New Roman" w:hAnsi="Times New Roman" w:cs="Times New Roman"/>
                <w:sz w:val="20"/>
                <w:szCs w:val="20"/>
              </w:rPr>
              <w:t xml:space="preserve">math and ELA proficiency </w:t>
            </w:r>
            <w:r w:rsidRPr="00E674E0">
              <w:rPr>
                <w:rFonts w:ascii="Times New Roman" w:eastAsia="Times New Roman" w:hAnsi="Times New Roman" w:cs="Times New Roman"/>
                <w:sz w:val="20"/>
                <w:szCs w:val="20"/>
              </w:rPr>
              <w:t xml:space="preserve">rate regressions. Linear probability models are used for estimation. All specifications include the 2014-15 and 2015-16 school years. School controls include the proportions of free-or-reduced-price lunch, Black, Hispanic, and Asian students, and indicators for whether the school is in a city, town, or suburb. The omitted locale is rural. Standard errors clustered by school are in parentheses. </w:t>
            </w:r>
            <w:proofErr w:type="spellStart"/>
            <w:r w:rsidRPr="00E674E0">
              <w:rPr>
                <w:rFonts w:ascii="Times New Roman" w:eastAsia="Times New Roman" w:hAnsi="Times New Roman" w:cs="Times New Roman"/>
                <w:sz w:val="20"/>
                <w:szCs w:val="20"/>
              </w:rPr>
              <w:t>Kleibergen-Paap</w:t>
            </w:r>
            <w:proofErr w:type="spellEnd"/>
            <w:r w:rsidRPr="00E674E0">
              <w:rPr>
                <w:rFonts w:ascii="Times New Roman" w:eastAsia="Times New Roman" w:hAnsi="Times New Roman" w:cs="Times New Roman"/>
                <w:sz w:val="20"/>
                <w:szCs w:val="20"/>
              </w:rPr>
              <w:t xml:space="preserve"> F-statistics from a test for weak instruments are also reported.</w:t>
            </w:r>
          </w:p>
        </w:tc>
      </w:tr>
    </w:tbl>
    <w:p w14:paraId="3E90F52A" w14:textId="77777777" w:rsidR="00FE488C" w:rsidRPr="00687CFC" w:rsidRDefault="00FE488C" w:rsidP="00D750E1">
      <w:pPr>
        <w:rPr>
          <w:rFonts w:ascii="Times New Roman" w:hAnsi="Times New Roman" w:cs="Times New Roman"/>
          <w:sz w:val="24"/>
          <w:szCs w:val="24"/>
        </w:rPr>
      </w:pPr>
    </w:p>
    <w:sectPr w:rsidR="00FE488C" w:rsidRPr="00687CFC" w:rsidSect="000735D6">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9AA93" w14:textId="77777777" w:rsidR="004B7A76" w:rsidRDefault="004B7A76" w:rsidP="00BB2C98">
      <w:pPr>
        <w:spacing w:after="0" w:line="240" w:lineRule="auto"/>
      </w:pPr>
      <w:r>
        <w:separator/>
      </w:r>
    </w:p>
  </w:endnote>
  <w:endnote w:type="continuationSeparator" w:id="0">
    <w:p w14:paraId="01503218" w14:textId="77777777" w:rsidR="004B7A76" w:rsidRDefault="004B7A76" w:rsidP="00BB2C98">
      <w:pPr>
        <w:spacing w:after="0" w:line="240" w:lineRule="auto"/>
      </w:pPr>
      <w:r>
        <w:continuationSeparator/>
      </w:r>
    </w:p>
  </w:endnote>
  <w:endnote w:type="continuationNotice" w:id="1">
    <w:p w14:paraId="63380FB8" w14:textId="77777777" w:rsidR="004B7A76" w:rsidRDefault="004B7A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223797"/>
      <w:docPartObj>
        <w:docPartGallery w:val="Page Numbers (Bottom of Page)"/>
        <w:docPartUnique/>
      </w:docPartObj>
    </w:sdtPr>
    <w:sdtEndPr>
      <w:rPr>
        <w:rFonts w:ascii="Times New Roman" w:hAnsi="Times New Roman" w:cs="Times New Roman"/>
        <w:noProof/>
        <w:sz w:val="24"/>
        <w:szCs w:val="24"/>
      </w:rPr>
    </w:sdtEndPr>
    <w:sdtContent>
      <w:p w14:paraId="4CEF024D" w14:textId="6D3296D8" w:rsidR="006D0183" w:rsidRPr="006D0183" w:rsidRDefault="006D0183">
        <w:pPr>
          <w:pStyle w:val="Footer"/>
          <w:jc w:val="center"/>
          <w:rPr>
            <w:rFonts w:ascii="Times New Roman" w:hAnsi="Times New Roman" w:cs="Times New Roman"/>
            <w:sz w:val="24"/>
            <w:szCs w:val="24"/>
          </w:rPr>
        </w:pPr>
        <w:r w:rsidRPr="006D0183">
          <w:rPr>
            <w:rFonts w:ascii="Times New Roman" w:hAnsi="Times New Roman" w:cs="Times New Roman"/>
            <w:sz w:val="24"/>
            <w:szCs w:val="24"/>
          </w:rPr>
          <w:fldChar w:fldCharType="begin"/>
        </w:r>
        <w:r w:rsidRPr="006D0183">
          <w:rPr>
            <w:rFonts w:ascii="Times New Roman" w:hAnsi="Times New Roman" w:cs="Times New Roman"/>
            <w:sz w:val="24"/>
            <w:szCs w:val="24"/>
          </w:rPr>
          <w:instrText xml:space="preserve"> PAGE   \* MERGEFORMAT </w:instrText>
        </w:r>
        <w:r w:rsidRPr="006D0183">
          <w:rPr>
            <w:rFonts w:ascii="Times New Roman" w:hAnsi="Times New Roman" w:cs="Times New Roman"/>
            <w:sz w:val="24"/>
            <w:szCs w:val="24"/>
          </w:rPr>
          <w:fldChar w:fldCharType="separate"/>
        </w:r>
        <w:r w:rsidRPr="006D0183">
          <w:rPr>
            <w:rFonts w:ascii="Times New Roman" w:hAnsi="Times New Roman" w:cs="Times New Roman"/>
            <w:noProof/>
            <w:sz w:val="24"/>
            <w:szCs w:val="24"/>
          </w:rPr>
          <w:t>2</w:t>
        </w:r>
        <w:r w:rsidRPr="006D0183">
          <w:rPr>
            <w:rFonts w:ascii="Times New Roman" w:hAnsi="Times New Roman" w:cs="Times New Roman"/>
            <w:noProof/>
            <w:sz w:val="24"/>
            <w:szCs w:val="24"/>
          </w:rPr>
          <w:fldChar w:fldCharType="end"/>
        </w:r>
      </w:p>
    </w:sdtContent>
  </w:sdt>
  <w:p w14:paraId="4B7ED617" w14:textId="77777777" w:rsidR="006D0183" w:rsidRDefault="006D0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8C0B" w14:textId="77777777" w:rsidR="004B7A76" w:rsidRDefault="004B7A76" w:rsidP="00BB2C98">
      <w:pPr>
        <w:spacing w:after="0" w:line="240" w:lineRule="auto"/>
      </w:pPr>
      <w:r>
        <w:separator/>
      </w:r>
    </w:p>
  </w:footnote>
  <w:footnote w:type="continuationSeparator" w:id="0">
    <w:p w14:paraId="4277D14F" w14:textId="77777777" w:rsidR="004B7A76" w:rsidRDefault="004B7A76" w:rsidP="00BB2C98">
      <w:pPr>
        <w:spacing w:after="0" w:line="240" w:lineRule="auto"/>
      </w:pPr>
      <w:r>
        <w:continuationSeparator/>
      </w:r>
    </w:p>
  </w:footnote>
  <w:footnote w:type="continuationNotice" w:id="1">
    <w:p w14:paraId="2EAE2A6E" w14:textId="77777777" w:rsidR="004B7A76" w:rsidRDefault="004B7A76">
      <w:pPr>
        <w:spacing w:after="0" w:line="240" w:lineRule="auto"/>
      </w:pPr>
    </w:p>
  </w:footnote>
  <w:footnote w:id="2">
    <w:p w14:paraId="57A5E212" w14:textId="39B678E6" w:rsidR="00D474C7" w:rsidRPr="003B317D" w:rsidRDefault="00D474C7" w:rsidP="005C2BDF">
      <w:pPr>
        <w:pStyle w:val="FootnoteText"/>
        <w:jc w:val="both"/>
        <w:rPr>
          <w:rFonts w:ascii="Times New Roman" w:hAnsi="Times New Roman" w:cs="Times New Roman"/>
        </w:rPr>
      </w:pPr>
      <w:r w:rsidRPr="003B317D">
        <w:rPr>
          <w:rStyle w:val="FootnoteReference"/>
          <w:rFonts w:ascii="Times New Roman" w:hAnsi="Times New Roman" w:cs="Times New Roman"/>
        </w:rPr>
        <w:sym w:font="Symbol" w:char="F02A"/>
      </w:r>
      <w:r w:rsidRPr="003B317D">
        <w:rPr>
          <w:rFonts w:ascii="Times New Roman" w:hAnsi="Times New Roman" w:cs="Times New Roman"/>
        </w:rPr>
        <w:t xml:space="preserve"> </w:t>
      </w:r>
      <w:r w:rsidR="00660890" w:rsidRPr="003B317D">
        <w:rPr>
          <w:rFonts w:ascii="Times New Roman" w:hAnsi="Times New Roman" w:cs="Times New Roman"/>
        </w:rPr>
        <w:t>The views expressed in this article are those of the author</w:t>
      </w:r>
      <w:r w:rsidR="00A36A8C" w:rsidRPr="003B317D">
        <w:rPr>
          <w:rFonts w:ascii="Times New Roman" w:hAnsi="Times New Roman" w:cs="Times New Roman"/>
        </w:rPr>
        <w:t xml:space="preserve">. They do </w:t>
      </w:r>
      <w:r w:rsidR="00660890" w:rsidRPr="003B317D">
        <w:rPr>
          <w:rFonts w:ascii="Times New Roman" w:hAnsi="Times New Roman" w:cs="Times New Roman"/>
        </w:rPr>
        <w:t xml:space="preserve">not necessarily reflect those of the Federal Trade Commission or any individual Commissioner. </w:t>
      </w:r>
      <w:r w:rsidR="009A0DBC" w:rsidRPr="003B317D">
        <w:rPr>
          <w:rFonts w:ascii="Times New Roman" w:hAnsi="Times New Roman" w:cs="Times New Roman"/>
        </w:rPr>
        <w:t xml:space="preserve">I </w:t>
      </w:r>
      <w:r w:rsidR="001B2D9C" w:rsidRPr="003B317D">
        <w:rPr>
          <w:rFonts w:ascii="Times New Roman" w:hAnsi="Times New Roman" w:cs="Times New Roman"/>
        </w:rPr>
        <w:t xml:space="preserve">would like to specially thank </w:t>
      </w:r>
      <w:proofErr w:type="spellStart"/>
      <w:r w:rsidR="001B2D9C" w:rsidRPr="003B317D">
        <w:rPr>
          <w:rFonts w:ascii="Times New Roman" w:hAnsi="Times New Roman" w:cs="Times New Roman"/>
        </w:rPr>
        <w:t>Xiuming</w:t>
      </w:r>
      <w:proofErr w:type="spellEnd"/>
      <w:r w:rsidR="001B2D9C" w:rsidRPr="003B317D">
        <w:rPr>
          <w:rFonts w:ascii="Times New Roman" w:hAnsi="Times New Roman" w:cs="Times New Roman"/>
        </w:rPr>
        <w:t xml:space="preserve"> Dong at Johns Hopkins University for</w:t>
      </w:r>
      <w:r w:rsidR="005C66F3" w:rsidRPr="003B317D">
        <w:rPr>
          <w:rFonts w:ascii="Times New Roman" w:hAnsi="Times New Roman" w:cs="Times New Roman"/>
        </w:rPr>
        <w:t xml:space="preserve"> all her help with this paper</w:t>
      </w:r>
      <w:r w:rsidR="003F58C5" w:rsidRPr="003B317D">
        <w:rPr>
          <w:rFonts w:ascii="Times New Roman" w:hAnsi="Times New Roman" w:cs="Times New Roman"/>
        </w:rPr>
        <w:t xml:space="preserve">. I also thank Gary </w:t>
      </w:r>
      <w:r w:rsidR="00660890" w:rsidRPr="003B317D">
        <w:rPr>
          <w:rFonts w:ascii="Times New Roman" w:hAnsi="Times New Roman" w:cs="Times New Roman"/>
        </w:rPr>
        <w:t>Engelhardt, Amy Ellen Schwartz, Maria Zhu</w:t>
      </w:r>
      <w:r w:rsidR="003F58C5" w:rsidRPr="003B317D">
        <w:rPr>
          <w:rFonts w:ascii="Times New Roman" w:hAnsi="Times New Roman" w:cs="Times New Roman"/>
        </w:rPr>
        <w:t>, Devesh Raval, and Dave Schmidt for their comments</w:t>
      </w:r>
      <w:r w:rsidR="00660890" w:rsidRPr="003B317D">
        <w:rPr>
          <w:rFonts w:ascii="Times New Roman" w:hAnsi="Times New Roman" w:cs="Times New Roman"/>
          <w:shd w:val="clear" w:color="auto" w:fill="FFFFFF"/>
        </w:rPr>
        <w:t>.</w:t>
      </w:r>
    </w:p>
  </w:footnote>
  <w:footnote w:id="3">
    <w:p w14:paraId="6B29C4D1" w14:textId="77777777" w:rsidR="003F0757" w:rsidRPr="005E72E8" w:rsidRDefault="003F0757" w:rsidP="003F0757">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The share of 11</w:t>
      </w:r>
      <w:r w:rsidRPr="005E72E8">
        <w:rPr>
          <w:rFonts w:ascii="Times New Roman" w:hAnsi="Times New Roman" w:cs="Times New Roman"/>
          <w:vertAlign w:val="superscript"/>
        </w:rPr>
        <w:t>th</w:t>
      </w:r>
      <w:r w:rsidRPr="005E72E8">
        <w:rPr>
          <w:rFonts w:ascii="Times New Roman" w:hAnsi="Times New Roman" w:cs="Times New Roman"/>
        </w:rPr>
        <w:t>-grade boys who are not proficient in math decreases by 7 percentage points. Math proficiency is not available prior to legalization, so I do not know whether this is a sizeable effect relative to the average.</w:t>
      </w:r>
    </w:p>
  </w:footnote>
  <w:footnote w:id="4">
    <w:p w14:paraId="3A5D0192" w14:textId="1978DD0D" w:rsidR="00DD2E48" w:rsidRPr="005E72E8" w:rsidRDefault="00DD2E48" w:rsidP="002B212F">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w:t>
      </w:r>
      <w:r w:rsidRPr="005E72E8">
        <w:rPr>
          <w:rFonts w:ascii="Times New Roman" w:hAnsi="Times New Roman" w:cs="Times New Roman"/>
          <w:color w:val="000000" w:themeColor="text1"/>
        </w:rPr>
        <w:t>Yamada,</w:t>
      </w:r>
      <w:r w:rsidR="00AA4166" w:rsidRPr="005E72E8">
        <w:rPr>
          <w:rFonts w:ascii="Times New Roman" w:hAnsi="Times New Roman" w:cs="Times New Roman"/>
          <w:color w:val="000000" w:themeColor="text1"/>
        </w:rPr>
        <w:t xml:space="preserve"> et al.,</w:t>
      </w:r>
      <w:r w:rsidRPr="005E72E8">
        <w:rPr>
          <w:rFonts w:ascii="Times New Roman" w:hAnsi="Times New Roman" w:cs="Times New Roman"/>
          <w:color w:val="000000" w:themeColor="text1"/>
        </w:rPr>
        <w:t xml:space="preserve"> 1996; </w:t>
      </w:r>
      <w:r w:rsidRPr="005E72E8">
        <w:rPr>
          <w:rFonts w:ascii="Times New Roman" w:hAnsi="Times New Roman" w:cs="Times New Roman"/>
        </w:rPr>
        <w:t xml:space="preserve">Bray, et al., 2000; Lynskey </w:t>
      </w:r>
      <w:r w:rsidR="009F0550" w:rsidRPr="005E72E8">
        <w:rPr>
          <w:rFonts w:ascii="Times New Roman" w:hAnsi="Times New Roman" w:cs="Times New Roman"/>
        </w:rPr>
        <w:t>&amp;</w:t>
      </w:r>
      <w:r w:rsidRPr="005E72E8">
        <w:rPr>
          <w:rFonts w:ascii="Times New Roman" w:hAnsi="Times New Roman" w:cs="Times New Roman"/>
        </w:rPr>
        <w:t xml:space="preserve"> Hall, 2000; Register, </w:t>
      </w:r>
      <w:r w:rsidR="00AA4166" w:rsidRPr="005E72E8">
        <w:rPr>
          <w:rFonts w:ascii="Times New Roman" w:hAnsi="Times New Roman" w:cs="Times New Roman"/>
        </w:rPr>
        <w:t>et al.</w:t>
      </w:r>
      <w:r w:rsidRPr="005E72E8">
        <w:rPr>
          <w:rFonts w:ascii="Times New Roman" w:hAnsi="Times New Roman" w:cs="Times New Roman"/>
        </w:rPr>
        <w:t>, 2001; Roebuck,</w:t>
      </w:r>
      <w:r w:rsidR="00AA4166" w:rsidRPr="005E72E8">
        <w:rPr>
          <w:rFonts w:ascii="Times New Roman" w:hAnsi="Times New Roman" w:cs="Times New Roman"/>
        </w:rPr>
        <w:t xml:space="preserve"> et al.,</w:t>
      </w:r>
      <w:r w:rsidRPr="005E72E8">
        <w:rPr>
          <w:rFonts w:ascii="Times New Roman" w:hAnsi="Times New Roman" w:cs="Times New Roman"/>
        </w:rPr>
        <w:t xml:space="preserve"> 2004; </w:t>
      </w:r>
      <w:proofErr w:type="spellStart"/>
      <w:r w:rsidRPr="005E72E8">
        <w:rPr>
          <w:rFonts w:ascii="Times New Roman" w:hAnsi="Times New Roman" w:cs="Times New Roman"/>
        </w:rPr>
        <w:t>Chatterji</w:t>
      </w:r>
      <w:proofErr w:type="spellEnd"/>
      <w:r w:rsidRPr="005E72E8">
        <w:rPr>
          <w:rFonts w:ascii="Times New Roman" w:hAnsi="Times New Roman" w:cs="Times New Roman"/>
        </w:rPr>
        <w:t xml:space="preserve">, 2006; McCaffrey, et al., 2010; Ryan, 2010; and Beverly, </w:t>
      </w:r>
      <w:r w:rsidR="00AA4166" w:rsidRPr="005E72E8">
        <w:rPr>
          <w:rFonts w:ascii="Times New Roman" w:hAnsi="Times New Roman" w:cs="Times New Roman"/>
        </w:rPr>
        <w:t>et al.</w:t>
      </w:r>
      <w:r w:rsidRPr="005E72E8">
        <w:rPr>
          <w:rFonts w:ascii="Times New Roman" w:hAnsi="Times New Roman" w:cs="Times New Roman"/>
        </w:rPr>
        <w:t>, 2019.</w:t>
      </w:r>
    </w:p>
  </w:footnote>
  <w:footnote w:id="5">
    <w:p w14:paraId="4132B6D3" w14:textId="5D31E629" w:rsidR="002B212F" w:rsidRPr="00016B89" w:rsidRDefault="002B212F">
      <w:pPr>
        <w:pStyle w:val="FootnoteText"/>
        <w:rPr>
          <w:rFonts w:ascii="Times New Roman" w:hAnsi="Times New Roman" w:cs="Times New Roman"/>
          <w:sz w:val="24"/>
          <w:szCs w:val="24"/>
        </w:rPr>
      </w:pPr>
      <w:r w:rsidRPr="005E72E8">
        <w:rPr>
          <w:rStyle w:val="FootnoteReference"/>
          <w:rFonts w:ascii="Times New Roman" w:hAnsi="Times New Roman" w:cs="Times New Roman"/>
        </w:rPr>
        <w:footnoteRef/>
      </w:r>
      <w:r w:rsidRPr="005E72E8">
        <w:rPr>
          <w:rFonts w:ascii="Times New Roman" w:hAnsi="Times New Roman" w:cs="Times New Roman"/>
        </w:rPr>
        <w:t xml:space="preserve"> Pope, </w:t>
      </w:r>
      <w:r w:rsidR="00AA4166" w:rsidRPr="005E72E8">
        <w:rPr>
          <w:rFonts w:ascii="Times New Roman" w:hAnsi="Times New Roman" w:cs="Times New Roman"/>
        </w:rPr>
        <w:t>et al.,</w:t>
      </w:r>
      <w:r w:rsidRPr="005E72E8">
        <w:rPr>
          <w:rFonts w:ascii="Times New Roman" w:hAnsi="Times New Roman" w:cs="Times New Roman"/>
        </w:rPr>
        <w:t xml:space="preserve"> 1995 and </w:t>
      </w:r>
      <w:proofErr w:type="spellStart"/>
      <w:r w:rsidRPr="005E72E8">
        <w:rPr>
          <w:rFonts w:ascii="Times New Roman" w:hAnsi="Times New Roman" w:cs="Times New Roman"/>
        </w:rPr>
        <w:t>Lisdahl</w:t>
      </w:r>
      <w:proofErr w:type="spellEnd"/>
      <w:r w:rsidRPr="005E72E8">
        <w:rPr>
          <w:rFonts w:ascii="Times New Roman" w:hAnsi="Times New Roman" w:cs="Times New Roman"/>
        </w:rPr>
        <w:t>, et al., 2013.</w:t>
      </w:r>
    </w:p>
  </w:footnote>
  <w:footnote w:id="6">
    <w:p w14:paraId="01638B13" w14:textId="456AE088" w:rsidR="009F0550" w:rsidRPr="005E72E8" w:rsidRDefault="00442CD2" w:rsidP="002B212F">
      <w:pPr>
        <w:spacing w:after="0" w:line="240" w:lineRule="auto"/>
        <w:contextualSpacing/>
        <w:jc w:val="both"/>
        <w:rPr>
          <w:rFonts w:ascii="Times New Roman" w:hAnsi="Times New Roman" w:cs="Times New Roman"/>
          <w:sz w:val="20"/>
          <w:szCs w:val="20"/>
        </w:rPr>
      </w:pPr>
      <w:r w:rsidRPr="005E72E8">
        <w:rPr>
          <w:rStyle w:val="FootnoteReference"/>
          <w:rFonts w:ascii="Times New Roman" w:hAnsi="Times New Roman" w:cs="Times New Roman"/>
          <w:sz w:val="20"/>
          <w:szCs w:val="20"/>
        </w:rPr>
        <w:footnoteRef/>
      </w:r>
      <w:r w:rsidRPr="005E72E8">
        <w:rPr>
          <w:rFonts w:ascii="Times New Roman" w:hAnsi="Times New Roman" w:cs="Times New Roman"/>
          <w:sz w:val="20"/>
          <w:szCs w:val="20"/>
        </w:rPr>
        <w:t xml:space="preserve"> </w:t>
      </w:r>
      <w:proofErr w:type="spellStart"/>
      <w:r w:rsidRPr="005E72E8">
        <w:rPr>
          <w:rFonts w:ascii="Times New Roman" w:hAnsi="Times New Roman" w:cs="Times New Roman"/>
          <w:sz w:val="20"/>
          <w:szCs w:val="20"/>
        </w:rPr>
        <w:t>Ellickson</w:t>
      </w:r>
      <w:proofErr w:type="spellEnd"/>
      <w:r w:rsidRPr="005E72E8">
        <w:rPr>
          <w:rFonts w:ascii="Times New Roman" w:hAnsi="Times New Roman" w:cs="Times New Roman"/>
          <w:sz w:val="20"/>
          <w:szCs w:val="20"/>
        </w:rPr>
        <w:t xml:space="preserve">, </w:t>
      </w:r>
      <w:r w:rsidR="00AA4166" w:rsidRPr="005E72E8">
        <w:rPr>
          <w:rFonts w:ascii="Times New Roman" w:hAnsi="Times New Roman" w:cs="Times New Roman"/>
          <w:sz w:val="20"/>
          <w:szCs w:val="20"/>
        </w:rPr>
        <w:t xml:space="preserve">et al., </w:t>
      </w:r>
      <w:r w:rsidRPr="005E72E8">
        <w:rPr>
          <w:rFonts w:ascii="Times New Roman" w:hAnsi="Times New Roman" w:cs="Times New Roman"/>
          <w:sz w:val="20"/>
          <w:szCs w:val="20"/>
        </w:rPr>
        <w:t>1992</w:t>
      </w:r>
      <w:r w:rsidR="00AA4166" w:rsidRPr="005E72E8">
        <w:rPr>
          <w:rFonts w:ascii="Times New Roman" w:hAnsi="Times New Roman" w:cs="Times New Roman"/>
          <w:sz w:val="20"/>
          <w:szCs w:val="20"/>
        </w:rPr>
        <w:t>;</w:t>
      </w:r>
      <w:r w:rsidRPr="005E72E8">
        <w:rPr>
          <w:rFonts w:ascii="Times New Roman" w:hAnsi="Times New Roman" w:cs="Times New Roman"/>
          <w:sz w:val="20"/>
          <w:szCs w:val="20"/>
        </w:rPr>
        <w:t xml:space="preserve"> Kandel, </w:t>
      </w:r>
      <w:r w:rsidR="00AA4166" w:rsidRPr="005E72E8">
        <w:rPr>
          <w:rFonts w:ascii="Times New Roman" w:hAnsi="Times New Roman" w:cs="Times New Roman"/>
          <w:sz w:val="20"/>
          <w:szCs w:val="20"/>
        </w:rPr>
        <w:t xml:space="preserve">et al., </w:t>
      </w:r>
      <w:r w:rsidRPr="005E72E8">
        <w:rPr>
          <w:rFonts w:ascii="Times New Roman" w:hAnsi="Times New Roman" w:cs="Times New Roman"/>
          <w:sz w:val="20"/>
          <w:szCs w:val="20"/>
        </w:rPr>
        <w:t>1992</w:t>
      </w:r>
      <w:r w:rsidR="00AA4166" w:rsidRPr="005E72E8">
        <w:rPr>
          <w:rFonts w:ascii="Times New Roman" w:hAnsi="Times New Roman" w:cs="Times New Roman"/>
          <w:sz w:val="20"/>
          <w:szCs w:val="20"/>
        </w:rPr>
        <w:t>;</w:t>
      </w:r>
      <w:r w:rsidRPr="005E72E8">
        <w:rPr>
          <w:rFonts w:ascii="Times New Roman" w:hAnsi="Times New Roman" w:cs="Times New Roman"/>
          <w:sz w:val="20"/>
          <w:szCs w:val="20"/>
        </w:rPr>
        <w:t xml:space="preserve"> DeSimone</w:t>
      </w:r>
      <w:r w:rsidR="00AA4166" w:rsidRPr="005E72E8">
        <w:rPr>
          <w:rFonts w:ascii="Times New Roman" w:hAnsi="Times New Roman" w:cs="Times New Roman"/>
          <w:sz w:val="20"/>
          <w:szCs w:val="20"/>
        </w:rPr>
        <w:t xml:space="preserve">, </w:t>
      </w:r>
      <w:r w:rsidRPr="005E72E8">
        <w:rPr>
          <w:rFonts w:ascii="Times New Roman" w:hAnsi="Times New Roman" w:cs="Times New Roman"/>
          <w:sz w:val="20"/>
          <w:szCs w:val="20"/>
        </w:rPr>
        <w:t>1998</w:t>
      </w:r>
      <w:r w:rsidR="00AA4166" w:rsidRPr="005E72E8">
        <w:rPr>
          <w:rFonts w:ascii="Times New Roman" w:hAnsi="Times New Roman" w:cs="Times New Roman"/>
          <w:sz w:val="20"/>
          <w:szCs w:val="20"/>
        </w:rPr>
        <w:t>;</w:t>
      </w:r>
      <w:r w:rsidRPr="005E72E8">
        <w:rPr>
          <w:rFonts w:ascii="Times New Roman" w:hAnsi="Times New Roman" w:cs="Times New Roman"/>
          <w:sz w:val="20"/>
          <w:szCs w:val="20"/>
        </w:rPr>
        <w:t xml:space="preserve"> </w:t>
      </w:r>
      <w:r w:rsidR="009F0550" w:rsidRPr="005E72E8">
        <w:rPr>
          <w:rFonts w:ascii="Times New Roman" w:hAnsi="Times New Roman" w:cs="Times New Roman"/>
          <w:color w:val="1C1D1E"/>
          <w:sz w:val="20"/>
          <w:szCs w:val="20"/>
          <w:shd w:val="clear" w:color="auto" w:fill="FFFFFF"/>
        </w:rPr>
        <w:t xml:space="preserve">Brook, </w:t>
      </w:r>
      <w:proofErr w:type="spellStart"/>
      <w:r w:rsidR="009F0550" w:rsidRPr="005E72E8">
        <w:rPr>
          <w:rFonts w:ascii="Times New Roman" w:hAnsi="Times New Roman" w:cs="Times New Roman"/>
          <w:color w:val="1C1D1E"/>
          <w:sz w:val="20"/>
          <w:szCs w:val="20"/>
          <w:shd w:val="clear" w:color="auto" w:fill="FFFFFF"/>
        </w:rPr>
        <w:t>Balka</w:t>
      </w:r>
      <w:proofErr w:type="spellEnd"/>
      <w:r w:rsidR="009F0550" w:rsidRPr="005E72E8">
        <w:rPr>
          <w:rFonts w:ascii="Times New Roman" w:hAnsi="Times New Roman" w:cs="Times New Roman"/>
          <w:color w:val="1C1D1E"/>
          <w:sz w:val="20"/>
          <w:szCs w:val="20"/>
          <w:shd w:val="clear" w:color="auto" w:fill="FFFFFF"/>
        </w:rPr>
        <w:t>, &amp; Whiteman, 1999</w:t>
      </w:r>
      <w:r w:rsidR="00AA4166" w:rsidRPr="005E72E8">
        <w:rPr>
          <w:rFonts w:ascii="Times New Roman" w:hAnsi="Times New Roman" w:cs="Times New Roman"/>
          <w:sz w:val="20"/>
          <w:szCs w:val="20"/>
        </w:rPr>
        <w:t>;</w:t>
      </w:r>
      <w:r w:rsidRPr="005E72E8">
        <w:rPr>
          <w:rFonts w:ascii="Times New Roman" w:hAnsi="Times New Roman" w:cs="Times New Roman"/>
          <w:sz w:val="20"/>
          <w:szCs w:val="20"/>
        </w:rPr>
        <w:t xml:space="preserve"> Green </w:t>
      </w:r>
      <w:r w:rsidR="00AA4166" w:rsidRPr="005E72E8">
        <w:rPr>
          <w:rFonts w:ascii="Times New Roman" w:hAnsi="Times New Roman" w:cs="Times New Roman"/>
          <w:sz w:val="20"/>
          <w:szCs w:val="20"/>
        </w:rPr>
        <w:t>&amp;</w:t>
      </w:r>
      <w:r w:rsidRPr="005E72E8">
        <w:rPr>
          <w:rFonts w:ascii="Times New Roman" w:hAnsi="Times New Roman" w:cs="Times New Roman"/>
          <w:sz w:val="20"/>
          <w:szCs w:val="20"/>
        </w:rPr>
        <w:t xml:space="preserve"> Ritter</w:t>
      </w:r>
      <w:r w:rsidR="00AA4166" w:rsidRPr="005E72E8">
        <w:rPr>
          <w:rFonts w:ascii="Times New Roman" w:hAnsi="Times New Roman" w:cs="Times New Roman"/>
          <w:sz w:val="20"/>
          <w:szCs w:val="20"/>
        </w:rPr>
        <w:t xml:space="preserve">, </w:t>
      </w:r>
      <w:r w:rsidRPr="005E72E8">
        <w:rPr>
          <w:rFonts w:ascii="Times New Roman" w:hAnsi="Times New Roman" w:cs="Times New Roman"/>
          <w:sz w:val="20"/>
          <w:szCs w:val="20"/>
        </w:rPr>
        <w:t>2000</w:t>
      </w:r>
      <w:r w:rsidR="00AA4166" w:rsidRPr="005E72E8">
        <w:rPr>
          <w:rFonts w:ascii="Times New Roman" w:hAnsi="Times New Roman" w:cs="Times New Roman"/>
          <w:sz w:val="20"/>
          <w:szCs w:val="20"/>
        </w:rPr>
        <w:t>;</w:t>
      </w:r>
      <w:r w:rsidRPr="005E72E8">
        <w:rPr>
          <w:rFonts w:ascii="Times New Roman" w:hAnsi="Times New Roman" w:cs="Times New Roman"/>
          <w:sz w:val="20"/>
          <w:szCs w:val="20"/>
        </w:rPr>
        <w:t xml:space="preserve"> </w:t>
      </w:r>
      <w:r w:rsidR="009F0550" w:rsidRPr="005E72E8">
        <w:rPr>
          <w:rFonts w:ascii="Times New Roman" w:hAnsi="Times New Roman" w:cs="Times New Roman"/>
          <w:color w:val="1C1D1E"/>
          <w:sz w:val="20"/>
          <w:szCs w:val="20"/>
          <w:shd w:val="clear" w:color="auto" w:fill="FFFFFF"/>
        </w:rPr>
        <w:t>Brook, Lee, Brown, et al., 2011</w:t>
      </w:r>
      <w:r w:rsidR="009F0550" w:rsidRPr="005E72E8">
        <w:rPr>
          <w:rFonts w:ascii="Times New Roman" w:hAnsi="Times New Roman" w:cs="Times New Roman"/>
          <w:sz w:val="20"/>
          <w:szCs w:val="20"/>
        </w:rPr>
        <w:t>;</w:t>
      </w:r>
      <w:r w:rsidRPr="005E72E8">
        <w:rPr>
          <w:rFonts w:ascii="Times New Roman" w:hAnsi="Times New Roman" w:cs="Times New Roman"/>
          <w:sz w:val="20"/>
          <w:szCs w:val="20"/>
        </w:rPr>
        <w:t xml:space="preserve"> </w:t>
      </w:r>
      <w:r w:rsidR="009F0550" w:rsidRPr="005E72E8">
        <w:rPr>
          <w:rFonts w:ascii="Times New Roman" w:hAnsi="Times New Roman" w:cs="Times New Roman"/>
          <w:color w:val="1C1D1E"/>
          <w:sz w:val="20"/>
          <w:szCs w:val="20"/>
          <w:shd w:val="clear" w:color="auto" w:fill="FFFFFF"/>
        </w:rPr>
        <w:t>Brook, Lee, Finch, et al., 2013</w:t>
      </w:r>
      <w:r w:rsidR="009F0550" w:rsidRPr="005E72E8">
        <w:rPr>
          <w:rFonts w:ascii="Times New Roman" w:hAnsi="Times New Roman" w:cs="Times New Roman"/>
          <w:sz w:val="20"/>
          <w:szCs w:val="20"/>
        </w:rPr>
        <w:t>;</w:t>
      </w:r>
      <w:r w:rsidRPr="005E72E8">
        <w:rPr>
          <w:rFonts w:ascii="Times New Roman" w:hAnsi="Times New Roman" w:cs="Times New Roman"/>
          <w:sz w:val="20"/>
          <w:szCs w:val="20"/>
        </w:rPr>
        <w:t xml:space="preserve"> and Epstein, et al.</w:t>
      </w:r>
      <w:r w:rsidR="00AA4166" w:rsidRPr="005E72E8">
        <w:rPr>
          <w:rFonts w:ascii="Times New Roman" w:hAnsi="Times New Roman" w:cs="Times New Roman"/>
          <w:sz w:val="20"/>
          <w:szCs w:val="20"/>
        </w:rPr>
        <w:t xml:space="preserve">, </w:t>
      </w:r>
      <w:r w:rsidRPr="005E72E8">
        <w:rPr>
          <w:rFonts w:ascii="Times New Roman" w:hAnsi="Times New Roman" w:cs="Times New Roman"/>
          <w:sz w:val="20"/>
          <w:szCs w:val="20"/>
        </w:rPr>
        <w:t>2015.</w:t>
      </w:r>
    </w:p>
  </w:footnote>
  <w:footnote w:id="7">
    <w:p w14:paraId="3D2E0F96" w14:textId="6193AADC" w:rsidR="002B212F" w:rsidRPr="005E72E8" w:rsidRDefault="002B212F" w:rsidP="002B212F">
      <w:pPr>
        <w:pStyle w:val="FootnoteText"/>
        <w:jc w:val="both"/>
      </w:pPr>
      <w:r w:rsidRPr="005E72E8">
        <w:rPr>
          <w:rStyle w:val="FootnoteReference"/>
          <w:rFonts w:ascii="Times New Roman" w:hAnsi="Times New Roman" w:cs="Times New Roman"/>
        </w:rPr>
        <w:footnoteRef/>
      </w:r>
      <w:r w:rsidRPr="005E72E8">
        <w:rPr>
          <w:rFonts w:ascii="Times New Roman" w:hAnsi="Times New Roman" w:cs="Times New Roman"/>
        </w:rPr>
        <w:t xml:space="preserve"> </w:t>
      </w:r>
      <w:proofErr w:type="spellStart"/>
      <w:r w:rsidRPr="005E72E8">
        <w:rPr>
          <w:rFonts w:ascii="Times New Roman" w:hAnsi="Times New Roman" w:cs="Times New Roman"/>
          <w:color w:val="000000" w:themeColor="text1"/>
        </w:rPr>
        <w:t>Khatapoush</w:t>
      </w:r>
      <w:proofErr w:type="spellEnd"/>
      <w:r w:rsidRPr="005E72E8">
        <w:rPr>
          <w:rFonts w:ascii="Times New Roman" w:hAnsi="Times New Roman" w:cs="Times New Roman"/>
          <w:color w:val="000000" w:themeColor="text1"/>
        </w:rPr>
        <w:t xml:space="preserve"> </w:t>
      </w:r>
      <w:r w:rsidR="009F0550" w:rsidRPr="005E72E8">
        <w:rPr>
          <w:rFonts w:ascii="Times New Roman" w:hAnsi="Times New Roman" w:cs="Times New Roman"/>
          <w:color w:val="000000" w:themeColor="text1"/>
        </w:rPr>
        <w:t>&amp;</w:t>
      </w:r>
      <w:r w:rsidRPr="005E72E8">
        <w:rPr>
          <w:rFonts w:ascii="Times New Roman" w:hAnsi="Times New Roman" w:cs="Times New Roman"/>
          <w:color w:val="000000" w:themeColor="text1"/>
        </w:rPr>
        <w:t xml:space="preserve"> </w:t>
      </w:r>
      <w:proofErr w:type="spellStart"/>
      <w:r w:rsidRPr="005E72E8">
        <w:rPr>
          <w:rFonts w:ascii="Times New Roman" w:hAnsi="Times New Roman" w:cs="Times New Roman"/>
          <w:color w:val="000000" w:themeColor="text1"/>
        </w:rPr>
        <w:t>Hallfors</w:t>
      </w:r>
      <w:proofErr w:type="spellEnd"/>
      <w:r w:rsidRPr="005E72E8">
        <w:rPr>
          <w:rFonts w:ascii="Times New Roman" w:hAnsi="Times New Roman" w:cs="Times New Roman"/>
          <w:color w:val="000000" w:themeColor="text1"/>
        </w:rPr>
        <w:t>, 2004; Wall, et al., 2011; Harper,</w:t>
      </w:r>
      <w:r w:rsidR="009F0550" w:rsidRPr="005E72E8">
        <w:rPr>
          <w:rFonts w:ascii="Times New Roman" w:hAnsi="Times New Roman" w:cs="Times New Roman"/>
          <w:color w:val="000000" w:themeColor="text1"/>
        </w:rPr>
        <w:t xml:space="preserve"> et al.</w:t>
      </w:r>
      <w:r w:rsidRPr="005E72E8">
        <w:rPr>
          <w:rFonts w:ascii="Times New Roman" w:hAnsi="Times New Roman" w:cs="Times New Roman"/>
          <w:color w:val="000000" w:themeColor="text1"/>
        </w:rPr>
        <w:t xml:space="preserve">, 2012; Lynne-Landsman, </w:t>
      </w:r>
      <w:r w:rsidR="009F0550" w:rsidRPr="005E72E8">
        <w:rPr>
          <w:rFonts w:ascii="Times New Roman" w:hAnsi="Times New Roman" w:cs="Times New Roman"/>
          <w:color w:val="000000" w:themeColor="text1"/>
        </w:rPr>
        <w:t>et al.</w:t>
      </w:r>
      <w:r w:rsidRPr="005E72E8">
        <w:rPr>
          <w:rFonts w:ascii="Times New Roman" w:hAnsi="Times New Roman" w:cs="Times New Roman"/>
          <w:color w:val="000000" w:themeColor="text1"/>
        </w:rPr>
        <w:t xml:space="preserve">, 2013; Choo, et al., 2014; </w:t>
      </w:r>
      <w:proofErr w:type="spellStart"/>
      <w:r w:rsidRPr="005E72E8">
        <w:rPr>
          <w:rFonts w:ascii="Times New Roman" w:hAnsi="Times New Roman" w:cs="Times New Roman"/>
          <w:color w:val="000000" w:themeColor="text1"/>
        </w:rPr>
        <w:t>Schuermeyer</w:t>
      </w:r>
      <w:proofErr w:type="spellEnd"/>
      <w:r w:rsidRPr="005E72E8">
        <w:rPr>
          <w:rFonts w:ascii="Times New Roman" w:hAnsi="Times New Roman" w:cs="Times New Roman"/>
          <w:color w:val="000000" w:themeColor="text1"/>
        </w:rPr>
        <w:t xml:space="preserve">, et al., 2014; </w:t>
      </w:r>
      <w:r w:rsidRPr="005E72E8">
        <w:rPr>
          <w:rFonts w:ascii="Times New Roman" w:hAnsi="Times New Roman" w:cs="Times New Roman"/>
        </w:rPr>
        <w:t>Anderson</w:t>
      </w:r>
      <w:r w:rsidR="009F0550" w:rsidRPr="005E72E8">
        <w:rPr>
          <w:rFonts w:ascii="Times New Roman" w:hAnsi="Times New Roman" w:cs="Times New Roman"/>
        </w:rPr>
        <w:t>, et al.</w:t>
      </w:r>
      <w:r w:rsidRPr="005E72E8">
        <w:rPr>
          <w:rFonts w:ascii="Times New Roman" w:hAnsi="Times New Roman" w:cs="Times New Roman"/>
        </w:rPr>
        <w:t xml:space="preserve">, 2015; Wen, </w:t>
      </w:r>
      <w:r w:rsidR="009F0550" w:rsidRPr="005E72E8">
        <w:rPr>
          <w:rFonts w:ascii="Times New Roman" w:hAnsi="Times New Roman" w:cs="Times New Roman"/>
        </w:rPr>
        <w:t>et al.</w:t>
      </w:r>
      <w:r w:rsidRPr="005E72E8">
        <w:rPr>
          <w:rFonts w:ascii="Times New Roman" w:hAnsi="Times New Roman" w:cs="Times New Roman"/>
        </w:rPr>
        <w:t>, 2015;</w:t>
      </w:r>
      <w:r w:rsidRPr="005E72E8">
        <w:rPr>
          <w:rFonts w:ascii="Times New Roman" w:hAnsi="Times New Roman" w:cs="Times New Roman"/>
          <w:color w:val="000000" w:themeColor="text1"/>
        </w:rPr>
        <w:t xml:space="preserve"> </w:t>
      </w:r>
      <w:r w:rsidR="009F0550" w:rsidRPr="005E72E8">
        <w:rPr>
          <w:rFonts w:ascii="Times New Roman" w:hAnsi="Times New Roman" w:cs="Times New Roman"/>
          <w:color w:val="1C1D1E"/>
          <w:shd w:val="clear" w:color="auto" w:fill="FFFFFF"/>
        </w:rPr>
        <w:t xml:space="preserve">Cerda, Wall, et al., 2017; Cerda, </w:t>
      </w:r>
      <w:proofErr w:type="spellStart"/>
      <w:r w:rsidR="009F0550" w:rsidRPr="005E72E8">
        <w:rPr>
          <w:rFonts w:ascii="Times New Roman" w:hAnsi="Times New Roman" w:cs="Times New Roman"/>
          <w:color w:val="1C1D1E"/>
          <w:shd w:val="clear" w:color="auto" w:fill="FFFFFF"/>
        </w:rPr>
        <w:t>Sarvet</w:t>
      </w:r>
      <w:proofErr w:type="spellEnd"/>
      <w:r w:rsidR="009F0550" w:rsidRPr="005E72E8">
        <w:rPr>
          <w:rFonts w:ascii="Times New Roman" w:hAnsi="Times New Roman" w:cs="Times New Roman"/>
          <w:color w:val="1C1D1E"/>
          <w:shd w:val="clear" w:color="auto" w:fill="FFFFFF"/>
        </w:rPr>
        <w:t>, et al., 2018</w:t>
      </w:r>
      <w:r w:rsidRPr="005E72E8">
        <w:rPr>
          <w:rFonts w:ascii="Times New Roman" w:hAnsi="Times New Roman" w:cs="Times New Roman"/>
          <w:color w:val="000000" w:themeColor="text1"/>
        </w:rPr>
        <w:t xml:space="preserve">; </w:t>
      </w:r>
      <w:proofErr w:type="spellStart"/>
      <w:r w:rsidRPr="005E72E8">
        <w:rPr>
          <w:rFonts w:ascii="Times New Roman" w:hAnsi="Times New Roman" w:cs="Times New Roman"/>
        </w:rPr>
        <w:t>Rusby</w:t>
      </w:r>
      <w:proofErr w:type="spellEnd"/>
      <w:r w:rsidRPr="005E72E8">
        <w:rPr>
          <w:rFonts w:ascii="Times New Roman" w:hAnsi="Times New Roman" w:cs="Times New Roman"/>
        </w:rPr>
        <w:t>, et al., 2018; Dilley, et al., 2019; Jarrold-Grapes, 2023.</w:t>
      </w:r>
    </w:p>
  </w:footnote>
  <w:footnote w:id="8">
    <w:p w14:paraId="5F153416" w14:textId="6EF84205" w:rsidR="00442CD2" w:rsidRPr="005E72E8" w:rsidRDefault="00442CD2" w:rsidP="00442CD2">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Byrnes, </w:t>
      </w:r>
      <w:r w:rsidR="009F0550" w:rsidRPr="005E72E8">
        <w:rPr>
          <w:rFonts w:ascii="Times New Roman" w:hAnsi="Times New Roman" w:cs="Times New Roman"/>
        </w:rPr>
        <w:t xml:space="preserve">et al., </w:t>
      </w:r>
      <w:r w:rsidRPr="005E72E8">
        <w:rPr>
          <w:rFonts w:ascii="Times New Roman" w:hAnsi="Times New Roman" w:cs="Times New Roman"/>
        </w:rPr>
        <w:t xml:space="preserve">1999 and Harris, </w:t>
      </w:r>
      <w:r w:rsidR="009F0550" w:rsidRPr="005E72E8">
        <w:rPr>
          <w:rFonts w:ascii="Times New Roman" w:hAnsi="Times New Roman" w:cs="Times New Roman"/>
        </w:rPr>
        <w:t xml:space="preserve">et al., </w:t>
      </w:r>
      <w:r w:rsidRPr="005E72E8">
        <w:rPr>
          <w:rFonts w:ascii="Times New Roman" w:hAnsi="Times New Roman" w:cs="Times New Roman"/>
        </w:rPr>
        <w:t xml:space="preserve">2006. </w:t>
      </w:r>
    </w:p>
  </w:footnote>
  <w:footnote w:id="9">
    <w:p w14:paraId="4B7C1A64" w14:textId="4EB59AFB" w:rsidR="00442CD2" w:rsidRPr="005E72E8" w:rsidRDefault="00442CD2" w:rsidP="00442CD2">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Jacobus</w:t>
      </w:r>
      <w:r w:rsidR="009F0550" w:rsidRPr="005E72E8">
        <w:rPr>
          <w:rFonts w:ascii="Times New Roman" w:hAnsi="Times New Roman" w:cs="Times New Roman"/>
        </w:rPr>
        <w:t xml:space="preserve"> &amp;</w:t>
      </w:r>
      <w:r w:rsidRPr="005E72E8">
        <w:rPr>
          <w:rFonts w:ascii="Times New Roman" w:hAnsi="Times New Roman" w:cs="Times New Roman"/>
        </w:rPr>
        <w:t xml:space="preserve"> Tapert,</w:t>
      </w:r>
      <w:r w:rsidR="009F0550" w:rsidRPr="005E72E8">
        <w:rPr>
          <w:rFonts w:ascii="Times New Roman" w:hAnsi="Times New Roman" w:cs="Times New Roman"/>
        </w:rPr>
        <w:t xml:space="preserve"> </w:t>
      </w:r>
      <w:r w:rsidRPr="005E72E8">
        <w:rPr>
          <w:rFonts w:ascii="Times New Roman" w:hAnsi="Times New Roman" w:cs="Times New Roman"/>
        </w:rPr>
        <w:t>2014</w:t>
      </w:r>
      <w:r w:rsidR="009F0550" w:rsidRPr="005E72E8">
        <w:rPr>
          <w:rFonts w:ascii="Times New Roman" w:hAnsi="Times New Roman" w:cs="Times New Roman"/>
        </w:rPr>
        <w:t>;</w:t>
      </w:r>
      <w:r w:rsidRPr="005E72E8">
        <w:rPr>
          <w:rFonts w:ascii="Times New Roman" w:hAnsi="Times New Roman" w:cs="Times New Roman"/>
        </w:rPr>
        <w:t xml:space="preserve"> </w:t>
      </w:r>
      <w:r w:rsidRPr="005E72E8">
        <w:rPr>
          <w:rFonts w:ascii="Times New Roman" w:hAnsi="Times New Roman" w:cs="Times New Roman"/>
          <w:shd w:val="clear" w:color="auto" w:fill="FFFFFF"/>
        </w:rPr>
        <w:t>Washington State University</w:t>
      </w:r>
      <w:r w:rsidR="009F0550" w:rsidRPr="005E72E8">
        <w:rPr>
          <w:rFonts w:ascii="Times New Roman" w:hAnsi="Times New Roman" w:cs="Times New Roman"/>
          <w:shd w:val="clear" w:color="auto" w:fill="FFFFFF"/>
        </w:rPr>
        <w:t xml:space="preserve">, </w:t>
      </w:r>
      <w:r w:rsidRPr="005E72E8">
        <w:rPr>
          <w:rFonts w:ascii="Times New Roman" w:hAnsi="Times New Roman" w:cs="Times New Roman"/>
          <w:shd w:val="clear" w:color="auto" w:fill="FFFFFF"/>
        </w:rPr>
        <w:t>2014</w:t>
      </w:r>
      <w:r w:rsidR="009F0550" w:rsidRPr="005E72E8">
        <w:rPr>
          <w:rFonts w:ascii="Times New Roman" w:hAnsi="Times New Roman" w:cs="Times New Roman"/>
          <w:shd w:val="clear" w:color="auto" w:fill="FFFFFF"/>
        </w:rPr>
        <w:t>;</w:t>
      </w:r>
      <w:r w:rsidRPr="005E72E8">
        <w:rPr>
          <w:rFonts w:ascii="Times New Roman" w:hAnsi="Times New Roman" w:cs="Times New Roman"/>
          <w:shd w:val="clear" w:color="auto" w:fill="FFFFFF"/>
        </w:rPr>
        <w:t xml:space="preserve"> </w:t>
      </w:r>
      <w:r w:rsidRPr="005E72E8">
        <w:rPr>
          <w:rFonts w:ascii="Times New Roman" w:hAnsi="Times New Roman" w:cs="Times New Roman"/>
        </w:rPr>
        <w:t>Weir</w:t>
      </w:r>
      <w:r w:rsidR="009F0550" w:rsidRPr="005E72E8">
        <w:rPr>
          <w:rFonts w:ascii="Times New Roman" w:hAnsi="Times New Roman" w:cs="Times New Roman"/>
        </w:rPr>
        <w:t xml:space="preserve">, </w:t>
      </w:r>
      <w:r w:rsidRPr="005E72E8">
        <w:rPr>
          <w:rFonts w:ascii="Times New Roman" w:hAnsi="Times New Roman" w:cs="Times New Roman"/>
        </w:rPr>
        <w:t>2015</w:t>
      </w:r>
      <w:r w:rsidR="009F0550" w:rsidRPr="005E72E8">
        <w:rPr>
          <w:rFonts w:ascii="Times New Roman" w:hAnsi="Times New Roman" w:cs="Times New Roman"/>
        </w:rPr>
        <w:t>;</w:t>
      </w:r>
      <w:r w:rsidRPr="005E72E8">
        <w:rPr>
          <w:rFonts w:ascii="Times New Roman" w:hAnsi="Times New Roman" w:cs="Times New Roman"/>
        </w:rPr>
        <w:t xml:space="preserve"> and </w:t>
      </w:r>
      <w:r w:rsidRPr="005E72E8">
        <w:rPr>
          <w:rFonts w:ascii="Times New Roman" w:hAnsi="Times New Roman" w:cs="Times New Roman"/>
          <w:shd w:val="clear" w:color="auto" w:fill="FFFFFF"/>
        </w:rPr>
        <w:t>Frontiers</w:t>
      </w:r>
      <w:r w:rsidR="009F0550" w:rsidRPr="005E72E8">
        <w:rPr>
          <w:rFonts w:ascii="Times New Roman" w:hAnsi="Times New Roman" w:cs="Times New Roman"/>
          <w:shd w:val="clear" w:color="auto" w:fill="FFFFFF"/>
        </w:rPr>
        <w:t xml:space="preserve">, </w:t>
      </w:r>
      <w:r w:rsidRPr="005E72E8">
        <w:rPr>
          <w:rFonts w:ascii="Times New Roman" w:hAnsi="Times New Roman" w:cs="Times New Roman"/>
          <w:shd w:val="clear" w:color="auto" w:fill="FFFFFF"/>
        </w:rPr>
        <w:t xml:space="preserve">2018. </w:t>
      </w:r>
    </w:p>
  </w:footnote>
  <w:footnote w:id="10">
    <w:p w14:paraId="63045BDD" w14:textId="2A2ADC41" w:rsidR="00BC1151" w:rsidRPr="005E72E8" w:rsidRDefault="00BC1151" w:rsidP="00D72955">
      <w:pPr>
        <w:pStyle w:val="FootnoteText"/>
        <w:jc w:val="both"/>
      </w:pPr>
      <w:r w:rsidRPr="005E72E8">
        <w:rPr>
          <w:rStyle w:val="FootnoteReference"/>
          <w:rFonts w:ascii="Times New Roman" w:hAnsi="Times New Roman" w:cs="Times New Roman"/>
        </w:rPr>
        <w:footnoteRef/>
      </w:r>
      <w:r w:rsidRPr="005E72E8">
        <w:rPr>
          <w:rFonts w:ascii="Times New Roman" w:hAnsi="Times New Roman" w:cs="Times New Roman"/>
        </w:rPr>
        <w:t xml:space="preserve"> Cultivation for personal use remained illegal.</w:t>
      </w:r>
    </w:p>
  </w:footnote>
  <w:footnote w:id="11">
    <w:p w14:paraId="3461A205" w14:textId="3A9E066D" w:rsidR="00163C98" w:rsidRPr="005E72E8" w:rsidRDefault="00163C98">
      <w:pPr>
        <w:pStyle w:val="FootnoteText"/>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w:t>
      </w:r>
      <w:proofErr w:type="spellStart"/>
      <w:r w:rsidRPr="005E72E8">
        <w:rPr>
          <w:rFonts w:ascii="Times New Roman" w:hAnsi="Times New Roman" w:cs="Times New Roman"/>
        </w:rPr>
        <w:t>Caulkins</w:t>
      </w:r>
      <w:proofErr w:type="spellEnd"/>
      <w:r w:rsidRPr="005E72E8">
        <w:rPr>
          <w:rFonts w:ascii="Times New Roman" w:hAnsi="Times New Roman" w:cs="Times New Roman"/>
        </w:rPr>
        <w:t xml:space="preserve"> </w:t>
      </w:r>
      <w:r w:rsidR="009F0550" w:rsidRPr="005E72E8">
        <w:rPr>
          <w:rFonts w:ascii="Times New Roman" w:hAnsi="Times New Roman" w:cs="Times New Roman"/>
        </w:rPr>
        <w:t>&amp;</w:t>
      </w:r>
      <w:r w:rsidRPr="005E72E8">
        <w:rPr>
          <w:rFonts w:ascii="Times New Roman" w:hAnsi="Times New Roman" w:cs="Times New Roman"/>
        </w:rPr>
        <w:t xml:space="preserve"> Dahlkemper</w:t>
      </w:r>
      <w:r w:rsidR="009F0550" w:rsidRPr="005E72E8">
        <w:rPr>
          <w:rFonts w:ascii="Times New Roman" w:hAnsi="Times New Roman" w:cs="Times New Roman"/>
        </w:rPr>
        <w:t>, 2013</w:t>
      </w:r>
      <w:r w:rsidRPr="005E72E8">
        <w:rPr>
          <w:rFonts w:ascii="Times New Roman" w:hAnsi="Times New Roman" w:cs="Times New Roman"/>
        </w:rPr>
        <w:t xml:space="preserve">. </w:t>
      </w:r>
    </w:p>
  </w:footnote>
  <w:footnote w:id="12">
    <w:p w14:paraId="03FB85F6" w14:textId="4311DFBC" w:rsidR="007078C7" w:rsidRPr="005E72E8" w:rsidRDefault="007078C7" w:rsidP="00D72955">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Out of the 177 winners that opened before June 2016, 8 opened after the cap was lifted to 556. My analysis includes these dispensaries. </w:t>
      </w:r>
      <w:r w:rsidR="00F57CCA" w:rsidRPr="005E72E8">
        <w:rPr>
          <w:rFonts w:ascii="Times New Roman" w:hAnsi="Times New Roman" w:cs="Times New Roman"/>
        </w:rPr>
        <w:t xml:space="preserve">7 lottery losers and 38 new applicants opened between February and June 2016. </w:t>
      </w:r>
    </w:p>
  </w:footnote>
  <w:footnote w:id="13">
    <w:p w14:paraId="3092927F" w14:textId="3508279C" w:rsidR="00ED06BA" w:rsidRPr="005E72E8" w:rsidRDefault="00ED06BA" w:rsidP="00ED06BA">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Students who are suspended or expelled multiple times during the</w:t>
      </w:r>
      <w:r w:rsidR="00CB1090" w:rsidRPr="005E72E8">
        <w:rPr>
          <w:rFonts w:ascii="Times New Roman" w:hAnsi="Times New Roman" w:cs="Times New Roman"/>
        </w:rPr>
        <w:t xml:space="preserve"> </w:t>
      </w:r>
      <w:r w:rsidRPr="005E72E8">
        <w:rPr>
          <w:rFonts w:ascii="Times New Roman" w:hAnsi="Times New Roman" w:cs="Times New Roman"/>
        </w:rPr>
        <w:t xml:space="preserve">year are only included in the calculation once. </w:t>
      </w:r>
    </w:p>
  </w:footnote>
  <w:footnote w:id="14">
    <w:p w14:paraId="0A1B0B1C" w14:textId="014CAC3E" w:rsidR="00906063" w:rsidRPr="005E72E8" w:rsidRDefault="00906063" w:rsidP="002C1939">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Some data is fully redacted because of small numbers of students. In other cases, the discipline rate is given as an upper bound, which I round to the limit (i.e., “&lt;3%” becomes “3%”).</w:t>
      </w:r>
    </w:p>
  </w:footnote>
  <w:footnote w:id="15">
    <w:p w14:paraId="24D0210C" w14:textId="38BFBD8E" w:rsidR="00FC3B6E" w:rsidRPr="005E72E8" w:rsidRDefault="00FC3B6E" w:rsidP="00D72955">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The ELA test switched from the High School Proficiency Exam to the Smarter Balanced Test starting in 2014-15, but the testing standards remained aligned with Common Core standards adopted in 2010-11.</w:t>
      </w:r>
    </w:p>
  </w:footnote>
  <w:footnote w:id="16">
    <w:p w14:paraId="172A2A20" w14:textId="66F8DDE7" w:rsidR="00CF4AF8" w:rsidRPr="005E72E8" w:rsidRDefault="00CF4AF8" w:rsidP="0055038E">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This can vary over time because not all dispensaries opened during the 2014-15 school year. As a robustness check, I estimate the model using only schools that are within 10 minutes of an open dispensary for both school</w:t>
      </w:r>
      <w:r w:rsidR="00AE7240" w:rsidRPr="005E72E8">
        <w:rPr>
          <w:rFonts w:ascii="Times New Roman" w:hAnsi="Times New Roman" w:cs="Times New Roman"/>
        </w:rPr>
        <w:t xml:space="preserve"> </w:t>
      </w:r>
      <w:r w:rsidRPr="005E72E8">
        <w:rPr>
          <w:rFonts w:ascii="Times New Roman" w:hAnsi="Times New Roman" w:cs="Times New Roman"/>
        </w:rPr>
        <w:t xml:space="preserve">years. </w:t>
      </w:r>
    </w:p>
  </w:footnote>
  <w:footnote w:id="17">
    <w:p w14:paraId="2E4956DB" w14:textId="67232186" w:rsidR="000D1529" w:rsidRPr="000D1529" w:rsidRDefault="000D1529" w:rsidP="0055038E">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w:t>
      </w:r>
      <w:proofErr w:type="spellStart"/>
      <w:r w:rsidRPr="005E72E8">
        <w:rPr>
          <w:rFonts w:ascii="Times New Roman" w:hAnsi="Times New Roman" w:cs="Times New Roman"/>
        </w:rPr>
        <w:t>Staiger</w:t>
      </w:r>
      <w:proofErr w:type="spellEnd"/>
      <w:r w:rsidRPr="005E72E8">
        <w:rPr>
          <w:rFonts w:ascii="Times New Roman" w:hAnsi="Times New Roman" w:cs="Times New Roman"/>
        </w:rPr>
        <w:t xml:space="preserve"> </w:t>
      </w:r>
      <w:r w:rsidR="009F0550" w:rsidRPr="005E72E8">
        <w:rPr>
          <w:rFonts w:ascii="Times New Roman" w:hAnsi="Times New Roman" w:cs="Times New Roman"/>
        </w:rPr>
        <w:t xml:space="preserve">&amp; </w:t>
      </w:r>
      <w:r w:rsidRPr="005E72E8">
        <w:rPr>
          <w:rFonts w:ascii="Times New Roman" w:hAnsi="Times New Roman" w:cs="Times New Roman"/>
        </w:rPr>
        <w:t>Stock</w:t>
      </w:r>
      <w:r w:rsidR="009F0550" w:rsidRPr="005E72E8">
        <w:rPr>
          <w:rFonts w:ascii="Times New Roman" w:hAnsi="Times New Roman" w:cs="Times New Roman"/>
        </w:rPr>
        <w:t xml:space="preserve">, </w:t>
      </w:r>
      <w:r w:rsidRPr="005E72E8">
        <w:rPr>
          <w:rFonts w:ascii="Times New Roman" w:hAnsi="Times New Roman" w:cs="Times New Roman"/>
        </w:rPr>
        <w:t>1997.</w:t>
      </w:r>
    </w:p>
  </w:footnote>
  <w:footnote w:id="18">
    <w:p w14:paraId="6DF377E4" w14:textId="4FB388BC" w:rsidR="002616BA" w:rsidRPr="005E72E8" w:rsidRDefault="002616BA" w:rsidP="0055038E">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For each outcome, I include the eight different reduced form specifications (four for females and four for males) in the Romano-Wolf step-down procedure and do 100 bootstrap replications. </w:t>
      </w:r>
    </w:p>
  </w:footnote>
  <w:footnote w:id="19">
    <w:p w14:paraId="41BBF547" w14:textId="6E41BC03" w:rsidR="00E7406D" w:rsidRPr="005E72E8" w:rsidRDefault="00E7406D" w:rsidP="0055038E">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w:t>
      </w:r>
      <w:r w:rsidR="0055038E" w:rsidRPr="005E72E8">
        <w:rPr>
          <w:rFonts w:ascii="Times New Roman" w:hAnsi="Times New Roman" w:cs="Times New Roman"/>
        </w:rPr>
        <w:t>For the dropout and chronic absenteeism rates by grade, t</w:t>
      </w:r>
      <w:r w:rsidRPr="005E72E8">
        <w:rPr>
          <w:rFonts w:ascii="Times New Roman" w:hAnsi="Times New Roman" w:cs="Times New Roman"/>
        </w:rPr>
        <w:t>he Romano-Wolf correction is computed</w:t>
      </w:r>
      <w:r w:rsidR="0055038E" w:rsidRPr="005E72E8">
        <w:rPr>
          <w:rFonts w:ascii="Times New Roman" w:hAnsi="Times New Roman" w:cs="Times New Roman"/>
        </w:rPr>
        <w:t xml:space="preserve"> using 12 specifications: the OLS estimation of equation (4) with no controls, with the number of applicants, and the school controls for both girls and boys; and the analogous IV estimation equations for both girls and boys. For discipline rates and the share of students not proficient in math or ELA, four specifications are used: the saturated OLS and IV models for girls and boys. All Romano-Wolf calculations use 100 bootstrap replications. </w:t>
      </w:r>
      <w:r w:rsidRPr="005E72E8">
        <w:rPr>
          <w:rFonts w:ascii="Times New Roman" w:hAnsi="Times New Roman" w:cs="Times New Roman"/>
        </w:rPr>
        <w:t xml:space="preserve"> </w:t>
      </w:r>
    </w:p>
  </w:footnote>
  <w:footnote w:id="20">
    <w:p w14:paraId="2DAE7E88" w14:textId="78265DCB" w:rsidR="00D07969" w:rsidRPr="005E72E8" w:rsidRDefault="00D07969" w:rsidP="00DC1FB9">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As I discussed in the data section, 11</w:t>
      </w:r>
      <w:r w:rsidRPr="005E72E8">
        <w:rPr>
          <w:rFonts w:ascii="Times New Roman" w:hAnsi="Times New Roman" w:cs="Times New Roman"/>
          <w:vertAlign w:val="superscript"/>
        </w:rPr>
        <w:t>th</w:t>
      </w:r>
      <w:r w:rsidRPr="005E72E8">
        <w:rPr>
          <w:rFonts w:ascii="Times New Roman" w:hAnsi="Times New Roman" w:cs="Times New Roman"/>
        </w:rPr>
        <w:t xml:space="preserve"> graders were tested in math at the end of courses prior to the 2014-15 school year.</w:t>
      </w:r>
    </w:p>
  </w:footnote>
  <w:footnote w:id="21">
    <w:p w14:paraId="3F1532F9" w14:textId="5F082DF5" w:rsidR="005B71CA" w:rsidRPr="005E72E8" w:rsidRDefault="005B71CA" w:rsidP="005B71CA">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I specifically use 5-year estimates of the median earnings for high school graduates (by sex) in Washington in 2021 inflation-adjusted dollars.</w:t>
      </w:r>
    </w:p>
  </w:footnote>
  <w:footnote w:id="22">
    <w:p w14:paraId="0CAA6B63" w14:textId="4589CC00" w:rsidR="00A35AB1" w:rsidRPr="005E72E8" w:rsidRDefault="00A35AB1" w:rsidP="00A35AB1">
      <w:pPr>
        <w:pStyle w:val="FootnoteText"/>
        <w:jc w:val="both"/>
        <w:rPr>
          <w:rFonts w:ascii="Times New Roman" w:hAnsi="Times New Roman" w:cs="Times New Roman"/>
        </w:rPr>
      </w:pPr>
      <w:r w:rsidRPr="005E72E8">
        <w:rPr>
          <w:rStyle w:val="FootnoteReference"/>
          <w:rFonts w:ascii="Times New Roman" w:hAnsi="Times New Roman" w:cs="Times New Roman"/>
        </w:rPr>
        <w:footnoteRef/>
      </w:r>
      <w:r w:rsidRPr="005E72E8">
        <w:rPr>
          <w:rFonts w:ascii="Times New Roman" w:hAnsi="Times New Roman" w:cs="Times New Roman"/>
        </w:rPr>
        <w:t xml:space="preserve"> Information on specific revenue allocations can be found in Revised Code of Washington 69.50.540.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5AE9CCEC" w14:textId="77777777" w:rsidTr="5A0B6603">
      <w:trPr>
        <w:trHeight w:val="300"/>
      </w:trPr>
      <w:tc>
        <w:tcPr>
          <w:tcW w:w="3120" w:type="dxa"/>
        </w:tcPr>
        <w:p w14:paraId="0AFABBF5" w14:textId="58F3D9F2" w:rsidR="5A0B6603" w:rsidRDefault="5A0B6603" w:rsidP="5A0B6603">
          <w:pPr>
            <w:pStyle w:val="Header"/>
            <w:ind w:left="-115"/>
          </w:pPr>
        </w:p>
      </w:tc>
      <w:tc>
        <w:tcPr>
          <w:tcW w:w="3120" w:type="dxa"/>
        </w:tcPr>
        <w:p w14:paraId="72DED95C" w14:textId="16B509F0" w:rsidR="5A0B6603" w:rsidRDefault="5A0B6603" w:rsidP="5A0B6603">
          <w:pPr>
            <w:pStyle w:val="Header"/>
            <w:jc w:val="center"/>
          </w:pPr>
        </w:p>
      </w:tc>
      <w:tc>
        <w:tcPr>
          <w:tcW w:w="3120" w:type="dxa"/>
        </w:tcPr>
        <w:p w14:paraId="3CC3E04C" w14:textId="7ED81377" w:rsidR="5A0B6603" w:rsidRDefault="5A0B6603" w:rsidP="5A0B6603">
          <w:pPr>
            <w:pStyle w:val="Header"/>
            <w:ind w:right="-115"/>
            <w:jc w:val="right"/>
          </w:pPr>
        </w:p>
      </w:tc>
    </w:tr>
  </w:tbl>
  <w:p w14:paraId="1CAEB534" w14:textId="636A03AC" w:rsidR="00F0312F" w:rsidRDefault="00F031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36CC5819" w14:textId="77777777" w:rsidTr="5A0B6603">
      <w:trPr>
        <w:trHeight w:val="300"/>
      </w:trPr>
      <w:tc>
        <w:tcPr>
          <w:tcW w:w="3120" w:type="dxa"/>
        </w:tcPr>
        <w:p w14:paraId="52D5434A" w14:textId="1FED29D1" w:rsidR="5A0B6603" w:rsidRDefault="5A0B6603" w:rsidP="5A0B6603">
          <w:pPr>
            <w:pStyle w:val="Header"/>
            <w:ind w:left="-115"/>
          </w:pPr>
        </w:p>
      </w:tc>
      <w:tc>
        <w:tcPr>
          <w:tcW w:w="3120" w:type="dxa"/>
        </w:tcPr>
        <w:p w14:paraId="164C9F7F" w14:textId="63D1B2E3" w:rsidR="5A0B6603" w:rsidRDefault="5A0B6603" w:rsidP="5A0B6603">
          <w:pPr>
            <w:pStyle w:val="Header"/>
            <w:jc w:val="center"/>
          </w:pPr>
        </w:p>
      </w:tc>
      <w:tc>
        <w:tcPr>
          <w:tcW w:w="3120" w:type="dxa"/>
        </w:tcPr>
        <w:p w14:paraId="42E6707B" w14:textId="316F75F7" w:rsidR="5A0B6603" w:rsidRDefault="5A0B6603" w:rsidP="5A0B6603">
          <w:pPr>
            <w:pStyle w:val="Header"/>
            <w:ind w:right="-115"/>
            <w:jc w:val="right"/>
          </w:pPr>
        </w:p>
      </w:tc>
    </w:tr>
  </w:tbl>
  <w:p w14:paraId="7E4A5352" w14:textId="33CD100D" w:rsidR="00F0312F" w:rsidRDefault="00F0312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3A459B30" w14:textId="77777777" w:rsidTr="5A0B6603">
      <w:trPr>
        <w:trHeight w:val="300"/>
      </w:trPr>
      <w:tc>
        <w:tcPr>
          <w:tcW w:w="3120" w:type="dxa"/>
        </w:tcPr>
        <w:p w14:paraId="751A7B72" w14:textId="12AF4108" w:rsidR="5A0B6603" w:rsidRDefault="5A0B6603" w:rsidP="5A0B6603">
          <w:pPr>
            <w:pStyle w:val="Header"/>
            <w:ind w:left="-115"/>
          </w:pPr>
        </w:p>
      </w:tc>
      <w:tc>
        <w:tcPr>
          <w:tcW w:w="3120" w:type="dxa"/>
        </w:tcPr>
        <w:p w14:paraId="1D4BD862" w14:textId="63257B37" w:rsidR="5A0B6603" w:rsidRDefault="5A0B6603" w:rsidP="5A0B6603">
          <w:pPr>
            <w:pStyle w:val="Header"/>
            <w:jc w:val="center"/>
          </w:pPr>
        </w:p>
      </w:tc>
      <w:tc>
        <w:tcPr>
          <w:tcW w:w="3120" w:type="dxa"/>
        </w:tcPr>
        <w:p w14:paraId="2A8D8DF8" w14:textId="5EA02E2E" w:rsidR="5A0B6603" w:rsidRDefault="5A0B6603" w:rsidP="5A0B6603">
          <w:pPr>
            <w:pStyle w:val="Header"/>
            <w:ind w:right="-115"/>
            <w:jc w:val="right"/>
          </w:pPr>
        </w:p>
      </w:tc>
    </w:tr>
  </w:tbl>
  <w:p w14:paraId="32803EBF" w14:textId="1C9844F1" w:rsidR="00F0312F" w:rsidRDefault="00F0312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5CA34FF6" w14:textId="77777777" w:rsidTr="5A0B6603">
      <w:trPr>
        <w:trHeight w:val="300"/>
      </w:trPr>
      <w:tc>
        <w:tcPr>
          <w:tcW w:w="3120" w:type="dxa"/>
        </w:tcPr>
        <w:p w14:paraId="37661BD0" w14:textId="581F2273" w:rsidR="5A0B6603" w:rsidRDefault="5A0B6603" w:rsidP="5A0B6603">
          <w:pPr>
            <w:pStyle w:val="Header"/>
            <w:ind w:left="-115"/>
          </w:pPr>
        </w:p>
      </w:tc>
      <w:tc>
        <w:tcPr>
          <w:tcW w:w="3120" w:type="dxa"/>
        </w:tcPr>
        <w:p w14:paraId="59358232" w14:textId="41EC537F" w:rsidR="5A0B6603" w:rsidRDefault="5A0B6603" w:rsidP="5A0B6603">
          <w:pPr>
            <w:pStyle w:val="Header"/>
            <w:jc w:val="center"/>
          </w:pPr>
        </w:p>
      </w:tc>
      <w:tc>
        <w:tcPr>
          <w:tcW w:w="3120" w:type="dxa"/>
        </w:tcPr>
        <w:p w14:paraId="0022A8BF" w14:textId="1A0FF3E7" w:rsidR="5A0B6603" w:rsidRDefault="5A0B6603" w:rsidP="5A0B6603">
          <w:pPr>
            <w:pStyle w:val="Header"/>
            <w:ind w:right="-115"/>
            <w:jc w:val="right"/>
          </w:pPr>
        </w:p>
      </w:tc>
    </w:tr>
  </w:tbl>
  <w:p w14:paraId="2E98758F" w14:textId="2CC183CB" w:rsidR="00F0312F" w:rsidRDefault="00F0312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512C8BD8" w14:textId="77777777" w:rsidTr="5A0B6603">
      <w:trPr>
        <w:trHeight w:val="300"/>
      </w:trPr>
      <w:tc>
        <w:tcPr>
          <w:tcW w:w="3120" w:type="dxa"/>
        </w:tcPr>
        <w:p w14:paraId="32228A83" w14:textId="5055CB55" w:rsidR="5A0B6603" w:rsidRDefault="5A0B6603" w:rsidP="5A0B6603">
          <w:pPr>
            <w:pStyle w:val="Header"/>
            <w:ind w:left="-115"/>
          </w:pPr>
        </w:p>
      </w:tc>
      <w:tc>
        <w:tcPr>
          <w:tcW w:w="3120" w:type="dxa"/>
        </w:tcPr>
        <w:p w14:paraId="3C267506" w14:textId="622C0335" w:rsidR="5A0B6603" w:rsidRDefault="5A0B6603" w:rsidP="5A0B6603">
          <w:pPr>
            <w:pStyle w:val="Header"/>
            <w:jc w:val="center"/>
          </w:pPr>
        </w:p>
      </w:tc>
      <w:tc>
        <w:tcPr>
          <w:tcW w:w="3120" w:type="dxa"/>
        </w:tcPr>
        <w:p w14:paraId="6B460A15" w14:textId="0279E72A" w:rsidR="5A0B6603" w:rsidRDefault="5A0B6603" w:rsidP="5A0B6603">
          <w:pPr>
            <w:pStyle w:val="Header"/>
            <w:ind w:right="-115"/>
            <w:jc w:val="right"/>
          </w:pPr>
        </w:p>
      </w:tc>
    </w:tr>
  </w:tbl>
  <w:p w14:paraId="49B94AAD" w14:textId="182CADD8" w:rsidR="00F0312F" w:rsidRDefault="00F0312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308FEBFD" w14:textId="77777777" w:rsidTr="5A0B6603">
      <w:trPr>
        <w:trHeight w:val="300"/>
      </w:trPr>
      <w:tc>
        <w:tcPr>
          <w:tcW w:w="3120" w:type="dxa"/>
        </w:tcPr>
        <w:p w14:paraId="19839AAD" w14:textId="6767371B" w:rsidR="5A0B6603" w:rsidRDefault="5A0B6603" w:rsidP="5A0B6603">
          <w:pPr>
            <w:pStyle w:val="Header"/>
            <w:ind w:left="-115"/>
          </w:pPr>
        </w:p>
      </w:tc>
      <w:tc>
        <w:tcPr>
          <w:tcW w:w="3120" w:type="dxa"/>
        </w:tcPr>
        <w:p w14:paraId="3EE6EC49" w14:textId="2B6DC7B9" w:rsidR="5A0B6603" w:rsidRDefault="5A0B6603" w:rsidP="5A0B6603">
          <w:pPr>
            <w:pStyle w:val="Header"/>
            <w:jc w:val="center"/>
          </w:pPr>
        </w:p>
      </w:tc>
      <w:tc>
        <w:tcPr>
          <w:tcW w:w="3120" w:type="dxa"/>
        </w:tcPr>
        <w:p w14:paraId="6DE75373" w14:textId="3DD5B738" w:rsidR="5A0B6603" w:rsidRDefault="5A0B6603" w:rsidP="5A0B6603">
          <w:pPr>
            <w:pStyle w:val="Header"/>
            <w:ind w:right="-115"/>
            <w:jc w:val="right"/>
          </w:pPr>
        </w:p>
      </w:tc>
    </w:tr>
  </w:tbl>
  <w:p w14:paraId="4B37A726" w14:textId="7BC866D1" w:rsidR="00F0312F" w:rsidRDefault="00F0312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7F1F5FA3" w14:textId="77777777" w:rsidTr="5A0B6603">
      <w:trPr>
        <w:trHeight w:val="300"/>
      </w:trPr>
      <w:tc>
        <w:tcPr>
          <w:tcW w:w="3120" w:type="dxa"/>
        </w:tcPr>
        <w:p w14:paraId="49749E16" w14:textId="0378B0AB" w:rsidR="5A0B6603" w:rsidRDefault="5A0B6603" w:rsidP="5A0B6603">
          <w:pPr>
            <w:pStyle w:val="Header"/>
            <w:ind w:left="-115"/>
          </w:pPr>
        </w:p>
      </w:tc>
      <w:tc>
        <w:tcPr>
          <w:tcW w:w="3120" w:type="dxa"/>
        </w:tcPr>
        <w:p w14:paraId="73D968E5" w14:textId="7B34C4C5" w:rsidR="5A0B6603" w:rsidRDefault="5A0B6603" w:rsidP="5A0B6603">
          <w:pPr>
            <w:pStyle w:val="Header"/>
            <w:jc w:val="center"/>
          </w:pPr>
        </w:p>
      </w:tc>
      <w:tc>
        <w:tcPr>
          <w:tcW w:w="3120" w:type="dxa"/>
        </w:tcPr>
        <w:p w14:paraId="72891387" w14:textId="3E7ED849" w:rsidR="5A0B6603" w:rsidRDefault="5A0B6603" w:rsidP="5A0B6603">
          <w:pPr>
            <w:pStyle w:val="Header"/>
            <w:ind w:right="-115"/>
            <w:jc w:val="right"/>
          </w:pPr>
        </w:p>
      </w:tc>
    </w:tr>
  </w:tbl>
  <w:p w14:paraId="246F7282" w14:textId="3D5087FF" w:rsidR="00F0312F" w:rsidRDefault="00F0312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10FF912C" w14:textId="77777777" w:rsidTr="5A0B6603">
      <w:trPr>
        <w:trHeight w:val="300"/>
      </w:trPr>
      <w:tc>
        <w:tcPr>
          <w:tcW w:w="3120" w:type="dxa"/>
        </w:tcPr>
        <w:p w14:paraId="25F73DCF" w14:textId="2F30D6C2" w:rsidR="5A0B6603" w:rsidRDefault="5A0B6603" w:rsidP="5A0B6603">
          <w:pPr>
            <w:pStyle w:val="Header"/>
            <w:ind w:left="-115"/>
          </w:pPr>
        </w:p>
      </w:tc>
      <w:tc>
        <w:tcPr>
          <w:tcW w:w="3120" w:type="dxa"/>
        </w:tcPr>
        <w:p w14:paraId="6CA1CCB8" w14:textId="51FCB3F1" w:rsidR="5A0B6603" w:rsidRDefault="5A0B6603" w:rsidP="5A0B6603">
          <w:pPr>
            <w:pStyle w:val="Header"/>
            <w:jc w:val="center"/>
          </w:pPr>
        </w:p>
      </w:tc>
      <w:tc>
        <w:tcPr>
          <w:tcW w:w="3120" w:type="dxa"/>
        </w:tcPr>
        <w:p w14:paraId="0FF061E9" w14:textId="3C656835" w:rsidR="5A0B6603" w:rsidRDefault="5A0B6603" w:rsidP="5A0B6603">
          <w:pPr>
            <w:pStyle w:val="Header"/>
            <w:ind w:right="-115"/>
            <w:jc w:val="right"/>
          </w:pPr>
        </w:p>
      </w:tc>
    </w:tr>
  </w:tbl>
  <w:p w14:paraId="1571FC5B" w14:textId="586D55F9" w:rsidR="00F0312F" w:rsidRDefault="00F031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0B6603" w14:paraId="553251EA" w14:textId="77777777" w:rsidTr="5A0B6603">
      <w:trPr>
        <w:trHeight w:val="300"/>
      </w:trPr>
      <w:tc>
        <w:tcPr>
          <w:tcW w:w="3120" w:type="dxa"/>
        </w:tcPr>
        <w:p w14:paraId="2734E76E" w14:textId="6517AE5B" w:rsidR="5A0B6603" w:rsidRDefault="5A0B6603" w:rsidP="5A0B6603">
          <w:pPr>
            <w:pStyle w:val="Header"/>
            <w:ind w:left="-115"/>
          </w:pPr>
        </w:p>
      </w:tc>
      <w:tc>
        <w:tcPr>
          <w:tcW w:w="3120" w:type="dxa"/>
        </w:tcPr>
        <w:p w14:paraId="34ED09C0" w14:textId="42F36393" w:rsidR="5A0B6603" w:rsidRDefault="5A0B6603" w:rsidP="5A0B6603">
          <w:pPr>
            <w:pStyle w:val="Header"/>
            <w:jc w:val="center"/>
          </w:pPr>
        </w:p>
      </w:tc>
      <w:tc>
        <w:tcPr>
          <w:tcW w:w="3120" w:type="dxa"/>
        </w:tcPr>
        <w:p w14:paraId="181811C9" w14:textId="5426A422" w:rsidR="5A0B6603" w:rsidRDefault="5A0B6603" w:rsidP="5A0B6603">
          <w:pPr>
            <w:pStyle w:val="Header"/>
            <w:ind w:right="-115"/>
            <w:jc w:val="right"/>
          </w:pPr>
        </w:p>
      </w:tc>
    </w:tr>
  </w:tbl>
  <w:p w14:paraId="550CFFE9" w14:textId="173071FD" w:rsidR="00F0312F" w:rsidRDefault="00F031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2E74" w14:textId="4DF875A9" w:rsidR="00F0312F" w:rsidRDefault="00F031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D7A2" w14:textId="66825C86" w:rsidR="00F0312F" w:rsidRDefault="00F031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69C9" w14:textId="57FAB86B" w:rsidR="00F0312F" w:rsidRDefault="00F0312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1131" w14:textId="3E598C5C" w:rsidR="00F0312F" w:rsidRDefault="00F0312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5A0B6603" w14:paraId="2E584A19" w14:textId="77777777" w:rsidTr="5A0B6603">
      <w:trPr>
        <w:trHeight w:val="300"/>
      </w:trPr>
      <w:tc>
        <w:tcPr>
          <w:tcW w:w="4320" w:type="dxa"/>
        </w:tcPr>
        <w:p w14:paraId="3B522CFC" w14:textId="20D17DDC" w:rsidR="5A0B6603" w:rsidRDefault="5A0B6603" w:rsidP="5A0B6603">
          <w:pPr>
            <w:pStyle w:val="Header"/>
            <w:ind w:left="-115"/>
          </w:pPr>
        </w:p>
      </w:tc>
      <w:tc>
        <w:tcPr>
          <w:tcW w:w="4320" w:type="dxa"/>
        </w:tcPr>
        <w:p w14:paraId="3E0D40A3" w14:textId="2613A57E" w:rsidR="5A0B6603" w:rsidRDefault="5A0B6603" w:rsidP="5A0B6603">
          <w:pPr>
            <w:pStyle w:val="Header"/>
            <w:jc w:val="center"/>
          </w:pPr>
        </w:p>
      </w:tc>
      <w:tc>
        <w:tcPr>
          <w:tcW w:w="4320" w:type="dxa"/>
        </w:tcPr>
        <w:p w14:paraId="5AFD69DA" w14:textId="0577BA81" w:rsidR="5A0B6603" w:rsidRDefault="5A0B6603" w:rsidP="5A0B6603">
          <w:pPr>
            <w:pStyle w:val="Header"/>
            <w:ind w:right="-115"/>
            <w:jc w:val="right"/>
          </w:pPr>
        </w:p>
      </w:tc>
    </w:tr>
  </w:tbl>
  <w:p w14:paraId="7F6CEBEB" w14:textId="5769FAD4" w:rsidR="00F0312F" w:rsidRDefault="00F0312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5A0B6603" w14:paraId="5EE365C7" w14:textId="77777777" w:rsidTr="5A0B6603">
      <w:trPr>
        <w:trHeight w:val="300"/>
      </w:trPr>
      <w:tc>
        <w:tcPr>
          <w:tcW w:w="4320" w:type="dxa"/>
        </w:tcPr>
        <w:p w14:paraId="15B1F860" w14:textId="624175C9" w:rsidR="5A0B6603" w:rsidRDefault="5A0B6603" w:rsidP="5A0B6603">
          <w:pPr>
            <w:pStyle w:val="Header"/>
            <w:ind w:left="-115"/>
          </w:pPr>
        </w:p>
      </w:tc>
      <w:tc>
        <w:tcPr>
          <w:tcW w:w="4320" w:type="dxa"/>
        </w:tcPr>
        <w:p w14:paraId="0279BA5B" w14:textId="7F701DF7" w:rsidR="5A0B6603" w:rsidRDefault="5A0B6603" w:rsidP="5A0B6603">
          <w:pPr>
            <w:pStyle w:val="Header"/>
            <w:jc w:val="center"/>
          </w:pPr>
        </w:p>
      </w:tc>
      <w:tc>
        <w:tcPr>
          <w:tcW w:w="4320" w:type="dxa"/>
        </w:tcPr>
        <w:p w14:paraId="4BC4F9A9" w14:textId="7824D243" w:rsidR="5A0B6603" w:rsidRDefault="5A0B6603" w:rsidP="5A0B6603">
          <w:pPr>
            <w:pStyle w:val="Header"/>
            <w:ind w:right="-115"/>
            <w:jc w:val="right"/>
          </w:pPr>
        </w:p>
      </w:tc>
    </w:tr>
  </w:tbl>
  <w:p w14:paraId="4AAA2881" w14:textId="1EEDB27C" w:rsidR="00F0312F" w:rsidRDefault="00F0312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5A0B6603" w14:paraId="66B0BC3B" w14:textId="77777777" w:rsidTr="5A0B6603">
      <w:trPr>
        <w:trHeight w:val="300"/>
      </w:trPr>
      <w:tc>
        <w:tcPr>
          <w:tcW w:w="4320" w:type="dxa"/>
        </w:tcPr>
        <w:p w14:paraId="3F96E54E" w14:textId="57E99B3F" w:rsidR="5A0B6603" w:rsidRDefault="5A0B6603" w:rsidP="5A0B6603">
          <w:pPr>
            <w:pStyle w:val="Header"/>
            <w:ind w:left="-115"/>
          </w:pPr>
        </w:p>
      </w:tc>
      <w:tc>
        <w:tcPr>
          <w:tcW w:w="4320" w:type="dxa"/>
        </w:tcPr>
        <w:p w14:paraId="4817BF71" w14:textId="1B1B5D3B" w:rsidR="5A0B6603" w:rsidRDefault="5A0B6603" w:rsidP="5A0B6603">
          <w:pPr>
            <w:pStyle w:val="Header"/>
            <w:jc w:val="center"/>
          </w:pPr>
        </w:p>
      </w:tc>
      <w:tc>
        <w:tcPr>
          <w:tcW w:w="4320" w:type="dxa"/>
        </w:tcPr>
        <w:p w14:paraId="38B00072" w14:textId="415C94DA" w:rsidR="5A0B6603" w:rsidRDefault="5A0B6603" w:rsidP="5A0B6603">
          <w:pPr>
            <w:pStyle w:val="Header"/>
            <w:ind w:right="-115"/>
            <w:jc w:val="right"/>
          </w:pPr>
        </w:p>
      </w:tc>
    </w:tr>
  </w:tbl>
  <w:p w14:paraId="4EA9E398" w14:textId="5A9813FE" w:rsidR="00F0312F" w:rsidRDefault="00F03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086"/>
    <w:multiLevelType w:val="hybridMultilevel"/>
    <w:tmpl w:val="6AF83B76"/>
    <w:lvl w:ilvl="0" w:tplc="2AAA1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C3A0F"/>
    <w:multiLevelType w:val="hybridMultilevel"/>
    <w:tmpl w:val="F1CA6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2761"/>
    <w:multiLevelType w:val="hybridMultilevel"/>
    <w:tmpl w:val="F1CA652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7B2162"/>
    <w:multiLevelType w:val="hybridMultilevel"/>
    <w:tmpl w:val="C308B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AB7388"/>
    <w:multiLevelType w:val="hybridMultilevel"/>
    <w:tmpl w:val="0EF0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54E73"/>
    <w:multiLevelType w:val="hybridMultilevel"/>
    <w:tmpl w:val="FF2A8632"/>
    <w:lvl w:ilvl="0" w:tplc="508C6F6C">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DE277D"/>
    <w:multiLevelType w:val="hybridMultilevel"/>
    <w:tmpl w:val="01DCA85E"/>
    <w:lvl w:ilvl="0" w:tplc="0CDA58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D5A76"/>
    <w:multiLevelType w:val="hybridMultilevel"/>
    <w:tmpl w:val="42EEF19A"/>
    <w:lvl w:ilvl="0" w:tplc="DCE03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E468E"/>
    <w:multiLevelType w:val="hybridMultilevel"/>
    <w:tmpl w:val="41943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2340898">
    <w:abstractNumId w:val="5"/>
  </w:num>
  <w:num w:numId="2" w16cid:durableId="808546860">
    <w:abstractNumId w:val="7"/>
  </w:num>
  <w:num w:numId="3" w16cid:durableId="611790796">
    <w:abstractNumId w:val="1"/>
  </w:num>
  <w:num w:numId="4" w16cid:durableId="1241796034">
    <w:abstractNumId w:val="2"/>
  </w:num>
  <w:num w:numId="5" w16cid:durableId="700009247">
    <w:abstractNumId w:val="4"/>
  </w:num>
  <w:num w:numId="6" w16cid:durableId="836917929">
    <w:abstractNumId w:val="8"/>
  </w:num>
  <w:num w:numId="7" w16cid:durableId="253634595">
    <w:abstractNumId w:val="3"/>
  </w:num>
  <w:num w:numId="8" w16cid:durableId="1163662366">
    <w:abstractNumId w:val="6"/>
  </w:num>
  <w:num w:numId="9" w16cid:durableId="36937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48"/>
    <w:rsid w:val="000010F2"/>
    <w:rsid w:val="0000212A"/>
    <w:rsid w:val="00003728"/>
    <w:rsid w:val="00003850"/>
    <w:rsid w:val="00003BB6"/>
    <w:rsid w:val="00006891"/>
    <w:rsid w:val="00007088"/>
    <w:rsid w:val="0000776B"/>
    <w:rsid w:val="0001087E"/>
    <w:rsid w:val="0001202B"/>
    <w:rsid w:val="00013133"/>
    <w:rsid w:val="00014466"/>
    <w:rsid w:val="00015D34"/>
    <w:rsid w:val="00016B89"/>
    <w:rsid w:val="00016C0A"/>
    <w:rsid w:val="000200C7"/>
    <w:rsid w:val="000205AB"/>
    <w:rsid w:val="00021718"/>
    <w:rsid w:val="00022D43"/>
    <w:rsid w:val="000236AE"/>
    <w:rsid w:val="00023785"/>
    <w:rsid w:val="00023FA7"/>
    <w:rsid w:val="00024168"/>
    <w:rsid w:val="000252C2"/>
    <w:rsid w:val="0002789A"/>
    <w:rsid w:val="000307DC"/>
    <w:rsid w:val="0003131B"/>
    <w:rsid w:val="00032465"/>
    <w:rsid w:val="00034016"/>
    <w:rsid w:val="00034B5C"/>
    <w:rsid w:val="00037686"/>
    <w:rsid w:val="00040CBC"/>
    <w:rsid w:val="00042AE2"/>
    <w:rsid w:val="00043464"/>
    <w:rsid w:val="00044106"/>
    <w:rsid w:val="00046B41"/>
    <w:rsid w:val="000501F8"/>
    <w:rsid w:val="00050A3B"/>
    <w:rsid w:val="00051108"/>
    <w:rsid w:val="0005196A"/>
    <w:rsid w:val="000519D6"/>
    <w:rsid w:val="00052E10"/>
    <w:rsid w:val="00053037"/>
    <w:rsid w:val="000547E9"/>
    <w:rsid w:val="00054EEF"/>
    <w:rsid w:val="000554AC"/>
    <w:rsid w:val="0006009E"/>
    <w:rsid w:val="000609A7"/>
    <w:rsid w:val="000615E8"/>
    <w:rsid w:val="00061F01"/>
    <w:rsid w:val="0006448D"/>
    <w:rsid w:val="0006574E"/>
    <w:rsid w:val="00066C46"/>
    <w:rsid w:val="000672D3"/>
    <w:rsid w:val="00070A3C"/>
    <w:rsid w:val="00071802"/>
    <w:rsid w:val="00073018"/>
    <w:rsid w:val="000735D6"/>
    <w:rsid w:val="0007566C"/>
    <w:rsid w:val="00076F18"/>
    <w:rsid w:val="00077A49"/>
    <w:rsid w:val="00080998"/>
    <w:rsid w:val="00080BBC"/>
    <w:rsid w:val="00081149"/>
    <w:rsid w:val="00081184"/>
    <w:rsid w:val="000822E4"/>
    <w:rsid w:val="00082A97"/>
    <w:rsid w:val="00082B0A"/>
    <w:rsid w:val="00082DA3"/>
    <w:rsid w:val="00084EB4"/>
    <w:rsid w:val="00085348"/>
    <w:rsid w:val="000855AB"/>
    <w:rsid w:val="000864EC"/>
    <w:rsid w:val="00087253"/>
    <w:rsid w:val="0009069B"/>
    <w:rsid w:val="0009072D"/>
    <w:rsid w:val="00091970"/>
    <w:rsid w:val="00093476"/>
    <w:rsid w:val="000934E3"/>
    <w:rsid w:val="0009351B"/>
    <w:rsid w:val="0009352D"/>
    <w:rsid w:val="00094384"/>
    <w:rsid w:val="000962FD"/>
    <w:rsid w:val="00096EDA"/>
    <w:rsid w:val="000A30AF"/>
    <w:rsid w:val="000A3671"/>
    <w:rsid w:val="000A3FC6"/>
    <w:rsid w:val="000A4D6E"/>
    <w:rsid w:val="000A520C"/>
    <w:rsid w:val="000A5B6A"/>
    <w:rsid w:val="000A6342"/>
    <w:rsid w:val="000A63FE"/>
    <w:rsid w:val="000A6A51"/>
    <w:rsid w:val="000B57E6"/>
    <w:rsid w:val="000B58A2"/>
    <w:rsid w:val="000C036B"/>
    <w:rsid w:val="000C0C34"/>
    <w:rsid w:val="000C2625"/>
    <w:rsid w:val="000C57EA"/>
    <w:rsid w:val="000C66AA"/>
    <w:rsid w:val="000C69A1"/>
    <w:rsid w:val="000D1529"/>
    <w:rsid w:val="000D20CA"/>
    <w:rsid w:val="000D3A39"/>
    <w:rsid w:val="000D3DCD"/>
    <w:rsid w:val="000D4249"/>
    <w:rsid w:val="000D526D"/>
    <w:rsid w:val="000E078C"/>
    <w:rsid w:val="000E137C"/>
    <w:rsid w:val="000E1FCE"/>
    <w:rsid w:val="000E20C5"/>
    <w:rsid w:val="000E37B7"/>
    <w:rsid w:val="000E4B5E"/>
    <w:rsid w:val="000E61AD"/>
    <w:rsid w:val="000E6826"/>
    <w:rsid w:val="000E6CA4"/>
    <w:rsid w:val="000F28EB"/>
    <w:rsid w:val="000F3944"/>
    <w:rsid w:val="000F3C56"/>
    <w:rsid w:val="000F3E17"/>
    <w:rsid w:val="000F4583"/>
    <w:rsid w:val="000F73C5"/>
    <w:rsid w:val="0010017F"/>
    <w:rsid w:val="00100ACE"/>
    <w:rsid w:val="0010541F"/>
    <w:rsid w:val="00105809"/>
    <w:rsid w:val="00105B85"/>
    <w:rsid w:val="00106406"/>
    <w:rsid w:val="001065C3"/>
    <w:rsid w:val="001071CD"/>
    <w:rsid w:val="00107673"/>
    <w:rsid w:val="00107C54"/>
    <w:rsid w:val="0011014F"/>
    <w:rsid w:val="001105B1"/>
    <w:rsid w:val="001107EB"/>
    <w:rsid w:val="00111F09"/>
    <w:rsid w:val="001133A2"/>
    <w:rsid w:val="00115452"/>
    <w:rsid w:val="0011624E"/>
    <w:rsid w:val="001177FC"/>
    <w:rsid w:val="00117FB2"/>
    <w:rsid w:val="00120110"/>
    <w:rsid w:val="001209FC"/>
    <w:rsid w:val="00122434"/>
    <w:rsid w:val="001231EE"/>
    <w:rsid w:val="001242E4"/>
    <w:rsid w:val="00127149"/>
    <w:rsid w:val="001306B4"/>
    <w:rsid w:val="001306EF"/>
    <w:rsid w:val="00131710"/>
    <w:rsid w:val="001324C0"/>
    <w:rsid w:val="001333B6"/>
    <w:rsid w:val="00135AE2"/>
    <w:rsid w:val="00140A78"/>
    <w:rsid w:val="00142A78"/>
    <w:rsid w:val="00143383"/>
    <w:rsid w:val="0014472F"/>
    <w:rsid w:val="0014652C"/>
    <w:rsid w:val="0014658F"/>
    <w:rsid w:val="0014725F"/>
    <w:rsid w:val="00147771"/>
    <w:rsid w:val="00150D01"/>
    <w:rsid w:val="001545F7"/>
    <w:rsid w:val="00161096"/>
    <w:rsid w:val="001612F4"/>
    <w:rsid w:val="00161D11"/>
    <w:rsid w:val="00161EDF"/>
    <w:rsid w:val="00162E6E"/>
    <w:rsid w:val="00163842"/>
    <w:rsid w:val="00163C98"/>
    <w:rsid w:val="00164E8B"/>
    <w:rsid w:val="00166F0F"/>
    <w:rsid w:val="00167141"/>
    <w:rsid w:val="0017144D"/>
    <w:rsid w:val="001732E0"/>
    <w:rsid w:val="001805C9"/>
    <w:rsid w:val="00181451"/>
    <w:rsid w:val="00181F4E"/>
    <w:rsid w:val="00182138"/>
    <w:rsid w:val="00182668"/>
    <w:rsid w:val="00182ED8"/>
    <w:rsid w:val="00183441"/>
    <w:rsid w:val="001839A2"/>
    <w:rsid w:val="00184A1A"/>
    <w:rsid w:val="00184B49"/>
    <w:rsid w:val="00185B06"/>
    <w:rsid w:val="00186CD5"/>
    <w:rsid w:val="00190A5A"/>
    <w:rsid w:val="00190C1F"/>
    <w:rsid w:val="00193973"/>
    <w:rsid w:val="001A0BBA"/>
    <w:rsid w:val="001A0ECA"/>
    <w:rsid w:val="001A10E3"/>
    <w:rsid w:val="001A169F"/>
    <w:rsid w:val="001A1FAC"/>
    <w:rsid w:val="001B0178"/>
    <w:rsid w:val="001B0505"/>
    <w:rsid w:val="001B22FA"/>
    <w:rsid w:val="001B24D4"/>
    <w:rsid w:val="001B2D9C"/>
    <w:rsid w:val="001B2E11"/>
    <w:rsid w:val="001B338E"/>
    <w:rsid w:val="001B36C6"/>
    <w:rsid w:val="001B4786"/>
    <w:rsid w:val="001B551E"/>
    <w:rsid w:val="001B5DE9"/>
    <w:rsid w:val="001B5FCF"/>
    <w:rsid w:val="001B6798"/>
    <w:rsid w:val="001C2A7C"/>
    <w:rsid w:val="001C3F20"/>
    <w:rsid w:val="001C4A57"/>
    <w:rsid w:val="001C5D2D"/>
    <w:rsid w:val="001C6DAD"/>
    <w:rsid w:val="001D1102"/>
    <w:rsid w:val="001D3800"/>
    <w:rsid w:val="001D399B"/>
    <w:rsid w:val="001D4086"/>
    <w:rsid w:val="001D513E"/>
    <w:rsid w:val="001D58B4"/>
    <w:rsid w:val="001D7D64"/>
    <w:rsid w:val="001E0A8B"/>
    <w:rsid w:val="001E1691"/>
    <w:rsid w:val="001E18F6"/>
    <w:rsid w:val="001E22F8"/>
    <w:rsid w:val="001E2AF6"/>
    <w:rsid w:val="001E3D17"/>
    <w:rsid w:val="001E4CEF"/>
    <w:rsid w:val="001E534B"/>
    <w:rsid w:val="001F0515"/>
    <w:rsid w:val="001F05C9"/>
    <w:rsid w:val="001F1CB2"/>
    <w:rsid w:val="001F1CB7"/>
    <w:rsid w:val="001F2A3A"/>
    <w:rsid w:val="002005DB"/>
    <w:rsid w:val="00201109"/>
    <w:rsid w:val="002020B1"/>
    <w:rsid w:val="002021B8"/>
    <w:rsid w:val="002029DD"/>
    <w:rsid w:val="002040AE"/>
    <w:rsid w:val="002042C0"/>
    <w:rsid w:val="002057A3"/>
    <w:rsid w:val="00205AAA"/>
    <w:rsid w:val="00205E18"/>
    <w:rsid w:val="00205FEB"/>
    <w:rsid w:val="0020630E"/>
    <w:rsid w:val="002075FC"/>
    <w:rsid w:val="00210276"/>
    <w:rsid w:val="002108E0"/>
    <w:rsid w:val="00210E8D"/>
    <w:rsid w:val="00211148"/>
    <w:rsid w:val="002117CB"/>
    <w:rsid w:val="002125F2"/>
    <w:rsid w:val="00216302"/>
    <w:rsid w:val="00217F31"/>
    <w:rsid w:val="002210CB"/>
    <w:rsid w:val="00221CE0"/>
    <w:rsid w:val="0022293B"/>
    <w:rsid w:val="00224255"/>
    <w:rsid w:val="0022541B"/>
    <w:rsid w:val="00225E08"/>
    <w:rsid w:val="002277E3"/>
    <w:rsid w:val="00233A8F"/>
    <w:rsid w:val="0023441B"/>
    <w:rsid w:val="00236485"/>
    <w:rsid w:val="002401FB"/>
    <w:rsid w:val="00241234"/>
    <w:rsid w:val="00242703"/>
    <w:rsid w:val="00243204"/>
    <w:rsid w:val="002435F7"/>
    <w:rsid w:val="002441EF"/>
    <w:rsid w:val="00244D32"/>
    <w:rsid w:val="00245044"/>
    <w:rsid w:val="002505FE"/>
    <w:rsid w:val="0025178B"/>
    <w:rsid w:val="00251D4C"/>
    <w:rsid w:val="00252BC1"/>
    <w:rsid w:val="00253762"/>
    <w:rsid w:val="00254CDA"/>
    <w:rsid w:val="00257730"/>
    <w:rsid w:val="002616BA"/>
    <w:rsid w:val="00261FDF"/>
    <w:rsid w:val="00262329"/>
    <w:rsid w:val="00263C01"/>
    <w:rsid w:val="0026520B"/>
    <w:rsid w:val="002662A0"/>
    <w:rsid w:val="0027034E"/>
    <w:rsid w:val="00271A3D"/>
    <w:rsid w:val="00271CDD"/>
    <w:rsid w:val="00273AD1"/>
    <w:rsid w:val="00273EE6"/>
    <w:rsid w:val="00275754"/>
    <w:rsid w:val="00276DD5"/>
    <w:rsid w:val="0027700E"/>
    <w:rsid w:val="00277889"/>
    <w:rsid w:val="002807D2"/>
    <w:rsid w:val="002809F3"/>
    <w:rsid w:val="002816F0"/>
    <w:rsid w:val="002818AB"/>
    <w:rsid w:val="00282509"/>
    <w:rsid w:val="00282BB8"/>
    <w:rsid w:val="00283A4A"/>
    <w:rsid w:val="00285A74"/>
    <w:rsid w:val="00285F0D"/>
    <w:rsid w:val="002861F2"/>
    <w:rsid w:val="00286A48"/>
    <w:rsid w:val="00290977"/>
    <w:rsid w:val="00291A5C"/>
    <w:rsid w:val="00291BD6"/>
    <w:rsid w:val="00292143"/>
    <w:rsid w:val="00294725"/>
    <w:rsid w:val="0029655D"/>
    <w:rsid w:val="00296AB5"/>
    <w:rsid w:val="00297271"/>
    <w:rsid w:val="00297F17"/>
    <w:rsid w:val="002A0C73"/>
    <w:rsid w:val="002A0C8A"/>
    <w:rsid w:val="002A38E0"/>
    <w:rsid w:val="002A3BF5"/>
    <w:rsid w:val="002A4E67"/>
    <w:rsid w:val="002A56AB"/>
    <w:rsid w:val="002A74A5"/>
    <w:rsid w:val="002B09CC"/>
    <w:rsid w:val="002B1484"/>
    <w:rsid w:val="002B212F"/>
    <w:rsid w:val="002B2737"/>
    <w:rsid w:val="002B27AA"/>
    <w:rsid w:val="002B2E1B"/>
    <w:rsid w:val="002B3704"/>
    <w:rsid w:val="002B3830"/>
    <w:rsid w:val="002B652D"/>
    <w:rsid w:val="002B67AE"/>
    <w:rsid w:val="002B7DA4"/>
    <w:rsid w:val="002B7DCF"/>
    <w:rsid w:val="002C1939"/>
    <w:rsid w:val="002C2A10"/>
    <w:rsid w:val="002C33DD"/>
    <w:rsid w:val="002C57FA"/>
    <w:rsid w:val="002C5BA2"/>
    <w:rsid w:val="002D02F8"/>
    <w:rsid w:val="002D2076"/>
    <w:rsid w:val="002D25AF"/>
    <w:rsid w:val="002D293F"/>
    <w:rsid w:val="002D3075"/>
    <w:rsid w:val="002D4BB0"/>
    <w:rsid w:val="002D51D8"/>
    <w:rsid w:val="002D5B71"/>
    <w:rsid w:val="002E06BC"/>
    <w:rsid w:val="002E0A2A"/>
    <w:rsid w:val="002E0A33"/>
    <w:rsid w:val="002E3523"/>
    <w:rsid w:val="002E3EBE"/>
    <w:rsid w:val="002E5563"/>
    <w:rsid w:val="002E7377"/>
    <w:rsid w:val="002E7F75"/>
    <w:rsid w:val="002F25D1"/>
    <w:rsid w:val="002F3097"/>
    <w:rsid w:val="002F3179"/>
    <w:rsid w:val="002F3AB3"/>
    <w:rsid w:val="002F4B1F"/>
    <w:rsid w:val="002F4C07"/>
    <w:rsid w:val="002F6B63"/>
    <w:rsid w:val="003023EA"/>
    <w:rsid w:val="00302DD3"/>
    <w:rsid w:val="003034EF"/>
    <w:rsid w:val="003046E7"/>
    <w:rsid w:val="003068C0"/>
    <w:rsid w:val="00306FD6"/>
    <w:rsid w:val="003104FC"/>
    <w:rsid w:val="00310C35"/>
    <w:rsid w:val="00312E81"/>
    <w:rsid w:val="0031305C"/>
    <w:rsid w:val="00315461"/>
    <w:rsid w:val="00316E49"/>
    <w:rsid w:val="00317729"/>
    <w:rsid w:val="00320794"/>
    <w:rsid w:val="00320BBB"/>
    <w:rsid w:val="003215AA"/>
    <w:rsid w:val="00321C01"/>
    <w:rsid w:val="00322000"/>
    <w:rsid w:val="00322D53"/>
    <w:rsid w:val="003241FB"/>
    <w:rsid w:val="00324AC9"/>
    <w:rsid w:val="00325829"/>
    <w:rsid w:val="003273EC"/>
    <w:rsid w:val="00331FED"/>
    <w:rsid w:val="00332693"/>
    <w:rsid w:val="00333DD2"/>
    <w:rsid w:val="0033462E"/>
    <w:rsid w:val="00334F44"/>
    <w:rsid w:val="003355BF"/>
    <w:rsid w:val="00336162"/>
    <w:rsid w:val="003361A1"/>
    <w:rsid w:val="00336378"/>
    <w:rsid w:val="003363D5"/>
    <w:rsid w:val="00336CB4"/>
    <w:rsid w:val="00343FCD"/>
    <w:rsid w:val="00344358"/>
    <w:rsid w:val="00344859"/>
    <w:rsid w:val="00345448"/>
    <w:rsid w:val="003462CD"/>
    <w:rsid w:val="00350622"/>
    <w:rsid w:val="003509D6"/>
    <w:rsid w:val="00351D57"/>
    <w:rsid w:val="003663B9"/>
    <w:rsid w:val="00366696"/>
    <w:rsid w:val="003669B3"/>
    <w:rsid w:val="00372428"/>
    <w:rsid w:val="00373FC2"/>
    <w:rsid w:val="003741D4"/>
    <w:rsid w:val="0037478A"/>
    <w:rsid w:val="00375551"/>
    <w:rsid w:val="00381676"/>
    <w:rsid w:val="00382648"/>
    <w:rsid w:val="00382810"/>
    <w:rsid w:val="003828CA"/>
    <w:rsid w:val="0038314B"/>
    <w:rsid w:val="003833DA"/>
    <w:rsid w:val="003835F5"/>
    <w:rsid w:val="00383EE6"/>
    <w:rsid w:val="00384A85"/>
    <w:rsid w:val="003860EE"/>
    <w:rsid w:val="00386B49"/>
    <w:rsid w:val="00390214"/>
    <w:rsid w:val="00390805"/>
    <w:rsid w:val="00390A25"/>
    <w:rsid w:val="00391E0C"/>
    <w:rsid w:val="00392D0A"/>
    <w:rsid w:val="00395F52"/>
    <w:rsid w:val="003A046C"/>
    <w:rsid w:val="003A19D0"/>
    <w:rsid w:val="003A1A1D"/>
    <w:rsid w:val="003A27CA"/>
    <w:rsid w:val="003A3171"/>
    <w:rsid w:val="003A5272"/>
    <w:rsid w:val="003A65EF"/>
    <w:rsid w:val="003A6682"/>
    <w:rsid w:val="003A6925"/>
    <w:rsid w:val="003B0526"/>
    <w:rsid w:val="003B1CC4"/>
    <w:rsid w:val="003B21D9"/>
    <w:rsid w:val="003B2301"/>
    <w:rsid w:val="003B2338"/>
    <w:rsid w:val="003B2580"/>
    <w:rsid w:val="003B317D"/>
    <w:rsid w:val="003B4C52"/>
    <w:rsid w:val="003B4FB9"/>
    <w:rsid w:val="003B4FE0"/>
    <w:rsid w:val="003B5C54"/>
    <w:rsid w:val="003C18BA"/>
    <w:rsid w:val="003C1B80"/>
    <w:rsid w:val="003C4B79"/>
    <w:rsid w:val="003C531A"/>
    <w:rsid w:val="003C61AF"/>
    <w:rsid w:val="003C788B"/>
    <w:rsid w:val="003C7B30"/>
    <w:rsid w:val="003D0F28"/>
    <w:rsid w:val="003D1265"/>
    <w:rsid w:val="003D3F7B"/>
    <w:rsid w:val="003D402D"/>
    <w:rsid w:val="003D4A01"/>
    <w:rsid w:val="003D6914"/>
    <w:rsid w:val="003E0020"/>
    <w:rsid w:val="003E081B"/>
    <w:rsid w:val="003E0EAA"/>
    <w:rsid w:val="003E3ECB"/>
    <w:rsid w:val="003E4538"/>
    <w:rsid w:val="003F0757"/>
    <w:rsid w:val="003F1C98"/>
    <w:rsid w:val="003F291D"/>
    <w:rsid w:val="003F3F69"/>
    <w:rsid w:val="003F40F5"/>
    <w:rsid w:val="003F4E55"/>
    <w:rsid w:val="003F4E5A"/>
    <w:rsid w:val="003F53F5"/>
    <w:rsid w:val="003F58C5"/>
    <w:rsid w:val="003F5D28"/>
    <w:rsid w:val="003F6913"/>
    <w:rsid w:val="003F7AD0"/>
    <w:rsid w:val="003F7BF8"/>
    <w:rsid w:val="0040325B"/>
    <w:rsid w:val="004075CD"/>
    <w:rsid w:val="00410339"/>
    <w:rsid w:val="00412557"/>
    <w:rsid w:val="00413DFD"/>
    <w:rsid w:val="00414646"/>
    <w:rsid w:val="0041474D"/>
    <w:rsid w:val="00414CA5"/>
    <w:rsid w:val="004153F6"/>
    <w:rsid w:val="00416BCC"/>
    <w:rsid w:val="00417796"/>
    <w:rsid w:val="00420A66"/>
    <w:rsid w:val="004216C8"/>
    <w:rsid w:val="00422958"/>
    <w:rsid w:val="00423046"/>
    <w:rsid w:val="00426ED2"/>
    <w:rsid w:val="004316E1"/>
    <w:rsid w:val="00432072"/>
    <w:rsid w:val="00432402"/>
    <w:rsid w:val="004354F1"/>
    <w:rsid w:val="004354FE"/>
    <w:rsid w:val="00437980"/>
    <w:rsid w:val="004413B2"/>
    <w:rsid w:val="00442B54"/>
    <w:rsid w:val="00442CD2"/>
    <w:rsid w:val="00443045"/>
    <w:rsid w:val="00443059"/>
    <w:rsid w:val="00443EC6"/>
    <w:rsid w:val="00446D47"/>
    <w:rsid w:val="00447439"/>
    <w:rsid w:val="00450271"/>
    <w:rsid w:val="004505E8"/>
    <w:rsid w:val="004510DD"/>
    <w:rsid w:val="00451723"/>
    <w:rsid w:val="00451A3A"/>
    <w:rsid w:val="00451F35"/>
    <w:rsid w:val="0045357E"/>
    <w:rsid w:val="00454E82"/>
    <w:rsid w:val="0045539E"/>
    <w:rsid w:val="004554BA"/>
    <w:rsid w:val="00455D91"/>
    <w:rsid w:val="0045675C"/>
    <w:rsid w:val="00456CC0"/>
    <w:rsid w:val="00457162"/>
    <w:rsid w:val="00457A06"/>
    <w:rsid w:val="004614CD"/>
    <w:rsid w:val="0046289F"/>
    <w:rsid w:val="004635F3"/>
    <w:rsid w:val="00463D47"/>
    <w:rsid w:val="0046505A"/>
    <w:rsid w:val="00465474"/>
    <w:rsid w:val="004665BC"/>
    <w:rsid w:val="00466C2C"/>
    <w:rsid w:val="0046770B"/>
    <w:rsid w:val="0047227C"/>
    <w:rsid w:val="00472568"/>
    <w:rsid w:val="004737CE"/>
    <w:rsid w:val="0047395D"/>
    <w:rsid w:val="00474C20"/>
    <w:rsid w:val="00474CA0"/>
    <w:rsid w:val="004757A8"/>
    <w:rsid w:val="004761D4"/>
    <w:rsid w:val="004826DB"/>
    <w:rsid w:val="00483D9A"/>
    <w:rsid w:val="004840E8"/>
    <w:rsid w:val="0048433B"/>
    <w:rsid w:val="00484D41"/>
    <w:rsid w:val="00485FAF"/>
    <w:rsid w:val="004868B8"/>
    <w:rsid w:val="00486B31"/>
    <w:rsid w:val="00487A6B"/>
    <w:rsid w:val="00491C0A"/>
    <w:rsid w:val="00493F77"/>
    <w:rsid w:val="004947AC"/>
    <w:rsid w:val="00495A1D"/>
    <w:rsid w:val="00496830"/>
    <w:rsid w:val="00496EAD"/>
    <w:rsid w:val="00497F0F"/>
    <w:rsid w:val="004A008D"/>
    <w:rsid w:val="004A033B"/>
    <w:rsid w:val="004A0F8E"/>
    <w:rsid w:val="004A1965"/>
    <w:rsid w:val="004A1EB1"/>
    <w:rsid w:val="004A28EE"/>
    <w:rsid w:val="004A3ADC"/>
    <w:rsid w:val="004A610B"/>
    <w:rsid w:val="004B029F"/>
    <w:rsid w:val="004B08E1"/>
    <w:rsid w:val="004B1999"/>
    <w:rsid w:val="004B2E40"/>
    <w:rsid w:val="004B3928"/>
    <w:rsid w:val="004B4ADF"/>
    <w:rsid w:val="004B64CC"/>
    <w:rsid w:val="004B6F5E"/>
    <w:rsid w:val="004B7455"/>
    <w:rsid w:val="004B7A76"/>
    <w:rsid w:val="004C0B9F"/>
    <w:rsid w:val="004C1435"/>
    <w:rsid w:val="004C160B"/>
    <w:rsid w:val="004C161E"/>
    <w:rsid w:val="004C1A91"/>
    <w:rsid w:val="004C5972"/>
    <w:rsid w:val="004D06F0"/>
    <w:rsid w:val="004D156B"/>
    <w:rsid w:val="004D1F41"/>
    <w:rsid w:val="004D26DB"/>
    <w:rsid w:val="004D3DF5"/>
    <w:rsid w:val="004D5383"/>
    <w:rsid w:val="004D6445"/>
    <w:rsid w:val="004E0036"/>
    <w:rsid w:val="004E01C0"/>
    <w:rsid w:val="004E03D5"/>
    <w:rsid w:val="004E2745"/>
    <w:rsid w:val="004E33A0"/>
    <w:rsid w:val="004E3FA6"/>
    <w:rsid w:val="004E433A"/>
    <w:rsid w:val="004E435E"/>
    <w:rsid w:val="004E599F"/>
    <w:rsid w:val="004E5C49"/>
    <w:rsid w:val="004E6523"/>
    <w:rsid w:val="004E70C6"/>
    <w:rsid w:val="004E7481"/>
    <w:rsid w:val="004F0D9D"/>
    <w:rsid w:val="004F1575"/>
    <w:rsid w:val="004F2459"/>
    <w:rsid w:val="004F293E"/>
    <w:rsid w:val="004F4823"/>
    <w:rsid w:val="004F4F9D"/>
    <w:rsid w:val="004F51EA"/>
    <w:rsid w:val="004F5D9B"/>
    <w:rsid w:val="004F64FB"/>
    <w:rsid w:val="004F73D9"/>
    <w:rsid w:val="004F7504"/>
    <w:rsid w:val="0050151C"/>
    <w:rsid w:val="00503093"/>
    <w:rsid w:val="00505196"/>
    <w:rsid w:val="00505226"/>
    <w:rsid w:val="0050529E"/>
    <w:rsid w:val="00505F98"/>
    <w:rsid w:val="00505FC8"/>
    <w:rsid w:val="005078B5"/>
    <w:rsid w:val="0051111D"/>
    <w:rsid w:val="00511BF4"/>
    <w:rsid w:val="00512D9B"/>
    <w:rsid w:val="00512E2D"/>
    <w:rsid w:val="00513DF3"/>
    <w:rsid w:val="00514CA0"/>
    <w:rsid w:val="00514DAC"/>
    <w:rsid w:val="0051610B"/>
    <w:rsid w:val="005168BA"/>
    <w:rsid w:val="0051698E"/>
    <w:rsid w:val="00521380"/>
    <w:rsid w:val="00523D06"/>
    <w:rsid w:val="005258FC"/>
    <w:rsid w:val="00527465"/>
    <w:rsid w:val="00532442"/>
    <w:rsid w:val="005325CD"/>
    <w:rsid w:val="00534518"/>
    <w:rsid w:val="005348E2"/>
    <w:rsid w:val="005354B7"/>
    <w:rsid w:val="00537B82"/>
    <w:rsid w:val="00537E63"/>
    <w:rsid w:val="00540158"/>
    <w:rsid w:val="00540332"/>
    <w:rsid w:val="005404B2"/>
    <w:rsid w:val="00540690"/>
    <w:rsid w:val="00541C36"/>
    <w:rsid w:val="00541CDB"/>
    <w:rsid w:val="00543339"/>
    <w:rsid w:val="0054404B"/>
    <w:rsid w:val="0054652D"/>
    <w:rsid w:val="0055038E"/>
    <w:rsid w:val="00550554"/>
    <w:rsid w:val="0055090B"/>
    <w:rsid w:val="0055091E"/>
    <w:rsid w:val="00550FAD"/>
    <w:rsid w:val="00551A39"/>
    <w:rsid w:val="00552297"/>
    <w:rsid w:val="005526B7"/>
    <w:rsid w:val="00552A82"/>
    <w:rsid w:val="00556ED3"/>
    <w:rsid w:val="00561594"/>
    <w:rsid w:val="00562412"/>
    <w:rsid w:val="005638C9"/>
    <w:rsid w:val="005645E6"/>
    <w:rsid w:val="00564874"/>
    <w:rsid w:val="00564A3C"/>
    <w:rsid w:val="00564D7A"/>
    <w:rsid w:val="00565162"/>
    <w:rsid w:val="00565BB8"/>
    <w:rsid w:val="005674F1"/>
    <w:rsid w:val="00571D62"/>
    <w:rsid w:val="00571E57"/>
    <w:rsid w:val="00573005"/>
    <w:rsid w:val="0057320A"/>
    <w:rsid w:val="00573915"/>
    <w:rsid w:val="0057739F"/>
    <w:rsid w:val="00577C9B"/>
    <w:rsid w:val="00583660"/>
    <w:rsid w:val="00584088"/>
    <w:rsid w:val="00593CA1"/>
    <w:rsid w:val="005962B4"/>
    <w:rsid w:val="00596636"/>
    <w:rsid w:val="00596777"/>
    <w:rsid w:val="005969D5"/>
    <w:rsid w:val="00596FD9"/>
    <w:rsid w:val="0059783A"/>
    <w:rsid w:val="00597B72"/>
    <w:rsid w:val="005A085C"/>
    <w:rsid w:val="005A09A9"/>
    <w:rsid w:val="005A09E9"/>
    <w:rsid w:val="005A0F44"/>
    <w:rsid w:val="005A307D"/>
    <w:rsid w:val="005A3F81"/>
    <w:rsid w:val="005A5597"/>
    <w:rsid w:val="005A6975"/>
    <w:rsid w:val="005A6FAD"/>
    <w:rsid w:val="005B3A3A"/>
    <w:rsid w:val="005B3A3D"/>
    <w:rsid w:val="005B3F31"/>
    <w:rsid w:val="005B5F14"/>
    <w:rsid w:val="005B71CA"/>
    <w:rsid w:val="005C0800"/>
    <w:rsid w:val="005C2BDF"/>
    <w:rsid w:val="005C329A"/>
    <w:rsid w:val="005C60C2"/>
    <w:rsid w:val="005C66F3"/>
    <w:rsid w:val="005C7C2D"/>
    <w:rsid w:val="005D1547"/>
    <w:rsid w:val="005D29CA"/>
    <w:rsid w:val="005D42C0"/>
    <w:rsid w:val="005D4A09"/>
    <w:rsid w:val="005D5D74"/>
    <w:rsid w:val="005D6750"/>
    <w:rsid w:val="005D6FEF"/>
    <w:rsid w:val="005D7F52"/>
    <w:rsid w:val="005E0D3D"/>
    <w:rsid w:val="005E370E"/>
    <w:rsid w:val="005E3921"/>
    <w:rsid w:val="005E3E87"/>
    <w:rsid w:val="005E5393"/>
    <w:rsid w:val="005E5528"/>
    <w:rsid w:val="005E5CAA"/>
    <w:rsid w:val="005E6D0A"/>
    <w:rsid w:val="005E6D93"/>
    <w:rsid w:val="005E72E8"/>
    <w:rsid w:val="005F1105"/>
    <w:rsid w:val="005F16A9"/>
    <w:rsid w:val="005F16AC"/>
    <w:rsid w:val="005F2DAB"/>
    <w:rsid w:val="00600B03"/>
    <w:rsid w:val="00601BC1"/>
    <w:rsid w:val="00601BCF"/>
    <w:rsid w:val="0060611D"/>
    <w:rsid w:val="00606933"/>
    <w:rsid w:val="0060715A"/>
    <w:rsid w:val="00610EE4"/>
    <w:rsid w:val="00612729"/>
    <w:rsid w:val="006152A5"/>
    <w:rsid w:val="00615C93"/>
    <w:rsid w:val="00616A7F"/>
    <w:rsid w:val="0062100C"/>
    <w:rsid w:val="006210E0"/>
    <w:rsid w:val="006216E1"/>
    <w:rsid w:val="006248D8"/>
    <w:rsid w:val="00627080"/>
    <w:rsid w:val="00627729"/>
    <w:rsid w:val="00627B37"/>
    <w:rsid w:val="0063212D"/>
    <w:rsid w:val="006328D6"/>
    <w:rsid w:val="00633A7D"/>
    <w:rsid w:val="00633E3E"/>
    <w:rsid w:val="00634831"/>
    <w:rsid w:val="00634B07"/>
    <w:rsid w:val="0063717A"/>
    <w:rsid w:val="006415A5"/>
    <w:rsid w:val="00641C45"/>
    <w:rsid w:val="00642590"/>
    <w:rsid w:val="006428A3"/>
    <w:rsid w:val="0064366C"/>
    <w:rsid w:val="00643DFB"/>
    <w:rsid w:val="00644E1C"/>
    <w:rsid w:val="006472D1"/>
    <w:rsid w:val="006479E7"/>
    <w:rsid w:val="00651361"/>
    <w:rsid w:val="00652304"/>
    <w:rsid w:val="00652369"/>
    <w:rsid w:val="006526BF"/>
    <w:rsid w:val="00652D7B"/>
    <w:rsid w:val="00652FD7"/>
    <w:rsid w:val="006540A0"/>
    <w:rsid w:val="00654C45"/>
    <w:rsid w:val="00655933"/>
    <w:rsid w:val="006560D6"/>
    <w:rsid w:val="00660890"/>
    <w:rsid w:val="00672133"/>
    <w:rsid w:val="006726F8"/>
    <w:rsid w:val="00673219"/>
    <w:rsid w:val="0067492C"/>
    <w:rsid w:val="00677937"/>
    <w:rsid w:val="00677D8F"/>
    <w:rsid w:val="00680F30"/>
    <w:rsid w:val="0068104B"/>
    <w:rsid w:val="00681A3D"/>
    <w:rsid w:val="00681EF2"/>
    <w:rsid w:val="0068322D"/>
    <w:rsid w:val="00683D54"/>
    <w:rsid w:val="006848AE"/>
    <w:rsid w:val="00687CFC"/>
    <w:rsid w:val="00687E49"/>
    <w:rsid w:val="0069035E"/>
    <w:rsid w:val="00692106"/>
    <w:rsid w:val="006947DE"/>
    <w:rsid w:val="006A4544"/>
    <w:rsid w:val="006A48CF"/>
    <w:rsid w:val="006A5C47"/>
    <w:rsid w:val="006A6234"/>
    <w:rsid w:val="006A7056"/>
    <w:rsid w:val="006B287A"/>
    <w:rsid w:val="006B3ECE"/>
    <w:rsid w:val="006B3F63"/>
    <w:rsid w:val="006B5484"/>
    <w:rsid w:val="006B57FF"/>
    <w:rsid w:val="006B6100"/>
    <w:rsid w:val="006B6528"/>
    <w:rsid w:val="006B683F"/>
    <w:rsid w:val="006B6DBC"/>
    <w:rsid w:val="006B6E32"/>
    <w:rsid w:val="006C09B3"/>
    <w:rsid w:val="006C0A16"/>
    <w:rsid w:val="006C0AE6"/>
    <w:rsid w:val="006C1842"/>
    <w:rsid w:val="006C41EB"/>
    <w:rsid w:val="006C470E"/>
    <w:rsid w:val="006C602D"/>
    <w:rsid w:val="006C60A3"/>
    <w:rsid w:val="006C6A7A"/>
    <w:rsid w:val="006C7A24"/>
    <w:rsid w:val="006C7D3D"/>
    <w:rsid w:val="006D0183"/>
    <w:rsid w:val="006D1926"/>
    <w:rsid w:val="006D2532"/>
    <w:rsid w:val="006D2D36"/>
    <w:rsid w:val="006D2DD6"/>
    <w:rsid w:val="006D3A4C"/>
    <w:rsid w:val="006D4579"/>
    <w:rsid w:val="006D53A7"/>
    <w:rsid w:val="006D5C76"/>
    <w:rsid w:val="006D6496"/>
    <w:rsid w:val="006E0904"/>
    <w:rsid w:val="006E0F78"/>
    <w:rsid w:val="006E172D"/>
    <w:rsid w:val="006E1785"/>
    <w:rsid w:val="006E251F"/>
    <w:rsid w:val="006E4301"/>
    <w:rsid w:val="006E6B7D"/>
    <w:rsid w:val="006E6CA9"/>
    <w:rsid w:val="006E6DBC"/>
    <w:rsid w:val="006E7CCE"/>
    <w:rsid w:val="006F06F9"/>
    <w:rsid w:val="006F1DAD"/>
    <w:rsid w:val="006F2478"/>
    <w:rsid w:val="006F2F4C"/>
    <w:rsid w:val="006F3D5C"/>
    <w:rsid w:val="006F3E1C"/>
    <w:rsid w:val="006F48F2"/>
    <w:rsid w:val="006F49C1"/>
    <w:rsid w:val="006F5E21"/>
    <w:rsid w:val="006F63A5"/>
    <w:rsid w:val="006F695E"/>
    <w:rsid w:val="00700614"/>
    <w:rsid w:val="0070103C"/>
    <w:rsid w:val="007016EC"/>
    <w:rsid w:val="007022FF"/>
    <w:rsid w:val="007024D4"/>
    <w:rsid w:val="00702542"/>
    <w:rsid w:val="0070283C"/>
    <w:rsid w:val="0070687D"/>
    <w:rsid w:val="007078C7"/>
    <w:rsid w:val="00707C2B"/>
    <w:rsid w:val="007101EE"/>
    <w:rsid w:val="00710437"/>
    <w:rsid w:val="0071052D"/>
    <w:rsid w:val="00710BAB"/>
    <w:rsid w:val="00712522"/>
    <w:rsid w:val="00712B6D"/>
    <w:rsid w:val="00713346"/>
    <w:rsid w:val="00713C70"/>
    <w:rsid w:val="00713CCF"/>
    <w:rsid w:val="0071516B"/>
    <w:rsid w:val="007165C3"/>
    <w:rsid w:val="00720FD1"/>
    <w:rsid w:val="007213DE"/>
    <w:rsid w:val="007225DF"/>
    <w:rsid w:val="00722992"/>
    <w:rsid w:val="0072341F"/>
    <w:rsid w:val="00723E86"/>
    <w:rsid w:val="00723F67"/>
    <w:rsid w:val="00726519"/>
    <w:rsid w:val="00730BD3"/>
    <w:rsid w:val="007329EA"/>
    <w:rsid w:val="00734BC5"/>
    <w:rsid w:val="007355EA"/>
    <w:rsid w:val="00735D00"/>
    <w:rsid w:val="00737292"/>
    <w:rsid w:val="007372EB"/>
    <w:rsid w:val="007409E1"/>
    <w:rsid w:val="00741536"/>
    <w:rsid w:val="007417F8"/>
    <w:rsid w:val="00742073"/>
    <w:rsid w:val="007430C8"/>
    <w:rsid w:val="0074428A"/>
    <w:rsid w:val="00744505"/>
    <w:rsid w:val="00744858"/>
    <w:rsid w:val="0074671D"/>
    <w:rsid w:val="00746767"/>
    <w:rsid w:val="00746DF7"/>
    <w:rsid w:val="00747506"/>
    <w:rsid w:val="007475C2"/>
    <w:rsid w:val="007517AC"/>
    <w:rsid w:val="007518E4"/>
    <w:rsid w:val="00753231"/>
    <w:rsid w:val="007539AC"/>
    <w:rsid w:val="007550DD"/>
    <w:rsid w:val="007555ED"/>
    <w:rsid w:val="00755AE2"/>
    <w:rsid w:val="00757D1A"/>
    <w:rsid w:val="00757DAA"/>
    <w:rsid w:val="00757E98"/>
    <w:rsid w:val="00760E3B"/>
    <w:rsid w:val="00761ADB"/>
    <w:rsid w:val="007642E5"/>
    <w:rsid w:val="0076437B"/>
    <w:rsid w:val="00764765"/>
    <w:rsid w:val="00765034"/>
    <w:rsid w:val="007650D9"/>
    <w:rsid w:val="00765C5F"/>
    <w:rsid w:val="007705F3"/>
    <w:rsid w:val="007711D2"/>
    <w:rsid w:val="00771389"/>
    <w:rsid w:val="007729E5"/>
    <w:rsid w:val="007738BE"/>
    <w:rsid w:val="00773AA8"/>
    <w:rsid w:val="00774A83"/>
    <w:rsid w:val="00774FA5"/>
    <w:rsid w:val="007757B4"/>
    <w:rsid w:val="007764ED"/>
    <w:rsid w:val="0077671B"/>
    <w:rsid w:val="00776E13"/>
    <w:rsid w:val="007770EC"/>
    <w:rsid w:val="007779B0"/>
    <w:rsid w:val="00783DFC"/>
    <w:rsid w:val="0078481F"/>
    <w:rsid w:val="0078512C"/>
    <w:rsid w:val="00785EE5"/>
    <w:rsid w:val="00786A9F"/>
    <w:rsid w:val="00787CA0"/>
    <w:rsid w:val="0079117C"/>
    <w:rsid w:val="0079720F"/>
    <w:rsid w:val="007A0EBD"/>
    <w:rsid w:val="007A1752"/>
    <w:rsid w:val="007A1D2F"/>
    <w:rsid w:val="007A50BC"/>
    <w:rsid w:val="007A55E7"/>
    <w:rsid w:val="007A59CC"/>
    <w:rsid w:val="007B0776"/>
    <w:rsid w:val="007B28C6"/>
    <w:rsid w:val="007B3668"/>
    <w:rsid w:val="007B3692"/>
    <w:rsid w:val="007B3E89"/>
    <w:rsid w:val="007B52A6"/>
    <w:rsid w:val="007B608C"/>
    <w:rsid w:val="007C0EB0"/>
    <w:rsid w:val="007C1BEB"/>
    <w:rsid w:val="007C2F33"/>
    <w:rsid w:val="007C31D2"/>
    <w:rsid w:val="007C328A"/>
    <w:rsid w:val="007C40F6"/>
    <w:rsid w:val="007C6B14"/>
    <w:rsid w:val="007D2AD6"/>
    <w:rsid w:val="007D5263"/>
    <w:rsid w:val="007D57DA"/>
    <w:rsid w:val="007D65D2"/>
    <w:rsid w:val="007E0B83"/>
    <w:rsid w:val="007E0C3C"/>
    <w:rsid w:val="007E11E5"/>
    <w:rsid w:val="007E1382"/>
    <w:rsid w:val="007E306A"/>
    <w:rsid w:val="007E33DF"/>
    <w:rsid w:val="007E3A04"/>
    <w:rsid w:val="007F0929"/>
    <w:rsid w:val="007F1D60"/>
    <w:rsid w:val="007F2D32"/>
    <w:rsid w:val="007F2D5B"/>
    <w:rsid w:val="007F2D65"/>
    <w:rsid w:val="007F34A4"/>
    <w:rsid w:val="007F4D65"/>
    <w:rsid w:val="007F5F4E"/>
    <w:rsid w:val="008111DE"/>
    <w:rsid w:val="00811955"/>
    <w:rsid w:val="00811CEA"/>
    <w:rsid w:val="00813859"/>
    <w:rsid w:val="00815C29"/>
    <w:rsid w:val="0081607E"/>
    <w:rsid w:val="008171B9"/>
    <w:rsid w:val="00817ACB"/>
    <w:rsid w:val="00824CD7"/>
    <w:rsid w:val="00825CDA"/>
    <w:rsid w:val="00826599"/>
    <w:rsid w:val="0083023F"/>
    <w:rsid w:val="008314D8"/>
    <w:rsid w:val="00833119"/>
    <w:rsid w:val="008337B9"/>
    <w:rsid w:val="00834959"/>
    <w:rsid w:val="00835CD5"/>
    <w:rsid w:val="0083671D"/>
    <w:rsid w:val="00836C03"/>
    <w:rsid w:val="00841DE2"/>
    <w:rsid w:val="00843CC9"/>
    <w:rsid w:val="00845644"/>
    <w:rsid w:val="00845AF1"/>
    <w:rsid w:val="00846B87"/>
    <w:rsid w:val="0085203B"/>
    <w:rsid w:val="00853671"/>
    <w:rsid w:val="00854CEA"/>
    <w:rsid w:val="0085533C"/>
    <w:rsid w:val="00855765"/>
    <w:rsid w:val="00856F05"/>
    <w:rsid w:val="008576A4"/>
    <w:rsid w:val="00861748"/>
    <w:rsid w:val="0086221C"/>
    <w:rsid w:val="00863A26"/>
    <w:rsid w:val="00865389"/>
    <w:rsid w:val="00865CB9"/>
    <w:rsid w:val="008660A0"/>
    <w:rsid w:val="00867C9D"/>
    <w:rsid w:val="008702BD"/>
    <w:rsid w:val="00870D7A"/>
    <w:rsid w:val="008737BE"/>
    <w:rsid w:val="00873950"/>
    <w:rsid w:val="00873BC4"/>
    <w:rsid w:val="00873FD2"/>
    <w:rsid w:val="00874344"/>
    <w:rsid w:val="0087434C"/>
    <w:rsid w:val="00874FBF"/>
    <w:rsid w:val="00876776"/>
    <w:rsid w:val="00876F92"/>
    <w:rsid w:val="008806CC"/>
    <w:rsid w:val="00881FCE"/>
    <w:rsid w:val="00882FF7"/>
    <w:rsid w:val="0088424A"/>
    <w:rsid w:val="008854DF"/>
    <w:rsid w:val="00891EC7"/>
    <w:rsid w:val="0089311A"/>
    <w:rsid w:val="00895766"/>
    <w:rsid w:val="008976FC"/>
    <w:rsid w:val="008A073C"/>
    <w:rsid w:val="008A0DA7"/>
    <w:rsid w:val="008A0ED8"/>
    <w:rsid w:val="008A1DBC"/>
    <w:rsid w:val="008A1E8C"/>
    <w:rsid w:val="008A3734"/>
    <w:rsid w:val="008A54E7"/>
    <w:rsid w:val="008A7444"/>
    <w:rsid w:val="008B0C80"/>
    <w:rsid w:val="008B1798"/>
    <w:rsid w:val="008B2EAF"/>
    <w:rsid w:val="008B3109"/>
    <w:rsid w:val="008B3CFC"/>
    <w:rsid w:val="008B4250"/>
    <w:rsid w:val="008B46DE"/>
    <w:rsid w:val="008B663F"/>
    <w:rsid w:val="008B740B"/>
    <w:rsid w:val="008C060C"/>
    <w:rsid w:val="008C1D41"/>
    <w:rsid w:val="008C23E6"/>
    <w:rsid w:val="008C29C0"/>
    <w:rsid w:val="008C3933"/>
    <w:rsid w:val="008C6471"/>
    <w:rsid w:val="008C7DFE"/>
    <w:rsid w:val="008D05A2"/>
    <w:rsid w:val="008D16E6"/>
    <w:rsid w:val="008D3365"/>
    <w:rsid w:val="008D3BAD"/>
    <w:rsid w:val="008D590F"/>
    <w:rsid w:val="008D5E24"/>
    <w:rsid w:val="008D638E"/>
    <w:rsid w:val="008D7E9F"/>
    <w:rsid w:val="008E156C"/>
    <w:rsid w:val="008E3C58"/>
    <w:rsid w:val="008E4109"/>
    <w:rsid w:val="008E577E"/>
    <w:rsid w:val="008E5BAC"/>
    <w:rsid w:val="008E5CDB"/>
    <w:rsid w:val="008E72A0"/>
    <w:rsid w:val="008E7C7C"/>
    <w:rsid w:val="008F0C91"/>
    <w:rsid w:val="008F10E6"/>
    <w:rsid w:val="008F36F3"/>
    <w:rsid w:val="008F4CAA"/>
    <w:rsid w:val="008F5E31"/>
    <w:rsid w:val="00900B26"/>
    <w:rsid w:val="00903208"/>
    <w:rsid w:val="009036B0"/>
    <w:rsid w:val="00903ED5"/>
    <w:rsid w:val="00905714"/>
    <w:rsid w:val="00905809"/>
    <w:rsid w:val="00905ED7"/>
    <w:rsid w:val="00906063"/>
    <w:rsid w:val="009060A5"/>
    <w:rsid w:val="009076C3"/>
    <w:rsid w:val="00910637"/>
    <w:rsid w:val="0091323C"/>
    <w:rsid w:val="00916467"/>
    <w:rsid w:val="009176C8"/>
    <w:rsid w:val="00920F5A"/>
    <w:rsid w:val="00921797"/>
    <w:rsid w:val="0092374C"/>
    <w:rsid w:val="00924B88"/>
    <w:rsid w:val="00924BD5"/>
    <w:rsid w:val="009253C4"/>
    <w:rsid w:val="009272A9"/>
    <w:rsid w:val="00930079"/>
    <w:rsid w:val="00931366"/>
    <w:rsid w:val="00932C6A"/>
    <w:rsid w:val="009335CB"/>
    <w:rsid w:val="00933867"/>
    <w:rsid w:val="0093416F"/>
    <w:rsid w:val="009356B3"/>
    <w:rsid w:val="00937239"/>
    <w:rsid w:val="00937F0D"/>
    <w:rsid w:val="00940143"/>
    <w:rsid w:val="00941063"/>
    <w:rsid w:val="0094176E"/>
    <w:rsid w:val="00941893"/>
    <w:rsid w:val="0094232D"/>
    <w:rsid w:val="00943534"/>
    <w:rsid w:val="00943619"/>
    <w:rsid w:val="00943F60"/>
    <w:rsid w:val="009449F9"/>
    <w:rsid w:val="00946BD4"/>
    <w:rsid w:val="00955603"/>
    <w:rsid w:val="009556ED"/>
    <w:rsid w:val="0095609E"/>
    <w:rsid w:val="00956A3A"/>
    <w:rsid w:val="00957680"/>
    <w:rsid w:val="00957726"/>
    <w:rsid w:val="00957C0D"/>
    <w:rsid w:val="00960CB6"/>
    <w:rsid w:val="009610BE"/>
    <w:rsid w:val="00961564"/>
    <w:rsid w:val="00962DC1"/>
    <w:rsid w:val="0096305A"/>
    <w:rsid w:val="00965076"/>
    <w:rsid w:val="009665D6"/>
    <w:rsid w:val="00967780"/>
    <w:rsid w:val="009677DA"/>
    <w:rsid w:val="00972400"/>
    <w:rsid w:val="00972B52"/>
    <w:rsid w:val="0097508A"/>
    <w:rsid w:val="009772E6"/>
    <w:rsid w:val="009777A6"/>
    <w:rsid w:val="00980818"/>
    <w:rsid w:val="009811CA"/>
    <w:rsid w:val="009815E6"/>
    <w:rsid w:val="00982413"/>
    <w:rsid w:val="009831AB"/>
    <w:rsid w:val="00983F58"/>
    <w:rsid w:val="00985FAF"/>
    <w:rsid w:val="00987630"/>
    <w:rsid w:val="00987B92"/>
    <w:rsid w:val="00990250"/>
    <w:rsid w:val="009906FB"/>
    <w:rsid w:val="00991233"/>
    <w:rsid w:val="009918FD"/>
    <w:rsid w:val="00992DCB"/>
    <w:rsid w:val="00993CF9"/>
    <w:rsid w:val="0099413F"/>
    <w:rsid w:val="00996273"/>
    <w:rsid w:val="00996E18"/>
    <w:rsid w:val="00997C37"/>
    <w:rsid w:val="009A0DBC"/>
    <w:rsid w:val="009A12F0"/>
    <w:rsid w:val="009A207A"/>
    <w:rsid w:val="009A32A3"/>
    <w:rsid w:val="009A4622"/>
    <w:rsid w:val="009A751A"/>
    <w:rsid w:val="009B0BF6"/>
    <w:rsid w:val="009B1547"/>
    <w:rsid w:val="009B1BC7"/>
    <w:rsid w:val="009B2B55"/>
    <w:rsid w:val="009B5264"/>
    <w:rsid w:val="009B5936"/>
    <w:rsid w:val="009B6D93"/>
    <w:rsid w:val="009B7687"/>
    <w:rsid w:val="009B7D5C"/>
    <w:rsid w:val="009C06D8"/>
    <w:rsid w:val="009C0A90"/>
    <w:rsid w:val="009C0CC9"/>
    <w:rsid w:val="009C2469"/>
    <w:rsid w:val="009C2CAF"/>
    <w:rsid w:val="009C328F"/>
    <w:rsid w:val="009C7E9F"/>
    <w:rsid w:val="009D0033"/>
    <w:rsid w:val="009D1435"/>
    <w:rsid w:val="009D14D1"/>
    <w:rsid w:val="009D18AB"/>
    <w:rsid w:val="009D1A3E"/>
    <w:rsid w:val="009D2779"/>
    <w:rsid w:val="009D2C01"/>
    <w:rsid w:val="009D2FF5"/>
    <w:rsid w:val="009D37C7"/>
    <w:rsid w:val="009D3965"/>
    <w:rsid w:val="009D4167"/>
    <w:rsid w:val="009D6948"/>
    <w:rsid w:val="009D71BE"/>
    <w:rsid w:val="009D7DA4"/>
    <w:rsid w:val="009E1FE8"/>
    <w:rsid w:val="009E2466"/>
    <w:rsid w:val="009E31C5"/>
    <w:rsid w:val="009E5123"/>
    <w:rsid w:val="009E765D"/>
    <w:rsid w:val="009E7CCD"/>
    <w:rsid w:val="009F0550"/>
    <w:rsid w:val="009F2013"/>
    <w:rsid w:val="009F2721"/>
    <w:rsid w:val="009F2A2F"/>
    <w:rsid w:val="009F379B"/>
    <w:rsid w:val="009F41A5"/>
    <w:rsid w:val="009F62EF"/>
    <w:rsid w:val="009F63A3"/>
    <w:rsid w:val="009F66DD"/>
    <w:rsid w:val="009F6AEA"/>
    <w:rsid w:val="00A00F44"/>
    <w:rsid w:val="00A01E9C"/>
    <w:rsid w:val="00A02F13"/>
    <w:rsid w:val="00A05345"/>
    <w:rsid w:val="00A05F8C"/>
    <w:rsid w:val="00A0777A"/>
    <w:rsid w:val="00A07AD3"/>
    <w:rsid w:val="00A07DA2"/>
    <w:rsid w:val="00A10814"/>
    <w:rsid w:val="00A1251C"/>
    <w:rsid w:val="00A12B58"/>
    <w:rsid w:val="00A141EB"/>
    <w:rsid w:val="00A14724"/>
    <w:rsid w:val="00A14890"/>
    <w:rsid w:val="00A14956"/>
    <w:rsid w:val="00A15657"/>
    <w:rsid w:val="00A15990"/>
    <w:rsid w:val="00A15ADA"/>
    <w:rsid w:val="00A17FF8"/>
    <w:rsid w:val="00A2359E"/>
    <w:rsid w:val="00A2448D"/>
    <w:rsid w:val="00A245F2"/>
    <w:rsid w:val="00A249D3"/>
    <w:rsid w:val="00A24A1D"/>
    <w:rsid w:val="00A25A33"/>
    <w:rsid w:val="00A26134"/>
    <w:rsid w:val="00A26E4B"/>
    <w:rsid w:val="00A3208F"/>
    <w:rsid w:val="00A32735"/>
    <w:rsid w:val="00A32AFE"/>
    <w:rsid w:val="00A33060"/>
    <w:rsid w:val="00A35A8F"/>
    <w:rsid w:val="00A35AB1"/>
    <w:rsid w:val="00A361BD"/>
    <w:rsid w:val="00A36A8C"/>
    <w:rsid w:val="00A36C25"/>
    <w:rsid w:val="00A428F4"/>
    <w:rsid w:val="00A42A67"/>
    <w:rsid w:val="00A43724"/>
    <w:rsid w:val="00A440B1"/>
    <w:rsid w:val="00A454B9"/>
    <w:rsid w:val="00A4736D"/>
    <w:rsid w:val="00A501B0"/>
    <w:rsid w:val="00A52223"/>
    <w:rsid w:val="00A54190"/>
    <w:rsid w:val="00A54D12"/>
    <w:rsid w:val="00A55A64"/>
    <w:rsid w:val="00A57AE7"/>
    <w:rsid w:val="00A60653"/>
    <w:rsid w:val="00A6288B"/>
    <w:rsid w:val="00A62FB1"/>
    <w:rsid w:val="00A638F3"/>
    <w:rsid w:val="00A645BD"/>
    <w:rsid w:val="00A6597A"/>
    <w:rsid w:val="00A65AA7"/>
    <w:rsid w:val="00A65D95"/>
    <w:rsid w:val="00A66585"/>
    <w:rsid w:val="00A666E0"/>
    <w:rsid w:val="00A711AB"/>
    <w:rsid w:val="00A7122A"/>
    <w:rsid w:val="00A714F4"/>
    <w:rsid w:val="00A71A06"/>
    <w:rsid w:val="00A72B43"/>
    <w:rsid w:val="00A7380E"/>
    <w:rsid w:val="00A73A97"/>
    <w:rsid w:val="00A75049"/>
    <w:rsid w:val="00A75D0E"/>
    <w:rsid w:val="00A75DAF"/>
    <w:rsid w:val="00A80639"/>
    <w:rsid w:val="00A80999"/>
    <w:rsid w:val="00A80D25"/>
    <w:rsid w:val="00A81225"/>
    <w:rsid w:val="00A81AE1"/>
    <w:rsid w:val="00A842CD"/>
    <w:rsid w:val="00A8453B"/>
    <w:rsid w:val="00A85DF9"/>
    <w:rsid w:val="00A8668C"/>
    <w:rsid w:val="00A868B5"/>
    <w:rsid w:val="00A86E4E"/>
    <w:rsid w:val="00A91FD8"/>
    <w:rsid w:val="00A92E16"/>
    <w:rsid w:val="00A96527"/>
    <w:rsid w:val="00A976FE"/>
    <w:rsid w:val="00AA089A"/>
    <w:rsid w:val="00AA192D"/>
    <w:rsid w:val="00AA2508"/>
    <w:rsid w:val="00AA257C"/>
    <w:rsid w:val="00AA3037"/>
    <w:rsid w:val="00AA3171"/>
    <w:rsid w:val="00AA31D3"/>
    <w:rsid w:val="00AA4166"/>
    <w:rsid w:val="00AA4C32"/>
    <w:rsid w:val="00AA6236"/>
    <w:rsid w:val="00AA6A00"/>
    <w:rsid w:val="00AB0D9A"/>
    <w:rsid w:val="00AB0FC6"/>
    <w:rsid w:val="00AB21ED"/>
    <w:rsid w:val="00AB2910"/>
    <w:rsid w:val="00AB291C"/>
    <w:rsid w:val="00AB48F8"/>
    <w:rsid w:val="00AB72DC"/>
    <w:rsid w:val="00AB7D6E"/>
    <w:rsid w:val="00AC1BC6"/>
    <w:rsid w:val="00AC26E5"/>
    <w:rsid w:val="00AC2C7D"/>
    <w:rsid w:val="00AC3539"/>
    <w:rsid w:val="00AC4159"/>
    <w:rsid w:val="00AC43FA"/>
    <w:rsid w:val="00AC4F74"/>
    <w:rsid w:val="00AC5788"/>
    <w:rsid w:val="00AC648C"/>
    <w:rsid w:val="00AC7743"/>
    <w:rsid w:val="00AD0D91"/>
    <w:rsid w:val="00AD289F"/>
    <w:rsid w:val="00AD3E63"/>
    <w:rsid w:val="00AD4BE0"/>
    <w:rsid w:val="00AD5A2E"/>
    <w:rsid w:val="00AD753C"/>
    <w:rsid w:val="00AE096C"/>
    <w:rsid w:val="00AE13CE"/>
    <w:rsid w:val="00AE23C2"/>
    <w:rsid w:val="00AE27E9"/>
    <w:rsid w:val="00AE2F62"/>
    <w:rsid w:val="00AE4DE1"/>
    <w:rsid w:val="00AE6016"/>
    <w:rsid w:val="00AE6D3A"/>
    <w:rsid w:val="00AE7240"/>
    <w:rsid w:val="00AE77F8"/>
    <w:rsid w:val="00AE7A1C"/>
    <w:rsid w:val="00AE7E47"/>
    <w:rsid w:val="00AF0241"/>
    <w:rsid w:val="00AF281F"/>
    <w:rsid w:val="00AF2A66"/>
    <w:rsid w:val="00AF45DC"/>
    <w:rsid w:val="00AF77D2"/>
    <w:rsid w:val="00AF7AA9"/>
    <w:rsid w:val="00B0068A"/>
    <w:rsid w:val="00B00F76"/>
    <w:rsid w:val="00B02B95"/>
    <w:rsid w:val="00B03F8F"/>
    <w:rsid w:val="00B040B9"/>
    <w:rsid w:val="00B0714E"/>
    <w:rsid w:val="00B07F4E"/>
    <w:rsid w:val="00B1018F"/>
    <w:rsid w:val="00B10901"/>
    <w:rsid w:val="00B12DE9"/>
    <w:rsid w:val="00B1424C"/>
    <w:rsid w:val="00B16BF1"/>
    <w:rsid w:val="00B17221"/>
    <w:rsid w:val="00B20FDC"/>
    <w:rsid w:val="00B21A80"/>
    <w:rsid w:val="00B22596"/>
    <w:rsid w:val="00B25B3D"/>
    <w:rsid w:val="00B2666C"/>
    <w:rsid w:val="00B26AEA"/>
    <w:rsid w:val="00B26D14"/>
    <w:rsid w:val="00B307C2"/>
    <w:rsid w:val="00B317AA"/>
    <w:rsid w:val="00B31C3A"/>
    <w:rsid w:val="00B31ECA"/>
    <w:rsid w:val="00B322BE"/>
    <w:rsid w:val="00B36FB0"/>
    <w:rsid w:val="00B40238"/>
    <w:rsid w:val="00B4332B"/>
    <w:rsid w:val="00B46148"/>
    <w:rsid w:val="00B46288"/>
    <w:rsid w:val="00B46657"/>
    <w:rsid w:val="00B46AE1"/>
    <w:rsid w:val="00B46DC2"/>
    <w:rsid w:val="00B505D0"/>
    <w:rsid w:val="00B506EA"/>
    <w:rsid w:val="00B5204E"/>
    <w:rsid w:val="00B53013"/>
    <w:rsid w:val="00B53379"/>
    <w:rsid w:val="00B54917"/>
    <w:rsid w:val="00B54C8C"/>
    <w:rsid w:val="00B54FF2"/>
    <w:rsid w:val="00B570AB"/>
    <w:rsid w:val="00B57718"/>
    <w:rsid w:val="00B6478F"/>
    <w:rsid w:val="00B667D2"/>
    <w:rsid w:val="00B670C8"/>
    <w:rsid w:val="00B67410"/>
    <w:rsid w:val="00B67435"/>
    <w:rsid w:val="00B67BEF"/>
    <w:rsid w:val="00B70B7B"/>
    <w:rsid w:val="00B717B9"/>
    <w:rsid w:val="00B71A4E"/>
    <w:rsid w:val="00B75083"/>
    <w:rsid w:val="00B805CE"/>
    <w:rsid w:val="00B80A4A"/>
    <w:rsid w:val="00B81242"/>
    <w:rsid w:val="00B81969"/>
    <w:rsid w:val="00B82A1B"/>
    <w:rsid w:val="00B839B8"/>
    <w:rsid w:val="00B85039"/>
    <w:rsid w:val="00B862D6"/>
    <w:rsid w:val="00B87255"/>
    <w:rsid w:val="00B87948"/>
    <w:rsid w:val="00B87AF3"/>
    <w:rsid w:val="00B906F8"/>
    <w:rsid w:val="00B9107E"/>
    <w:rsid w:val="00B91948"/>
    <w:rsid w:val="00B92DD4"/>
    <w:rsid w:val="00B95BA2"/>
    <w:rsid w:val="00B97237"/>
    <w:rsid w:val="00B973CD"/>
    <w:rsid w:val="00BA0164"/>
    <w:rsid w:val="00BA0964"/>
    <w:rsid w:val="00BA109D"/>
    <w:rsid w:val="00BA17AF"/>
    <w:rsid w:val="00BA1C7E"/>
    <w:rsid w:val="00BA36A3"/>
    <w:rsid w:val="00BA3861"/>
    <w:rsid w:val="00BA6B6A"/>
    <w:rsid w:val="00BA6C02"/>
    <w:rsid w:val="00BB0CD8"/>
    <w:rsid w:val="00BB139F"/>
    <w:rsid w:val="00BB2763"/>
    <w:rsid w:val="00BB2C98"/>
    <w:rsid w:val="00BB3B1F"/>
    <w:rsid w:val="00BB454E"/>
    <w:rsid w:val="00BB4EC3"/>
    <w:rsid w:val="00BB595C"/>
    <w:rsid w:val="00BB72F1"/>
    <w:rsid w:val="00BB73D5"/>
    <w:rsid w:val="00BB76CB"/>
    <w:rsid w:val="00BB79A0"/>
    <w:rsid w:val="00BC04B0"/>
    <w:rsid w:val="00BC1075"/>
    <w:rsid w:val="00BC1151"/>
    <w:rsid w:val="00BC275B"/>
    <w:rsid w:val="00BC2E25"/>
    <w:rsid w:val="00BC33F5"/>
    <w:rsid w:val="00BC4357"/>
    <w:rsid w:val="00BC5917"/>
    <w:rsid w:val="00BC5DA3"/>
    <w:rsid w:val="00BC7406"/>
    <w:rsid w:val="00BD0028"/>
    <w:rsid w:val="00BD090B"/>
    <w:rsid w:val="00BD0E1A"/>
    <w:rsid w:val="00BD1F3C"/>
    <w:rsid w:val="00BD39A6"/>
    <w:rsid w:val="00BD39C0"/>
    <w:rsid w:val="00BD691F"/>
    <w:rsid w:val="00BE03E6"/>
    <w:rsid w:val="00BE04F3"/>
    <w:rsid w:val="00BE0C56"/>
    <w:rsid w:val="00BE0E1C"/>
    <w:rsid w:val="00BE1CA4"/>
    <w:rsid w:val="00BE1FF5"/>
    <w:rsid w:val="00BE301A"/>
    <w:rsid w:val="00BE3335"/>
    <w:rsid w:val="00BE4F04"/>
    <w:rsid w:val="00BE5C03"/>
    <w:rsid w:val="00BE61EA"/>
    <w:rsid w:val="00BF0709"/>
    <w:rsid w:val="00BF18CD"/>
    <w:rsid w:val="00BF2AAC"/>
    <w:rsid w:val="00BF34C8"/>
    <w:rsid w:val="00BF4458"/>
    <w:rsid w:val="00BF6CF0"/>
    <w:rsid w:val="00C01FDC"/>
    <w:rsid w:val="00C029F1"/>
    <w:rsid w:val="00C0343B"/>
    <w:rsid w:val="00C04F10"/>
    <w:rsid w:val="00C05D58"/>
    <w:rsid w:val="00C06B22"/>
    <w:rsid w:val="00C07438"/>
    <w:rsid w:val="00C114EC"/>
    <w:rsid w:val="00C12DAC"/>
    <w:rsid w:val="00C14331"/>
    <w:rsid w:val="00C14AB0"/>
    <w:rsid w:val="00C15150"/>
    <w:rsid w:val="00C1592C"/>
    <w:rsid w:val="00C15960"/>
    <w:rsid w:val="00C15C02"/>
    <w:rsid w:val="00C203E6"/>
    <w:rsid w:val="00C2192D"/>
    <w:rsid w:val="00C21B66"/>
    <w:rsid w:val="00C22BAC"/>
    <w:rsid w:val="00C23493"/>
    <w:rsid w:val="00C2397C"/>
    <w:rsid w:val="00C23FEF"/>
    <w:rsid w:val="00C25662"/>
    <w:rsid w:val="00C25E8B"/>
    <w:rsid w:val="00C309E7"/>
    <w:rsid w:val="00C31E1F"/>
    <w:rsid w:val="00C33C76"/>
    <w:rsid w:val="00C34131"/>
    <w:rsid w:val="00C35BE1"/>
    <w:rsid w:val="00C36184"/>
    <w:rsid w:val="00C361FF"/>
    <w:rsid w:val="00C367CA"/>
    <w:rsid w:val="00C36E4F"/>
    <w:rsid w:val="00C4122A"/>
    <w:rsid w:val="00C4174E"/>
    <w:rsid w:val="00C43FEF"/>
    <w:rsid w:val="00C5120B"/>
    <w:rsid w:val="00C55E3B"/>
    <w:rsid w:val="00C560D6"/>
    <w:rsid w:val="00C57943"/>
    <w:rsid w:val="00C62BCF"/>
    <w:rsid w:val="00C631C7"/>
    <w:rsid w:val="00C64B6A"/>
    <w:rsid w:val="00C653B2"/>
    <w:rsid w:val="00C66B94"/>
    <w:rsid w:val="00C714EE"/>
    <w:rsid w:val="00C7166D"/>
    <w:rsid w:val="00C716B6"/>
    <w:rsid w:val="00C73484"/>
    <w:rsid w:val="00C761A6"/>
    <w:rsid w:val="00C76C8D"/>
    <w:rsid w:val="00C76DA3"/>
    <w:rsid w:val="00C7775E"/>
    <w:rsid w:val="00C82F0C"/>
    <w:rsid w:val="00C83908"/>
    <w:rsid w:val="00C83C5E"/>
    <w:rsid w:val="00C84A85"/>
    <w:rsid w:val="00C85501"/>
    <w:rsid w:val="00C85A34"/>
    <w:rsid w:val="00C85F1F"/>
    <w:rsid w:val="00C86B7B"/>
    <w:rsid w:val="00C872BA"/>
    <w:rsid w:val="00C90383"/>
    <w:rsid w:val="00C9064F"/>
    <w:rsid w:val="00C91627"/>
    <w:rsid w:val="00C91821"/>
    <w:rsid w:val="00C91964"/>
    <w:rsid w:val="00C92082"/>
    <w:rsid w:val="00C9280E"/>
    <w:rsid w:val="00C94C67"/>
    <w:rsid w:val="00CA210A"/>
    <w:rsid w:val="00CA2166"/>
    <w:rsid w:val="00CA44A1"/>
    <w:rsid w:val="00CA4D21"/>
    <w:rsid w:val="00CA5C59"/>
    <w:rsid w:val="00CA5F95"/>
    <w:rsid w:val="00CB1090"/>
    <w:rsid w:val="00CB2FC1"/>
    <w:rsid w:val="00CB46D6"/>
    <w:rsid w:val="00CB5426"/>
    <w:rsid w:val="00CB55F3"/>
    <w:rsid w:val="00CB76AD"/>
    <w:rsid w:val="00CC315A"/>
    <w:rsid w:val="00CC5AEC"/>
    <w:rsid w:val="00CC70F1"/>
    <w:rsid w:val="00CC749E"/>
    <w:rsid w:val="00CD06DC"/>
    <w:rsid w:val="00CD0AD8"/>
    <w:rsid w:val="00CD1672"/>
    <w:rsid w:val="00CD4027"/>
    <w:rsid w:val="00CD4114"/>
    <w:rsid w:val="00CD424A"/>
    <w:rsid w:val="00CD4787"/>
    <w:rsid w:val="00CD4EC9"/>
    <w:rsid w:val="00CD5DED"/>
    <w:rsid w:val="00CD7267"/>
    <w:rsid w:val="00CE0DD0"/>
    <w:rsid w:val="00CE46A3"/>
    <w:rsid w:val="00CE5914"/>
    <w:rsid w:val="00CE5FDA"/>
    <w:rsid w:val="00CE63A9"/>
    <w:rsid w:val="00CE6DD4"/>
    <w:rsid w:val="00CE6F47"/>
    <w:rsid w:val="00CF18B9"/>
    <w:rsid w:val="00CF1E3A"/>
    <w:rsid w:val="00CF264A"/>
    <w:rsid w:val="00CF30F0"/>
    <w:rsid w:val="00CF3851"/>
    <w:rsid w:val="00CF431D"/>
    <w:rsid w:val="00CF4AF8"/>
    <w:rsid w:val="00CF5126"/>
    <w:rsid w:val="00CF5F67"/>
    <w:rsid w:val="00CF713C"/>
    <w:rsid w:val="00CF7217"/>
    <w:rsid w:val="00CF7A95"/>
    <w:rsid w:val="00CF7EF2"/>
    <w:rsid w:val="00D01898"/>
    <w:rsid w:val="00D05013"/>
    <w:rsid w:val="00D0649C"/>
    <w:rsid w:val="00D067A1"/>
    <w:rsid w:val="00D07969"/>
    <w:rsid w:val="00D10315"/>
    <w:rsid w:val="00D10B41"/>
    <w:rsid w:val="00D122CD"/>
    <w:rsid w:val="00D134C8"/>
    <w:rsid w:val="00D17206"/>
    <w:rsid w:val="00D2076C"/>
    <w:rsid w:val="00D213F7"/>
    <w:rsid w:val="00D214D9"/>
    <w:rsid w:val="00D220D2"/>
    <w:rsid w:val="00D22A6C"/>
    <w:rsid w:val="00D23159"/>
    <w:rsid w:val="00D26BD9"/>
    <w:rsid w:val="00D27BEB"/>
    <w:rsid w:val="00D27F0B"/>
    <w:rsid w:val="00D27FDF"/>
    <w:rsid w:val="00D308D8"/>
    <w:rsid w:val="00D32334"/>
    <w:rsid w:val="00D35A4B"/>
    <w:rsid w:val="00D406D0"/>
    <w:rsid w:val="00D40AE5"/>
    <w:rsid w:val="00D412BF"/>
    <w:rsid w:val="00D42625"/>
    <w:rsid w:val="00D45209"/>
    <w:rsid w:val="00D474C7"/>
    <w:rsid w:val="00D5150B"/>
    <w:rsid w:val="00D51B1F"/>
    <w:rsid w:val="00D51FE9"/>
    <w:rsid w:val="00D52D7B"/>
    <w:rsid w:val="00D52DDC"/>
    <w:rsid w:val="00D52E26"/>
    <w:rsid w:val="00D5328D"/>
    <w:rsid w:val="00D5447D"/>
    <w:rsid w:val="00D548C1"/>
    <w:rsid w:val="00D549AC"/>
    <w:rsid w:val="00D5535E"/>
    <w:rsid w:val="00D55CD3"/>
    <w:rsid w:val="00D6041F"/>
    <w:rsid w:val="00D605DD"/>
    <w:rsid w:val="00D606A9"/>
    <w:rsid w:val="00D614F0"/>
    <w:rsid w:val="00D62676"/>
    <w:rsid w:val="00D62E97"/>
    <w:rsid w:val="00D63B49"/>
    <w:rsid w:val="00D63B90"/>
    <w:rsid w:val="00D64481"/>
    <w:rsid w:val="00D67817"/>
    <w:rsid w:val="00D705D4"/>
    <w:rsid w:val="00D709EF"/>
    <w:rsid w:val="00D72143"/>
    <w:rsid w:val="00D72806"/>
    <w:rsid w:val="00D72955"/>
    <w:rsid w:val="00D72C22"/>
    <w:rsid w:val="00D73062"/>
    <w:rsid w:val="00D73ABA"/>
    <w:rsid w:val="00D74FF5"/>
    <w:rsid w:val="00D750E1"/>
    <w:rsid w:val="00D76C61"/>
    <w:rsid w:val="00D77F2E"/>
    <w:rsid w:val="00D801F3"/>
    <w:rsid w:val="00D8030A"/>
    <w:rsid w:val="00D8224F"/>
    <w:rsid w:val="00D825D2"/>
    <w:rsid w:val="00D82F4B"/>
    <w:rsid w:val="00D85335"/>
    <w:rsid w:val="00D858D1"/>
    <w:rsid w:val="00D85990"/>
    <w:rsid w:val="00D87B3F"/>
    <w:rsid w:val="00D92DE7"/>
    <w:rsid w:val="00D93423"/>
    <w:rsid w:val="00D95FCE"/>
    <w:rsid w:val="00DA0FDC"/>
    <w:rsid w:val="00DA181D"/>
    <w:rsid w:val="00DA5CA3"/>
    <w:rsid w:val="00DA68A6"/>
    <w:rsid w:val="00DA69C0"/>
    <w:rsid w:val="00DA6FE0"/>
    <w:rsid w:val="00DB0CE9"/>
    <w:rsid w:val="00DB0E65"/>
    <w:rsid w:val="00DB3577"/>
    <w:rsid w:val="00DB407C"/>
    <w:rsid w:val="00DB553C"/>
    <w:rsid w:val="00DC06E8"/>
    <w:rsid w:val="00DC0808"/>
    <w:rsid w:val="00DC14E0"/>
    <w:rsid w:val="00DC1F57"/>
    <w:rsid w:val="00DC1FB9"/>
    <w:rsid w:val="00DC3502"/>
    <w:rsid w:val="00DC48E8"/>
    <w:rsid w:val="00DC4B7E"/>
    <w:rsid w:val="00DD0ECB"/>
    <w:rsid w:val="00DD0F03"/>
    <w:rsid w:val="00DD0FB3"/>
    <w:rsid w:val="00DD13A3"/>
    <w:rsid w:val="00DD1C82"/>
    <w:rsid w:val="00DD1E1B"/>
    <w:rsid w:val="00DD27FD"/>
    <w:rsid w:val="00DD2E48"/>
    <w:rsid w:val="00DD341F"/>
    <w:rsid w:val="00DD3A5D"/>
    <w:rsid w:val="00DD43EB"/>
    <w:rsid w:val="00DD4891"/>
    <w:rsid w:val="00DD5C23"/>
    <w:rsid w:val="00DD7634"/>
    <w:rsid w:val="00DD7E87"/>
    <w:rsid w:val="00DE10E7"/>
    <w:rsid w:val="00DE28E8"/>
    <w:rsid w:val="00DE2B5F"/>
    <w:rsid w:val="00DE343C"/>
    <w:rsid w:val="00DE518C"/>
    <w:rsid w:val="00DE753E"/>
    <w:rsid w:val="00DF0C4A"/>
    <w:rsid w:val="00DF19D2"/>
    <w:rsid w:val="00DF19E7"/>
    <w:rsid w:val="00DF2378"/>
    <w:rsid w:val="00DF2476"/>
    <w:rsid w:val="00DF39D0"/>
    <w:rsid w:val="00DF3DD9"/>
    <w:rsid w:val="00DF5FE8"/>
    <w:rsid w:val="00DF730C"/>
    <w:rsid w:val="00E00091"/>
    <w:rsid w:val="00E00166"/>
    <w:rsid w:val="00E01664"/>
    <w:rsid w:val="00E0215F"/>
    <w:rsid w:val="00E024CE"/>
    <w:rsid w:val="00E03A7A"/>
    <w:rsid w:val="00E07599"/>
    <w:rsid w:val="00E0791F"/>
    <w:rsid w:val="00E11529"/>
    <w:rsid w:val="00E1187C"/>
    <w:rsid w:val="00E1377C"/>
    <w:rsid w:val="00E146D1"/>
    <w:rsid w:val="00E15508"/>
    <w:rsid w:val="00E1597D"/>
    <w:rsid w:val="00E170CC"/>
    <w:rsid w:val="00E201DB"/>
    <w:rsid w:val="00E20344"/>
    <w:rsid w:val="00E2036E"/>
    <w:rsid w:val="00E20DBA"/>
    <w:rsid w:val="00E211DF"/>
    <w:rsid w:val="00E2185E"/>
    <w:rsid w:val="00E227C0"/>
    <w:rsid w:val="00E23363"/>
    <w:rsid w:val="00E23F97"/>
    <w:rsid w:val="00E23FED"/>
    <w:rsid w:val="00E2407F"/>
    <w:rsid w:val="00E263EF"/>
    <w:rsid w:val="00E26CDE"/>
    <w:rsid w:val="00E301F2"/>
    <w:rsid w:val="00E31840"/>
    <w:rsid w:val="00E31D0B"/>
    <w:rsid w:val="00E41071"/>
    <w:rsid w:val="00E43212"/>
    <w:rsid w:val="00E4455F"/>
    <w:rsid w:val="00E44ECD"/>
    <w:rsid w:val="00E459E5"/>
    <w:rsid w:val="00E46C2A"/>
    <w:rsid w:val="00E46CF7"/>
    <w:rsid w:val="00E47576"/>
    <w:rsid w:val="00E47DCD"/>
    <w:rsid w:val="00E53DE9"/>
    <w:rsid w:val="00E53E32"/>
    <w:rsid w:val="00E5520E"/>
    <w:rsid w:val="00E55D62"/>
    <w:rsid w:val="00E565B6"/>
    <w:rsid w:val="00E56CE7"/>
    <w:rsid w:val="00E60433"/>
    <w:rsid w:val="00E62C2C"/>
    <w:rsid w:val="00E62C8B"/>
    <w:rsid w:val="00E63C21"/>
    <w:rsid w:val="00E64061"/>
    <w:rsid w:val="00E6517E"/>
    <w:rsid w:val="00E66DC1"/>
    <w:rsid w:val="00E674E0"/>
    <w:rsid w:val="00E716FD"/>
    <w:rsid w:val="00E719ED"/>
    <w:rsid w:val="00E728E9"/>
    <w:rsid w:val="00E730B5"/>
    <w:rsid w:val="00E73FE8"/>
    <w:rsid w:val="00E7406D"/>
    <w:rsid w:val="00E7418F"/>
    <w:rsid w:val="00E75ACA"/>
    <w:rsid w:val="00E8168C"/>
    <w:rsid w:val="00E81A42"/>
    <w:rsid w:val="00E8279E"/>
    <w:rsid w:val="00E82BFB"/>
    <w:rsid w:val="00E83019"/>
    <w:rsid w:val="00E83B6B"/>
    <w:rsid w:val="00E83EF6"/>
    <w:rsid w:val="00E8448B"/>
    <w:rsid w:val="00E85191"/>
    <w:rsid w:val="00E85A48"/>
    <w:rsid w:val="00E85A52"/>
    <w:rsid w:val="00E86929"/>
    <w:rsid w:val="00E86E71"/>
    <w:rsid w:val="00E90473"/>
    <w:rsid w:val="00E9060E"/>
    <w:rsid w:val="00E908B4"/>
    <w:rsid w:val="00E915C0"/>
    <w:rsid w:val="00E9271A"/>
    <w:rsid w:val="00E9271D"/>
    <w:rsid w:val="00E947FD"/>
    <w:rsid w:val="00E9637D"/>
    <w:rsid w:val="00E96400"/>
    <w:rsid w:val="00EA07B3"/>
    <w:rsid w:val="00EA1B6A"/>
    <w:rsid w:val="00EA333E"/>
    <w:rsid w:val="00EA5763"/>
    <w:rsid w:val="00EA68A4"/>
    <w:rsid w:val="00EA6ADE"/>
    <w:rsid w:val="00EA7747"/>
    <w:rsid w:val="00EB0278"/>
    <w:rsid w:val="00EB12EB"/>
    <w:rsid w:val="00EB2491"/>
    <w:rsid w:val="00EB2F8A"/>
    <w:rsid w:val="00EB3EC1"/>
    <w:rsid w:val="00EB455F"/>
    <w:rsid w:val="00EB4BC9"/>
    <w:rsid w:val="00EB4EC4"/>
    <w:rsid w:val="00EB7AD0"/>
    <w:rsid w:val="00EC125B"/>
    <w:rsid w:val="00EC127B"/>
    <w:rsid w:val="00EC2ADC"/>
    <w:rsid w:val="00EC4310"/>
    <w:rsid w:val="00EC43ED"/>
    <w:rsid w:val="00EC455C"/>
    <w:rsid w:val="00EC7652"/>
    <w:rsid w:val="00ED0447"/>
    <w:rsid w:val="00ED04B7"/>
    <w:rsid w:val="00ED06BA"/>
    <w:rsid w:val="00ED0D57"/>
    <w:rsid w:val="00ED2645"/>
    <w:rsid w:val="00ED315C"/>
    <w:rsid w:val="00ED3CF8"/>
    <w:rsid w:val="00ED412D"/>
    <w:rsid w:val="00ED4D22"/>
    <w:rsid w:val="00ED514D"/>
    <w:rsid w:val="00ED6493"/>
    <w:rsid w:val="00EE0CA1"/>
    <w:rsid w:val="00EE2095"/>
    <w:rsid w:val="00EE212E"/>
    <w:rsid w:val="00EE2438"/>
    <w:rsid w:val="00EE2557"/>
    <w:rsid w:val="00EE2B0B"/>
    <w:rsid w:val="00EE3040"/>
    <w:rsid w:val="00EE3B3F"/>
    <w:rsid w:val="00EE6BA4"/>
    <w:rsid w:val="00EF105D"/>
    <w:rsid w:val="00EF172F"/>
    <w:rsid w:val="00EF2B86"/>
    <w:rsid w:val="00EF52C3"/>
    <w:rsid w:val="00EF5A76"/>
    <w:rsid w:val="00EF6B39"/>
    <w:rsid w:val="00F00455"/>
    <w:rsid w:val="00F00EC9"/>
    <w:rsid w:val="00F013B1"/>
    <w:rsid w:val="00F01919"/>
    <w:rsid w:val="00F0312F"/>
    <w:rsid w:val="00F03E8F"/>
    <w:rsid w:val="00F0585D"/>
    <w:rsid w:val="00F059A7"/>
    <w:rsid w:val="00F0666E"/>
    <w:rsid w:val="00F105F7"/>
    <w:rsid w:val="00F126B1"/>
    <w:rsid w:val="00F12F6B"/>
    <w:rsid w:val="00F12FC0"/>
    <w:rsid w:val="00F13758"/>
    <w:rsid w:val="00F17FC6"/>
    <w:rsid w:val="00F21055"/>
    <w:rsid w:val="00F24524"/>
    <w:rsid w:val="00F2481A"/>
    <w:rsid w:val="00F2555F"/>
    <w:rsid w:val="00F257B7"/>
    <w:rsid w:val="00F25D5F"/>
    <w:rsid w:val="00F2634D"/>
    <w:rsid w:val="00F26370"/>
    <w:rsid w:val="00F2743F"/>
    <w:rsid w:val="00F278B0"/>
    <w:rsid w:val="00F27D66"/>
    <w:rsid w:val="00F30D25"/>
    <w:rsid w:val="00F30DD5"/>
    <w:rsid w:val="00F32F39"/>
    <w:rsid w:val="00F336BD"/>
    <w:rsid w:val="00F3455D"/>
    <w:rsid w:val="00F35581"/>
    <w:rsid w:val="00F367A4"/>
    <w:rsid w:val="00F36A1E"/>
    <w:rsid w:val="00F40E37"/>
    <w:rsid w:val="00F40F57"/>
    <w:rsid w:val="00F435E4"/>
    <w:rsid w:val="00F44A3D"/>
    <w:rsid w:val="00F452BB"/>
    <w:rsid w:val="00F45AB7"/>
    <w:rsid w:val="00F510A1"/>
    <w:rsid w:val="00F518FE"/>
    <w:rsid w:val="00F526DE"/>
    <w:rsid w:val="00F530C3"/>
    <w:rsid w:val="00F54185"/>
    <w:rsid w:val="00F54D59"/>
    <w:rsid w:val="00F54D90"/>
    <w:rsid w:val="00F5515B"/>
    <w:rsid w:val="00F55D4B"/>
    <w:rsid w:val="00F579DB"/>
    <w:rsid w:val="00F57CCA"/>
    <w:rsid w:val="00F609A1"/>
    <w:rsid w:val="00F63F86"/>
    <w:rsid w:val="00F642FE"/>
    <w:rsid w:val="00F647A2"/>
    <w:rsid w:val="00F64E3B"/>
    <w:rsid w:val="00F65911"/>
    <w:rsid w:val="00F66221"/>
    <w:rsid w:val="00F66BE6"/>
    <w:rsid w:val="00F67C41"/>
    <w:rsid w:val="00F7095B"/>
    <w:rsid w:val="00F711D9"/>
    <w:rsid w:val="00F7136F"/>
    <w:rsid w:val="00F719ED"/>
    <w:rsid w:val="00F71C49"/>
    <w:rsid w:val="00F71F6D"/>
    <w:rsid w:val="00F72737"/>
    <w:rsid w:val="00F73F24"/>
    <w:rsid w:val="00F7487E"/>
    <w:rsid w:val="00F74937"/>
    <w:rsid w:val="00F752E3"/>
    <w:rsid w:val="00F76004"/>
    <w:rsid w:val="00F766DB"/>
    <w:rsid w:val="00F76C94"/>
    <w:rsid w:val="00F76CDA"/>
    <w:rsid w:val="00F775C1"/>
    <w:rsid w:val="00F81041"/>
    <w:rsid w:val="00F8127A"/>
    <w:rsid w:val="00F81A8D"/>
    <w:rsid w:val="00F84234"/>
    <w:rsid w:val="00F8496F"/>
    <w:rsid w:val="00F85907"/>
    <w:rsid w:val="00F86161"/>
    <w:rsid w:val="00F8655C"/>
    <w:rsid w:val="00F86B26"/>
    <w:rsid w:val="00F877D1"/>
    <w:rsid w:val="00F90099"/>
    <w:rsid w:val="00F90AF4"/>
    <w:rsid w:val="00F926DE"/>
    <w:rsid w:val="00F92D88"/>
    <w:rsid w:val="00F9363E"/>
    <w:rsid w:val="00F947C0"/>
    <w:rsid w:val="00F94F5C"/>
    <w:rsid w:val="00F96164"/>
    <w:rsid w:val="00F96288"/>
    <w:rsid w:val="00F963CD"/>
    <w:rsid w:val="00F965FC"/>
    <w:rsid w:val="00F9699E"/>
    <w:rsid w:val="00F96F52"/>
    <w:rsid w:val="00F9733C"/>
    <w:rsid w:val="00F9769C"/>
    <w:rsid w:val="00F97759"/>
    <w:rsid w:val="00FA1554"/>
    <w:rsid w:val="00FA16A3"/>
    <w:rsid w:val="00FA1F6A"/>
    <w:rsid w:val="00FA36A5"/>
    <w:rsid w:val="00FA3C9B"/>
    <w:rsid w:val="00FA544B"/>
    <w:rsid w:val="00FA6669"/>
    <w:rsid w:val="00FA6B7B"/>
    <w:rsid w:val="00FA7270"/>
    <w:rsid w:val="00FA7418"/>
    <w:rsid w:val="00FA74DC"/>
    <w:rsid w:val="00FB05F6"/>
    <w:rsid w:val="00FB24C5"/>
    <w:rsid w:val="00FB2F75"/>
    <w:rsid w:val="00FB2FB5"/>
    <w:rsid w:val="00FB4528"/>
    <w:rsid w:val="00FB48C7"/>
    <w:rsid w:val="00FB5695"/>
    <w:rsid w:val="00FB7827"/>
    <w:rsid w:val="00FB7C13"/>
    <w:rsid w:val="00FB7EFC"/>
    <w:rsid w:val="00FC0EAA"/>
    <w:rsid w:val="00FC1BE1"/>
    <w:rsid w:val="00FC3239"/>
    <w:rsid w:val="00FC3B6E"/>
    <w:rsid w:val="00FC617C"/>
    <w:rsid w:val="00FC62F0"/>
    <w:rsid w:val="00FC65F2"/>
    <w:rsid w:val="00FC7CC6"/>
    <w:rsid w:val="00FD0224"/>
    <w:rsid w:val="00FD25F4"/>
    <w:rsid w:val="00FD384C"/>
    <w:rsid w:val="00FD3DEA"/>
    <w:rsid w:val="00FD4025"/>
    <w:rsid w:val="00FD417F"/>
    <w:rsid w:val="00FD4C2D"/>
    <w:rsid w:val="00FD5C9D"/>
    <w:rsid w:val="00FD7844"/>
    <w:rsid w:val="00FE3134"/>
    <w:rsid w:val="00FE47D0"/>
    <w:rsid w:val="00FE488C"/>
    <w:rsid w:val="00FE4E85"/>
    <w:rsid w:val="00FE5FBA"/>
    <w:rsid w:val="00FE63B5"/>
    <w:rsid w:val="00FE6530"/>
    <w:rsid w:val="00FE6954"/>
    <w:rsid w:val="00FE7FB6"/>
    <w:rsid w:val="00FF30A8"/>
    <w:rsid w:val="00FF3417"/>
    <w:rsid w:val="00FF41DA"/>
    <w:rsid w:val="00FF43B5"/>
    <w:rsid w:val="00FF463F"/>
    <w:rsid w:val="00FF590E"/>
    <w:rsid w:val="00FF5A05"/>
    <w:rsid w:val="4369B7F1"/>
    <w:rsid w:val="5A0B6603"/>
    <w:rsid w:val="6AF8C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C0FE"/>
  <w15:chartTrackingRefBased/>
  <w15:docId w15:val="{C4B387A0-95E9-4128-8D25-DFBACF9F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B2C98"/>
    <w:pPr>
      <w:spacing w:after="0" w:line="240" w:lineRule="auto"/>
    </w:pPr>
    <w:rPr>
      <w:sz w:val="20"/>
      <w:szCs w:val="20"/>
    </w:rPr>
  </w:style>
  <w:style w:type="character" w:customStyle="1" w:styleId="FootnoteTextChar">
    <w:name w:val="Footnote Text Char"/>
    <w:basedOn w:val="DefaultParagraphFont"/>
    <w:link w:val="FootnoteText"/>
    <w:uiPriority w:val="99"/>
    <w:rsid w:val="00BB2C98"/>
    <w:rPr>
      <w:sz w:val="20"/>
      <w:szCs w:val="20"/>
    </w:rPr>
  </w:style>
  <w:style w:type="character" w:styleId="FootnoteReference">
    <w:name w:val="footnote reference"/>
    <w:basedOn w:val="DefaultParagraphFont"/>
    <w:uiPriority w:val="99"/>
    <w:semiHidden/>
    <w:unhideWhenUsed/>
    <w:rsid w:val="00BB2C98"/>
    <w:rPr>
      <w:vertAlign w:val="superscript"/>
    </w:rPr>
  </w:style>
  <w:style w:type="paragraph" w:styleId="ListParagraph">
    <w:name w:val="List Paragraph"/>
    <w:basedOn w:val="Normal"/>
    <w:uiPriority w:val="34"/>
    <w:qFormat/>
    <w:rsid w:val="00E146D1"/>
    <w:pPr>
      <w:ind w:left="720"/>
      <w:contextualSpacing/>
    </w:pPr>
  </w:style>
  <w:style w:type="character" w:styleId="PlaceholderText">
    <w:name w:val="Placeholder Text"/>
    <w:basedOn w:val="DefaultParagraphFont"/>
    <w:uiPriority w:val="99"/>
    <w:semiHidden/>
    <w:rsid w:val="0045357E"/>
    <w:rPr>
      <w:color w:val="808080"/>
    </w:rPr>
  </w:style>
  <w:style w:type="table" w:styleId="TableGrid">
    <w:name w:val="Table Grid"/>
    <w:basedOn w:val="TableNormal"/>
    <w:uiPriority w:val="39"/>
    <w:rsid w:val="0096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F63"/>
    <w:rPr>
      <w:color w:val="0563C1"/>
      <w:u w:val="single"/>
    </w:rPr>
  </w:style>
  <w:style w:type="character" w:styleId="FollowedHyperlink">
    <w:name w:val="FollowedHyperlink"/>
    <w:basedOn w:val="DefaultParagraphFont"/>
    <w:uiPriority w:val="99"/>
    <w:semiHidden/>
    <w:unhideWhenUsed/>
    <w:rsid w:val="006B3F63"/>
    <w:rPr>
      <w:color w:val="954F72"/>
      <w:u w:val="single"/>
    </w:rPr>
  </w:style>
  <w:style w:type="paragraph" w:customStyle="1" w:styleId="msonormal0">
    <w:name w:val="msonormal"/>
    <w:basedOn w:val="Normal"/>
    <w:rsid w:val="006B3F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B3F63"/>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6">
    <w:name w:val="xl66"/>
    <w:basedOn w:val="Normal"/>
    <w:rsid w:val="006B3F63"/>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7">
    <w:name w:val="xl67"/>
    <w:basedOn w:val="Normal"/>
    <w:rsid w:val="006B3F63"/>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9">
    <w:name w:val="xl69"/>
    <w:basedOn w:val="Normal"/>
    <w:rsid w:val="006B3F6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0">
    <w:name w:val="xl70"/>
    <w:basedOn w:val="Normal"/>
    <w:rsid w:val="006B3F6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1">
    <w:name w:val="xl71"/>
    <w:basedOn w:val="Normal"/>
    <w:rsid w:val="006B3F63"/>
    <w:pPr>
      <w:pBdr>
        <w:bottom w:val="double" w:sz="6"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2">
    <w:name w:val="xl72"/>
    <w:basedOn w:val="Normal"/>
    <w:rsid w:val="006B3F63"/>
    <w:pPr>
      <w:pBdr>
        <w:top w:val="double" w:sz="6"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3">
    <w:name w:val="xl73"/>
    <w:basedOn w:val="Normal"/>
    <w:rsid w:val="006B3F6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4">
    <w:name w:val="xl74"/>
    <w:basedOn w:val="Normal"/>
    <w:rsid w:val="006B3F63"/>
    <w:pPr>
      <w:pBdr>
        <w:bottom w:val="double" w:sz="6"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5">
    <w:name w:val="xl75"/>
    <w:basedOn w:val="Normal"/>
    <w:rsid w:val="006B3F63"/>
    <w:pPr>
      <w:pBdr>
        <w:bottom w:val="double"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6">
    <w:name w:val="xl76"/>
    <w:basedOn w:val="Normal"/>
    <w:rsid w:val="006B3F63"/>
    <w:pPr>
      <w:pBdr>
        <w:bottom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7">
    <w:name w:val="xl77"/>
    <w:basedOn w:val="Normal"/>
    <w:rsid w:val="006B3F63"/>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6D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183"/>
  </w:style>
  <w:style w:type="paragraph" w:styleId="Footer">
    <w:name w:val="footer"/>
    <w:basedOn w:val="Normal"/>
    <w:link w:val="FooterChar"/>
    <w:uiPriority w:val="99"/>
    <w:unhideWhenUsed/>
    <w:rsid w:val="006D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183"/>
  </w:style>
  <w:style w:type="character" w:customStyle="1" w:styleId="authors">
    <w:name w:val="authors"/>
    <w:basedOn w:val="DefaultParagraphFont"/>
    <w:rsid w:val="004E2745"/>
  </w:style>
  <w:style w:type="character" w:customStyle="1" w:styleId="Date1">
    <w:name w:val="Date1"/>
    <w:basedOn w:val="DefaultParagraphFont"/>
    <w:rsid w:val="004E2745"/>
  </w:style>
  <w:style w:type="character" w:customStyle="1" w:styleId="arttitle">
    <w:name w:val="art_title"/>
    <w:basedOn w:val="DefaultParagraphFont"/>
    <w:rsid w:val="004E2745"/>
  </w:style>
  <w:style w:type="character" w:customStyle="1" w:styleId="serialtitle">
    <w:name w:val="serial_title"/>
    <w:basedOn w:val="DefaultParagraphFont"/>
    <w:rsid w:val="004E2745"/>
  </w:style>
  <w:style w:type="character" w:customStyle="1" w:styleId="volumeissue">
    <w:name w:val="volume_issue"/>
    <w:basedOn w:val="DefaultParagraphFont"/>
    <w:rsid w:val="004E2745"/>
  </w:style>
  <w:style w:type="character" w:customStyle="1" w:styleId="pagerange">
    <w:name w:val="page_range"/>
    <w:basedOn w:val="DefaultParagraphFont"/>
    <w:rsid w:val="004E2745"/>
  </w:style>
  <w:style w:type="character" w:customStyle="1" w:styleId="field-content">
    <w:name w:val="field-content"/>
    <w:basedOn w:val="DefaultParagraphFont"/>
    <w:rsid w:val="004E2745"/>
  </w:style>
  <w:style w:type="character" w:styleId="Emphasis">
    <w:name w:val="Emphasis"/>
    <w:basedOn w:val="DefaultParagraphFont"/>
    <w:uiPriority w:val="20"/>
    <w:qFormat/>
    <w:rsid w:val="004E2745"/>
    <w:rPr>
      <w:i/>
      <w:iCs/>
    </w:rPr>
  </w:style>
  <w:style w:type="character" w:customStyle="1" w:styleId="Date2">
    <w:name w:val="Date2"/>
    <w:basedOn w:val="DefaultParagraphFont"/>
    <w:rsid w:val="004E2745"/>
  </w:style>
  <w:style w:type="character" w:styleId="CommentReference">
    <w:name w:val="annotation reference"/>
    <w:basedOn w:val="DefaultParagraphFont"/>
    <w:uiPriority w:val="99"/>
    <w:semiHidden/>
    <w:unhideWhenUsed/>
    <w:rsid w:val="00181451"/>
    <w:rPr>
      <w:sz w:val="16"/>
      <w:szCs w:val="16"/>
    </w:rPr>
  </w:style>
  <w:style w:type="paragraph" w:styleId="CommentText">
    <w:name w:val="annotation text"/>
    <w:basedOn w:val="Normal"/>
    <w:link w:val="CommentTextChar"/>
    <w:uiPriority w:val="99"/>
    <w:unhideWhenUsed/>
    <w:rsid w:val="00181451"/>
    <w:pPr>
      <w:spacing w:line="240" w:lineRule="auto"/>
    </w:pPr>
    <w:rPr>
      <w:sz w:val="20"/>
      <w:szCs w:val="20"/>
    </w:rPr>
  </w:style>
  <w:style w:type="character" w:customStyle="1" w:styleId="CommentTextChar">
    <w:name w:val="Comment Text Char"/>
    <w:basedOn w:val="DefaultParagraphFont"/>
    <w:link w:val="CommentText"/>
    <w:uiPriority w:val="99"/>
    <w:rsid w:val="00181451"/>
    <w:rPr>
      <w:sz w:val="20"/>
      <w:szCs w:val="20"/>
    </w:rPr>
  </w:style>
  <w:style w:type="paragraph" w:styleId="CommentSubject">
    <w:name w:val="annotation subject"/>
    <w:basedOn w:val="CommentText"/>
    <w:next w:val="CommentText"/>
    <w:link w:val="CommentSubjectChar"/>
    <w:uiPriority w:val="99"/>
    <w:semiHidden/>
    <w:unhideWhenUsed/>
    <w:rsid w:val="00181451"/>
    <w:rPr>
      <w:b/>
      <w:bCs/>
    </w:rPr>
  </w:style>
  <w:style w:type="character" w:customStyle="1" w:styleId="CommentSubjectChar">
    <w:name w:val="Comment Subject Char"/>
    <w:basedOn w:val="CommentTextChar"/>
    <w:link w:val="CommentSubject"/>
    <w:uiPriority w:val="99"/>
    <w:semiHidden/>
    <w:rsid w:val="00181451"/>
    <w:rPr>
      <w:b/>
      <w:bCs/>
      <w:sz w:val="20"/>
      <w:szCs w:val="20"/>
    </w:rPr>
  </w:style>
  <w:style w:type="character" w:styleId="UnresolvedMention">
    <w:name w:val="Unresolved Mention"/>
    <w:basedOn w:val="DefaultParagraphFont"/>
    <w:uiPriority w:val="99"/>
    <w:semiHidden/>
    <w:unhideWhenUsed/>
    <w:rsid w:val="007D6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63">
      <w:bodyDiv w:val="1"/>
      <w:marLeft w:val="0"/>
      <w:marRight w:val="0"/>
      <w:marTop w:val="0"/>
      <w:marBottom w:val="0"/>
      <w:divBdr>
        <w:top w:val="none" w:sz="0" w:space="0" w:color="auto"/>
        <w:left w:val="none" w:sz="0" w:space="0" w:color="auto"/>
        <w:bottom w:val="none" w:sz="0" w:space="0" w:color="auto"/>
        <w:right w:val="none" w:sz="0" w:space="0" w:color="auto"/>
      </w:divBdr>
    </w:div>
    <w:div w:id="7875546">
      <w:bodyDiv w:val="1"/>
      <w:marLeft w:val="0"/>
      <w:marRight w:val="0"/>
      <w:marTop w:val="0"/>
      <w:marBottom w:val="0"/>
      <w:divBdr>
        <w:top w:val="none" w:sz="0" w:space="0" w:color="auto"/>
        <w:left w:val="none" w:sz="0" w:space="0" w:color="auto"/>
        <w:bottom w:val="none" w:sz="0" w:space="0" w:color="auto"/>
        <w:right w:val="none" w:sz="0" w:space="0" w:color="auto"/>
      </w:divBdr>
    </w:div>
    <w:div w:id="31733381">
      <w:bodyDiv w:val="1"/>
      <w:marLeft w:val="0"/>
      <w:marRight w:val="0"/>
      <w:marTop w:val="0"/>
      <w:marBottom w:val="0"/>
      <w:divBdr>
        <w:top w:val="none" w:sz="0" w:space="0" w:color="auto"/>
        <w:left w:val="none" w:sz="0" w:space="0" w:color="auto"/>
        <w:bottom w:val="none" w:sz="0" w:space="0" w:color="auto"/>
        <w:right w:val="none" w:sz="0" w:space="0" w:color="auto"/>
      </w:divBdr>
    </w:div>
    <w:div w:id="57556947">
      <w:bodyDiv w:val="1"/>
      <w:marLeft w:val="0"/>
      <w:marRight w:val="0"/>
      <w:marTop w:val="0"/>
      <w:marBottom w:val="0"/>
      <w:divBdr>
        <w:top w:val="none" w:sz="0" w:space="0" w:color="auto"/>
        <w:left w:val="none" w:sz="0" w:space="0" w:color="auto"/>
        <w:bottom w:val="none" w:sz="0" w:space="0" w:color="auto"/>
        <w:right w:val="none" w:sz="0" w:space="0" w:color="auto"/>
      </w:divBdr>
    </w:div>
    <w:div w:id="61635786">
      <w:bodyDiv w:val="1"/>
      <w:marLeft w:val="0"/>
      <w:marRight w:val="0"/>
      <w:marTop w:val="0"/>
      <w:marBottom w:val="0"/>
      <w:divBdr>
        <w:top w:val="none" w:sz="0" w:space="0" w:color="auto"/>
        <w:left w:val="none" w:sz="0" w:space="0" w:color="auto"/>
        <w:bottom w:val="none" w:sz="0" w:space="0" w:color="auto"/>
        <w:right w:val="none" w:sz="0" w:space="0" w:color="auto"/>
      </w:divBdr>
    </w:div>
    <w:div w:id="62026974">
      <w:bodyDiv w:val="1"/>
      <w:marLeft w:val="0"/>
      <w:marRight w:val="0"/>
      <w:marTop w:val="0"/>
      <w:marBottom w:val="0"/>
      <w:divBdr>
        <w:top w:val="none" w:sz="0" w:space="0" w:color="auto"/>
        <w:left w:val="none" w:sz="0" w:space="0" w:color="auto"/>
        <w:bottom w:val="none" w:sz="0" w:space="0" w:color="auto"/>
        <w:right w:val="none" w:sz="0" w:space="0" w:color="auto"/>
      </w:divBdr>
    </w:div>
    <w:div w:id="76093900">
      <w:bodyDiv w:val="1"/>
      <w:marLeft w:val="0"/>
      <w:marRight w:val="0"/>
      <w:marTop w:val="0"/>
      <w:marBottom w:val="0"/>
      <w:divBdr>
        <w:top w:val="none" w:sz="0" w:space="0" w:color="auto"/>
        <w:left w:val="none" w:sz="0" w:space="0" w:color="auto"/>
        <w:bottom w:val="none" w:sz="0" w:space="0" w:color="auto"/>
        <w:right w:val="none" w:sz="0" w:space="0" w:color="auto"/>
      </w:divBdr>
    </w:div>
    <w:div w:id="170528738">
      <w:bodyDiv w:val="1"/>
      <w:marLeft w:val="0"/>
      <w:marRight w:val="0"/>
      <w:marTop w:val="0"/>
      <w:marBottom w:val="0"/>
      <w:divBdr>
        <w:top w:val="none" w:sz="0" w:space="0" w:color="auto"/>
        <w:left w:val="none" w:sz="0" w:space="0" w:color="auto"/>
        <w:bottom w:val="none" w:sz="0" w:space="0" w:color="auto"/>
        <w:right w:val="none" w:sz="0" w:space="0" w:color="auto"/>
      </w:divBdr>
    </w:div>
    <w:div w:id="182519066">
      <w:bodyDiv w:val="1"/>
      <w:marLeft w:val="0"/>
      <w:marRight w:val="0"/>
      <w:marTop w:val="0"/>
      <w:marBottom w:val="0"/>
      <w:divBdr>
        <w:top w:val="none" w:sz="0" w:space="0" w:color="auto"/>
        <w:left w:val="none" w:sz="0" w:space="0" w:color="auto"/>
        <w:bottom w:val="none" w:sz="0" w:space="0" w:color="auto"/>
        <w:right w:val="none" w:sz="0" w:space="0" w:color="auto"/>
      </w:divBdr>
    </w:div>
    <w:div w:id="208346508">
      <w:bodyDiv w:val="1"/>
      <w:marLeft w:val="0"/>
      <w:marRight w:val="0"/>
      <w:marTop w:val="0"/>
      <w:marBottom w:val="0"/>
      <w:divBdr>
        <w:top w:val="none" w:sz="0" w:space="0" w:color="auto"/>
        <w:left w:val="none" w:sz="0" w:space="0" w:color="auto"/>
        <w:bottom w:val="none" w:sz="0" w:space="0" w:color="auto"/>
        <w:right w:val="none" w:sz="0" w:space="0" w:color="auto"/>
      </w:divBdr>
    </w:div>
    <w:div w:id="211120033">
      <w:bodyDiv w:val="1"/>
      <w:marLeft w:val="0"/>
      <w:marRight w:val="0"/>
      <w:marTop w:val="0"/>
      <w:marBottom w:val="0"/>
      <w:divBdr>
        <w:top w:val="none" w:sz="0" w:space="0" w:color="auto"/>
        <w:left w:val="none" w:sz="0" w:space="0" w:color="auto"/>
        <w:bottom w:val="none" w:sz="0" w:space="0" w:color="auto"/>
        <w:right w:val="none" w:sz="0" w:space="0" w:color="auto"/>
      </w:divBdr>
    </w:div>
    <w:div w:id="246813714">
      <w:bodyDiv w:val="1"/>
      <w:marLeft w:val="0"/>
      <w:marRight w:val="0"/>
      <w:marTop w:val="0"/>
      <w:marBottom w:val="0"/>
      <w:divBdr>
        <w:top w:val="none" w:sz="0" w:space="0" w:color="auto"/>
        <w:left w:val="none" w:sz="0" w:space="0" w:color="auto"/>
        <w:bottom w:val="none" w:sz="0" w:space="0" w:color="auto"/>
        <w:right w:val="none" w:sz="0" w:space="0" w:color="auto"/>
      </w:divBdr>
    </w:div>
    <w:div w:id="261499544">
      <w:bodyDiv w:val="1"/>
      <w:marLeft w:val="0"/>
      <w:marRight w:val="0"/>
      <w:marTop w:val="0"/>
      <w:marBottom w:val="0"/>
      <w:divBdr>
        <w:top w:val="none" w:sz="0" w:space="0" w:color="auto"/>
        <w:left w:val="none" w:sz="0" w:space="0" w:color="auto"/>
        <w:bottom w:val="none" w:sz="0" w:space="0" w:color="auto"/>
        <w:right w:val="none" w:sz="0" w:space="0" w:color="auto"/>
      </w:divBdr>
    </w:div>
    <w:div w:id="267858848">
      <w:bodyDiv w:val="1"/>
      <w:marLeft w:val="0"/>
      <w:marRight w:val="0"/>
      <w:marTop w:val="0"/>
      <w:marBottom w:val="0"/>
      <w:divBdr>
        <w:top w:val="none" w:sz="0" w:space="0" w:color="auto"/>
        <w:left w:val="none" w:sz="0" w:space="0" w:color="auto"/>
        <w:bottom w:val="none" w:sz="0" w:space="0" w:color="auto"/>
        <w:right w:val="none" w:sz="0" w:space="0" w:color="auto"/>
      </w:divBdr>
    </w:div>
    <w:div w:id="286276689">
      <w:bodyDiv w:val="1"/>
      <w:marLeft w:val="0"/>
      <w:marRight w:val="0"/>
      <w:marTop w:val="0"/>
      <w:marBottom w:val="0"/>
      <w:divBdr>
        <w:top w:val="none" w:sz="0" w:space="0" w:color="auto"/>
        <w:left w:val="none" w:sz="0" w:space="0" w:color="auto"/>
        <w:bottom w:val="none" w:sz="0" w:space="0" w:color="auto"/>
        <w:right w:val="none" w:sz="0" w:space="0" w:color="auto"/>
      </w:divBdr>
    </w:div>
    <w:div w:id="289282037">
      <w:bodyDiv w:val="1"/>
      <w:marLeft w:val="0"/>
      <w:marRight w:val="0"/>
      <w:marTop w:val="0"/>
      <w:marBottom w:val="0"/>
      <w:divBdr>
        <w:top w:val="none" w:sz="0" w:space="0" w:color="auto"/>
        <w:left w:val="none" w:sz="0" w:space="0" w:color="auto"/>
        <w:bottom w:val="none" w:sz="0" w:space="0" w:color="auto"/>
        <w:right w:val="none" w:sz="0" w:space="0" w:color="auto"/>
      </w:divBdr>
    </w:div>
    <w:div w:id="312761884">
      <w:bodyDiv w:val="1"/>
      <w:marLeft w:val="0"/>
      <w:marRight w:val="0"/>
      <w:marTop w:val="0"/>
      <w:marBottom w:val="0"/>
      <w:divBdr>
        <w:top w:val="none" w:sz="0" w:space="0" w:color="auto"/>
        <w:left w:val="none" w:sz="0" w:space="0" w:color="auto"/>
        <w:bottom w:val="none" w:sz="0" w:space="0" w:color="auto"/>
        <w:right w:val="none" w:sz="0" w:space="0" w:color="auto"/>
      </w:divBdr>
    </w:div>
    <w:div w:id="336152932">
      <w:bodyDiv w:val="1"/>
      <w:marLeft w:val="0"/>
      <w:marRight w:val="0"/>
      <w:marTop w:val="0"/>
      <w:marBottom w:val="0"/>
      <w:divBdr>
        <w:top w:val="none" w:sz="0" w:space="0" w:color="auto"/>
        <w:left w:val="none" w:sz="0" w:space="0" w:color="auto"/>
        <w:bottom w:val="none" w:sz="0" w:space="0" w:color="auto"/>
        <w:right w:val="none" w:sz="0" w:space="0" w:color="auto"/>
      </w:divBdr>
    </w:div>
    <w:div w:id="381026546">
      <w:bodyDiv w:val="1"/>
      <w:marLeft w:val="0"/>
      <w:marRight w:val="0"/>
      <w:marTop w:val="0"/>
      <w:marBottom w:val="0"/>
      <w:divBdr>
        <w:top w:val="none" w:sz="0" w:space="0" w:color="auto"/>
        <w:left w:val="none" w:sz="0" w:space="0" w:color="auto"/>
        <w:bottom w:val="none" w:sz="0" w:space="0" w:color="auto"/>
        <w:right w:val="none" w:sz="0" w:space="0" w:color="auto"/>
      </w:divBdr>
    </w:div>
    <w:div w:id="396127867">
      <w:bodyDiv w:val="1"/>
      <w:marLeft w:val="0"/>
      <w:marRight w:val="0"/>
      <w:marTop w:val="0"/>
      <w:marBottom w:val="0"/>
      <w:divBdr>
        <w:top w:val="none" w:sz="0" w:space="0" w:color="auto"/>
        <w:left w:val="none" w:sz="0" w:space="0" w:color="auto"/>
        <w:bottom w:val="none" w:sz="0" w:space="0" w:color="auto"/>
        <w:right w:val="none" w:sz="0" w:space="0" w:color="auto"/>
      </w:divBdr>
    </w:div>
    <w:div w:id="403186857">
      <w:bodyDiv w:val="1"/>
      <w:marLeft w:val="0"/>
      <w:marRight w:val="0"/>
      <w:marTop w:val="0"/>
      <w:marBottom w:val="0"/>
      <w:divBdr>
        <w:top w:val="none" w:sz="0" w:space="0" w:color="auto"/>
        <w:left w:val="none" w:sz="0" w:space="0" w:color="auto"/>
        <w:bottom w:val="none" w:sz="0" w:space="0" w:color="auto"/>
        <w:right w:val="none" w:sz="0" w:space="0" w:color="auto"/>
      </w:divBdr>
    </w:div>
    <w:div w:id="412776923">
      <w:bodyDiv w:val="1"/>
      <w:marLeft w:val="0"/>
      <w:marRight w:val="0"/>
      <w:marTop w:val="0"/>
      <w:marBottom w:val="0"/>
      <w:divBdr>
        <w:top w:val="none" w:sz="0" w:space="0" w:color="auto"/>
        <w:left w:val="none" w:sz="0" w:space="0" w:color="auto"/>
        <w:bottom w:val="none" w:sz="0" w:space="0" w:color="auto"/>
        <w:right w:val="none" w:sz="0" w:space="0" w:color="auto"/>
      </w:divBdr>
    </w:div>
    <w:div w:id="426853397">
      <w:bodyDiv w:val="1"/>
      <w:marLeft w:val="0"/>
      <w:marRight w:val="0"/>
      <w:marTop w:val="0"/>
      <w:marBottom w:val="0"/>
      <w:divBdr>
        <w:top w:val="none" w:sz="0" w:space="0" w:color="auto"/>
        <w:left w:val="none" w:sz="0" w:space="0" w:color="auto"/>
        <w:bottom w:val="none" w:sz="0" w:space="0" w:color="auto"/>
        <w:right w:val="none" w:sz="0" w:space="0" w:color="auto"/>
      </w:divBdr>
    </w:div>
    <w:div w:id="465195626">
      <w:bodyDiv w:val="1"/>
      <w:marLeft w:val="0"/>
      <w:marRight w:val="0"/>
      <w:marTop w:val="0"/>
      <w:marBottom w:val="0"/>
      <w:divBdr>
        <w:top w:val="none" w:sz="0" w:space="0" w:color="auto"/>
        <w:left w:val="none" w:sz="0" w:space="0" w:color="auto"/>
        <w:bottom w:val="none" w:sz="0" w:space="0" w:color="auto"/>
        <w:right w:val="none" w:sz="0" w:space="0" w:color="auto"/>
      </w:divBdr>
    </w:div>
    <w:div w:id="475337662">
      <w:bodyDiv w:val="1"/>
      <w:marLeft w:val="0"/>
      <w:marRight w:val="0"/>
      <w:marTop w:val="0"/>
      <w:marBottom w:val="0"/>
      <w:divBdr>
        <w:top w:val="none" w:sz="0" w:space="0" w:color="auto"/>
        <w:left w:val="none" w:sz="0" w:space="0" w:color="auto"/>
        <w:bottom w:val="none" w:sz="0" w:space="0" w:color="auto"/>
        <w:right w:val="none" w:sz="0" w:space="0" w:color="auto"/>
      </w:divBdr>
    </w:div>
    <w:div w:id="493645851">
      <w:bodyDiv w:val="1"/>
      <w:marLeft w:val="0"/>
      <w:marRight w:val="0"/>
      <w:marTop w:val="0"/>
      <w:marBottom w:val="0"/>
      <w:divBdr>
        <w:top w:val="none" w:sz="0" w:space="0" w:color="auto"/>
        <w:left w:val="none" w:sz="0" w:space="0" w:color="auto"/>
        <w:bottom w:val="none" w:sz="0" w:space="0" w:color="auto"/>
        <w:right w:val="none" w:sz="0" w:space="0" w:color="auto"/>
      </w:divBdr>
    </w:div>
    <w:div w:id="518474602">
      <w:bodyDiv w:val="1"/>
      <w:marLeft w:val="0"/>
      <w:marRight w:val="0"/>
      <w:marTop w:val="0"/>
      <w:marBottom w:val="0"/>
      <w:divBdr>
        <w:top w:val="none" w:sz="0" w:space="0" w:color="auto"/>
        <w:left w:val="none" w:sz="0" w:space="0" w:color="auto"/>
        <w:bottom w:val="none" w:sz="0" w:space="0" w:color="auto"/>
        <w:right w:val="none" w:sz="0" w:space="0" w:color="auto"/>
      </w:divBdr>
    </w:div>
    <w:div w:id="526795894">
      <w:bodyDiv w:val="1"/>
      <w:marLeft w:val="0"/>
      <w:marRight w:val="0"/>
      <w:marTop w:val="0"/>
      <w:marBottom w:val="0"/>
      <w:divBdr>
        <w:top w:val="none" w:sz="0" w:space="0" w:color="auto"/>
        <w:left w:val="none" w:sz="0" w:space="0" w:color="auto"/>
        <w:bottom w:val="none" w:sz="0" w:space="0" w:color="auto"/>
        <w:right w:val="none" w:sz="0" w:space="0" w:color="auto"/>
      </w:divBdr>
    </w:div>
    <w:div w:id="537200534">
      <w:bodyDiv w:val="1"/>
      <w:marLeft w:val="0"/>
      <w:marRight w:val="0"/>
      <w:marTop w:val="0"/>
      <w:marBottom w:val="0"/>
      <w:divBdr>
        <w:top w:val="none" w:sz="0" w:space="0" w:color="auto"/>
        <w:left w:val="none" w:sz="0" w:space="0" w:color="auto"/>
        <w:bottom w:val="none" w:sz="0" w:space="0" w:color="auto"/>
        <w:right w:val="none" w:sz="0" w:space="0" w:color="auto"/>
      </w:divBdr>
    </w:div>
    <w:div w:id="562253646">
      <w:bodyDiv w:val="1"/>
      <w:marLeft w:val="0"/>
      <w:marRight w:val="0"/>
      <w:marTop w:val="0"/>
      <w:marBottom w:val="0"/>
      <w:divBdr>
        <w:top w:val="none" w:sz="0" w:space="0" w:color="auto"/>
        <w:left w:val="none" w:sz="0" w:space="0" w:color="auto"/>
        <w:bottom w:val="none" w:sz="0" w:space="0" w:color="auto"/>
        <w:right w:val="none" w:sz="0" w:space="0" w:color="auto"/>
      </w:divBdr>
    </w:div>
    <w:div w:id="567109740">
      <w:bodyDiv w:val="1"/>
      <w:marLeft w:val="0"/>
      <w:marRight w:val="0"/>
      <w:marTop w:val="0"/>
      <w:marBottom w:val="0"/>
      <w:divBdr>
        <w:top w:val="none" w:sz="0" w:space="0" w:color="auto"/>
        <w:left w:val="none" w:sz="0" w:space="0" w:color="auto"/>
        <w:bottom w:val="none" w:sz="0" w:space="0" w:color="auto"/>
        <w:right w:val="none" w:sz="0" w:space="0" w:color="auto"/>
      </w:divBdr>
    </w:div>
    <w:div w:id="576015680">
      <w:bodyDiv w:val="1"/>
      <w:marLeft w:val="0"/>
      <w:marRight w:val="0"/>
      <w:marTop w:val="0"/>
      <w:marBottom w:val="0"/>
      <w:divBdr>
        <w:top w:val="none" w:sz="0" w:space="0" w:color="auto"/>
        <w:left w:val="none" w:sz="0" w:space="0" w:color="auto"/>
        <w:bottom w:val="none" w:sz="0" w:space="0" w:color="auto"/>
        <w:right w:val="none" w:sz="0" w:space="0" w:color="auto"/>
      </w:divBdr>
    </w:div>
    <w:div w:id="680619613">
      <w:bodyDiv w:val="1"/>
      <w:marLeft w:val="0"/>
      <w:marRight w:val="0"/>
      <w:marTop w:val="0"/>
      <w:marBottom w:val="0"/>
      <w:divBdr>
        <w:top w:val="none" w:sz="0" w:space="0" w:color="auto"/>
        <w:left w:val="none" w:sz="0" w:space="0" w:color="auto"/>
        <w:bottom w:val="none" w:sz="0" w:space="0" w:color="auto"/>
        <w:right w:val="none" w:sz="0" w:space="0" w:color="auto"/>
      </w:divBdr>
    </w:div>
    <w:div w:id="700714275">
      <w:bodyDiv w:val="1"/>
      <w:marLeft w:val="0"/>
      <w:marRight w:val="0"/>
      <w:marTop w:val="0"/>
      <w:marBottom w:val="0"/>
      <w:divBdr>
        <w:top w:val="none" w:sz="0" w:space="0" w:color="auto"/>
        <w:left w:val="none" w:sz="0" w:space="0" w:color="auto"/>
        <w:bottom w:val="none" w:sz="0" w:space="0" w:color="auto"/>
        <w:right w:val="none" w:sz="0" w:space="0" w:color="auto"/>
      </w:divBdr>
    </w:div>
    <w:div w:id="716468967">
      <w:bodyDiv w:val="1"/>
      <w:marLeft w:val="0"/>
      <w:marRight w:val="0"/>
      <w:marTop w:val="0"/>
      <w:marBottom w:val="0"/>
      <w:divBdr>
        <w:top w:val="none" w:sz="0" w:space="0" w:color="auto"/>
        <w:left w:val="none" w:sz="0" w:space="0" w:color="auto"/>
        <w:bottom w:val="none" w:sz="0" w:space="0" w:color="auto"/>
        <w:right w:val="none" w:sz="0" w:space="0" w:color="auto"/>
      </w:divBdr>
    </w:div>
    <w:div w:id="764232719">
      <w:bodyDiv w:val="1"/>
      <w:marLeft w:val="0"/>
      <w:marRight w:val="0"/>
      <w:marTop w:val="0"/>
      <w:marBottom w:val="0"/>
      <w:divBdr>
        <w:top w:val="none" w:sz="0" w:space="0" w:color="auto"/>
        <w:left w:val="none" w:sz="0" w:space="0" w:color="auto"/>
        <w:bottom w:val="none" w:sz="0" w:space="0" w:color="auto"/>
        <w:right w:val="none" w:sz="0" w:space="0" w:color="auto"/>
      </w:divBdr>
    </w:div>
    <w:div w:id="852377696">
      <w:bodyDiv w:val="1"/>
      <w:marLeft w:val="0"/>
      <w:marRight w:val="0"/>
      <w:marTop w:val="0"/>
      <w:marBottom w:val="0"/>
      <w:divBdr>
        <w:top w:val="none" w:sz="0" w:space="0" w:color="auto"/>
        <w:left w:val="none" w:sz="0" w:space="0" w:color="auto"/>
        <w:bottom w:val="none" w:sz="0" w:space="0" w:color="auto"/>
        <w:right w:val="none" w:sz="0" w:space="0" w:color="auto"/>
      </w:divBdr>
    </w:div>
    <w:div w:id="855927418">
      <w:bodyDiv w:val="1"/>
      <w:marLeft w:val="0"/>
      <w:marRight w:val="0"/>
      <w:marTop w:val="0"/>
      <w:marBottom w:val="0"/>
      <w:divBdr>
        <w:top w:val="none" w:sz="0" w:space="0" w:color="auto"/>
        <w:left w:val="none" w:sz="0" w:space="0" w:color="auto"/>
        <w:bottom w:val="none" w:sz="0" w:space="0" w:color="auto"/>
        <w:right w:val="none" w:sz="0" w:space="0" w:color="auto"/>
      </w:divBdr>
    </w:div>
    <w:div w:id="869992930">
      <w:bodyDiv w:val="1"/>
      <w:marLeft w:val="0"/>
      <w:marRight w:val="0"/>
      <w:marTop w:val="0"/>
      <w:marBottom w:val="0"/>
      <w:divBdr>
        <w:top w:val="none" w:sz="0" w:space="0" w:color="auto"/>
        <w:left w:val="none" w:sz="0" w:space="0" w:color="auto"/>
        <w:bottom w:val="none" w:sz="0" w:space="0" w:color="auto"/>
        <w:right w:val="none" w:sz="0" w:space="0" w:color="auto"/>
      </w:divBdr>
    </w:div>
    <w:div w:id="870144336">
      <w:bodyDiv w:val="1"/>
      <w:marLeft w:val="0"/>
      <w:marRight w:val="0"/>
      <w:marTop w:val="0"/>
      <w:marBottom w:val="0"/>
      <w:divBdr>
        <w:top w:val="none" w:sz="0" w:space="0" w:color="auto"/>
        <w:left w:val="none" w:sz="0" w:space="0" w:color="auto"/>
        <w:bottom w:val="none" w:sz="0" w:space="0" w:color="auto"/>
        <w:right w:val="none" w:sz="0" w:space="0" w:color="auto"/>
      </w:divBdr>
    </w:div>
    <w:div w:id="886457114">
      <w:bodyDiv w:val="1"/>
      <w:marLeft w:val="0"/>
      <w:marRight w:val="0"/>
      <w:marTop w:val="0"/>
      <w:marBottom w:val="0"/>
      <w:divBdr>
        <w:top w:val="none" w:sz="0" w:space="0" w:color="auto"/>
        <w:left w:val="none" w:sz="0" w:space="0" w:color="auto"/>
        <w:bottom w:val="none" w:sz="0" w:space="0" w:color="auto"/>
        <w:right w:val="none" w:sz="0" w:space="0" w:color="auto"/>
      </w:divBdr>
    </w:div>
    <w:div w:id="925456337">
      <w:bodyDiv w:val="1"/>
      <w:marLeft w:val="0"/>
      <w:marRight w:val="0"/>
      <w:marTop w:val="0"/>
      <w:marBottom w:val="0"/>
      <w:divBdr>
        <w:top w:val="none" w:sz="0" w:space="0" w:color="auto"/>
        <w:left w:val="none" w:sz="0" w:space="0" w:color="auto"/>
        <w:bottom w:val="none" w:sz="0" w:space="0" w:color="auto"/>
        <w:right w:val="none" w:sz="0" w:space="0" w:color="auto"/>
      </w:divBdr>
    </w:div>
    <w:div w:id="965283268">
      <w:bodyDiv w:val="1"/>
      <w:marLeft w:val="0"/>
      <w:marRight w:val="0"/>
      <w:marTop w:val="0"/>
      <w:marBottom w:val="0"/>
      <w:divBdr>
        <w:top w:val="none" w:sz="0" w:space="0" w:color="auto"/>
        <w:left w:val="none" w:sz="0" w:space="0" w:color="auto"/>
        <w:bottom w:val="none" w:sz="0" w:space="0" w:color="auto"/>
        <w:right w:val="none" w:sz="0" w:space="0" w:color="auto"/>
      </w:divBdr>
    </w:div>
    <w:div w:id="981350185">
      <w:bodyDiv w:val="1"/>
      <w:marLeft w:val="0"/>
      <w:marRight w:val="0"/>
      <w:marTop w:val="0"/>
      <w:marBottom w:val="0"/>
      <w:divBdr>
        <w:top w:val="none" w:sz="0" w:space="0" w:color="auto"/>
        <w:left w:val="none" w:sz="0" w:space="0" w:color="auto"/>
        <w:bottom w:val="none" w:sz="0" w:space="0" w:color="auto"/>
        <w:right w:val="none" w:sz="0" w:space="0" w:color="auto"/>
      </w:divBdr>
    </w:div>
    <w:div w:id="997073164">
      <w:bodyDiv w:val="1"/>
      <w:marLeft w:val="0"/>
      <w:marRight w:val="0"/>
      <w:marTop w:val="0"/>
      <w:marBottom w:val="0"/>
      <w:divBdr>
        <w:top w:val="none" w:sz="0" w:space="0" w:color="auto"/>
        <w:left w:val="none" w:sz="0" w:space="0" w:color="auto"/>
        <w:bottom w:val="none" w:sz="0" w:space="0" w:color="auto"/>
        <w:right w:val="none" w:sz="0" w:space="0" w:color="auto"/>
      </w:divBdr>
    </w:div>
    <w:div w:id="1026563837">
      <w:bodyDiv w:val="1"/>
      <w:marLeft w:val="0"/>
      <w:marRight w:val="0"/>
      <w:marTop w:val="0"/>
      <w:marBottom w:val="0"/>
      <w:divBdr>
        <w:top w:val="none" w:sz="0" w:space="0" w:color="auto"/>
        <w:left w:val="none" w:sz="0" w:space="0" w:color="auto"/>
        <w:bottom w:val="none" w:sz="0" w:space="0" w:color="auto"/>
        <w:right w:val="none" w:sz="0" w:space="0" w:color="auto"/>
      </w:divBdr>
    </w:div>
    <w:div w:id="1036007031">
      <w:bodyDiv w:val="1"/>
      <w:marLeft w:val="0"/>
      <w:marRight w:val="0"/>
      <w:marTop w:val="0"/>
      <w:marBottom w:val="0"/>
      <w:divBdr>
        <w:top w:val="none" w:sz="0" w:space="0" w:color="auto"/>
        <w:left w:val="none" w:sz="0" w:space="0" w:color="auto"/>
        <w:bottom w:val="none" w:sz="0" w:space="0" w:color="auto"/>
        <w:right w:val="none" w:sz="0" w:space="0" w:color="auto"/>
      </w:divBdr>
    </w:div>
    <w:div w:id="1047528135">
      <w:bodyDiv w:val="1"/>
      <w:marLeft w:val="0"/>
      <w:marRight w:val="0"/>
      <w:marTop w:val="0"/>
      <w:marBottom w:val="0"/>
      <w:divBdr>
        <w:top w:val="none" w:sz="0" w:space="0" w:color="auto"/>
        <w:left w:val="none" w:sz="0" w:space="0" w:color="auto"/>
        <w:bottom w:val="none" w:sz="0" w:space="0" w:color="auto"/>
        <w:right w:val="none" w:sz="0" w:space="0" w:color="auto"/>
      </w:divBdr>
    </w:div>
    <w:div w:id="1067412558">
      <w:bodyDiv w:val="1"/>
      <w:marLeft w:val="0"/>
      <w:marRight w:val="0"/>
      <w:marTop w:val="0"/>
      <w:marBottom w:val="0"/>
      <w:divBdr>
        <w:top w:val="none" w:sz="0" w:space="0" w:color="auto"/>
        <w:left w:val="none" w:sz="0" w:space="0" w:color="auto"/>
        <w:bottom w:val="none" w:sz="0" w:space="0" w:color="auto"/>
        <w:right w:val="none" w:sz="0" w:space="0" w:color="auto"/>
      </w:divBdr>
    </w:div>
    <w:div w:id="1112431531">
      <w:bodyDiv w:val="1"/>
      <w:marLeft w:val="0"/>
      <w:marRight w:val="0"/>
      <w:marTop w:val="0"/>
      <w:marBottom w:val="0"/>
      <w:divBdr>
        <w:top w:val="none" w:sz="0" w:space="0" w:color="auto"/>
        <w:left w:val="none" w:sz="0" w:space="0" w:color="auto"/>
        <w:bottom w:val="none" w:sz="0" w:space="0" w:color="auto"/>
        <w:right w:val="none" w:sz="0" w:space="0" w:color="auto"/>
      </w:divBdr>
    </w:div>
    <w:div w:id="1114910258">
      <w:bodyDiv w:val="1"/>
      <w:marLeft w:val="0"/>
      <w:marRight w:val="0"/>
      <w:marTop w:val="0"/>
      <w:marBottom w:val="0"/>
      <w:divBdr>
        <w:top w:val="none" w:sz="0" w:space="0" w:color="auto"/>
        <w:left w:val="none" w:sz="0" w:space="0" w:color="auto"/>
        <w:bottom w:val="none" w:sz="0" w:space="0" w:color="auto"/>
        <w:right w:val="none" w:sz="0" w:space="0" w:color="auto"/>
      </w:divBdr>
    </w:div>
    <w:div w:id="1167860557">
      <w:bodyDiv w:val="1"/>
      <w:marLeft w:val="0"/>
      <w:marRight w:val="0"/>
      <w:marTop w:val="0"/>
      <w:marBottom w:val="0"/>
      <w:divBdr>
        <w:top w:val="none" w:sz="0" w:space="0" w:color="auto"/>
        <w:left w:val="none" w:sz="0" w:space="0" w:color="auto"/>
        <w:bottom w:val="none" w:sz="0" w:space="0" w:color="auto"/>
        <w:right w:val="none" w:sz="0" w:space="0" w:color="auto"/>
      </w:divBdr>
    </w:div>
    <w:div w:id="1184175565">
      <w:bodyDiv w:val="1"/>
      <w:marLeft w:val="0"/>
      <w:marRight w:val="0"/>
      <w:marTop w:val="0"/>
      <w:marBottom w:val="0"/>
      <w:divBdr>
        <w:top w:val="none" w:sz="0" w:space="0" w:color="auto"/>
        <w:left w:val="none" w:sz="0" w:space="0" w:color="auto"/>
        <w:bottom w:val="none" w:sz="0" w:space="0" w:color="auto"/>
        <w:right w:val="none" w:sz="0" w:space="0" w:color="auto"/>
      </w:divBdr>
    </w:div>
    <w:div w:id="1206676354">
      <w:bodyDiv w:val="1"/>
      <w:marLeft w:val="0"/>
      <w:marRight w:val="0"/>
      <w:marTop w:val="0"/>
      <w:marBottom w:val="0"/>
      <w:divBdr>
        <w:top w:val="none" w:sz="0" w:space="0" w:color="auto"/>
        <w:left w:val="none" w:sz="0" w:space="0" w:color="auto"/>
        <w:bottom w:val="none" w:sz="0" w:space="0" w:color="auto"/>
        <w:right w:val="none" w:sz="0" w:space="0" w:color="auto"/>
      </w:divBdr>
    </w:div>
    <w:div w:id="1207567089">
      <w:bodyDiv w:val="1"/>
      <w:marLeft w:val="0"/>
      <w:marRight w:val="0"/>
      <w:marTop w:val="0"/>
      <w:marBottom w:val="0"/>
      <w:divBdr>
        <w:top w:val="none" w:sz="0" w:space="0" w:color="auto"/>
        <w:left w:val="none" w:sz="0" w:space="0" w:color="auto"/>
        <w:bottom w:val="none" w:sz="0" w:space="0" w:color="auto"/>
        <w:right w:val="none" w:sz="0" w:space="0" w:color="auto"/>
      </w:divBdr>
    </w:div>
    <w:div w:id="1260796505">
      <w:bodyDiv w:val="1"/>
      <w:marLeft w:val="0"/>
      <w:marRight w:val="0"/>
      <w:marTop w:val="0"/>
      <w:marBottom w:val="0"/>
      <w:divBdr>
        <w:top w:val="none" w:sz="0" w:space="0" w:color="auto"/>
        <w:left w:val="none" w:sz="0" w:space="0" w:color="auto"/>
        <w:bottom w:val="none" w:sz="0" w:space="0" w:color="auto"/>
        <w:right w:val="none" w:sz="0" w:space="0" w:color="auto"/>
      </w:divBdr>
    </w:div>
    <w:div w:id="1311596727">
      <w:bodyDiv w:val="1"/>
      <w:marLeft w:val="0"/>
      <w:marRight w:val="0"/>
      <w:marTop w:val="0"/>
      <w:marBottom w:val="0"/>
      <w:divBdr>
        <w:top w:val="none" w:sz="0" w:space="0" w:color="auto"/>
        <w:left w:val="none" w:sz="0" w:space="0" w:color="auto"/>
        <w:bottom w:val="none" w:sz="0" w:space="0" w:color="auto"/>
        <w:right w:val="none" w:sz="0" w:space="0" w:color="auto"/>
      </w:divBdr>
    </w:div>
    <w:div w:id="1337070402">
      <w:bodyDiv w:val="1"/>
      <w:marLeft w:val="0"/>
      <w:marRight w:val="0"/>
      <w:marTop w:val="0"/>
      <w:marBottom w:val="0"/>
      <w:divBdr>
        <w:top w:val="none" w:sz="0" w:space="0" w:color="auto"/>
        <w:left w:val="none" w:sz="0" w:space="0" w:color="auto"/>
        <w:bottom w:val="none" w:sz="0" w:space="0" w:color="auto"/>
        <w:right w:val="none" w:sz="0" w:space="0" w:color="auto"/>
      </w:divBdr>
    </w:div>
    <w:div w:id="1370911556">
      <w:bodyDiv w:val="1"/>
      <w:marLeft w:val="0"/>
      <w:marRight w:val="0"/>
      <w:marTop w:val="0"/>
      <w:marBottom w:val="0"/>
      <w:divBdr>
        <w:top w:val="none" w:sz="0" w:space="0" w:color="auto"/>
        <w:left w:val="none" w:sz="0" w:space="0" w:color="auto"/>
        <w:bottom w:val="none" w:sz="0" w:space="0" w:color="auto"/>
        <w:right w:val="none" w:sz="0" w:space="0" w:color="auto"/>
      </w:divBdr>
    </w:div>
    <w:div w:id="1419594936">
      <w:bodyDiv w:val="1"/>
      <w:marLeft w:val="0"/>
      <w:marRight w:val="0"/>
      <w:marTop w:val="0"/>
      <w:marBottom w:val="0"/>
      <w:divBdr>
        <w:top w:val="none" w:sz="0" w:space="0" w:color="auto"/>
        <w:left w:val="none" w:sz="0" w:space="0" w:color="auto"/>
        <w:bottom w:val="none" w:sz="0" w:space="0" w:color="auto"/>
        <w:right w:val="none" w:sz="0" w:space="0" w:color="auto"/>
      </w:divBdr>
    </w:div>
    <w:div w:id="1438066015">
      <w:bodyDiv w:val="1"/>
      <w:marLeft w:val="0"/>
      <w:marRight w:val="0"/>
      <w:marTop w:val="0"/>
      <w:marBottom w:val="0"/>
      <w:divBdr>
        <w:top w:val="none" w:sz="0" w:space="0" w:color="auto"/>
        <w:left w:val="none" w:sz="0" w:space="0" w:color="auto"/>
        <w:bottom w:val="none" w:sz="0" w:space="0" w:color="auto"/>
        <w:right w:val="none" w:sz="0" w:space="0" w:color="auto"/>
      </w:divBdr>
    </w:div>
    <w:div w:id="1446119072">
      <w:bodyDiv w:val="1"/>
      <w:marLeft w:val="0"/>
      <w:marRight w:val="0"/>
      <w:marTop w:val="0"/>
      <w:marBottom w:val="0"/>
      <w:divBdr>
        <w:top w:val="none" w:sz="0" w:space="0" w:color="auto"/>
        <w:left w:val="none" w:sz="0" w:space="0" w:color="auto"/>
        <w:bottom w:val="none" w:sz="0" w:space="0" w:color="auto"/>
        <w:right w:val="none" w:sz="0" w:space="0" w:color="auto"/>
      </w:divBdr>
    </w:div>
    <w:div w:id="1471825795">
      <w:bodyDiv w:val="1"/>
      <w:marLeft w:val="0"/>
      <w:marRight w:val="0"/>
      <w:marTop w:val="0"/>
      <w:marBottom w:val="0"/>
      <w:divBdr>
        <w:top w:val="none" w:sz="0" w:space="0" w:color="auto"/>
        <w:left w:val="none" w:sz="0" w:space="0" w:color="auto"/>
        <w:bottom w:val="none" w:sz="0" w:space="0" w:color="auto"/>
        <w:right w:val="none" w:sz="0" w:space="0" w:color="auto"/>
      </w:divBdr>
    </w:div>
    <w:div w:id="1493840002">
      <w:bodyDiv w:val="1"/>
      <w:marLeft w:val="0"/>
      <w:marRight w:val="0"/>
      <w:marTop w:val="0"/>
      <w:marBottom w:val="0"/>
      <w:divBdr>
        <w:top w:val="none" w:sz="0" w:space="0" w:color="auto"/>
        <w:left w:val="none" w:sz="0" w:space="0" w:color="auto"/>
        <w:bottom w:val="none" w:sz="0" w:space="0" w:color="auto"/>
        <w:right w:val="none" w:sz="0" w:space="0" w:color="auto"/>
      </w:divBdr>
    </w:div>
    <w:div w:id="1506047363">
      <w:bodyDiv w:val="1"/>
      <w:marLeft w:val="0"/>
      <w:marRight w:val="0"/>
      <w:marTop w:val="0"/>
      <w:marBottom w:val="0"/>
      <w:divBdr>
        <w:top w:val="none" w:sz="0" w:space="0" w:color="auto"/>
        <w:left w:val="none" w:sz="0" w:space="0" w:color="auto"/>
        <w:bottom w:val="none" w:sz="0" w:space="0" w:color="auto"/>
        <w:right w:val="none" w:sz="0" w:space="0" w:color="auto"/>
      </w:divBdr>
    </w:div>
    <w:div w:id="1531408114">
      <w:bodyDiv w:val="1"/>
      <w:marLeft w:val="0"/>
      <w:marRight w:val="0"/>
      <w:marTop w:val="0"/>
      <w:marBottom w:val="0"/>
      <w:divBdr>
        <w:top w:val="none" w:sz="0" w:space="0" w:color="auto"/>
        <w:left w:val="none" w:sz="0" w:space="0" w:color="auto"/>
        <w:bottom w:val="none" w:sz="0" w:space="0" w:color="auto"/>
        <w:right w:val="none" w:sz="0" w:space="0" w:color="auto"/>
      </w:divBdr>
    </w:div>
    <w:div w:id="1586957450">
      <w:bodyDiv w:val="1"/>
      <w:marLeft w:val="0"/>
      <w:marRight w:val="0"/>
      <w:marTop w:val="0"/>
      <w:marBottom w:val="0"/>
      <w:divBdr>
        <w:top w:val="none" w:sz="0" w:space="0" w:color="auto"/>
        <w:left w:val="none" w:sz="0" w:space="0" w:color="auto"/>
        <w:bottom w:val="none" w:sz="0" w:space="0" w:color="auto"/>
        <w:right w:val="none" w:sz="0" w:space="0" w:color="auto"/>
      </w:divBdr>
    </w:div>
    <w:div w:id="1624460449">
      <w:bodyDiv w:val="1"/>
      <w:marLeft w:val="0"/>
      <w:marRight w:val="0"/>
      <w:marTop w:val="0"/>
      <w:marBottom w:val="0"/>
      <w:divBdr>
        <w:top w:val="none" w:sz="0" w:space="0" w:color="auto"/>
        <w:left w:val="none" w:sz="0" w:space="0" w:color="auto"/>
        <w:bottom w:val="none" w:sz="0" w:space="0" w:color="auto"/>
        <w:right w:val="none" w:sz="0" w:space="0" w:color="auto"/>
      </w:divBdr>
    </w:div>
    <w:div w:id="1660693963">
      <w:bodyDiv w:val="1"/>
      <w:marLeft w:val="0"/>
      <w:marRight w:val="0"/>
      <w:marTop w:val="0"/>
      <w:marBottom w:val="0"/>
      <w:divBdr>
        <w:top w:val="none" w:sz="0" w:space="0" w:color="auto"/>
        <w:left w:val="none" w:sz="0" w:space="0" w:color="auto"/>
        <w:bottom w:val="none" w:sz="0" w:space="0" w:color="auto"/>
        <w:right w:val="none" w:sz="0" w:space="0" w:color="auto"/>
      </w:divBdr>
    </w:div>
    <w:div w:id="1679457570">
      <w:bodyDiv w:val="1"/>
      <w:marLeft w:val="0"/>
      <w:marRight w:val="0"/>
      <w:marTop w:val="0"/>
      <w:marBottom w:val="0"/>
      <w:divBdr>
        <w:top w:val="none" w:sz="0" w:space="0" w:color="auto"/>
        <w:left w:val="none" w:sz="0" w:space="0" w:color="auto"/>
        <w:bottom w:val="none" w:sz="0" w:space="0" w:color="auto"/>
        <w:right w:val="none" w:sz="0" w:space="0" w:color="auto"/>
      </w:divBdr>
    </w:div>
    <w:div w:id="1710181345">
      <w:bodyDiv w:val="1"/>
      <w:marLeft w:val="0"/>
      <w:marRight w:val="0"/>
      <w:marTop w:val="0"/>
      <w:marBottom w:val="0"/>
      <w:divBdr>
        <w:top w:val="none" w:sz="0" w:space="0" w:color="auto"/>
        <w:left w:val="none" w:sz="0" w:space="0" w:color="auto"/>
        <w:bottom w:val="none" w:sz="0" w:space="0" w:color="auto"/>
        <w:right w:val="none" w:sz="0" w:space="0" w:color="auto"/>
      </w:divBdr>
    </w:div>
    <w:div w:id="1722246672">
      <w:bodyDiv w:val="1"/>
      <w:marLeft w:val="0"/>
      <w:marRight w:val="0"/>
      <w:marTop w:val="0"/>
      <w:marBottom w:val="0"/>
      <w:divBdr>
        <w:top w:val="none" w:sz="0" w:space="0" w:color="auto"/>
        <w:left w:val="none" w:sz="0" w:space="0" w:color="auto"/>
        <w:bottom w:val="none" w:sz="0" w:space="0" w:color="auto"/>
        <w:right w:val="none" w:sz="0" w:space="0" w:color="auto"/>
      </w:divBdr>
    </w:div>
    <w:div w:id="1748335365">
      <w:bodyDiv w:val="1"/>
      <w:marLeft w:val="0"/>
      <w:marRight w:val="0"/>
      <w:marTop w:val="0"/>
      <w:marBottom w:val="0"/>
      <w:divBdr>
        <w:top w:val="none" w:sz="0" w:space="0" w:color="auto"/>
        <w:left w:val="none" w:sz="0" w:space="0" w:color="auto"/>
        <w:bottom w:val="none" w:sz="0" w:space="0" w:color="auto"/>
        <w:right w:val="none" w:sz="0" w:space="0" w:color="auto"/>
      </w:divBdr>
    </w:div>
    <w:div w:id="1768572708">
      <w:bodyDiv w:val="1"/>
      <w:marLeft w:val="0"/>
      <w:marRight w:val="0"/>
      <w:marTop w:val="0"/>
      <w:marBottom w:val="0"/>
      <w:divBdr>
        <w:top w:val="none" w:sz="0" w:space="0" w:color="auto"/>
        <w:left w:val="none" w:sz="0" w:space="0" w:color="auto"/>
        <w:bottom w:val="none" w:sz="0" w:space="0" w:color="auto"/>
        <w:right w:val="none" w:sz="0" w:space="0" w:color="auto"/>
      </w:divBdr>
    </w:div>
    <w:div w:id="1819374100">
      <w:bodyDiv w:val="1"/>
      <w:marLeft w:val="0"/>
      <w:marRight w:val="0"/>
      <w:marTop w:val="0"/>
      <w:marBottom w:val="0"/>
      <w:divBdr>
        <w:top w:val="none" w:sz="0" w:space="0" w:color="auto"/>
        <w:left w:val="none" w:sz="0" w:space="0" w:color="auto"/>
        <w:bottom w:val="none" w:sz="0" w:space="0" w:color="auto"/>
        <w:right w:val="none" w:sz="0" w:space="0" w:color="auto"/>
      </w:divBdr>
    </w:div>
    <w:div w:id="1884638027">
      <w:bodyDiv w:val="1"/>
      <w:marLeft w:val="0"/>
      <w:marRight w:val="0"/>
      <w:marTop w:val="0"/>
      <w:marBottom w:val="0"/>
      <w:divBdr>
        <w:top w:val="none" w:sz="0" w:space="0" w:color="auto"/>
        <w:left w:val="none" w:sz="0" w:space="0" w:color="auto"/>
        <w:bottom w:val="none" w:sz="0" w:space="0" w:color="auto"/>
        <w:right w:val="none" w:sz="0" w:space="0" w:color="auto"/>
      </w:divBdr>
    </w:div>
    <w:div w:id="1915967568">
      <w:bodyDiv w:val="1"/>
      <w:marLeft w:val="0"/>
      <w:marRight w:val="0"/>
      <w:marTop w:val="0"/>
      <w:marBottom w:val="0"/>
      <w:divBdr>
        <w:top w:val="none" w:sz="0" w:space="0" w:color="auto"/>
        <w:left w:val="none" w:sz="0" w:space="0" w:color="auto"/>
        <w:bottom w:val="none" w:sz="0" w:space="0" w:color="auto"/>
        <w:right w:val="none" w:sz="0" w:space="0" w:color="auto"/>
      </w:divBdr>
    </w:div>
    <w:div w:id="1976326519">
      <w:bodyDiv w:val="1"/>
      <w:marLeft w:val="0"/>
      <w:marRight w:val="0"/>
      <w:marTop w:val="0"/>
      <w:marBottom w:val="0"/>
      <w:divBdr>
        <w:top w:val="none" w:sz="0" w:space="0" w:color="auto"/>
        <w:left w:val="none" w:sz="0" w:space="0" w:color="auto"/>
        <w:bottom w:val="none" w:sz="0" w:space="0" w:color="auto"/>
        <w:right w:val="none" w:sz="0" w:space="0" w:color="auto"/>
      </w:divBdr>
    </w:div>
    <w:div w:id="1995256626">
      <w:bodyDiv w:val="1"/>
      <w:marLeft w:val="0"/>
      <w:marRight w:val="0"/>
      <w:marTop w:val="0"/>
      <w:marBottom w:val="0"/>
      <w:divBdr>
        <w:top w:val="none" w:sz="0" w:space="0" w:color="auto"/>
        <w:left w:val="none" w:sz="0" w:space="0" w:color="auto"/>
        <w:bottom w:val="none" w:sz="0" w:space="0" w:color="auto"/>
        <w:right w:val="none" w:sz="0" w:space="0" w:color="auto"/>
      </w:divBdr>
    </w:div>
    <w:div w:id="2006781627">
      <w:bodyDiv w:val="1"/>
      <w:marLeft w:val="0"/>
      <w:marRight w:val="0"/>
      <w:marTop w:val="0"/>
      <w:marBottom w:val="0"/>
      <w:divBdr>
        <w:top w:val="none" w:sz="0" w:space="0" w:color="auto"/>
        <w:left w:val="none" w:sz="0" w:space="0" w:color="auto"/>
        <w:bottom w:val="none" w:sz="0" w:space="0" w:color="auto"/>
        <w:right w:val="none" w:sz="0" w:space="0" w:color="auto"/>
      </w:divBdr>
    </w:div>
    <w:div w:id="2013024108">
      <w:bodyDiv w:val="1"/>
      <w:marLeft w:val="0"/>
      <w:marRight w:val="0"/>
      <w:marTop w:val="0"/>
      <w:marBottom w:val="0"/>
      <w:divBdr>
        <w:top w:val="none" w:sz="0" w:space="0" w:color="auto"/>
        <w:left w:val="none" w:sz="0" w:space="0" w:color="auto"/>
        <w:bottom w:val="none" w:sz="0" w:space="0" w:color="auto"/>
        <w:right w:val="none" w:sz="0" w:space="0" w:color="auto"/>
      </w:divBdr>
    </w:div>
    <w:div w:id="2022773595">
      <w:bodyDiv w:val="1"/>
      <w:marLeft w:val="0"/>
      <w:marRight w:val="0"/>
      <w:marTop w:val="0"/>
      <w:marBottom w:val="0"/>
      <w:divBdr>
        <w:top w:val="none" w:sz="0" w:space="0" w:color="auto"/>
        <w:left w:val="none" w:sz="0" w:space="0" w:color="auto"/>
        <w:bottom w:val="none" w:sz="0" w:space="0" w:color="auto"/>
        <w:right w:val="none" w:sz="0" w:space="0" w:color="auto"/>
      </w:divBdr>
    </w:div>
    <w:div w:id="2025596120">
      <w:bodyDiv w:val="1"/>
      <w:marLeft w:val="0"/>
      <w:marRight w:val="0"/>
      <w:marTop w:val="0"/>
      <w:marBottom w:val="0"/>
      <w:divBdr>
        <w:top w:val="none" w:sz="0" w:space="0" w:color="auto"/>
        <w:left w:val="none" w:sz="0" w:space="0" w:color="auto"/>
        <w:bottom w:val="none" w:sz="0" w:space="0" w:color="auto"/>
        <w:right w:val="none" w:sz="0" w:space="0" w:color="auto"/>
      </w:divBdr>
    </w:div>
    <w:div w:id="2058776978">
      <w:bodyDiv w:val="1"/>
      <w:marLeft w:val="0"/>
      <w:marRight w:val="0"/>
      <w:marTop w:val="0"/>
      <w:marBottom w:val="0"/>
      <w:divBdr>
        <w:top w:val="none" w:sz="0" w:space="0" w:color="auto"/>
        <w:left w:val="none" w:sz="0" w:space="0" w:color="auto"/>
        <w:bottom w:val="none" w:sz="0" w:space="0" w:color="auto"/>
        <w:right w:val="none" w:sz="0" w:space="0" w:color="auto"/>
      </w:divBdr>
    </w:div>
    <w:div w:id="2076127610">
      <w:bodyDiv w:val="1"/>
      <w:marLeft w:val="0"/>
      <w:marRight w:val="0"/>
      <w:marTop w:val="0"/>
      <w:marBottom w:val="0"/>
      <w:divBdr>
        <w:top w:val="none" w:sz="0" w:space="0" w:color="auto"/>
        <w:left w:val="none" w:sz="0" w:space="0" w:color="auto"/>
        <w:bottom w:val="none" w:sz="0" w:space="0" w:color="auto"/>
        <w:right w:val="none" w:sz="0" w:space="0" w:color="auto"/>
      </w:divBdr>
    </w:div>
    <w:div w:id="2088064927">
      <w:bodyDiv w:val="1"/>
      <w:marLeft w:val="0"/>
      <w:marRight w:val="0"/>
      <w:marTop w:val="0"/>
      <w:marBottom w:val="0"/>
      <w:divBdr>
        <w:top w:val="none" w:sz="0" w:space="0" w:color="auto"/>
        <w:left w:val="none" w:sz="0" w:space="0" w:color="auto"/>
        <w:bottom w:val="none" w:sz="0" w:space="0" w:color="auto"/>
        <w:right w:val="none" w:sz="0" w:space="0" w:color="auto"/>
      </w:divBdr>
    </w:div>
    <w:div w:id="2113670930">
      <w:bodyDiv w:val="1"/>
      <w:marLeft w:val="0"/>
      <w:marRight w:val="0"/>
      <w:marTop w:val="0"/>
      <w:marBottom w:val="0"/>
      <w:divBdr>
        <w:top w:val="none" w:sz="0" w:space="0" w:color="auto"/>
        <w:left w:val="none" w:sz="0" w:space="0" w:color="auto"/>
        <w:bottom w:val="none" w:sz="0" w:space="0" w:color="auto"/>
        <w:right w:val="none" w:sz="0" w:space="0" w:color="auto"/>
      </w:divBdr>
    </w:div>
    <w:div w:id="21334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census.gov/table?t=Earnings+(Individuals):Educational+Attainment&amp;g=040XX00US53&amp;tid=ACSDT5Y2021.B20004" TargetMode="External"/><Relationship Id="rId18" Type="http://schemas.openxmlformats.org/officeDocument/2006/relationships/hyperlink" Target="http://www.sciencedaily.com/releases/2018/10/181026102627.htm" TargetMode="External"/><Relationship Id="rId26" Type="http://schemas.openxmlformats.org/officeDocument/2006/relationships/image" Target="media/image4.png"/><Relationship Id="rId39" Type="http://schemas.openxmlformats.org/officeDocument/2006/relationships/header" Target="header8.xml"/><Relationship Id="rId21" Type="http://schemas.openxmlformats.org/officeDocument/2006/relationships/hyperlink" Target="https://www.askhys.net/" TargetMode="External"/><Relationship Id="rId34" Type="http://schemas.openxmlformats.org/officeDocument/2006/relationships/header" Target="header3.xml"/><Relationship Id="rId42" Type="http://schemas.openxmlformats.org/officeDocument/2006/relationships/header" Target="header11.xml"/><Relationship Id="rId47" Type="http://schemas.openxmlformats.org/officeDocument/2006/relationships/header" Target="header1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12.wa.us/" TargetMode="External"/><Relationship Id="rId29" Type="http://schemas.openxmlformats.org/officeDocument/2006/relationships/image" Target="media/image5.jpeg"/><Relationship Id="rId11" Type="http://schemas.openxmlformats.org/officeDocument/2006/relationships/hyperlink" Target="mailto:rjarroldgrapes@ftc.gov"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header" Target="header6.xml"/><Relationship Id="rId40" Type="http://schemas.openxmlformats.org/officeDocument/2006/relationships/header" Target="header9.xml"/><Relationship Id="rId45" Type="http://schemas.openxmlformats.org/officeDocument/2006/relationships/header" Target="header14.xml"/><Relationship Id="rId5" Type="http://schemas.openxmlformats.org/officeDocument/2006/relationships/numbering" Target="numbering.xml"/><Relationship Id="rId15" Type="http://schemas.openxmlformats.org/officeDocument/2006/relationships/hyperlink" Target="https://lcb.wa.gov/records/frequently-requested-lists" TargetMode="External"/><Relationship Id="rId23" Type="http://schemas.openxmlformats.org/officeDocument/2006/relationships/image" Target="media/image1.jpeg"/><Relationship Id="rId28" Type="http://schemas.openxmlformats.org/officeDocument/2006/relationships/chart" Target="charts/chart1.xml"/><Relationship Id="rId36" Type="http://schemas.openxmlformats.org/officeDocument/2006/relationships/header" Target="header5.xm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awfilesext.leg.wa.gov/biennium/2015-16/Pdf/Bills/House%20Passed%20Legislature/2136-S2.PL.pdf?q=20220215181515" TargetMode="External"/><Relationship Id="rId31" Type="http://schemas.openxmlformats.org/officeDocument/2006/relationships/image" Target="media/image7.jpeg"/><Relationship Id="rId44"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cb.wa.gov/about/annual-report" TargetMode="External"/><Relationship Id="rId22" Type="http://schemas.openxmlformats.org/officeDocument/2006/relationships/hyperlink" Target="http://www.sciencedaily.com/releases/2014/09/140903092153.htm" TargetMode="External"/><Relationship Id="rId27" Type="http://schemas.openxmlformats.org/officeDocument/2006/relationships/header" Target="header1.xml"/><Relationship Id="rId30" Type="http://schemas.openxmlformats.org/officeDocument/2006/relationships/image" Target="media/image6.png"/><Relationship Id="rId35" Type="http://schemas.openxmlformats.org/officeDocument/2006/relationships/header" Target="header4.xml"/><Relationship Id="rId43" Type="http://schemas.openxmlformats.org/officeDocument/2006/relationships/header" Target="header12.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nces.ed.gov/ccd/" TargetMode="External"/><Relationship Id="rId25" Type="http://schemas.openxmlformats.org/officeDocument/2006/relationships/image" Target="media/image3.jpeg"/><Relationship Id="rId33" Type="http://schemas.openxmlformats.org/officeDocument/2006/relationships/header" Target="header2.xml"/><Relationship Id="rId38" Type="http://schemas.openxmlformats.org/officeDocument/2006/relationships/header" Target="header7.xml"/><Relationship Id="rId46" Type="http://schemas.openxmlformats.org/officeDocument/2006/relationships/header" Target="header15.xml"/><Relationship Id="rId20" Type="http://schemas.openxmlformats.org/officeDocument/2006/relationships/hyperlink" Target="https://app.leg.wa.gov/rcw/default.aspx?cite=69.50.540" TargetMode="Externa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sumailsyr.sharepoint.com/sites/RachelWashingtonPaper/Shared%20Documents/General/Washington%20Lottery/Writing/MJ%20use%20in%20washington%20across%20gender%20and%20grade%20for%20the%20state%20overal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scatterChart>
        <c:scatterStyle val="smoothMarker"/>
        <c:varyColors val="0"/>
        <c:ser>
          <c:idx val="0"/>
          <c:order val="0"/>
          <c:tx>
            <c:strRef>
              <c:f>'trends for all grades'!$Q$3</c:f>
              <c:strCache>
                <c:ptCount val="1"/>
                <c:pt idx="0">
                  <c:v>Grade 6</c:v>
                </c:pt>
              </c:strCache>
            </c:strRef>
          </c:tx>
          <c:spPr>
            <a:ln w="19050" cap="rnd">
              <a:solidFill>
                <a:schemeClr val="accent6">
                  <a:tint val="58000"/>
                </a:schemeClr>
              </a:solidFill>
              <a:round/>
            </a:ln>
            <a:effectLst/>
          </c:spPr>
          <c:marker>
            <c:symbol val="circle"/>
            <c:size val="5"/>
            <c:spPr>
              <a:solidFill>
                <a:schemeClr val="accent6">
                  <a:tint val="58000"/>
                </a:schemeClr>
              </a:solidFill>
              <a:ln w="9525">
                <a:solidFill>
                  <a:schemeClr val="accent6">
                    <a:tint val="58000"/>
                  </a:schemeClr>
                </a:solidFill>
              </a:ln>
              <a:effectLst/>
            </c:spPr>
          </c:marker>
          <c:xVal>
            <c:numRef>
              <c:f>'trends for all grades'!$P$4:$P$9</c:f>
              <c:numCache>
                <c:formatCode>General</c:formatCode>
                <c:ptCount val="6"/>
                <c:pt idx="0">
                  <c:v>2008</c:v>
                </c:pt>
                <c:pt idx="1">
                  <c:v>2010</c:v>
                </c:pt>
                <c:pt idx="2">
                  <c:v>2012</c:v>
                </c:pt>
                <c:pt idx="3">
                  <c:v>2014</c:v>
                </c:pt>
                <c:pt idx="4">
                  <c:v>2016</c:v>
                </c:pt>
                <c:pt idx="5">
                  <c:v>2018</c:v>
                </c:pt>
              </c:numCache>
            </c:numRef>
          </c:xVal>
          <c:yVal>
            <c:numRef>
              <c:f>'trends for all grades'!$Q$4:$Q$9</c:f>
              <c:numCache>
                <c:formatCode>General</c:formatCode>
                <c:ptCount val="6"/>
                <c:pt idx="0">
                  <c:v>0.01</c:v>
                </c:pt>
                <c:pt idx="1">
                  <c:v>0.02</c:v>
                </c:pt>
                <c:pt idx="2">
                  <c:v>0.01</c:v>
                </c:pt>
                <c:pt idx="3">
                  <c:v>0.01</c:v>
                </c:pt>
                <c:pt idx="4">
                  <c:v>0.01</c:v>
                </c:pt>
                <c:pt idx="5">
                  <c:v>0.01</c:v>
                </c:pt>
              </c:numCache>
            </c:numRef>
          </c:yVal>
          <c:smooth val="1"/>
          <c:extLst>
            <c:ext xmlns:c16="http://schemas.microsoft.com/office/drawing/2014/chart" uri="{C3380CC4-5D6E-409C-BE32-E72D297353CC}">
              <c16:uniqueId val="{00000000-C295-4B9E-8993-237069AEA08F}"/>
            </c:ext>
          </c:extLst>
        </c:ser>
        <c:ser>
          <c:idx val="1"/>
          <c:order val="1"/>
          <c:tx>
            <c:strRef>
              <c:f>'trends for all grades'!$R$3</c:f>
              <c:strCache>
                <c:ptCount val="1"/>
                <c:pt idx="0">
                  <c:v>Grade 8</c:v>
                </c:pt>
              </c:strCache>
            </c:strRef>
          </c:tx>
          <c:spPr>
            <a:ln w="19050" cap="rnd">
              <a:solidFill>
                <a:schemeClr val="accent6">
                  <a:tint val="86000"/>
                </a:schemeClr>
              </a:solidFill>
              <a:round/>
            </a:ln>
            <a:effectLst/>
          </c:spPr>
          <c:marker>
            <c:symbol val="circle"/>
            <c:size val="5"/>
            <c:spPr>
              <a:solidFill>
                <a:schemeClr val="accent6">
                  <a:tint val="86000"/>
                </a:schemeClr>
              </a:solidFill>
              <a:ln w="9525">
                <a:solidFill>
                  <a:schemeClr val="accent6">
                    <a:tint val="86000"/>
                  </a:schemeClr>
                </a:solidFill>
              </a:ln>
              <a:effectLst/>
            </c:spPr>
          </c:marker>
          <c:xVal>
            <c:numRef>
              <c:f>'trends for all grades'!$P$4:$P$9</c:f>
              <c:numCache>
                <c:formatCode>General</c:formatCode>
                <c:ptCount val="6"/>
                <c:pt idx="0">
                  <c:v>2008</c:v>
                </c:pt>
                <c:pt idx="1">
                  <c:v>2010</c:v>
                </c:pt>
                <c:pt idx="2">
                  <c:v>2012</c:v>
                </c:pt>
                <c:pt idx="3">
                  <c:v>2014</c:v>
                </c:pt>
                <c:pt idx="4">
                  <c:v>2016</c:v>
                </c:pt>
                <c:pt idx="5">
                  <c:v>2018</c:v>
                </c:pt>
              </c:numCache>
            </c:numRef>
          </c:xVal>
          <c:yVal>
            <c:numRef>
              <c:f>'trends for all grades'!$R$4:$R$9</c:f>
              <c:numCache>
                <c:formatCode>General</c:formatCode>
                <c:ptCount val="6"/>
                <c:pt idx="0">
                  <c:v>0.08</c:v>
                </c:pt>
                <c:pt idx="1">
                  <c:v>0.09</c:v>
                </c:pt>
                <c:pt idx="2">
                  <c:v>0.09</c:v>
                </c:pt>
                <c:pt idx="3">
                  <c:v>7.0000000000000007E-2</c:v>
                </c:pt>
                <c:pt idx="4">
                  <c:v>0.06</c:v>
                </c:pt>
                <c:pt idx="5">
                  <c:v>7.0000000000000007E-2</c:v>
                </c:pt>
              </c:numCache>
            </c:numRef>
          </c:yVal>
          <c:smooth val="1"/>
          <c:extLst>
            <c:ext xmlns:c16="http://schemas.microsoft.com/office/drawing/2014/chart" uri="{C3380CC4-5D6E-409C-BE32-E72D297353CC}">
              <c16:uniqueId val="{00000001-C295-4B9E-8993-237069AEA08F}"/>
            </c:ext>
          </c:extLst>
        </c:ser>
        <c:ser>
          <c:idx val="2"/>
          <c:order val="2"/>
          <c:tx>
            <c:strRef>
              <c:f>'trends for all grades'!$S$3</c:f>
              <c:strCache>
                <c:ptCount val="1"/>
                <c:pt idx="0">
                  <c:v>Grade 10</c:v>
                </c:pt>
              </c:strCache>
            </c:strRef>
          </c:tx>
          <c:spPr>
            <a:ln w="19050" cap="rnd">
              <a:solidFill>
                <a:schemeClr val="accent6">
                  <a:shade val="86000"/>
                </a:schemeClr>
              </a:solidFill>
              <a:round/>
            </a:ln>
            <a:effectLst/>
          </c:spPr>
          <c:marker>
            <c:symbol val="circle"/>
            <c:size val="5"/>
            <c:spPr>
              <a:solidFill>
                <a:schemeClr val="accent6">
                  <a:shade val="86000"/>
                </a:schemeClr>
              </a:solidFill>
              <a:ln w="9525">
                <a:solidFill>
                  <a:schemeClr val="accent6">
                    <a:shade val="86000"/>
                  </a:schemeClr>
                </a:solidFill>
              </a:ln>
              <a:effectLst/>
            </c:spPr>
          </c:marker>
          <c:xVal>
            <c:numRef>
              <c:f>'trends for all grades'!$P$4:$P$9</c:f>
              <c:numCache>
                <c:formatCode>General</c:formatCode>
                <c:ptCount val="6"/>
                <c:pt idx="0">
                  <c:v>2008</c:v>
                </c:pt>
                <c:pt idx="1">
                  <c:v>2010</c:v>
                </c:pt>
                <c:pt idx="2">
                  <c:v>2012</c:v>
                </c:pt>
                <c:pt idx="3">
                  <c:v>2014</c:v>
                </c:pt>
                <c:pt idx="4">
                  <c:v>2016</c:v>
                </c:pt>
                <c:pt idx="5">
                  <c:v>2018</c:v>
                </c:pt>
              </c:numCache>
            </c:numRef>
          </c:xVal>
          <c:yVal>
            <c:numRef>
              <c:f>'trends for all grades'!$S$4:$S$9</c:f>
              <c:numCache>
                <c:formatCode>General</c:formatCode>
                <c:ptCount val="6"/>
                <c:pt idx="0">
                  <c:v>0.19</c:v>
                </c:pt>
                <c:pt idx="1">
                  <c:v>0.2</c:v>
                </c:pt>
                <c:pt idx="2">
                  <c:v>0.19</c:v>
                </c:pt>
                <c:pt idx="3">
                  <c:v>0.18</c:v>
                </c:pt>
                <c:pt idx="4">
                  <c:v>0.17</c:v>
                </c:pt>
                <c:pt idx="5">
                  <c:v>0.18</c:v>
                </c:pt>
              </c:numCache>
            </c:numRef>
          </c:yVal>
          <c:smooth val="1"/>
          <c:extLst>
            <c:ext xmlns:c16="http://schemas.microsoft.com/office/drawing/2014/chart" uri="{C3380CC4-5D6E-409C-BE32-E72D297353CC}">
              <c16:uniqueId val="{00000002-C295-4B9E-8993-237069AEA08F}"/>
            </c:ext>
          </c:extLst>
        </c:ser>
        <c:ser>
          <c:idx val="3"/>
          <c:order val="3"/>
          <c:tx>
            <c:strRef>
              <c:f>'trends for all grades'!$T$3</c:f>
              <c:strCache>
                <c:ptCount val="1"/>
                <c:pt idx="0">
                  <c:v>Grade 12</c:v>
                </c:pt>
              </c:strCache>
            </c:strRef>
          </c:tx>
          <c:spPr>
            <a:ln w="19050" cap="rnd">
              <a:solidFill>
                <a:schemeClr val="accent6">
                  <a:shade val="58000"/>
                </a:schemeClr>
              </a:solidFill>
              <a:round/>
            </a:ln>
            <a:effectLst/>
          </c:spPr>
          <c:marker>
            <c:symbol val="circle"/>
            <c:size val="5"/>
            <c:spPr>
              <a:solidFill>
                <a:schemeClr val="accent6">
                  <a:shade val="58000"/>
                </a:schemeClr>
              </a:solidFill>
              <a:ln w="9525">
                <a:solidFill>
                  <a:schemeClr val="accent6">
                    <a:shade val="58000"/>
                  </a:schemeClr>
                </a:solidFill>
              </a:ln>
              <a:effectLst/>
            </c:spPr>
          </c:marker>
          <c:xVal>
            <c:numRef>
              <c:f>'trends for all grades'!$P$4:$P$9</c:f>
              <c:numCache>
                <c:formatCode>General</c:formatCode>
                <c:ptCount val="6"/>
                <c:pt idx="0">
                  <c:v>2008</c:v>
                </c:pt>
                <c:pt idx="1">
                  <c:v>2010</c:v>
                </c:pt>
                <c:pt idx="2">
                  <c:v>2012</c:v>
                </c:pt>
                <c:pt idx="3">
                  <c:v>2014</c:v>
                </c:pt>
                <c:pt idx="4">
                  <c:v>2016</c:v>
                </c:pt>
                <c:pt idx="5">
                  <c:v>2018</c:v>
                </c:pt>
              </c:numCache>
            </c:numRef>
          </c:xVal>
          <c:yVal>
            <c:numRef>
              <c:f>'trends for all grades'!$T$4:$T$9</c:f>
              <c:numCache>
                <c:formatCode>General</c:formatCode>
                <c:ptCount val="6"/>
                <c:pt idx="0">
                  <c:v>0.23</c:v>
                </c:pt>
                <c:pt idx="1">
                  <c:v>0.26</c:v>
                </c:pt>
                <c:pt idx="2">
                  <c:v>0.27</c:v>
                </c:pt>
                <c:pt idx="3">
                  <c:v>0.27</c:v>
                </c:pt>
                <c:pt idx="4">
                  <c:v>0.26</c:v>
                </c:pt>
                <c:pt idx="5">
                  <c:v>0.26</c:v>
                </c:pt>
              </c:numCache>
            </c:numRef>
          </c:yVal>
          <c:smooth val="1"/>
          <c:extLst>
            <c:ext xmlns:c16="http://schemas.microsoft.com/office/drawing/2014/chart" uri="{C3380CC4-5D6E-409C-BE32-E72D297353CC}">
              <c16:uniqueId val="{00000003-C295-4B9E-8993-237069AEA08F}"/>
            </c:ext>
          </c:extLst>
        </c:ser>
        <c:dLbls>
          <c:showLegendKey val="0"/>
          <c:showVal val="0"/>
          <c:showCatName val="0"/>
          <c:showSerName val="0"/>
          <c:showPercent val="0"/>
          <c:showBubbleSize val="0"/>
        </c:dLbls>
        <c:axId val="1900154672"/>
        <c:axId val="2112441280"/>
      </c:scatterChart>
      <c:valAx>
        <c:axId val="190015467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12441280"/>
        <c:crosses val="autoZero"/>
        <c:crossBetween val="midCat"/>
      </c:valAx>
      <c:valAx>
        <c:axId val="21124412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0154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0.82708</cdr:x>
      <cdr:y>0.1169</cdr:y>
    </cdr:from>
    <cdr:to>
      <cdr:x>0.96319</cdr:x>
      <cdr:y>0.23727</cdr:y>
    </cdr:to>
    <cdr:sp macro="" textlink="">
      <cdr:nvSpPr>
        <cdr:cNvPr id="2" name="TextBox 1">
          <a:extLst xmlns:a="http://schemas.openxmlformats.org/drawingml/2006/main">
            <a:ext uri="{FF2B5EF4-FFF2-40B4-BE49-F238E27FC236}">
              <a16:creationId xmlns:a16="http://schemas.microsoft.com/office/drawing/2014/main" id="{C7084BE2-F803-B5F6-92FC-B1133D3AD2F4}"/>
            </a:ext>
          </a:extLst>
        </cdr:cNvPr>
        <cdr:cNvSpPr txBox="1"/>
      </cdr:nvSpPr>
      <cdr:spPr>
        <a:xfrm xmlns:a="http://schemas.openxmlformats.org/drawingml/2006/main">
          <a:off x="3781425" y="320675"/>
          <a:ext cx="622300" cy="330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latin typeface="Times New Roman" panose="02020603050405020304" pitchFamily="18" charset="0"/>
              <a:cs typeface="Times New Roman" panose="02020603050405020304" pitchFamily="18" charset="0"/>
            </a:rPr>
            <a:t>Grade 12</a:t>
          </a:r>
        </a:p>
      </cdr:txBody>
    </cdr:sp>
  </cdr:relSizeAnchor>
  <cdr:relSizeAnchor xmlns:cdr="http://schemas.openxmlformats.org/drawingml/2006/chartDrawing">
    <cdr:from>
      <cdr:x>0.82708</cdr:x>
      <cdr:y>0.34606</cdr:y>
    </cdr:from>
    <cdr:to>
      <cdr:x>0.98125</cdr:x>
      <cdr:y>0.4456</cdr:y>
    </cdr:to>
    <cdr:sp macro="" textlink="">
      <cdr:nvSpPr>
        <cdr:cNvPr id="3" name="TextBox 2">
          <a:extLst xmlns:a="http://schemas.openxmlformats.org/drawingml/2006/main">
            <a:ext uri="{FF2B5EF4-FFF2-40B4-BE49-F238E27FC236}">
              <a16:creationId xmlns:a16="http://schemas.microsoft.com/office/drawing/2014/main" id="{93623639-0D75-12FD-601F-5AF12B6CBA52}"/>
            </a:ext>
          </a:extLst>
        </cdr:cNvPr>
        <cdr:cNvSpPr txBox="1"/>
      </cdr:nvSpPr>
      <cdr:spPr>
        <a:xfrm xmlns:a="http://schemas.openxmlformats.org/drawingml/2006/main">
          <a:off x="3781425" y="949325"/>
          <a:ext cx="704850" cy="2730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latin typeface="Times New Roman" panose="02020603050405020304" pitchFamily="18" charset="0"/>
              <a:cs typeface="Times New Roman" panose="02020603050405020304" pitchFamily="18" charset="0"/>
            </a:rPr>
            <a:t>Grade 10</a:t>
          </a:r>
        </a:p>
      </cdr:txBody>
    </cdr:sp>
  </cdr:relSizeAnchor>
  <cdr:relSizeAnchor xmlns:cdr="http://schemas.openxmlformats.org/drawingml/2006/chartDrawing">
    <cdr:from>
      <cdr:x>0.83125</cdr:x>
      <cdr:y>0.65625</cdr:y>
    </cdr:from>
    <cdr:to>
      <cdr:x>0.97431</cdr:x>
      <cdr:y>0.74421</cdr:y>
    </cdr:to>
    <cdr:sp macro="" textlink="">
      <cdr:nvSpPr>
        <cdr:cNvPr id="4" name="TextBox 3">
          <a:extLst xmlns:a="http://schemas.openxmlformats.org/drawingml/2006/main">
            <a:ext uri="{FF2B5EF4-FFF2-40B4-BE49-F238E27FC236}">
              <a16:creationId xmlns:a16="http://schemas.microsoft.com/office/drawing/2014/main" id="{A422B63C-6274-A58F-62DB-B95409E45C0B}"/>
            </a:ext>
          </a:extLst>
        </cdr:cNvPr>
        <cdr:cNvSpPr txBox="1"/>
      </cdr:nvSpPr>
      <cdr:spPr>
        <a:xfrm xmlns:a="http://schemas.openxmlformats.org/drawingml/2006/main">
          <a:off x="3800475" y="1800225"/>
          <a:ext cx="654050" cy="241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latin typeface="Times New Roman" panose="02020603050405020304" pitchFamily="18" charset="0"/>
              <a:cs typeface="Times New Roman" panose="02020603050405020304" pitchFamily="18" charset="0"/>
            </a:rPr>
            <a:t>Grade 8</a:t>
          </a:r>
        </a:p>
      </cdr:txBody>
    </cdr:sp>
  </cdr:relSizeAnchor>
  <cdr:relSizeAnchor xmlns:cdr="http://schemas.openxmlformats.org/drawingml/2006/chartDrawing">
    <cdr:from>
      <cdr:x>0.82847</cdr:x>
      <cdr:y>0.82755</cdr:y>
    </cdr:from>
    <cdr:to>
      <cdr:x>0.96181</cdr:x>
      <cdr:y>0.89005</cdr:y>
    </cdr:to>
    <cdr:sp macro="" textlink="">
      <cdr:nvSpPr>
        <cdr:cNvPr id="5" name="TextBox 4">
          <a:extLst xmlns:a="http://schemas.openxmlformats.org/drawingml/2006/main">
            <a:ext uri="{FF2B5EF4-FFF2-40B4-BE49-F238E27FC236}">
              <a16:creationId xmlns:a16="http://schemas.microsoft.com/office/drawing/2014/main" id="{05D7DDF6-DF67-F53E-3FE3-43F239FEA864}"/>
            </a:ext>
          </a:extLst>
        </cdr:cNvPr>
        <cdr:cNvSpPr txBox="1"/>
      </cdr:nvSpPr>
      <cdr:spPr>
        <a:xfrm xmlns:a="http://schemas.openxmlformats.org/drawingml/2006/main">
          <a:off x="3787775" y="2270125"/>
          <a:ext cx="609600"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latin typeface="Times New Roman" panose="02020603050405020304" pitchFamily="18" charset="0"/>
              <a:cs typeface="Times New Roman" panose="02020603050405020304" pitchFamily="18" charset="0"/>
            </a:rPr>
            <a:t>Grade 6</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89b04d2-fbfc-46b5-adb3-4ed8f65a23b4">
      <Terms xmlns="http://schemas.microsoft.com/office/infopath/2007/PartnerControls"/>
    </lcf76f155ced4ddcb4097134ff3c332f>
    <TaxCatchAll xmlns="70e5b322-3c92-4bc9-a304-7d04cbafe78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1354CC8B86354096C9C5309F906AD3" ma:contentTypeVersion="8" ma:contentTypeDescription="Create a new document." ma:contentTypeScope="" ma:versionID="34e47179d93f12f6c78368688575d2eb">
  <xsd:schema xmlns:xsd="http://www.w3.org/2001/XMLSchema" xmlns:xs="http://www.w3.org/2001/XMLSchema" xmlns:p="http://schemas.microsoft.com/office/2006/metadata/properties" xmlns:ns2="589b04d2-fbfc-46b5-adb3-4ed8f65a23b4" xmlns:ns3="70e5b322-3c92-4bc9-a304-7d04cbafe78e" targetNamespace="http://schemas.microsoft.com/office/2006/metadata/properties" ma:root="true" ma:fieldsID="74dc70f598f2e97fd6a522792ed2a8ce" ns2:_="" ns3:_="">
    <xsd:import namespace="589b04d2-fbfc-46b5-adb3-4ed8f65a23b4"/>
    <xsd:import namespace="70e5b322-3c92-4bc9-a304-7d04cbafe78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b04d2-fbfc-46b5-adb3-4ed8f65a2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5b322-3c92-4bc9-a304-7d04cbafe78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bbd1f6-e4ff-4198-a946-9ecd9345f399}" ma:internalName="TaxCatchAll" ma:showField="CatchAllData" ma:web="70e5b322-3c92-4bc9-a304-7d04cbafe7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3B05DE-2BDD-49A2-949D-D381C3F93F3E}">
  <ds:schemaRefs>
    <ds:schemaRef ds:uri="http://schemas.microsoft.com/office/2006/metadata/properties"/>
    <ds:schemaRef ds:uri="http://schemas.microsoft.com/office/infopath/2007/PartnerControls"/>
    <ds:schemaRef ds:uri="589b04d2-fbfc-46b5-adb3-4ed8f65a23b4"/>
    <ds:schemaRef ds:uri="70e5b322-3c92-4bc9-a304-7d04cbafe78e"/>
  </ds:schemaRefs>
</ds:datastoreItem>
</file>

<file path=customXml/itemProps2.xml><?xml version="1.0" encoding="utf-8"?>
<ds:datastoreItem xmlns:ds="http://schemas.openxmlformats.org/officeDocument/2006/customXml" ds:itemID="{ED5ADBA9-4972-4848-BEAA-7075D3C2E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b04d2-fbfc-46b5-adb3-4ed8f65a23b4"/>
    <ds:schemaRef ds:uri="70e5b322-3c92-4bc9-a304-7d04cbafe7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6B87C9-35BF-4D7F-B7D1-E7F901FF571E}">
  <ds:schemaRefs>
    <ds:schemaRef ds:uri="http://schemas.microsoft.com/sharepoint/v3/contenttype/forms"/>
  </ds:schemaRefs>
</ds:datastoreItem>
</file>

<file path=customXml/itemProps4.xml><?xml version="1.0" encoding="utf-8"?>
<ds:datastoreItem xmlns:ds="http://schemas.openxmlformats.org/officeDocument/2006/customXml" ds:itemID="{CE8D2DEB-D5E5-450E-8D6A-3FAE0337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56</Pages>
  <Words>15079</Words>
  <Characters>85954</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Jarrold-Grapes</dc:creator>
  <cp:keywords/>
  <dc:description/>
  <cp:lastModifiedBy>Jarrold-Grapes, Rachel</cp:lastModifiedBy>
  <cp:revision>8</cp:revision>
  <dcterms:created xsi:type="dcterms:W3CDTF">2023-06-06T20:49:00Z</dcterms:created>
  <dcterms:modified xsi:type="dcterms:W3CDTF">2023-06-07T14:44:00Z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0x010100B31354CC8B86354096C9C5309F906AD3</vt:lpwstr>
  </property>
  <property fmtid="{D5CDD505-2E9C-101B-9397-08002B2CF9AE}" pid="3" name="MediaServiceImageTags">
    <vt:lpwstr/>
  </property>
</Properties>
</file>