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D5502" w14:textId="77777777" w:rsidR="00240C3B" w:rsidRPr="00F719E2" w:rsidRDefault="00240C3B" w:rsidP="00030175">
      <w:pPr>
        <w:spacing w:after="0" w:line="240" w:lineRule="auto"/>
        <w:contextualSpacing/>
        <w:jc w:val="center"/>
        <w:rPr>
          <w:rFonts w:ascii="Garamond" w:hAnsi="Garamond" w:cs="Times New Roman"/>
          <w:b/>
          <w:bCs/>
          <w:sz w:val="24"/>
          <w:szCs w:val="24"/>
        </w:rPr>
      </w:pPr>
    </w:p>
    <w:p w14:paraId="5EC8389F" w14:textId="77777777" w:rsidR="00240C3B" w:rsidRDefault="00240C3B" w:rsidP="00030175">
      <w:pPr>
        <w:spacing w:after="0" w:line="240" w:lineRule="auto"/>
        <w:contextualSpacing/>
        <w:jc w:val="center"/>
        <w:rPr>
          <w:rFonts w:ascii="Garamond" w:hAnsi="Garamond" w:cs="Times New Roman"/>
          <w:b/>
          <w:bCs/>
          <w:sz w:val="24"/>
          <w:szCs w:val="24"/>
        </w:rPr>
      </w:pPr>
    </w:p>
    <w:p w14:paraId="4BCC6D93" w14:textId="77777777" w:rsidR="00752913" w:rsidRDefault="00752913" w:rsidP="00030175">
      <w:pPr>
        <w:spacing w:after="0" w:line="240" w:lineRule="auto"/>
        <w:contextualSpacing/>
        <w:jc w:val="center"/>
        <w:rPr>
          <w:rFonts w:ascii="Garamond" w:hAnsi="Garamond" w:cs="Times New Roman"/>
          <w:b/>
          <w:bCs/>
          <w:sz w:val="24"/>
          <w:szCs w:val="24"/>
        </w:rPr>
      </w:pPr>
    </w:p>
    <w:p w14:paraId="66423848" w14:textId="77777777" w:rsidR="00752913" w:rsidRPr="00F719E2" w:rsidRDefault="00752913" w:rsidP="00030175">
      <w:pPr>
        <w:spacing w:after="0" w:line="240" w:lineRule="auto"/>
        <w:contextualSpacing/>
        <w:jc w:val="center"/>
        <w:rPr>
          <w:rFonts w:ascii="Garamond" w:hAnsi="Garamond" w:cs="Times New Roman"/>
          <w:b/>
          <w:bCs/>
          <w:sz w:val="24"/>
          <w:szCs w:val="24"/>
        </w:rPr>
      </w:pPr>
    </w:p>
    <w:p w14:paraId="72CC9BC5" w14:textId="77777777" w:rsidR="00240C3B" w:rsidRPr="00F719E2" w:rsidRDefault="00240C3B" w:rsidP="00030175">
      <w:pPr>
        <w:spacing w:after="0" w:line="240" w:lineRule="auto"/>
        <w:contextualSpacing/>
        <w:jc w:val="center"/>
        <w:rPr>
          <w:rFonts w:ascii="Garamond" w:hAnsi="Garamond" w:cs="Times New Roman"/>
          <w:b/>
          <w:bCs/>
          <w:sz w:val="24"/>
          <w:szCs w:val="24"/>
        </w:rPr>
      </w:pPr>
    </w:p>
    <w:p w14:paraId="1227ED30" w14:textId="77777777" w:rsidR="00240C3B" w:rsidRPr="00F719E2" w:rsidRDefault="00240C3B" w:rsidP="00030175">
      <w:pPr>
        <w:spacing w:after="0" w:line="240" w:lineRule="auto"/>
        <w:contextualSpacing/>
        <w:jc w:val="center"/>
        <w:rPr>
          <w:rFonts w:ascii="Garamond" w:hAnsi="Garamond" w:cs="Times New Roman"/>
          <w:b/>
          <w:bCs/>
          <w:sz w:val="24"/>
          <w:szCs w:val="24"/>
        </w:rPr>
      </w:pPr>
    </w:p>
    <w:p w14:paraId="7282B7F6" w14:textId="77777777" w:rsidR="00240C3B" w:rsidRPr="00F719E2" w:rsidRDefault="00240C3B" w:rsidP="00030175">
      <w:pPr>
        <w:spacing w:after="0" w:line="240" w:lineRule="auto"/>
        <w:contextualSpacing/>
        <w:jc w:val="center"/>
        <w:rPr>
          <w:rFonts w:ascii="Garamond" w:hAnsi="Garamond" w:cs="Times New Roman"/>
          <w:b/>
          <w:bCs/>
          <w:sz w:val="24"/>
          <w:szCs w:val="24"/>
        </w:rPr>
      </w:pPr>
    </w:p>
    <w:p w14:paraId="14D7ACAA" w14:textId="66D43736" w:rsidR="009E241D" w:rsidRPr="0001580B" w:rsidRDefault="009E241D" w:rsidP="00030175">
      <w:pPr>
        <w:spacing w:after="0" w:line="240" w:lineRule="auto"/>
        <w:contextualSpacing/>
        <w:jc w:val="center"/>
        <w:rPr>
          <w:rFonts w:ascii="Garamond" w:hAnsi="Garamond" w:cs="Times New Roman"/>
          <w:b/>
          <w:bCs/>
          <w:sz w:val="32"/>
          <w:szCs w:val="32"/>
        </w:rPr>
      </w:pPr>
      <w:r w:rsidRPr="0001580B">
        <w:rPr>
          <w:rFonts w:ascii="Garamond" w:hAnsi="Garamond" w:cs="Times New Roman"/>
          <w:b/>
          <w:bCs/>
          <w:sz w:val="32"/>
          <w:szCs w:val="32"/>
        </w:rPr>
        <w:t>Retirees Return</w:t>
      </w:r>
      <w:r w:rsidR="001D02F3" w:rsidRPr="0001580B">
        <w:rPr>
          <w:rFonts w:ascii="Garamond" w:hAnsi="Garamond" w:cs="Times New Roman"/>
          <w:b/>
          <w:bCs/>
          <w:sz w:val="32"/>
          <w:szCs w:val="32"/>
        </w:rPr>
        <w:t xml:space="preserve"> </w:t>
      </w:r>
      <w:r w:rsidRPr="0001580B">
        <w:rPr>
          <w:rFonts w:ascii="Garamond" w:hAnsi="Garamond" w:cs="Times New Roman"/>
          <w:b/>
          <w:bCs/>
          <w:sz w:val="32"/>
          <w:szCs w:val="32"/>
        </w:rPr>
        <w:t>to</w:t>
      </w:r>
      <w:r w:rsidR="001D02F3" w:rsidRPr="0001580B">
        <w:rPr>
          <w:rFonts w:ascii="Garamond" w:hAnsi="Garamond" w:cs="Times New Roman"/>
          <w:b/>
          <w:bCs/>
          <w:sz w:val="32"/>
          <w:szCs w:val="32"/>
        </w:rPr>
        <w:t xml:space="preserve"> </w:t>
      </w:r>
      <w:r w:rsidRPr="0001580B">
        <w:rPr>
          <w:rFonts w:ascii="Garamond" w:hAnsi="Garamond" w:cs="Times New Roman"/>
          <w:b/>
          <w:bCs/>
          <w:sz w:val="32"/>
          <w:szCs w:val="32"/>
        </w:rPr>
        <w:t>Work</w:t>
      </w:r>
      <w:r w:rsidR="00030175" w:rsidRPr="0001580B">
        <w:rPr>
          <w:rFonts w:ascii="Garamond" w:hAnsi="Garamond" w:cs="Times New Roman"/>
          <w:b/>
          <w:bCs/>
          <w:sz w:val="32"/>
          <w:szCs w:val="32"/>
        </w:rPr>
        <w:t>:</w:t>
      </w:r>
    </w:p>
    <w:p w14:paraId="1E574194" w14:textId="3C3A9AC4" w:rsidR="00030175" w:rsidRPr="0001580B" w:rsidRDefault="00845FC3" w:rsidP="00030175">
      <w:pPr>
        <w:spacing w:after="0" w:line="240" w:lineRule="auto"/>
        <w:contextualSpacing/>
        <w:jc w:val="center"/>
        <w:rPr>
          <w:rFonts w:ascii="Garamond" w:hAnsi="Garamond" w:cs="Times New Roman"/>
          <w:b/>
          <w:bCs/>
          <w:sz w:val="32"/>
          <w:szCs w:val="32"/>
        </w:rPr>
      </w:pPr>
      <w:r w:rsidRPr="0001580B">
        <w:rPr>
          <w:rFonts w:ascii="Garamond" w:hAnsi="Garamond" w:cs="Times New Roman"/>
          <w:b/>
          <w:bCs/>
          <w:sz w:val="32"/>
          <w:szCs w:val="32"/>
        </w:rPr>
        <w:t xml:space="preserve">How a North Carolina Policy Helped </w:t>
      </w:r>
      <w:r w:rsidR="0023256F" w:rsidRPr="0001580B">
        <w:rPr>
          <w:rFonts w:ascii="Garamond" w:hAnsi="Garamond" w:cs="Times New Roman"/>
          <w:b/>
          <w:bCs/>
          <w:sz w:val="32"/>
          <w:szCs w:val="32"/>
        </w:rPr>
        <w:t>Staff High-Need School</w:t>
      </w:r>
      <w:r w:rsidR="00CB7A1E" w:rsidRPr="0001580B">
        <w:rPr>
          <w:rFonts w:ascii="Garamond" w:hAnsi="Garamond" w:cs="Times New Roman"/>
          <w:b/>
          <w:bCs/>
          <w:sz w:val="32"/>
          <w:szCs w:val="32"/>
        </w:rPr>
        <w:t>s</w:t>
      </w:r>
      <w:r w:rsidR="00CB7A1E" w:rsidRPr="0001580B">
        <w:rPr>
          <w:rStyle w:val="FootnoteReference"/>
          <w:rFonts w:ascii="Garamond" w:hAnsi="Garamond" w:cs="Times New Roman"/>
          <w:b/>
          <w:bCs/>
          <w:sz w:val="32"/>
          <w:szCs w:val="32"/>
        </w:rPr>
        <w:footnoteReference w:customMarkFollows="1" w:id="2"/>
        <w:t>*</w:t>
      </w:r>
    </w:p>
    <w:p w14:paraId="2B8488F3" w14:textId="5AD48517" w:rsidR="006F1567" w:rsidRDefault="006F1567" w:rsidP="00030175">
      <w:pPr>
        <w:spacing w:after="0" w:line="240" w:lineRule="auto"/>
        <w:contextualSpacing/>
        <w:jc w:val="center"/>
        <w:rPr>
          <w:rFonts w:ascii="Garamond" w:hAnsi="Garamond" w:cs="Times New Roman"/>
          <w:b/>
          <w:bCs/>
          <w:sz w:val="24"/>
          <w:szCs w:val="24"/>
        </w:rPr>
      </w:pPr>
    </w:p>
    <w:p w14:paraId="2602B6E6" w14:textId="512F4C7A" w:rsidR="00B9423A" w:rsidRDefault="00B9423A" w:rsidP="00030175">
      <w:pPr>
        <w:spacing w:after="0" w:line="240" w:lineRule="auto"/>
        <w:contextualSpacing/>
        <w:jc w:val="center"/>
        <w:rPr>
          <w:rFonts w:ascii="Garamond" w:hAnsi="Garamond" w:cs="Times New Roman"/>
          <w:b/>
          <w:bCs/>
          <w:sz w:val="24"/>
          <w:szCs w:val="24"/>
        </w:rPr>
      </w:pPr>
    </w:p>
    <w:p w14:paraId="1E95C3A2" w14:textId="77777777" w:rsidR="00B9423A" w:rsidRDefault="00B9423A" w:rsidP="00030175">
      <w:pPr>
        <w:spacing w:after="0" w:line="240" w:lineRule="auto"/>
        <w:contextualSpacing/>
        <w:jc w:val="center"/>
        <w:rPr>
          <w:rFonts w:ascii="Garamond" w:hAnsi="Garamond" w:cs="Times New Roman"/>
          <w:b/>
          <w:bCs/>
          <w:sz w:val="24"/>
          <w:szCs w:val="24"/>
        </w:rPr>
      </w:pPr>
    </w:p>
    <w:p w14:paraId="42C02389" w14:textId="60200AE5" w:rsidR="006F1567" w:rsidRDefault="006F1567" w:rsidP="00030175">
      <w:pPr>
        <w:spacing w:after="0" w:line="240" w:lineRule="auto"/>
        <w:contextualSpacing/>
        <w:jc w:val="center"/>
        <w:rPr>
          <w:rFonts w:ascii="Garamond" w:hAnsi="Garamond" w:cs="Times New Roman"/>
          <w:b/>
          <w:bCs/>
          <w:sz w:val="24"/>
          <w:szCs w:val="24"/>
        </w:rPr>
      </w:pPr>
    </w:p>
    <w:p w14:paraId="1541595F" w14:textId="6298B881" w:rsidR="006F1567" w:rsidRPr="0001580B" w:rsidRDefault="006F1567" w:rsidP="006F1567">
      <w:pPr>
        <w:spacing w:after="0" w:line="240" w:lineRule="auto"/>
        <w:contextualSpacing/>
        <w:jc w:val="center"/>
        <w:rPr>
          <w:rFonts w:ascii="Garamond" w:hAnsi="Garamond" w:cs="Times New Roman"/>
          <w:b/>
          <w:bCs/>
          <w:sz w:val="24"/>
          <w:szCs w:val="24"/>
        </w:rPr>
      </w:pPr>
      <w:r w:rsidRPr="0001580B">
        <w:rPr>
          <w:rFonts w:ascii="Garamond" w:hAnsi="Garamond" w:cs="Times New Roman"/>
          <w:b/>
          <w:bCs/>
          <w:sz w:val="24"/>
          <w:szCs w:val="24"/>
        </w:rPr>
        <w:t>Rachel Jarrold-Grapes</w:t>
      </w:r>
    </w:p>
    <w:p w14:paraId="070E418B" w14:textId="4D69AD71" w:rsidR="006F1567" w:rsidRDefault="006F1567" w:rsidP="006F1567">
      <w:pPr>
        <w:spacing w:after="0" w:line="240" w:lineRule="auto"/>
        <w:contextualSpacing/>
        <w:jc w:val="center"/>
        <w:rPr>
          <w:rFonts w:ascii="Garamond" w:hAnsi="Garamond" w:cs="Times New Roman"/>
          <w:sz w:val="24"/>
          <w:szCs w:val="24"/>
        </w:rPr>
      </w:pPr>
      <w:r w:rsidRPr="00CD47EA">
        <w:rPr>
          <w:rFonts w:ascii="Garamond" w:hAnsi="Garamond" w:cs="Times New Roman"/>
          <w:sz w:val="24"/>
          <w:szCs w:val="24"/>
        </w:rPr>
        <w:t>Federal Trade Commission</w:t>
      </w:r>
    </w:p>
    <w:p w14:paraId="6A2FB7C4" w14:textId="755A3339" w:rsidR="0001580B" w:rsidRPr="00CD47EA" w:rsidRDefault="00366CCA" w:rsidP="006F1567">
      <w:pPr>
        <w:spacing w:after="0" w:line="240" w:lineRule="auto"/>
        <w:contextualSpacing/>
        <w:jc w:val="center"/>
        <w:rPr>
          <w:rFonts w:ascii="Garamond" w:hAnsi="Garamond" w:cs="Times New Roman"/>
          <w:sz w:val="24"/>
          <w:szCs w:val="24"/>
        </w:rPr>
      </w:pPr>
      <w:hyperlink r:id="rId11" w:history="1">
        <w:r w:rsidR="0001580B" w:rsidRPr="00885B05">
          <w:rPr>
            <w:rStyle w:val="Hyperlink"/>
            <w:rFonts w:ascii="Garamond" w:hAnsi="Garamond" w:cs="Times New Roman"/>
            <w:sz w:val="24"/>
            <w:szCs w:val="24"/>
          </w:rPr>
          <w:t>rjarroldgrapes@ftc.gov</w:t>
        </w:r>
      </w:hyperlink>
      <w:r w:rsidR="0001580B">
        <w:rPr>
          <w:rFonts w:ascii="Garamond" w:hAnsi="Garamond" w:cs="Times New Roman"/>
          <w:sz w:val="24"/>
          <w:szCs w:val="24"/>
        </w:rPr>
        <w:t xml:space="preserve"> </w:t>
      </w:r>
    </w:p>
    <w:p w14:paraId="48F53588" w14:textId="0D61EF67" w:rsidR="006F1567" w:rsidRDefault="006F1567" w:rsidP="006F1567">
      <w:pPr>
        <w:spacing w:after="0" w:line="240" w:lineRule="auto"/>
        <w:contextualSpacing/>
        <w:jc w:val="center"/>
        <w:rPr>
          <w:rFonts w:ascii="Garamond" w:hAnsi="Garamond" w:cs="Times New Roman"/>
          <w:sz w:val="24"/>
          <w:szCs w:val="24"/>
        </w:rPr>
      </w:pPr>
    </w:p>
    <w:p w14:paraId="012A0136" w14:textId="77777777" w:rsidR="0001580B" w:rsidRPr="00CD47EA" w:rsidRDefault="0001580B" w:rsidP="006F1567">
      <w:pPr>
        <w:spacing w:after="0" w:line="240" w:lineRule="auto"/>
        <w:contextualSpacing/>
        <w:jc w:val="center"/>
        <w:rPr>
          <w:rFonts w:ascii="Garamond" w:hAnsi="Garamond" w:cs="Times New Roman"/>
          <w:sz w:val="24"/>
          <w:szCs w:val="24"/>
        </w:rPr>
      </w:pPr>
    </w:p>
    <w:p w14:paraId="0213798D" w14:textId="1F2005F2" w:rsidR="006F1567" w:rsidRPr="0001580B" w:rsidRDefault="006F1567" w:rsidP="006F1567">
      <w:pPr>
        <w:spacing w:after="0" w:line="240" w:lineRule="auto"/>
        <w:contextualSpacing/>
        <w:jc w:val="center"/>
        <w:rPr>
          <w:rFonts w:ascii="Garamond" w:hAnsi="Garamond" w:cs="Times New Roman"/>
          <w:b/>
          <w:bCs/>
          <w:sz w:val="24"/>
          <w:szCs w:val="24"/>
        </w:rPr>
      </w:pPr>
      <w:r w:rsidRPr="0001580B">
        <w:rPr>
          <w:rFonts w:ascii="Garamond" w:hAnsi="Garamond" w:cs="Times New Roman"/>
          <w:b/>
          <w:bCs/>
          <w:sz w:val="24"/>
          <w:szCs w:val="24"/>
        </w:rPr>
        <w:t>Patten Priestley Mahler</w:t>
      </w:r>
    </w:p>
    <w:p w14:paraId="402AD337" w14:textId="0E8139D6" w:rsidR="006F1567" w:rsidRDefault="006F1567" w:rsidP="006F1567">
      <w:pPr>
        <w:spacing w:after="0" w:line="240" w:lineRule="auto"/>
        <w:contextualSpacing/>
        <w:jc w:val="center"/>
        <w:rPr>
          <w:rFonts w:ascii="Garamond" w:hAnsi="Garamond" w:cs="Times New Roman"/>
          <w:sz w:val="24"/>
          <w:szCs w:val="24"/>
        </w:rPr>
      </w:pPr>
      <w:r w:rsidRPr="00CD47EA">
        <w:rPr>
          <w:rFonts w:ascii="Garamond" w:hAnsi="Garamond" w:cs="Times New Roman"/>
          <w:sz w:val="24"/>
          <w:szCs w:val="24"/>
        </w:rPr>
        <w:t>Centre College</w:t>
      </w:r>
    </w:p>
    <w:p w14:paraId="0E947068" w14:textId="5BEB1D7E" w:rsidR="0001580B" w:rsidRDefault="00366CCA" w:rsidP="006F1567">
      <w:pPr>
        <w:spacing w:after="0" w:line="240" w:lineRule="auto"/>
        <w:contextualSpacing/>
        <w:jc w:val="center"/>
        <w:rPr>
          <w:rFonts w:ascii="Garamond" w:hAnsi="Garamond" w:cs="Times New Roman"/>
          <w:sz w:val="24"/>
          <w:szCs w:val="24"/>
        </w:rPr>
      </w:pPr>
      <w:hyperlink r:id="rId12" w:history="1">
        <w:r w:rsidR="0001580B" w:rsidRPr="00885B05">
          <w:rPr>
            <w:rStyle w:val="Hyperlink"/>
            <w:rFonts w:ascii="Garamond" w:hAnsi="Garamond" w:cs="Times New Roman"/>
            <w:sz w:val="24"/>
            <w:szCs w:val="24"/>
          </w:rPr>
          <w:t>patten.mahler@centre.edu</w:t>
        </w:r>
      </w:hyperlink>
    </w:p>
    <w:p w14:paraId="3B362BBD" w14:textId="77777777" w:rsidR="0001580B" w:rsidRDefault="0001580B" w:rsidP="006F1567">
      <w:pPr>
        <w:spacing w:after="0" w:line="240" w:lineRule="auto"/>
        <w:contextualSpacing/>
        <w:jc w:val="center"/>
        <w:rPr>
          <w:rFonts w:ascii="Garamond" w:hAnsi="Garamond" w:cs="Times New Roman"/>
          <w:sz w:val="24"/>
          <w:szCs w:val="24"/>
        </w:rPr>
      </w:pPr>
    </w:p>
    <w:p w14:paraId="7D88052C" w14:textId="663B5999" w:rsidR="0001580B" w:rsidRDefault="0001580B" w:rsidP="006F1567">
      <w:pPr>
        <w:spacing w:after="0" w:line="240" w:lineRule="auto"/>
        <w:contextualSpacing/>
        <w:jc w:val="center"/>
        <w:rPr>
          <w:rFonts w:ascii="Garamond" w:hAnsi="Garamond" w:cs="Times New Roman"/>
          <w:sz w:val="24"/>
          <w:szCs w:val="24"/>
        </w:rPr>
      </w:pPr>
    </w:p>
    <w:p w14:paraId="0DE94316" w14:textId="74C2D910" w:rsidR="0001580B" w:rsidRPr="00CD47EA" w:rsidRDefault="0001580B" w:rsidP="006F1567">
      <w:pPr>
        <w:spacing w:after="0" w:line="240" w:lineRule="auto"/>
        <w:contextualSpacing/>
        <w:jc w:val="center"/>
        <w:rPr>
          <w:rFonts w:ascii="Garamond" w:hAnsi="Garamond" w:cs="Times New Roman"/>
          <w:sz w:val="24"/>
          <w:szCs w:val="24"/>
        </w:rPr>
      </w:pPr>
      <w:r>
        <w:rPr>
          <w:rFonts w:ascii="Garamond" w:hAnsi="Garamond" w:cs="Times New Roman"/>
          <w:sz w:val="24"/>
          <w:szCs w:val="24"/>
        </w:rPr>
        <w:t>June 5, 2023</w:t>
      </w:r>
    </w:p>
    <w:p w14:paraId="484EE203" w14:textId="77777777" w:rsidR="006F1567" w:rsidRPr="00F719E2" w:rsidRDefault="006F1567" w:rsidP="00030175">
      <w:pPr>
        <w:spacing w:after="0" w:line="240" w:lineRule="auto"/>
        <w:contextualSpacing/>
        <w:jc w:val="center"/>
        <w:rPr>
          <w:rFonts w:ascii="Garamond" w:hAnsi="Garamond" w:cs="Times New Roman"/>
          <w:b/>
          <w:bCs/>
          <w:sz w:val="24"/>
          <w:szCs w:val="24"/>
        </w:rPr>
      </w:pPr>
    </w:p>
    <w:p w14:paraId="7E1DE47C" w14:textId="77777777" w:rsidR="00A70B6F" w:rsidRPr="00F719E2" w:rsidRDefault="00A70B6F" w:rsidP="00A70B6F">
      <w:pPr>
        <w:spacing w:after="0" w:line="240" w:lineRule="auto"/>
        <w:contextualSpacing/>
        <w:jc w:val="center"/>
        <w:rPr>
          <w:rFonts w:ascii="Garamond" w:hAnsi="Garamond" w:cs="Times New Roman"/>
          <w:b/>
          <w:bCs/>
          <w:sz w:val="24"/>
          <w:szCs w:val="24"/>
        </w:rPr>
      </w:pPr>
    </w:p>
    <w:p w14:paraId="5157367C" w14:textId="77777777" w:rsidR="00A70B6F" w:rsidRPr="00F719E2" w:rsidRDefault="00A70B6F" w:rsidP="00A70B6F">
      <w:pPr>
        <w:spacing w:after="0" w:line="240" w:lineRule="auto"/>
        <w:contextualSpacing/>
        <w:jc w:val="center"/>
        <w:rPr>
          <w:rFonts w:ascii="Garamond" w:hAnsi="Garamond" w:cs="Times New Roman"/>
          <w:sz w:val="24"/>
          <w:szCs w:val="24"/>
        </w:rPr>
      </w:pPr>
    </w:p>
    <w:p w14:paraId="35189335" w14:textId="7CA1B5B0" w:rsidR="00CD52A4" w:rsidRPr="00F719E2" w:rsidRDefault="00AC25C4" w:rsidP="00AC25C4">
      <w:pPr>
        <w:spacing w:after="0" w:line="240" w:lineRule="auto"/>
        <w:contextualSpacing/>
        <w:rPr>
          <w:rFonts w:ascii="Garamond" w:hAnsi="Garamond" w:cs="Times New Roman"/>
          <w:sz w:val="24"/>
          <w:szCs w:val="24"/>
        </w:rPr>
      </w:pPr>
      <w:r w:rsidRPr="00AC25C4">
        <w:rPr>
          <w:rFonts w:ascii="Garamond" w:hAnsi="Garamond" w:cs="Times New Roman"/>
          <w:b/>
          <w:bCs/>
          <w:sz w:val="24"/>
          <w:szCs w:val="24"/>
        </w:rPr>
        <w:t>Abstract:</w:t>
      </w:r>
      <w:r>
        <w:rPr>
          <w:rFonts w:ascii="Garamond" w:hAnsi="Garamond" w:cs="Times New Roman"/>
          <w:sz w:val="24"/>
          <w:szCs w:val="24"/>
        </w:rPr>
        <w:t xml:space="preserve"> </w:t>
      </w:r>
      <w:r w:rsidR="00094D6D" w:rsidRPr="00F719E2">
        <w:rPr>
          <w:rFonts w:ascii="Garamond" w:hAnsi="Garamond" w:cs="Times New Roman"/>
          <w:sz w:val="24"/>
          <w:szCs w:val="24"/>
        </w:rPr>
        <w:t xml:space="preserve">Teacher shortages have been </w:t>
      </w:r>
      <w:r w:rsidR="00FA137C">
        <w:rPr>
          <w:rFonts w:ascii="Garamond" w:hAnsi="Garamond" w:cs="Times New Roman"/>
          <w:sz w:val="24"/>
          <w:szCs w:val="24"/>
        </w:rPr>
        <w:t xml:space="preserve">a </w:t>
      </w:r>
      <w:r w:rsidR="00094D6D" w:rsidRPr="00F719E2">
        <w:rPr>
          <w:rFonts w:ascii="Garamond" w:hAnsi="Garamond" w:cs="Times New Roman"/>
          <w:sz w:val="24"/>
          <w:szCs w:val="24"/>
        </w:rPr>
        <w:t xml:space="preserve">long-standing issue in </w:t>
      </w:r>
      <w:r w:rsidR="00FA137C">
        <w:rPr>
          <w:rFonts w:ascii="Garamond" w:hAnsi="Garamond" w:cs="Times New Roman"/>
          <w:sz w:val="24"/>
          <w:szCs w:val="24"/>
        </w:rPr>
        <w:t xml:space="preserve">U.S. </w:t>
      </w:r>
      <w:r w:rsidR="00094D6D" w:rsidRPr="00F719E2">
        <w:rPr>
          <w:rFonts w:ascii="Garamond" w:hAnsi="Garamond" w:cs="Times New Roman"/>
          <w:sz w:val="24"/>
          <w:szCs w:val="24"/>
        </w:rPr>
        <w:t>public schools</w:t>
      </w:r>
      <w:r w:rsidR="007B6DF3">
        <w:rPr>
          <w:rFonts w:ascii="Garamond" w:hAnsi="Garamond" w:cs="Times New Roman"/>
          <w:sz w:val="24"/>
          <w:szCs w:val="24"/>
        </w:rPr>
        <w:t xml:space="preserve"> and were re</w:t>
      </w:r>
      <w:r w:rsidR="00D7410E" w:rsidRPr="00F719E2">
        <w:rPr>
          <w:rFonts w:ascii="Garamond" w:hAnsi="Garamond" w:cs="Times New Roman"/>
          <w:sz w:val="24"/>
          <w:szCs w:val="24"/>
        </w:rPr>
        <w:t>cently</w:t>
      </w:r>
      <w:r w:rsidR="007B6DF3">
        <w:rPr>
          <w:rFonts w:ascii="Garamond" w:hAnsi="Garamond" w:cs="Times New Roman"/>
          <w:sz w:val="24"/>
          <w:szCs w:val="24"/>
        </w:rPr>
        <w:t xml:space="preserve"> </w:t>
      </w:r>
      <w:r w:rsidR="00D7410E" w:rsidRPr="00F719E2">
        <w:rPr>
          <w:rFonts w:ascii="Garamond" w:hAnsi="Garamond" w:cs="Times New Roman"/>
          <w:sz w:val="24"/>
          <w:szCs w:val="24"/>
        </w:rPr>
        <w:t xml:space="preserve">exacerbated by the COVID-19 pandemic. </w:t>
      </w:r>
      <w:r w:rsidR="00EF27F0">
        <w:rPr>
          <w:rFonts w:ascii="Garamond" w:hAnsi="Garamond" w:cs="Times New Roman"/>
          <w:sz w:val="24"/>
          <w:szCs w:val="24"/>
        </w:rPr>
        <w:t>These s</w:t>
      </w:r>
      <w:r w:rsidR="00D7410E" w:rsidRPr="00F719E2">
        <w:rPr>
          <w:rFonts w:ascii="Garamond" w:hAnsi="Garamond" w:cs="Times New Roman"/>
          <w:sz w:val="24"/>
          <w:szCs w:val="24"/>
        </w:rPr>
        <w:t>hortage</w:t>
      </w:r>
      <w:r w:rsidR="00F76E78" w:rsidRPr="00F719E2">
        <w:rPr>
          <w:rFonts w:ascii="Garamond" w:hAnsi="Garamond" w:cs="Times New Roman"/>
          <w:sz w:val="24"/>
          <w:szCs w:val="24"/>
        </w:rPr>
        <w:t>s tend to be concentrated in high-poverty, high-minority schools and hard-to-staff subjects like special education and STEM</w:t>
      </w:r>
      <w:r w:rsidR="00C416D0" w:rsidRPr="00F719E2">
        <w:rPr>
          <w:rFonts w:ascii="Garamond" w:hAnsi="Garamond" w:cs="Times New Roman"/>
          <w:sz w:val="24"/>
          <w:szCs w:val="24"/>
        </w:rPr>
        <w:t xml:space="preserve">. States have </w:t>
      </w:r>
      <w:r w:rsidR="009909F2" w:rsidRPr="00F719E2">
        <w:rPr>
          <w:rFonts w:ascii="Garamond" w:hAnsi="Garamond" w:cs="Times New Roman"/>
          <w:sz w:val="24"/>
          <w:szCs w:val="24"/>
        </w:rPr>
        <w:t>implemented various policies to improve retention</w:t>
      </w:r>
      <w:r w:rsidR="009F5124" w:rsidRPr="00F719E2">
        <w:rPr>
          <w:rFonts w:ascii="Garamond" w:hAnsi="Garamond" w:cs="Times New Roman"/>
          <w:sz w:val="24"/>
          <w:szCs w:val="24"/>
        </w:rPr>
        <w:t xml:space="preserve"> and decrease turnover</w:t>
      </w:r>
      <w:r w:rsidR="00236EC1" w:rsidRPr="00F719E2">
        <w:rPr>
          <w:rFonts w:ascii="Garamond" w:hAnsi="Garamond" w:cs="Times New Roman"/>
          <w:sz w:val="24"/>
          <w:szCs w:val="24"/>
        </w:rPr>
        <w:t>,</w:t>
      </w:r>
      <w:r w:rsidR="001F6A8A">
        <w:rPr>
          <w:rFonts w:ascii="Garamond" w:hAnsi="Garamond" w:cs="Times New Roman"/>
          <w:sz w:val="24"/>
          <w:szCs w:val="24"/>
        </w:rPr>
        <w:t xml:space="preserve"> including </w:t>
      </w:r>
      <w:r w:rsidR="00236EC1" w:rsidRPr="00F719E2">
        <w:rPr>
          <w:rFonts w:ascii="Garamond" w:hAnsi="Garamond" w:cs="Times New Roman"/>
          <w:sz w:val="24"/>
          <w:szCs w:val="24"/>
        </w:rPr>
        <w:t>offer</w:t>
      </w:r>
      <w:r w:rsidR="001F6A8A">
        <w:rPr>
          <w:rFonts w:ascii="Garamond" w:hAnsi="Garamond" w:cs="Times New Roman"/>
          <w:sz w:val="24"/>
          <w:szCs w:val="24"/>
        </w:rPr>
        <w:t>ing</w:t>
      </w:r>
      <w:r w:rsidR="00F45D45">
        <w:rPr>
          <w:rFonts w:ascii="Garamond" w:hAnsi="Garamond" w:cs="Times New Roman"/>
          <w:sz w:val="24"/>
          <w:szCs w:val="24"/>
        </w:rPr>
        <w:t xml:space="preserve"> </w:t>
      </w:r>
      <w:proofErr w:type="gramStart"/>
      <w:r w:rsidR="00236EC1" w:rsidRPr="00F719E2">
        <w:rPr>
          <w:rFonts w:ascii="Garamond" w:hAnsi="Garamond" w:cs="Times New Roman"/>
          <w:sz w:val="24"/>
          <w:szCs w:val="24"/>
        </w:rPr>
        <w:t>teachers</w:t>
      </w:r>
      <w:proofErr w:type="gramEnd"/>
      <w:r w:rsidR="00236EC1" w:rsidRPr="00F719E2">
        <w:rPr>
          <w:rFonts w:ascii="Garamond" w:hAnsi="Garamond" w:cs="Times New Roman"/>
          <w:sz w:val="24"/>
          <w:szCs w:val="24"/>
        </w:rPr>
        <w:t xml:space="preserve"> bonuses and salary </w:t>
      </w:r>
      <w:r w:rsidR="00FA66F5" w:rsidRPr="00F719E2">
        <w:rPr>
          <w:rFonts w:ascii="Garamond" w:hAnsi="Garamond" w:cs="Times New Roman"/>
          <w:sz w:val="24"/>
          <w:szCs w:val="24"/>
        </w:rPr>
        <w:t xml:space="preserve">increases for teaching in high-need schools </w:t>
      </w:r>
      <w:r w:rsidR="00F45D45">
        <w:rPr>
          <w:rFonts w:ascii="Garamond" w:hAnsi="Garamond" w:cs="Times New Roman"/>
          <w:sz w:val="24"/>
          <w:szCs w:val="24"/>
        </w:rPr>
        <w:t>or</w:t>
      </w:r>
      <w:r w:rsidR="00FA66F5" w:rsidRPr="00F719E2">
        <w:rPr>
          <w:rFonts w:ascii="Garamond" w:hAnsi="Garamond" w:cs="Times New Roman"/>
          <w:sz w:val="24"/>
          <w:szCs w:val="24"/>
        </w:rPr>
        <w:t xml:space="preserve"> shortage subject areas. We study one of these policie</w:t>
      </w:r>
      <w:r w:rsidR="005D41B0" w:rsidRPr="00F719E2">
        <w:rPr>
          <w:rFonts w:ascii="Garamond" w:hAnsi="Garamond" w:cs="Times New Roman"/>
          <w:sz w:val="24"/>
          <w:szCs w:val="24"/>
        </w:rPr>
        <w:t>s, a return-to-work policy in North Carolina that allowed retired teachers to return to work full-time</w:t>
      </w:r>
      <w:r w:rsidR="00F45D45">
        <w:rPr>
          <w:rFonts w:ascii="Garamond" w:hAnsi="Garamond" w:cs="Times New Roman"/>
          <w:sz w:val="24"/>
          <w:szCs w:val="24"/>
        </w:rPr>
        <w:t xml:space="preserve">, earning </w:t>
      </w:r>
      <w:r w:rsidR="005D41B0" w:rsidRPr="00F719E2">
        <w:rPr>
          <w:rFonts w:ascii="Garamond" w:hAnsi="Garamond" w:cs="Times New Roman"/>
          <w:sz w:val="24"/>
          <w:szCs w:val="24"/>
        </w:rPr>
        <w:t xml:space="preserve">their full-time salary and pension benefits concurrently. </w:t>
      </w:r>
      <w:r w:rsidR="0095228D" w:rsidRPr="00F719E2">
        <w:rPr>
          <w:rFonts w:ascii="Garamond" w:hAnsi="Garamond" w:cs="Times New Roman"/>
          <w:sz w:val="24"/>
          <w:szCs w:val="24"/>
        </w:rPr>
        <w:t xml:space="preserve">We characterize </w:t>
      </w:r>
      <w:r w:rsidR="0062125B">
        <w:rPr>
          <w:rFonts w:ascii="Garamond" w:hAnsi="Garamond" w:cs="Times New Roman"/>
          <w:sz w:val="24"/>
          <w:szCs w:val="24"/>
        </w:rPr>
        <w:t>the</w:t>
      </w:r>
      <w:r w:rsidR="0095228D" w:rsidRPr="00F719E2">
        <w:rPr>
          <w:rFonts w:ascii="Garamond" w:hAnsi="Garamond" w:cs="Times New Roman"/>
          <w:sz w:val="24"/>
          <w:szCs w:val="24"/>
        </w:rPr>
        <w:t xml:space="preserve"> teachers </w:t>
      </w:r>
      <w:r w:rsidR="0062125B">
        <w:rPr>
          <w:rFonts w:ascii="Garamond" w:hAnsi="Garamond" w:cs="Times New Roman"/>
          <w:sz w:val="24"/>
          <w:szCs w:val="24"/>
        </w:rPr>
        <w:t xml:space="preserve">who </w:t>
      </w:r>
      <w:r w:rsidR="00A3112A" w:rsidRPr="00F719E2">
        <w:rPr>
          <w:rFonts w:ascii="Garamond" w:hAnsi="Garamond" w:cs="Times New Roman"/>
          <w:sz w:val="24"/>
          <w:szCs w:val="24"/>
        </w:rPr>
        <w:t xml:space="preserve">returned and </w:t>
      </w:r>
      <w:r w:rsidR="0062125B">
        <w:rPr>
          <w:rFonts w:ascii="Garamond" w:hAnsi="Garamond" w:cs="Times New Roman"/>
          <w:sz w:val="24"/>
          <w:szCs w:val="24"/>
        </w:rPr>
        <w:t xml:space="preserve">the </w:t>
      </w:r>
      <w:r w:rsidR="00A3112A" w:rsidRPr="00F719E2">
        <w:rPr>
          <w:rFonts w:ascii="Garamond" w:hAnsi="Garamond" w:cs="Times New Roman"/>
          <w:sz w:val="24"/>
          <w:szCs w:val="24"/>
        </w:rPr>
        <w:t>schools</w:t>
      </w:r>
      <w:r w:rsidR="0062125B">
        <w:rPr>
          <w:rFonts w:ascii="Garamond" w:hAnsi="Garamond" w:cs="Times New Roman"/>
          <w:sz w:val="24"/>
          <w:szCs w:val="24"/>
        </w:rPr>
        <w:t xml:space="preserve"> that</w:t>
      </w:r>
      <w:r w:rsidR="00A3112A" w:rsidRPr="00F719E2">
        <w:rPr>
          <w:rFonts w:ascii="Garamond" w:hAnsi="Garamond" w:cs="Times New Roman"/>
          <w:sz w:val="24"/>
          <w:szCs w:val="24"/>
        </w:rPr>
        <w:t xml:space="preserve"> hired them by </w:t>
      </w:r>
      <w:r w:rsidR="0062125B">
        <w:rPr>
          <w:rFonts w:ascii="Garamond" w:hAnsi="Garamond" w:cs="Times New Roman"/>
          <w:sz w:val="24"/>
          <w:szCs w:val="24"/>
        </w:rPr>
        <w:t xml:space="preserve">describing teacher </w:t>
      </w:r>
      <w:r w:rsidR="00A3112A" w:rsidRPr="00F719E2">
        <w:rPr>
          <w:rFonts w:ascii="Garamond" w:hAnsi="Garamond" w:cs="Times New Roman"/>
          <w:sz w:val="24"/>
          <w:szCs w:val="24"/>
        </w:rPr>
        <w:t>demographics</w:t>
      </w:r>
      <w:r w:rsidR="00772652" w:rsidRPr="00F719E2">
        <w:rPr>
          <w:rFonts w:ascii="Garamond" w:hAnsi="Garamond" w:cs="Times New Roman"/>
          <w:sz w:val="24"/>
          <w:szCs w:val="24"/>
        </w:rPr>
        <w:t xml:space="preserve"> and qualifications, </w:t>
      </w:r>
      <w:r w:rsidR="003A70D4">
        <w:rPr>
          <w:rFonts w:ascii="Garamond" w:hAnsi="Garamond" w:cs="Times New Roman"/>
          <w:sz w:val="24"/>
          <w:szCs w:val="24"/>
        </w:rPr>
        <w:t>and</w:t>
      </w:r>
      <w:r w:rsidR="00772652" w:rsidRPr="00F719E2">
        <w:rPr>
          <w:rFonts w:ascii="Garamond" w:hAnsi="Garamond" w:cs="Times New Roman"/>
          <w:sz w:val="24"/>
          <w:szCs w:val="24"/>
        </w:rPr>
        <w:t xml:space="preserve"> school</w:t>
      </w:r>
      <w:r w:rsidR="003A70D4">
        <w:rPr>
          <w:rFonts w:ascii="Garamond" w:hAnsi="Garamond" w:cs="Times New Roman"/>
          <w:sz w:val="24"/>
          <w:szCs w:val="24"/>
        </w:rPr>
        <w:t>-level</w:t>
      </w:r>
      <w:r w:rsidR="00772652" w:rsidRPr="00F719E2">
        <w:rPr>
          <w:rFonts w:ascii="Garamond" w:hAnsi="Garamond" w:cs="Times New Roman"/>
          <w:sz w:val="24"/>
          <w:szCs w:val="24"/>
        </w:rPr>
        <w:t xml:space="preserve"> characteristics like urbanicity and </w:t>
      </w:r>
      <w:r w:rsidR="00170F34" w:rsidRPr="00F719E2">
        <w:rPr>
          <w:rFonts w:ascii="Garamond" w:hAnsi="Garamond" w:cs="Times New Roman"/>
          <w:sz w:val="24"/>
          <w:szCs w:val="24"/>
        </w:rPr>
        <w:t xml:space="preserve">student </w:t>
      </w:r>
      <w:r w:rsidR="003A70D4">
        <w:rPr>
          <w:rFonts w:ascii="Garamond" w:hAnsi="Garamond" w:cs="Times New Roman"/>
          <w:sz w:val="24"/>
          <w:szCs w:val="24"/>
        </w:rPr>
        <w:t>demographics</w:t>
      </w:r>
      <w:r w:rsidR="00170F34" w:rsidRPr="00F719E2">
        <w:rPr>
          <w:rFonts w:ascii="Garamond" w:hAnsi="Garamond" w:cs="Times New Roman"/>
          <w:sz w:val="24"/>
          <w:szCs w:val="24"/>
        </w:rPr>
        <w:t xml:space="preserve">. </w:t>
      </w:r>
      <w:r w:rsidR="00056E43">
        <w:rPr>
          <w:rFonts w:ascii="Garamond" w:hAnsi="Garamond" w:cs="Times New Roman"/>
          <w:sz w:val="24"/>
          <w:szCs w:val="24"/>
        </w:rPr>
        <w:t xml:space="preserve">Our </w:t>
      </w:r>
      <w:r w:rsidR="00170F34" w:rsidRPr="00F719E2">
        <w:rPr>
          <w:rFonts w:ascii="Garamond" w:hAnsi="Garamond" w:cs="Times New Roman"/>
          <w:sz w:val="24"/>
          <w:szCs w:val="24"/>
        </w:rPr>
        <w:t xml:space="preserve">take-away is that </w:t>
      </w:r>
      <w:r w:rsidR="00F614A6" w:rsidRPr="00F719E2">
        <w:rPr>
          <w:rFonts w:ascii="Garamond" w:hAnsi="Garamond" w:cs="Times New Roman"/>
          <w:sz w:val="24"/>
          <w:szCs w:val="24"/>
        </w:rPr>
        <w:t>th</w:t>
      </w:r>
      <w:r w:rsidR="00056E43">
        <w:rPr>
          <w:rFonts w:ascii="Garamond" w:hAnsi="Garamond" w:cs="Times New Roman"/>
          <w:sz w:val="24"/>
          <w:szCs w:val="24"/>
        </w:rPr>
        <w:t>is</w:t>
      </w:r>
      <w:r w:rsidR="00F614A6" w:rsidRPr="00F719E2">
        <w:rPr>
          <w:rFonts w:ascii="Garamond" w:hAnsi="Garamond" w:cs="Times New Roman"/>
          <w:sz w:val="24"/>
          <w:szCs w:val="24"/>
        </w:rPr>
        <w:t xml:space="preserve"> policy </w:t>
      </w:r>
      <w:r w:rsidR="00056E43">
        <w:rPr>
          <w:rFonts w:ascii="Garamond" w:hAnsi="Garamond" w:cs="Times New Roman"/>
          <w:sz w:val="24"/>
          <w:szCs w:val="24"/>
        </w:rPr>
        <w:t>resulted in</w:t>
      </w:r>
      <w:r w:rsidR="00F614A6" w:rsidRPr="00F719E2">
        <w:rPr>
          <w:rFonts w:ascii="Garamond" w:hAnsi="Garamond" w:cs="Times New Roman"/>
          <w:sz w:val="24"/>
          <w:szCs w:val="24"/>
        </w:rPr>
        <w:t xml:space="preserve"> retirees </w:t>
      </w:r>
      <w:r w:rsidR="00056E43">
        <w:rPr>
          <w:rFonts w:ascii="Garamond" w:hAnsi="Garamond" w:cs="Times New Roman"/>
          <w:sz w:val="24"/>
          <w:szCs w:val="24"/>
        </w:rPr>
        <w:t xml:space="preserve">returning </w:t>
      </w:r>
      <w:r w:rsidR="00B42D3B">
        <w:rPr>
          <w:rFonts w:ascii="Garamond" w:hAnsi="Garamond" w:cs="Times New Roman"/>
          <w:sz w:val="24"/>
          <w:szCs w:val="24"/>
        </w:rPr>
        <w:t>to high-need schools</w:t>
      </w:r>
      <w:r w:rsidR="00D14B8D" w:rsidRPr="00F719E2">
        <w:rPr>
          <w:rFonts w:ascii="Garamond" w:hAnsi="Garamond" w:cs="Times New Roman"/>
          <w:sz w:val="24"/>
          <w:szCs w:val="24"/>
        </w:rPr>
        <w:t>.</w:t>
      </w:r>
    </w:p>
    <w:p w14:paraId="694DFABB" w14:textId="77777777" w:rsidR="0088092D" w:rsidRDefault="0088092D" w:rsidP="00F76E78">
      <w:pPr>
        <w:spacing w:after="0" w:line="240" w:lineRule="auto"/>
        <w:contextualSpacing/>
        <w:jc w:val="both"/>
        <w:rPr>
          <w:rFonts w:ascii="Garamond" w:hAnsi="Garamond" w:cs="Times New Roman"/>
          <w:b/>
          <w:bCs/>
          <w:sz w:val="24"/>
          <w:szCs w:val="24"/>
        </w:rPr>
      </w:pPr>
    </w:p>
    <w:p w14:paraId="5A9BA8C7" w14:textId="258B3A72" w:rsidR="00F321C0" w:rsidRDefault="00535A61" w:rsidP="00F76E78">
      <w:pPr>
        <w:spacing w:after="0" w:line="240" w:lineRule="auto"/>
        <w:contextualSpacing/>
        <w:jc w:val="both"/>
        <w:rPr>
          <w:rFonts w:ascii="Garamond" w:hAnsi="Garamond" w:cs="Times New Roman"/>
          <w:sz w:val="24"/>
          <w:szCs w:val="24"/>
        </w:rPr>
      </w:pPr>
      <w:r w:rsidRPr="00AC25C4">
        <w:rPr>
          <w:rFonts w:ascii="Garamond" w:hAnsi="Garamond" w:cs="Times New Roman"/>
          <w:b/>
          <w:bCs/>
          <w:sz w:val="24"/>
          <w:szCs w:val="24"/>
        </w:rPr>
        <w:t>Keywords</w:t>
      </w:r>
      <w:r w:rsidR="00E437B1" w:rsidRPr="00AC25C4">
        <w:rPr>
          <w:rFonts w:ascii="Garamond" w:hAnsi="Garamond" w:cs="Times New Roman"/>
          <w:b/>
          <w:bCs/>
          <w:sz w:val="24"/>
          <w:szCs w:val="24"/>
        </w:rPr>
        <w:t>:</w:t>
      </w:r>
      <w:r w:rsidR="00E437B1">
        <w:rPr>
          <w:rFonts w:ascii="Garamond" w:hAnsi="Garamond" w:cs="Times New Roman"/>
          <w:sz w:val="24"/>
          <w:szCs w:val="24"/>
        </w:rPr>
        <w:t xml:space="preserve"> teacher shortages, </w:t>
      </w:r>
      <w:r w:rsidR="00F321C0">
        <w:rPr>
          <w:rFonts w:ascii="Garamond" w:hAnsi="Garamond" w:cs="Times New Roman"/>
          <w:sz w:val="24"/>
          <w:szCs w:val="24"/>
        </w:rPr>
        <w:t xml:space="preserve">retirees, </w:t>
      </w:r>
      <w:r w:rsidR="009E0C3A">
        <w:rPr>
          <w:rFonts w:ascii="Garamond" w:hAnsi="Garamond" w:cs="Times New Roman"/>
          <w:sz w:val="24"/>
          <w:szCs w:val="24"/>
        </w:rPr>
        <w:t>high-need schools,</w:t>
      </w:r>
      <w:r w:rsidR="00F321C0">
        <w:rPr>
          <w:rFonts w:ascii="Garamond" w:hAnsi="Garamond" w:cs="Times New Roman"/>
          <w:sz w:val="24"/>
          <w:szCs w:val="24"/>
        </w:rPr>
        <w:t xml:space="preserve"> hard-to-staff subjects</w:t>
      </w:r>
    </w:p>
    <w:p w14:paraId="2715C1DF" w14:textId="2B5AEF50" w:rsidR="00535A61" w:rsidRPr="00E437B1" w:rsidRDefault="009E0C3A" w:rsidP="00F76E78">
      <w:pPr>
        <w:spacing w:after="0" w:line="240" w:lineRule="auto"/>
        <w:contextualSpacing/>
        <w:jc w:val="both"/>
        <w:rPr>
          <w:rFonts w:ascii="Garamond" w:hAnsi="Garamond" w:cs="Times New Roman"/>
          <w:sz w:val="24"/>
          <w:szCs w:val="24"/>
        </w:rPr>
        <w:sectPr w:rsidR="00535A61" w:rsidRPr="00E437B1" w:rsidSect="006A7921">
          <w:headerReference w:type="default" r:id="rId13"/>
          <w:footerReference w:type="default" r:id="rId14"/>
          <w:pgSz w:w="12240" w:h="15840"/>
          <w:pgMar w:top="1440" w:right="1440" w:bottom="1440" w:left="1440" w:header="720" w:footer="720" w:gutter="0"/>
          <w:cols w:space="720"/>
          <w:titlePg/>
          <w:docGrid w:linePitch="360"/>
        </w:sectPr>
      </w:pPr>
      <w:r>
        <w:rPr>
          <w:rFonts w:ascii="Garamond" w:hAnsi="Garamond" w:cs="Times New Roman"/>
          <w:sz w:val="24"/>
          <w:szCs w:val="24"/>
        </w:rPr>
        <w:t xml:space="preserve"> </w:t>
      </w:r>
    </w:p>
    <w:p w14:paraId="3AA56966" w14:textId="56B85CA2" w:rsidR="003A4B43" w:rsidRPr="00D87F42" w:rsidRDefault="00E93D55" w:rsidP="00673826">
      <w:pPr>
        <w:spacing w:after="0" w:line="480" w:lineRule="auto"/>
        <w:jc w:val="center"/>
        <w:rPr>
          <w:rFonts w:ascii="Garamond" w:hAnsi="Garamond" w:cs="Times New Roman"/>
          <w:b/>
          <w:bCs/>
          <w:sz w:val="24"/>
          <w:szCs w:val="24"/>
        </w:rPr>
      </w:pPr>
      <w:r w:rsidRPr="00D87F42">
        <w:rPr>
          <w:rFonts w:ascii="Garamond" w:hAnsi="Garamond" w:cs="Times New Roman"/>
          <w:b/>
          <w:bCs/>
          <w:sz w:val="24"/>
          <w:szCs w:val="24"/>
        </w:rPr>
        <w:lastRenderedPageBreak/>
        <w:t>Introduction</w:t>
      </w:r>
    </w:p>
    <w:p w14:paraId="0629DBC7" w14:textId="2EC031C5" w:rsidR="006D434B" w:rsidRPr="00F719E2" w:rsidRDefault="00912C49"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Schools have been plagued </w:t>
      </w:r>
      <w:r w:rsidR="00B42D3B">
        <w:rPr>
          <w:rFonts w:ascii="Garamond" w:hAnsi="Garamond" w:cs="Times New Roman"/>
          <w:sz w:val="24"/>
          <w:szCs w:val="24"/>
        </w:rPr>
        <w:t>by</w:t>
      </w:r>
      <w:r w:rsidRPr="00F719E2">
        <w:rPr>
          <w:rFonts w:ascii="Garamond" w:hAnsi="Garamond" w:cs="Times New Roman"/>
          <w:sz w:val="24"/>
          <w:szCs w:val="24"/>
        </w:rPr>
        <w:t xml:space="preserve"> teacher shortages </w:t>
      </w:r>
      <w:r w:rsidR="00FA7309" w:rsidRPr="00F719E2">
        <w:rPr>
          <w:rFonts w:ascii="Garamond" w:hAnsi="Garamond" w:cs="Times New Roman"/>
          <w:sz w:val="24"/>
          <w:szCs w:val="24"/>
        </w:rPr>
        <w:t>for several decades</w:t>
      </w:r>
      <w:r w:rsidR="00383213" w:rsidRPr="00F719E2">
        <w:rPr>
          <w:rFonts w:ascii="Garamond" w:hAnsi="Garamond" w:cs="Times New Roman"/>
          <w:sz w:val="24"/>
          <w:szCs w:val="24"/>
        </w:rPr>
        <w:t xml:space="preserve">, and the COVID-19 pandemic </w:t>
      </w:r>
      <w:r w:rsidR="00307786" w:rsidRPr="00F719E2">
        <w:rPr>
          <w:rFonts w:ascii="Garamond" w:hAnsi="Garamond" w:cs="Times New Roman"/>
          <w:sz w:val="24"/>
          <w:szCs w:val="24"/>
        </w:rPr>
        <w:t>has</w:t>
      </w:r>
      <w:r w:rsidR="00AC2A0D">
        <w:rPr>
          <w:rFonts w:ascii="Garamond" w:hAnsi="Garamond" w:cs="Times New Roman"/>
          <w:sz w:val="24"/>
          <w:szCs w:val="24"/>
        </w:rPr>
        <w:t xml:space="preserve"> only</w:t>
      </w:r>
      <w:r w:rsidR="00307786" w:rsidRPr="00F719E2">
        <w:rPr>
          <w:rFonts w:ascii="Garamond" w:hAnsi="Garamond" w:cs="Times New Roman"/>
          <w:sz w:val="24"/>
          <w:szCs w:val="24"/>
        </w:rPr>
        <w:t xml:space="preserve"> exacerbated the issue.</w:t>
      </w:r>
      <w:r w:rsidR="005370E7" w:rsidRPr="00F719E2">
        <w:rPr>
          <w:rFonts w:ascii="Garamond" w:hAnsi="Garamond" w:cs="Times New Roman"/>
          <w:sz w:val="24"/>
          <w:szCs w:val="24"/>
        </w:rPr>
        <w:t xml:space="preserve"> </w:t>
      </w:r>
      <w:r w:rsidR="0078098A" w:rsidRPr="00F719E2">
        <w:rPr>
          <w:rFonts w:ascii="Garamond" w:hAnsi="Garamond" w:cs="Times New Roman"/>
          <w:sz w:val="24"/>
          <w:szCs w:val="24"/>
        </w:rPr>
        <w:t xml:space="preserve">Schwartz </w:t>
      </w:r>
      <w:r w:rsidR="000512B5">
        <w:rPr>
          <w:rFonts w:ascii="Garamond" w:hAnsi="Garamond" w:cs="Times New Roman"/>
          <w:sz w:val="24"/>
          <w:szCs w:val="24"/>
        </w:rPr>
        <w:t>&amp;</w:t>
      </w:r>
      <w:r w:rsidR="002F0679" w:rsidRPr="00F719E2">
        <w:rPr>
          <w:rFonts w:ascii="Garamond" w:hAnsi="Garamond" w:cs="Times New Roman"/>
          <w:sz w:val="24"/>
          <w:szCs w:val="24"/>
        </w:rPr>
        <w:t xml:space="preserve"> </w:t>
      </w:r>
      <w:proofErr w:type="spellStart"/>
      <w:r w:rsidR="002F0679" w:rsidRPr="00F719E2">
        <w:rPr>
          <w:rFonts w:ascii="Garamond" w:hAnsi="Garamond" w:cs="Times New Roman"/>
          <w:sz w:val="24"/>
          <w:szCs w:val="24"/>
        </w:rPr>
        <w:t>Diliberti</w:t>
      </w:r>
      <w:proofErr w:type="spellEnd"/>
      <w:r w:rsidR="002F0679" w:rsidRPr="00F719E2">
        <w:rPr>
          <w:rFonts w:ascii="Garamond" w:hAnsi="Garamond" w:cs="Times New Roman"/>
          <w:sz w:val="24"/>
          <w:szCs w:val="24"/>
        </w:rPr>
        <w:t xml:space="preserve"> (2022) surveyed </w:t>
      </w:r>
      <w:r w:rsidR="00683FA0" w:rsidRPr="00F719E2">
        <w:rPr>
          <w:rFonts w:ascii="Garamond" w:hAnsi="Garamond" w:cs="Times New Roman"/>
          <w:sz w:val="24"/>
          <w:szCs w:val="24"/>
        </w:rPr>
        <w:t xml:space="preserve">over 350 district leaders from the American School District Panel </w:t>
      </w:r>
      <w:r w:rsidR="00E875F4" w:rsidRPr="00F719E2">
        <w:rPr>
          <w:rFonts w:ascii="Garamond" w:hAnsi="Garamond" w:cs="Times New Roman"/>
          <w:sz w:val="24"/>
          <w:szCs w:val="24"/>
        </w:rPr>
        <w:t>about teacher and staff shortages</w:t>
      </w:r>
      <w:r w:rsidR="00135B9A" w:rsidRPr="00F719E2">
        <w:rPr>
          <w:rFonts w:ascii="Garamond" w:hAnsi="Garamond" w:cs="Times New Roman"/>
          <w:sz w:val="24"/>
          <w:szCs w:val="24"/>
        </w:rPr>
        <w:t xml:space="preserve"> in the fall of 2021</w:t>
      </w:r>
      <w:r w:rsidR="00E875F4" w:rsidRPr="00F719E2">
        <w:rPr>
          <w:rFonts w:ascii="Garamond" w:hAnsi="Garamond" w:cs="Times New Roman"/>
          <w:sz w:val="24"/>
          <w:szCs w:val="24"/>
        </w:rPr>
        <w:t xml:space="preserve">. </w:t>
      </w:r>
      <w:r w:rsidR="008A0F00" w:rsidRPr="00F719E2">
        <w:rPr>
          <w:rFonts w:ascii="Garamond" w:hAnsi="Garamond" w:cs="Times New Roman"/>
          <w:sz w:val="24"/>
          <w:szCs w:val="24"/>
        </w:rPr>
        <w:t xml:space="preserve">Two-thirds of the leaders said the pandemic led to </w:t>
      </w:r>
      <w:r w:rsidR="003321A4" w:rsidRPr="00F719E2">
        <w:rPr>
          <w:rFonts w:ascii="Garamond" w:hAnsi="Garamond" w:cs="Times New Roman"/>
          <w:sz w:val="24"/>
          <w:szCs w:val="24"/>
        </w:rPr>
        <w:t>a</w:t>
      </w:r>
      <w:r w:rsidR="009529C3">
        <w:rPr>
          <w:rFonts w:ascii="Garamond" w:hAnsi="Garamond" w:cs="Times New Roman"/>
          <w:sz w:val="24"/>
          <w:szCs w:val="24"/>
        </w:rPr>
        <w:t>n unprecedented</w:t>
      </w:r>
      <w:r w:rsidR="003321A4" w:rsidRPr="00F719E2">
        <w:rPr>
          <w:rFonts w:ascii="Garamond" w:hAnsi="Garamond" w:cs="Times New Roman"/>
          <w:sz w:val="24"/>
          <w:szCs w:val="24"/>
        </w:rPr>
        <w:t xml:space="preserve"> </w:t>
      </w:r>
      <w:r w:rsidR="008A0F00" w:rsidRPr="00F719E2">
        <w:rPr>
          <w:rFonts w:ascii="Garamond" w:hAnsi="Garamond" w:cs="Times New Roman"/>
          <w:sz w:val="24"/>
          <w:szCs w:val="24"/>
        </w:rPr>
        <w:t>shortage of teachers in the 2021-2022 school year</w:t>
      </w:r>
      <w:r w:rsidR="00135B9A" w:rsidRPr="00F719E2">
        <w:rPr>
          <w:rFonts w:ascii="Garamond" w:hAnsi="Garamond" w:cs="Times New Roman"/>
          <w:sz w:val="24"/>
          <w:szCs w:val="24"/>
        </w:rPr>
        <w:t>.</w:t>
      </w:r>
      <w:r w:rsidR="00B21902" w:rsidRPr="00F719E2">
        <w:rPr>
          <w:rFonts w:ascii="Garamond" w:hAnsi="Garamond" w:cs="Times New Roman"/>
          <w:sz w:val="24"/>
          <w:szCs w:val="24"/>
        </w:rPr>
        <w:t xml:space="preserve"> </w:t>
      </w:r>
      <w:r w:rsidR="00773FE5" w:rsidRPr="00F719E2">
        <w:rPr>
          <w:rFonts w:ascii="Garamond" w:hAnsi="Garamond" w:cs="Times New Roman"/>
          <w:sz w:val="24"/>
          <w:szCs w:val="24"/>
        </w:rPr>
        <w:t>A year later,</w:t>
      </w:r>
      <w:r w:rsidR="000B0AF8" w:rsidRPr="00F719E2">
        <w:rPr>
          <w:rFonts w:ascii="Garamond" w:hAnsi="Garamond" w:cs="Times New Roman"/>
          <w:sz w:val="24"/>
          <w:szCs w:val="24"/>
        </w:rPr>
        <w:t xml:space="preserve"> in October 2022,</w:t>
      </w:r>
      <w:r w:rsidR="00773FE5" w:rsidRPr="00F719E2">
        <w:rPr>
          <w:rFonts w:ascii="Garamond" w:hAnsi="Garamond" w:cs="Times New Roman"/>
          <w:sz w:val="24"/>
          <w:szCs w:val="24"/>
        </w:rPr>
        <w:t xml:space="preserve"> the </w:t>
      </w:r>
      <w:r w:rsidR="007C08CE" w:rsidRPr="00F719E2">
        <w:rPr>
          <w:rFonts w:ascii="Garamond" w:hAnsi="Garamond" w:cs="Times New Roman"/>
          <w:sz w:val="24"/>
          <w:szCs w:val="24"/>
        </w:rPr>
        <w:t>School Pulse Panel from the National Center for Education Statistics (NCES)</w:t>
      </w:r>
      <w:r w:rsidR="00773FE5" w:rsidRPr="00F719E2">
        <w:rPr>
          <w:rFonts w:ascii="Garamond" w:hAnsi="Garamond" w:cs="Times New Roman"/>
          <w:sz w:val="24"/>
          <w:szCs w:val="24"/>
        </w:rPr>
        <w:t xml:space="preserve"> found that</w:t>
      </w:r>
      <w:r w:rsidR="006F10D2" w:rsidRPr="00F719E2">
        <w:rPr>
          <w:rFonts w:ascii="Garamond" w:hAnsi="Garamond" w:cs="Times New Roman"/>
          <w:sz w:val="24"/>
          <w:szCs w:val="24"/>
        </w:rPr>
        <w:t xml:space="preserve"> the average public school in the U.S. ha</w:t>
      </w:r>
      <w:r w:rsidR="002B33C7" w:rsidRPr="00F719E2">
        <w:rPr>
          <w:rFonts w:ascii="Garamond" w:hAnsi="Garamond" w:cs="Times New Roman"/>
          <w:sz w:val="24"/>
          <w:szCs w:val="24"/>
        </w:rPr>
        <w:t>d</w:t>
      </w:r>
      <w:r w:rsidR="006F10D2" w:rsidRPr="00F719E2">
        <w:rPr>
          <w:rFonts w:ascii="Garamond" w:hAnsi="Garamond" w:cs="Times New Roman"/>
          <w:sz w:val="24"/>
          <w:szCs w:val="24"/>
        </w:rPr>
        <w:t xml:space="preserve"> two teacher vacancies</w:t>
      </w:r>
      <w:r w:rsidR="004D2C03" w:rsidRPr="00F719E2">
        <w:rPr>
          <w:rFonts w:ascii="Garamond" w:hAnsi="Garamond" w:cs="Times New Roman"/>
          <w:sz w:val="24"/>
          <w:szCs w:val="24"/>
        </w:rPr>
        <w:t xml:space="preserve"> (NCES, 2022)</w:t>
      </w:r>
      <w:r w:rsidR="006F10D2" w:rsidRPr="00F719E2">
        <w:rPr>
          <w:rFonts w:ascii="Garamond" w:hAnsi="Garamond" w:cs="Times New Roman"/>
          <w:sz w:val="24"/>
          <w:szCs w:val="24"/>
        </w:rPr>
        <w:t>.</w:t>
      </w:r>
      <w:r w:rsidR="0026380E" w:rsidRPr="00F719E2">
        <w:rPr>
          <w:rFonts w:ascii="Garamond" w:hAnsi="Garamond" w:cs="Times New Roman"/>
          <w:sz w:val="24"/>
          <w:szCs w:val="24"/>
        </w:rPr>
        <w:t xml:space="preserve"> </w:t>
      </w:r>
    </w:p>
    <w:p w14:paraId="59F662B3" w14:textId="506FEE02" w:rsidR="006D434B" w:rsidRPr="00F719E2" w:rsidRDefault="00773FE5"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Importantly, both of these </w:t>
      </w:r>
      <w:proofErr w:type="gramStart"/>
      <w:r w:rsidRPr="00F719E2">
        <w:rPr>
          <w:rFonts w:ascii="Garamond" w:hAnsi="Garamond" w:cs="Times New Roman"/>
          <w:sz w:val="24"/>
          <w:szCs w:val="24"/>
        </w:rPr>
        <w:t>sources</w:t>
      </w:r>
      <w:proofErr w:type="gramEnd"/>
      <w:r w:rsidRPr="00F719E2">
        <w:rPr>
          <w:rFonts w:ascii="Garamond" w:hAnsi="Garamond" w:cs="Times New Roman"/>
          <w:sz w:val="24"/>
          <w:szCs w:val="24"/>
        </w:rPr>
        <w:t xml:space="preserve"> document that vacancies are not distributed evenly across schools. </w:t>
      </w:r>
      <w:r w:rsidR="00040554">
        <w:rPr>
          <w:rFonts w:ascii="Garamond" w:hAnsi="Garamond" w:cs="Times New Roman"/>
          <w:sz w:val="24"/>
          <w:szCs w:val="24"/>
        </w:rPr>
        <w:t>High-poverty, high-minority, and urban schools were more likely to report</w:t>
      </w:r>
      <w:r w:rsidR="007E6EDB">
        <w:rPr>
          <w:rFonts w:ascii="Garamond" w:hAnsi="Garamond" w:cs="Times New Roman"/>
          <w:sz w:val="24"/>
          <w:szCs w:val="24"/>
        </w:rPr>
        <w:t xml:space="preserve"> teacher shortages during the pandemic</w:t>
      </w:r>
      <w:r w:rsidR="006808AB">
        <w:rPr>
          <w:rFonts w:ascii="Garamond" w:hAnsi="Garamond" w:cs="Times New Roman"/>
          <w:sz w:val="24"/>
          <w:szCs w:val="24"/>
        </w:rPr>
        <w:t>; t</w:t>
      </w:r>
      <w:r w:rsidR="00787CAC" w:rsidRPr="00F719E2">
        <w:rPr>
          <w:rFonts w:ascii="Garamond" w:hAnsi="Garamond" w:cs="Times New Roman"/>
          <w:sz w:val="24"/>
          <w:szCs w:val="24"/>
        </w:rPr>
        <w:t xml:space="preserve">he School Pulse Panel </w:t>
      </w:r>
      <w:r w:rsidR="000B0AF8" w:rsidRPr="00F719E2">
        <w:rPr>
          <w:rFonts w:ascii="Garamond" w:hAnsi="Garamond" w:cs="Times New Roman"/>
          <w:sz w:val="24"/>
          <w:szCs w:val="24"/>
        </w:rPr>
        <w:t xml:space="preserve">showed </w:t>
      </w:r>
      <w:r w:rsidR="00446998" w:rsidRPr="00F719E2">
        <w:rPr>
          <w:rFonts w:ascii="Garamond" w:hAnsi="Garamond" w:cs="Times New Roman"/>
          <w:sz w:val="24"/>
          <w:szCs w:val="24"/>
        </w:rPr>
        <w:t>that</w:t>
      </w:r>
      <w:r w:rsidR="00F05A21" w:rsidRPr="00F719E2">
        <w:rPr>
          <w:rFonts w:ascii="Garamond" w:hAnsi="Garamond" w:cs="Times New Roman"/>
          <w:sz w:val="24"/>
          <w:szCs w:val="24"/>
        </w:rPr>
        <w:t xml:space="preserve"> 57% of schools in high-poverty neighborhoods ha</w:t>
      </w:r>
      <w:r w:rsidR="006D731F" w:rsidRPr="00F719E2">
        <w:rPr>
          <w:rFonts w:ascii="Garamond" w:hAnsi="Garamond" w:cs="Times New Roman"/>
          <w:sz w:val="24"/>
          <w:szCs w:val="24"/>
        </w:rPr>
        <w:t>d</w:t>
      </w:r>
      <w:r w:rsidR="00F05A21" w:rsidRPr="00F719E2">
        <w:rPr>
          <w:rFonts w:ascii="Garamond" w:hAnsi="Garamond" w:cs="Times New Roman"/>
          <w:sz w:val="24"/>
          <w:szCs w:val="24"/>
        </w:rPr>
        <w:t xml:space="preserve"> at least one vacancy compared to 41% of schools in low-poverty neighborhoods</w:t>
      </w:r>
      <w:r w:rsidR="005B2286">
        <w:rPr>
          <w:rFonts w:ascii="Garamond" w:hAnsi="Garamond" w:cs="Times New Roman"/>
          <w:sz w:val="24"/>
          <w:szCs w:val="24"/>
        </w:rPr>
        <w:t xml:space="preserve">. </w:t>
      </w:r>
      <w:r w:rsidR="006D731F" w:rsidRPr="00F719E2">
        <w:rPr>
          <w:rFonts w:ascii="Garamond" w:hAnsi="Garamond" w:cs="Times New Roman"/>
          <w:sz w:val="24"/>
          <w:szCs w:val="24"/>
        </w:rPr>
        <w:t xml:space="preserve">In addition, </w:t>
      </w:r>
      <w:r w:rsidR="00F05A21" w:rsidRPr="00F719E2">
        <w:rPr>
          <w:rFonts w:ascii="Garamond" w:hAnsi="Garamond" w:cs="Times New Roman"/>
          <w:sz w:val="24"/>
          <w:szCs w:val="24"/>
        </w:rPr>
        <w:t>60% of schools with a high-minority student population ha</w:t>
      </w:r>
      <w:r w:rsidR="006D731F" w:rsidRPr="00F719E2">
        <w:rPr>
          <w:rFonts w:ascii="Garamond" w:hAnsi="Garamond" w:cs="Times New Roman"/>
          <w:sz w:val="24"/>
          <w:szCs w:val="24"/>
        </w:rPr>
        <w:t>d</w:t>
      </w:r>
      <w:r w:rsidR="00F05A21" w:rsidRPr="00F719E2">
        <w:rPr>
          <w:rFonts w:ascii="Garamond" w:hAnsi="Garamond" w:cs="Times New Roman"/>
          <w:sz w:val="24"/>
          <w:szCs w:val="24"/>
        </w:rPr>
        <w:t xml:space="preserve"> at least one vacancy compared to 32% of schools with a low-minority student population</w:t>
      </w:r>
      <w:r w:rsidR="004D2C03" w:rsidRPr="00F719E2">
        <w:rPr>
          <w:rFonts w:ascii="Garamond" w:hAnsi="Garamond" w:cs="Times New Roman"/>
          <w:sz w:val="24"/>
          <w:szCs w:val="24"/>
        </w:rPr>
        <w:t xml:space="preserve"> (NCES, 2022</w:t>
      </w:r>
      <w:r w:rsidR="005B2286">
        <w:rPr>
          <w:rFonts w:ascii="Garamond" w:hAnsi="Garamond" w:cs="Times New Roman"/>
          <w:sz w:val="24"/>
          <w:szCs w:val="24"/>
        </w:rPr>
        <w:t xml:space="preserve">; </w:t>
      </w:r>
      <w:r w:rsidR="005B2286" w:rsidRPr="00F719E2">
        <w:rPr>
          <w:rFonts w:ascii="Garamond" w:hAnsi="Garamond" w:cs="Times New Roman"/>
          <w:sz w:val="24"/>
          <w:szCs w:val="24"/>
        </w:rPr>
        <w:t xml:space="preserve">Schwartz </w:t>
      </w:r>
      <w:r w:rsidR="005B2286">
        <w:rPr>
          <w:rFonts w:ascii="Garamond" w:hAnsi="Garamond" w:cs="Times New Roman"/>
          <w:sz w:val="24"/>
          <w:szCs w:val="24"/>
        </w:rPr>
        <w:t xml:space="preserve">&amp; </w:t>
      </w:r>
      <w:proofErr w:type="spellStart"/>
      <w:r w:rsidR="005B2286" w:rsidRPr="00F719E2">
        <w:rPr>
          <w:rFonts w:ascii="Garamond" w:hAnsi="Garamond" w:cs="Times New Roman"/>
          <w:sz w:val="24"/>
          <w:szCs w:val="24"/>
        </w:rPr>
        <w:t>Diliberti</w:t>
      </w:r>
      <w:proofErr w:type="spellEnd"/>
      <w:r w:rsidR="005B2286" w:rsidRPr="00F719E2">
        <w:rPr>
          <w:rFonts w:ascii="Garamond" w:hAnsi="Garamond" w:cs="Times New Roman"/>
          <w:sz w:val="24"/>
          <w:szCs w:val="24"/>
        </w:rPr>
        <w:t xml:space="preserve">, </w:t>
      </w:r>
      <w:r w:rsidR="005B2286">
        <w:rPr>
          <w:rFonts w:ascii="Garamond" w:hAnsi="Garamond" w:cs="Times New Roman"/>
          <w:sz w:val="24"/>
          <w:szCs w:val="24"/>
        </w:rPr>
        <w:t>2022</w:t>
      </w:r>
      <w:r w:rsidR="004D2C03" w:rsidRPr="00F719E2">
        <w:rPr>
          <w:rFonts w:ascii="Garamond" w:hAnsi="Garamond" w:cs="Times New Roman"/>
          <w:sz w:val="24"/>
          <w:szCs w:val="24"/>
        </w:rPr>
        <w:t>)</w:t>
      </w:r>
      <w:r w:rsidR="00F05A21" w:rsidRPr="00F719E2">
        <w:rPr>
          <w:rFonts w:ascii="Garamond" w:hAnsi="Garamond" w:cs="Times New Roman"/>
          <w:sz w:val="24"/>
          <w:szCs w:val="24"/>
        </w:rPr>
        <w:t>.</w:t>
      </w:r>
      <w:r w:rsidR="00D70587" w:rsidRPr="00F719E2">
        <w:rPr>
          <w:rStyle w:val="FootnoteReference"/>
          <w:rFonts w:ascii="Garamond" w:hAnsi="Garamond" w:cs="Times New Roman"/>
          <w:sz w:val="24"/>
          <w:szCs w:val="24"/>
        </w:rPr>
        <w:footnoteReference w:id="3"/>
      </w:r>
      <w:r w:rsidR="009E08EF" w:rsidRPr="00F719E2">
        <w:rPr>
          <w:rFonts w:ascii="Garamond" w:hAnsi="Garamond" w:cs="Times New Roman"/>
          <w:sz w:val="24"/>
          <w:szCs w:val="24"/>
        </w:rPr>
        <w:t xml:space="preserve"> </w:t>
      </w:r>
    </w:p>
    <w:p w14:paraId="6DAB95E0" w14:textId="3AC2CF48" w:rsidR="006D434B" w:rsidRPr="00F719E2" w:rsidRDefault="006150CF"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Not only are </w:t>
      </w:r>
      <w:r w:rsidR="006402FB" w:rsidRPr="00F719E2">
        <w:rPr>
          <w:rFonts w:ascii="Garamond" w:hAnsi="Garamond" w:cs="Times New Roman"/>
          <w:sz w:val="24"/>
          <w:szCs w:val="24"/>
        </w:rPr>
        <w:t xml:space="preserve">teacher shortages concentrated in high-poverty, high-minority schools, but they are also concentrated in </w:t>
      </w:r>
      <w:r w:rsidR="00A95CF5" w:rsidRPr="00F719E2">
        <w:rPr>
          <w:rFonts w:ascii="Garamond" w:hAnsi="Garamond" w:cs="Times New Roman"/>
          <w:sz w:val="24"/>
          <w:szCs w:val="24"/>
        </w:rPr>
        <w:t xml:space="preserve">hard-to-staff subjects like math, science, and special education. </w:t>
      </w:r>
      <w:r w:rsidR="00C52A97" w:rsidRPr="00F719E2">
        <w:rPr>
          <w:rFonts w:ascii="Garamond" w:hAnsi="Garamond" w:cs="Times New Roman"/>
          <w:sz w:val="24"/>
          <w:szCs w:val="24"/>
        </w:rPr>
        <w:t xml:space="preserve">Goldhaber </w:t>
      </w:r>
      <w:r w:rsidR="000512B5">
        <w:rPr>
          <w:rFonts w:ascii="Garamond" w:hAnsi="Garamond" w:cs="Times New Roman"/>
          <w:sz w:val="24"/>
          <w:szCs w:val="24"/>
        </w:rPr>
        <w:t>&amp;</w:t>
      </w:r>
      <w:r w:rsidR="00C52A97" w:rsidRPr="00F719E2">
        <w:rPr>
          <w:rFonts w:ascii="Garamond" w:hAnsi="Garamond" w:cs="Times New Roman"/>
          <w:sz w:val="24"/>
          <w:szCs w:val="24"/>
        </w:rPr>
        <w:t xml:space="preserve"> Gratz (2021) describe vacancies and types of job postings in Washington state during the fall of 2021. They find that most job postings are for substitute and special education teachers, and that there are generally more teaching vacancies, especially </w:t>
      </w:r>
      <w:r w:rsidR="00E92AD8">
        <w:rPr>
          <w:rFonts w:ascii="Garamond" w:hAnsi="Garamond" w:cs="Times New Roman"/>
          <w:sz w:val="24"/>
          <w:szCs w:val="24"/>
        </w:rPr>
        <w:t>in</w:t>
      </w:r>
      <w:r w:rsidR="00C52A97" w:rsidRPr="00F719E2">
        <w:rPr>
          <w:rFonts w:ascii="Garamond" w:hAnsi="Garamond" w:cs="Times New Roman"/>
          <w:sz w:val="24"/>
          <w:szCs w:val="24"/>
        </w:rPr>
        <w:t xml:space="preserve"> special education and ELL, in high</w:t>
      </w:r>
      <w:r w:rsidR="00040053" w:rsidRPr="00F719E2">
        <w:rPr>
          <w:rFonts w:ascii="Garamond" w:hAnsi="Garamond" w:cs="Times New Roman"/>
          <w:sz w:val="24"/>
          <w:szCs w:val="24"/>
        </w:rPr>
        <w:t>-</w:t>
      </w:r>
      <w:r w:rsidR="00C52A97" w:rsidRPr="00F719E2">
        <w:rPr>
          <w:rFonts w:ascii="Garamond" w:hAnsi="Garamond" w:cs="Times New Roman"/>
          <w:sz w:val="24"/>
          <w:szCs w:val="24"/>
        </w:rPr>
        <w:t xml:space="preserve">poverty districts. </w:t>
      </w:r>
      <w:r w:rsidR="00D026C7" w:rsidRPr="00F719E2">
        <w:rPr>
          <w:rFonts w:ascii="Garamond" w:hAnsi="Garamond" w:cs="Times New Roman"/>
          <w:sz w:val="24"/>
          <w:szCs w:val="24"/>
        </w:rPr>
        <w:t xml:space="preserve">At a national level, in the fall of 2022, </w:t>
      </w:r>
      <w:r w:rsidR="00690709" w:rsidRPr="00F719E2">
        <w:rPr>
          <w:rFonts w:ascii="Garamond" w:hAnsi="Garamond" w:cs="Times New Roman"/>
          <w:sz w:val="24"/>
          <w:szCs w:val="24"/>
        </w:rPr>
        <w:t>4</w:t>
      </w:r>
      <w:r w:rsidR="007C3E0D" w:rsidRPr="00F719E2">
        <w:rPr>
          <w:rFonts w:ascii="Garamond" w:hAnsi="Garamond" w:cs="Times New Roman"/>
          <w:sz w:val="24"/>
          <w:szCs w:val="24"/>
        </w:rPr>
        <w:t>1</w:t>
      </w:r>
      <w:r w:rsidR="00690709" w:rsidRPr="00F719E2">
        <w:rPr>
          <w:rFonts w:ascii="Garamond" w:hAnsi="Garamond" w:cs="Times New Roman"/>
          <w:sz w:val="24"/>
          <w:szCs w:val="24"/>
        </w:rPr>
        <w:t xml:space="preserve"> U.S. states reported a shortage of </w:t>
      </w:r>
      <w:r w:rsidR="007C3E0D" w:rsidRPr="00F719E2">
        <w:rPr>
          <w:rFonts w:ascii="Garamond" w:hAnsi="Garamond" w:cs="Times New Roman"/>
          <w:sz w:val="24"/>
          <w:szCs w:val="24"/>
        </w:rPr>
        <w:t>special education teachers, 34 a shortage of science teachers, 32 a shortage of math teachers</w:t>
      </w:r>
      <w:r w:rsidR="00F4313E" w:rsidRPr="00F719E2">
        <w:rPr>
          <w:rFonts w:ascii="Garamond" w:hAnsi="Garamond" w:cs="Times New Roman"/>
          <w:sz w:val="24"/>
          <w:szCs w:val="24"/>
        </w:rPr>
        <w:t xml:space="preserve">, and over 20 a </w:t>
      </w:r>
      <w:r w:rsidR="00F4313E" w:rsidRPr="00F719E2">
        <w:rPr>
          <w:rFonts w:ascii="Garamond" w:hAnsi="Garamond" w:cs="Times New Roman"/>
          <w:sz w:val="24"/>
          <w:szCs w:val="24"/>
        </w:rPr>
        <w:lastRenderedPageBreak/>
        <w:t xml:space="preserve">shortage </w:t>
      </w:r>
      <w:r w:rsidR="009D1F26" w:rsidRPr="00F719E2">
        <w:rPr>
          <w:rFonts w:ascii="Garamond" w:hAnsi="Garamond" w:cs="Times New Roman"/>
          <w:sz w:val="24"/>
          <w:szCs w:val="24"/>
        </w:rPr>
        <w:t xml:space="preserve">of teachers </w:t>
      </w:r>
      <w:r w:rsidR="00F4313E" w:rsidRPr="00F719E2">
        <w:rPr>
          <w:rFonts w:ascii="Garamond" w:hAnsi="Garamond" w:cs="Times New Roman"/>
          <w:sz w:val="24"/>
          <w:szCs w:val="24"/>
        </w:rPr>
        <w:t>in at least one of language arts, world languages, E</w:t>
      </w:r>
      <w:r w:rsidR="001441B7" w:rsidRPr="00F719E2">
        <w:rPr>
          <w:rFonts w:ascii="Garamond" w:hAnsi="Garamond" w:cs="Times New Roman"/>
          <w:sz w:val="24"/>
          <w:szCs w:val="24"/>
        </w:rPr>
        <w:t>SL</w:t>
      </w:r>
      <w:r w:rsidR="00F4313E" w:rsidRPr="00F719E2">
        <w:rPr>
          <w:rFonts w:ascii="Garamond" w:hAnsi="Garamond" w:cs="Times New Roman"/>
          <w:sz w:val="24"/>
          <w:szCs w:val="24"/>
        </w:rPr>
        <w:t>, health and physical fitness, career and technical education, and arts and music education</w:t>
      </w:r>
      <w:r w:rsidR="00465D60" w:rsidRPr="00F719E2">
        <w:rPr>
          <w:rFonts w:ascii="Garamond" w:hAnsi="Garamond" w:cs="Times New Roman"/>
          <w:sz w:val="24"/>
          <w:szCs w:val="24"/>
        </w:rPr>
        <w:t xml:space="preserve"> (Teacher Shortage Areas, 2022).</w:t>
      </w:r>
      <w:r w:rsidR="005F2A37" w:rsidRPr="00F719E2">
        <w:rPr>
          <w:rFonts w:ascii="Garamond" w:hAnsi="Garamond" w:cs="Times New Roman"/>
          <w:sz w:val="24"/>
          <w:szCs w:val="24"/>
        </w:rPr>
        <w:t xml:space="preserve"> </w:t>
      </w:r>
    </w:p>
    <w:p w14:paraId="0A691DF6" w14:textId="77777777" w:rsidR="00E92AD8" w:rsidRDefault="00D36529"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Given that</w:t>
      </w:r>
      <w:r w:rsidR="00894B48" w:rsidRPr="00F719E2">
        <w:rPr>
          <w:rFonts w:ascii="Garamond" w:hAnsi="Garamond" w:cs="Times New Roman"/>
          <w:sz w:val="24"/>
          <w:szCs w:val="24"/>
        </w:rPr>
        <w:t xml:space="preserve"> teacher</w:t>
      </w:r>
      <w:r w:rsidRPr="00F719E2">
        <w:rPr>
          <w:rFonts w:ascii="Garamond" w:hAnsi="Garamond" w:cs="Times New Roman"/>
          <w:sz w:val="24"/>
          <w:szCs w:val="24"/>
        </w:rPr>
        <w:t xml:space="preserve"> shortages tend to be highly localized</w:t>
      </w:r>
      <w:r w:rsidR="00CC29DC" w:rsidRPr="00F719E2">
        <w:rPr>
          <w:rFonts w:ascii="Garamond" w:hAnsi="Garamond" w:cs="Times New Roman"/>
          <w:sz w:val="24"/>
          <w:szCs w:val="24"/>
        </w:rPr>
        <w:t xml:space="preserve"> (</w:t>
      </w:r>
      <w:r w:rsidR="00E01BED" w:rsidRPr="00F719E2">
        <w:rPr>
          <w:rFonts w:ascii="Garamond" w:hAnsi="Garamond" w:cs="Times New Roman"/>
          <w:sz w:val="24"/>
          <w:szCs w:val="24"/>
        </w:rPr>
        <w:t>e.g</w:t>
      </w:r>
      <w:r w:rsidR="00CC29DC" w:rsidRPr="00F719E2">
        <w:rPr>
          <w:rFonts w:ascii="Garamond" w:hAnsi="Garamond" w:cs="Times New Roman"/>
          <w:sz w:val="24"/>
          <w:szCs w:val="24"/>
        </w:rPr>
        <w:t xml:space="preserve">., to a specific </w:t>
      </w:r>
      <w:r w:rsidR="00AC7140" w:rsidRPr="00F719E2">
        <w:rPr>
          <w:rFonts w:ascii="Garamond" w:hAnsi="Garamond" w:cs="Times New Roman"/>
          <w:sz w:val="24"/>
          <w:szCs w:val="24"/>
        </w:rPr>
        <w:t xml:space="preserve">state, school-type, and/or subject-type), </w:t>
      </w:r>
      <w:r w:rsidR="002C3402" w:rsidRPr="00F719E2">
        <w:rPr>
          <w:rFonts w:ascii="Garamond" w:hAnsi="Garamond" w:cs="Times New Roman"/>
          <w:sz w:val="24"/>
          <w:szCs w:val="24"/>
        </w:rPr>
        <w:t xml:space="preserve">states have enacted a wide range of policies </w:t>
      </w:r>
      <w:r w:rsidR="005F0287" w:rsidRPr="00F719E2">
        <w:rPr>
          <w:rFonts w:ascii="Garamond" w:hAnsi="Garamond" w:cs="Times New Roman"/>
          <w:sz w:val="24"/>
          <w:szCs w:val="24"/>
        </w:rPr>
        <w:t xml:space="preserve">to </w:t>
      </w:r>
      <w:r w:rsidR="00E92AD8">
        <w:rPr>
          <w:rFonts w:ascii="Garamond" w:hAnsi="Garamond" w:cs="Times New Roman"/>
          <w:sz w:val="24"/>
          <w:szCs w:val="24"/>
        </w:rPr>
        <w:t>address</w:t>
      </w:r>
      <w:r w:rsidR="005F0287" w:rsidRPr="00F719E2">
        <w:rPr>
          <w:rFonts w:ascii="Garamond" w:hAnsi="Garamond" w:cs="Times New Roman"/>
          <w:sz w:val="24"/>
          <w:szCs w:val="24"/>
        </w:rPr>
        <w:t xml:space="preserve"> them</w:t>
      </w:r>
      <w:r w:rsidR="00F7599A" w:rsidRPr="00F719E2">
        <w:rPr>
          <w:rFonts w:ascii="Garamond" w:hAnsi="Garamond" w:cs="Times New Roman"/>
          <w:sz w:val="24"/>
          <w:szCs w:val="24"/>
        </w:rPr>
        <w:t xml:space="preserve">. </w:t>
      </w:r>
      <w:r w:rsidR="00C95666" w:rsidRPr="00F719E2">
        <w:rPr>
          <w:rFonts w:ascii="Garamond" w:hAnsi="Garamond" w:cs="Times New Roman"/>
          <w:sz w:val="24"/>
          <w:szCs w:val="24"/>
        </w:rPr>
        <w:t xml:space="preserve">In 2017, the National Council on Teacher Quality documented </w:t>
      </w:r>
      <w:proofErr w:type="gramStart"/>
      <w:r w:rsidR="00C95666" w:rsidRPr="00F719E2">
        <w:rPr>
          <w:rFonts w:ascii="Garamond" w:hAnsi="Garamond" w:cs="Times New Roman"/>
          <w:sz w:val="24"/>
          <w:szCs w:val="24"/>
        </w:rPr>
        <w:t>that 23 states</w:t>
      </w:r>
      <w:proofErr w:type="gramEnd"/>
      <w:r w:rsidR="00C95666" w:rsidRPr="00F719E2">
        <w:rPr>
          <w:rFonts w:ascii="Garamond" w:hAnsi="Garamond" w:cs="Times New Roman"/>
          <w:sz w:val="24"/>
          <w:szCs w:val="24"/>
        </w:rPr>
        <w:t xml:space="preserve"> offered </w:t>
      </w:r>
      <w:r w:rsidR="00F17330" w:rsidRPr="00F719E2">
        <w:rPr>
          <w:rFonts w:ascii="Garamond" w:hAnsi="Garamond" w:cs="Times New Roman"/>
          <w:sz w:val="24"/>
          <w:szCs w:val="24"/>
        </w:rPr>
        <w:t>higher</w:t>
      </w:r>
      <w:r w:rsidR="00C95666" w:rsidRPr="00F719E2">
        <w:rPr>
          <w:rFonts w:ascii="Garamond" w:hAnsi="Garamond" w:cs="Times New Roman"/>
          <w:sz w:val="24"/>
          <w:szCs w:val="24"/>
        </w:rPr>
        <w:t xml:space="preserve"> salaries to teachers in high-need schools</w:t>
      </w:r>
      <w:r w:rsidR="00E92AD8">
        <w:rPr>
          <w:rFonts w:ascii="Garamond" w:hAnsi="Garamond" w:cs="Times New Roman"/>
          <w:sz w:val="24"/>
          <w:szCs w:val="24"/>
        </w:rPr>
        <w:t xml:space="preserve">, </w:t>
      </w:r>
      <w:r w:rsidR="00C95666" w:rsidRPr="00F719E2">
        <w:rPr>
          <w:rFonts w:ascii="Garamond" w:hAnsi="Garamond" w:cs="Times New Roman"/>
          <w:sz w:val="24"/>
          <w:szCs w:val="24"/>
        </w:rPr>
        <w:t>and 15 states offered more pay to those who teach in a shortage subject area</w:t>
      </w:r>
      <w:r w:rsidR="00281BF4" w:rsidRPr="00F719E2">
        <w:rPr>
          <w:rFonts w:ascii="Garamond" w:hAnsi="Garamond" w:cs="Times New Roman"/>
          <w:sz w:val="24"/>
          <w:szCs w:val="24"/>
        </w:rPr>
        <w:t xml:space="preserve"> (National Council on Teacher Quality, 2017).</w:t>
      </w:r>
      <w:r w:rsidR="00DE611E" w:rsidRPr="00F719E2">
        <w:rPr>
          <w:rFonts w:ascii="Garamond" w:hAnsi="Garamond" w:cs="Times New Roman"/>
          <w:sz w:val="24"/>
          <w:szCs w:val="24"/>
        </w:rPr>
        <w:t xml:space="preserve"> For example, Denver Public Schools gives teachers annual bonuses if they teach hard-to-staff subjects or in Title I schools; and the D.C. IMPACT program gives bonuses to highly effective teachers to incentivize retention, especially in high-poverty schools</w:t>
      </w:r>
      <w:r w:rsidR="00F51CED" w:rsidRPr="00F719E2">
        <w:rPr>
          <w:rFonts w:ascii="Garamond" w:hAnsi="Garamond" w:cs="Times New Roman"/>
          <w:sz w:val="24"/>
          <w:szCs w:val="24"/>
        </w:rPr>
        <w:t xml:space="preserve"> (Denver Public Schools, 2019; District of Columbia Public Schools, 2019).</w:t>
      </w:r>
      <w:r w:rsidR="00DE611E" w:rsidRPr="00F719E2">
        <w:rPr>
          <w:rFonts w:ascii="Garamond" w:hAnsi="Garamond" w:cs="Times New Roman"/>
          <w:sz w:val="24"/>
          <w:szCs w:val="24"/>
        </w:rPr>
        <w:t xml:space="preserve"> </w:t>
      </w:r>
    </w:p>
    <w:p w14:paraId="6C593A12" w14:textId="05CF96DA" w:rsidR="006D434B" w:rsidRPr="00F719E2" w:rsidRDefault="00DE611E" w:rsidP="00E92AD8">
      <w:pPr>
        <w:spacing w:after="0" w:line="480" w:lineRule="auto"/>
        <w:ind w:firstLine="720"/>
        <w:rPr>
          <w:rFonts w:ascii="Garamond" w:hAnsi="Garamond" w:cs="Times New Roman"/>
          <w:sz w:val="24"/>
          <w:szCs w:val="24"/>
        </w:rPr>
      </w:pPr>
      <w:r w:rsidRPr="00F719E2">
        <w:rPr>
          <w:rFonts w:ascii="Garamond" w:hAnsi="Garamond" w:cs="Times New Roman"/>
          <w:sz w:val="24"/>
          <w:szCs w:val="24"/>
        </w:rPr>
        <w:t>In this paper, we analyze a</w:t>
      </w:r>
      <w:r w:rsidR="0047364D" w:rsidRPr="00F719E2">
        <w:rPr>
          <w:rFonts w:ascii="Garamond" w:hAnsi="Garamond" w:cs="Times New Roman"/>
          <w:sz w:val="24"/>
          <w:szCs w:val="24"/>
        </w:rPr>
        <w:t xml:space="preserve"> </w:t>
      </w:r>
      <w:r w:rsidRPr="00F719E2">
        <w:rPr>
          <w:rFonts w:ascii="Garamond" w:hAnsi="Garamond" w:cs="Times New Roman"/>
          <w:sz w:val="24"/>
          <w:szCs w:val="24"/>
        </w:rPr>
        <w:t xml:space="preserve">policy in North Carolina that incentivized </w:t>
      </w:r>
      <w:r w:rsidR="0052033F" w:rsidRPr="00F719E2">
        <w:rPr>
          <w:rFonts w:ascii="Garamond" w:hAnsi="Garamond" w:cs="Times New Roman"/>
          <w:sz w:val="24"/>
          <w:szCs w:val="24"/>
        </w:rPr>
        <w:t>retired teachers to</w:t>
      </w:r>
      <w:r w:rsidR="00DF2B32" w:rsidRPr="00F719E2">
        <w:rPr>
          <w:rFonts w:ascii="Garamond" w:hAnsi="Garamond" w:cs="Times New Roman"/>
          <w:sz w:val="24"/>
          <w:szCs w:val="24"/>
        </w:rPr>
        <w:t xml:space="preserve"> </w:t>
      </w:r>
      <w:r w:rsidR="0047364D" w:rsidRPr="00F719E2">
        <w:rPr>
          <w:rFonts w:ascii="Garamond" w:hAnsi="Garamond" w:cs="Times New Roman"/>
          <w:sz w:val="24"/>
          <w:szCs w:val="24"/>
        </w:rPr>
        <w:t>come back to work</w:t>
      </w:r>
      <w:r w:rsidR="00DF2B32" w:rsidRPr="00F719E2">
        <w:rPr>
          <w:rFonts w:ascii="Garamond" w:hAnsi="Garamond" w:cs="Times New Roman"/>
          <w:sz w:val="24"/>
          <w:szCs w:val="24"/>
        </w:rPr>
        <w:t>.</w:t>
      </w:r>
      <w:r w:rsidR="00E92AD8">
        <w:rPr>
          <w:rFonts w:ascii="Garamond" w:hAnsi="Garamond" w:cs="Times New Roman"/>
          <w:sz w:val="24"/>
          <w:szCs w:val="24"/>
        </w:rPr>
        <w:t xml:space="preserve"> </w:t>
      </w:r>
      <w:r w:rsidR="0047364D" w:rsidRPr="00F719E2">
        <w:rPr>
          <w:rFonts w:ascii="Garamond" w:hAnsi="Garamond" w:cs="Times New Roman"/>
          <w:sz w:val="24"/>
          <w:szCs w:val="24"/>
        </w:rPr>
        <w:t xml:space="preserve">In 1999, </w:t>
      </w:r>
      <w:r w:rsidR="00400173" w:rsidRPr="00F719E2">
        <w:rPr>
          <w:rFonts w:ascii="Garamond" w:hAnsi="Garamond" w:cs="Times New Roman"/>
          <w:sz w:val="24"/>
          <w:szCs w:val="24"/>
        </w:rPr>
        <w:t xml:space="preserve">North Carolina implemented a </w:t>
      </w:r>
      <w:r w:rsidR="0047364D" w:rsidRPr="00F719E2">
        <w:rPr>
          <w:rFonts w:ascii="Garamond" w:hAnsi="Garamond" w:cs="Times New Roman"/>
          <w:sz w:val="24"/>
          <w:szCs w:val="24"/>
        </w:rPr>
        <w:t xml:space="preserve">return-to-work </w:t>
      </w:r>
      <w:r w:rsidR="001F2308" w:rsidRPr="00F719E2">
        <w:rPr>
          <w:rFonts w:ascii="Garamond" w:hAnsi="Garamond" w:cs="Times New Roman"/>
          <w:sz w:val="24"/>
          <w:szCs w:val="24"/>
        </w:rPr>
        <w:t>(</w:t>
      </w:r>
      <w:r w:rsidR="00400173" w:rsidRPr="00F719E2">
        <w:rPr>
          <w:rFonts w:ascii="Garamond" w:hAnsi="Garamond" w:cs="Times New Roman"/>
          <w:sz w:val="24"/>
          <w:szCs w:val="24"/>
        </w:rPr>
        <w:t>RTW</w:t>
      </w:r>
      <w:r w:rsidR="001F2308" w:rsidRPr="00F719E2">
        <w:rPr>
          <w:rFonts w:ascii="Garamond" w:hAnsi="Garamond" w:cs="Times New Roman"/>
          <w:sz w:val="24"/>
          <w:szCs w:val="24"/>
        </w:rPr>
        <w:t>)</w:t>
      </w:r>
      <w:r w:rsidR="00400173" w:rsidRPr="00F719E2">
        <w:rPr>
          <w:rFonts w:ascii="Garamond" w:hAnsi="Garamond" w:cs="Times New Roman"/>
          <w:sz w:val="24"/>
          <w:szCs w:val="24"/>
        </w:rPr>
        <w:t xml:space="preserve"> </w:t>
      </w:r>
      <w:r w:rsidR="001F2308" w:rsidRPr="00F719E2">
        <w:rPr>
          <w:rFonts w:ascii="Garamond" w:hAnsi="Garamond" w:cs="Times New Roman"/>
          <w:sz w:val="24"/>
          <w:szCs w:val="24"/>
        </w:rPr>
        <w:t>p</w:t>
      </w:r>
      <w:r w:rsidR="00400173" w:rsidRPr="00F719E2">
        <w:rPr>
          <w:rFonts w:ascii="Garamond" w:hAnsi="Garamond" w:cs="Times New Roman"/>
          <w:sz w:val="24"/>
          <w:szCs w:val="24"/>
        </w:rPr>
        <w:t>olicy</w:t>
      </w:r>
      <w:r w:rsidR="0047364D" w:rsidRPr="00F719E2">
        <w:rPr>
          <w:rFonts w:ascii="Garamond" w:hAnsi="Garamond" w:cs="Times New Roman"/>
          <w:sz w:val="24"/>
          <w:szCs w:val="24"/>
        </w:rPr>
        <w:t xml:space="preserve"> </w:t>
      </w:r>
      <w:r w:rsidR="00400173" w:rsidRPr="00F719E2">
        <w:rPr>
          <w:rFonts w:ascii="Garamond" w:hAnsi="Garamond" w:cs="Times New Roman"/>
          <w:sz w:val="24"/>
          <w:szCs w:val="24"/>
        </w:rPr>
        <w:t>to combat a potential shortage of teachers in the labor market caused by the retirement of the large cohort of Baby Boomers.</w:t>
      </w:r>
      <w:r w:rsidR="000109D3" w:rsidRPr="00F719E2">
        <w:rPr>
          <w:rFonts w:ascii="Garamond" w:hAnsi="Garamond" w:cs="Times New Roman"/>
          <w:sz w:val="24"/>
          <w:szCs w:val="24"/>
        </w:rPr>
        <w:t xml:space="preserve"> </w:t>
      </w:r>
      <w:r w:rsidR="00E92AD8">
        <w:rPr>
          <w:rFonts w:ascii="Garamond" w:hAnsi="Garamond" w:cs="Times New Roman"/>
          <w:sz w:val="24"/>
          <w:szCs w:val="24"/>
        </w:rPr>
        <w:t xml:space="preserve">Without such a policy, retired teachers were subject to a salary cap. They </w:t>
      </w:r>
      <w:r w:rsidR="00F4605B" w:rsidRPr="00F719E2">
        <w:rPr>
          <w:rFonts w:ascii="Garamond" w:hAnsi="Garamond" w:cs="Times New Roman"/>
          <w:sz w:val="24"/>
          <w:szCs w:val="24"/>
        </w:rPr>
        <w:t>could return part</w:t>
      </w:r>
      <w:r w:rsidR="00117226" w:rsidRPr="00F719E2">
        <w:rPr>
          <w:rFonts w:ascii="Garamond" w:hAnsi="Garamond" w:cs="Times New Roman"/>
          <w:sz w:val="24"/>
          <w:szCs w:val="24"/>
        </w:rPr>
        <w:t xml:space="preserve">-time </w:t>
      </w:r>
      <w:r w:rsidR="00583BBD" w:rsidRPr="00F719E2">
        <w:rPr>
          <w:rFonts w:ascii="Garamond" w:hAnsi="Garamond" w:cs="Times New Roman"/>
          <w:sz w:val="24"/>
          <w:szCs w:val="24"/>
        </w:rPr>
        <w:t>and earn at most half of their full-time salary while still collecting</w:t>
      </w:r>
      <w:r w:rsidR="00117226" w:rsidRPr="00F719E2">
        <w:rPr>
          <w:rFonts w:ascii="Garamond" w:hAnsi="Garamond" w:cs="Times New Roman"/>
          <w:sz w:val="24"/>
          <w:szCs w:val="24"/>
        </w:rPr>
        <w:t xml:space="preserve"> their pension benefits</w:t>
      </w:r>
      <w:r w:rsidR="00583BBD" w:rsidRPr="00F719E2">
        <w:rPr>
          <w:rFonts w:ascii="Garamond" w:hAnsi="Garamond" w:cs="Times New Roman"/>
          <w:sz w:val="24"/>
          <w:szCs w:val="24"/>
        </w:rPr>
        <w:t xml:space="preserve">. </w:t>
      </w:r>
      <w:r w:rsidR="005B1B6B" w:rsidRPr="00F719E2">
        <w:rPr>
          <w:rFonts w:ascii="Garamond" w:hAnsi="Garamond" w:cs="Times New Roman"/>
          <w:sz w:val="24"/>
          <w:szCs w:val="24"/>
        </w:rPr>
        <w:t>The</w:t>
      </w:r>
      <w:r w:rsidR="00E92AD8">
        <w:rPr>
          <w:rFonts w:ascii="Garamond" w:hAnsi="Garamond" w:cs="Times New Roman"/>
          <w:sz w:val="24"/>
          <w:szCs w:val="24"/>
        </w:rPr>
        <w:t xml:space="preserve"> RTW</w:t>
      </w:r>
      <w:r w:rsidR="005B1B6B" w:rsidRPr="00F719E2">
        <w:rPr>
          <w:rFonts w:ascii="Garamond" w:hAnsi="Garamond" w:cs="Times New Roman"/>
          <w:sz w:val="24"/>
          <w:szCs w:val="24"/>
        </w:rPr>
        <w:t xml:space="preserve"> policy raised this salary cap and allowed retirees to work full-time</w:t>
      </w:r>
      <w:r w:rsidR="00042BCC" w:rsidRPr="00F719E2">
        <w:rPr>
          <w:rFonts w:ascii="Garamond" w:hAnsi="Garamond" w:cs="Times New Roman"/>
          <w:sz w:val="24"/>
          <w:szCs w:val="24"/>
        </w:rPr>
        <w:t xml:space="preserve"> and earn their full-time salary while collecting their pension. </w:t>
      </w:r>
      <w:r w:rsidR="00FA500E" w:rsidRPr="00F719E2">
        <w:rPr>
          <w:rFonts w:ascii="Garamond" w:hAnsi="Garamond" w:cs="Times New Roman"/>
          <w:sz w:val="24"/>
          <w:szCs w:val="24"/>
        </w:rPr>
        <w:t xml:space="preserve">We show that </w:t>
      </w:r>
      <w:r w:rsidR="00B55610" w:rsidRPr="00F719E2">
        <w:rPr>
          <w:rFonts w:ascii="Garamond" w:hAnsi="Garamond" w:cs="Times New Roman"/>
          <w:sz w:val="24"/>
          <w:szCs w:val="24"/>
        </w:rPr>
        <w:t>this</w:t>
      </w:r>
      <w:r w:rsidR="003C2D6A" w:rsidRPr="00F719E2">
        <w:rPr>
          <w:rFonts w:ascii="Garamond" w:hAnsi="Garamond" w:cs="Times New Roman"/>
          <w:sz w:val="24"/>
          <w:szCs w:val="24"/>
        </w:rPr>
        <w:t xml:space="preserve"> incentivized retired teachers to come back to work.</w:t>
      </w:r>
    </w:p>
    <w:p w14:paraId="38D7AB36" w14:textId="4161B5C7" w:rsidR="006F2CDF" w:rsidRPr="00F719E2" w:rsidRDefault="007E02C5"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Our analysis </w:t>
      </w:r>
      <w:r w:rsidR="00AC72EF" w:rsidRPr="00F719E2">
        <w:rPr>
          <w:rFonts w:ascii="Garamond" w:hAnsi="Garamond" w:cs="Times New Roman"/>
          <w:sz w:val="24"/>
          <w:szCs w:val="24"/>
        </w:rPr>
        <w:t xml:space="preserve">focuses on two main questions. First, </w:t>
      </w:r>
      <w:r w:rsidR="00CF07F8" w:rsidRPr="00F719E2">
        <w:rPr>
          <w:rFonts w:ascii="Garamond" w:hAnsi="Garamond" w:cs="Times New Roman"/>
          <w:sz w:val="24"/>
          <w:szCs w:val="24"/>
        </w:rPr>
        <w:t>we ask who these teachers are</w:t>
      </w:r>
      <w:r w:rsidR="006969B1" w:rsidRPr="00F719E2">
        <w:rPr>
          <w:rFonts w:ascii="Garamond" w:hAnsi="Garamond" w:cs="Times New Roman"/>
          <w:sz w:val="24"/>
          <w:szCs w:val="24"/>
        </w:rPr>
        <w:t xml:space="preserve"> in terms of their demographics, qualifications, and subject matter expertise. </w:t>
      </w:r>
      <w:r w:rsidR="00D53471" w:rsidRPr="00F719E2">
        <w:rPr>
          <w:rFonts w:ascii="Garamond" w:hAnsi="Garamond" w:cs="Times New Roman"/>
          <w:sz w:val="24"/>
          <w:szCs w:val="24"/>
        </w:rPr>
        <w:t>Second</w:t>
      </w:r>
      <w:r w:rsidR="006969B1" w:rsidRPr="00F719E2">
        <w:rPr>
          <w:rFonts w:ascii="Garamond" w:hAnsi="Garamond" w:cs="Times New Roman"/>
          <w:sz w:val="24"/>
          <w:szCs w:val="24"/>
        </w:rPr>
        <w:t xml:space="preserve">, we ask </w:t>
      </w:r>
      <w:r w:rsidR="004B1AE7" w:rsidRPr="00F719E2">
        <w:rPr>
          <w:rFonts w:ascii="Garamond" w:hAnsi="Garamond" w:cs="Times New Roman"/>
          <w:sz w:val="24"/>
          <w:szCs w:val="24"/>
        </w:rPr>
        <w:t>wh</w:t>
      </w:r>
      <w:r w:rsidR="00E92AD8">
        <w:rPr>
          <w:rFonts w:ascii="Garamond" w:hAnsi="Garamond" w:cs="Times New Roman"/>
          <w:sz w:val="24"/>
          <w:szCs w:val="24"/>
        </w:rPr>
        <w:t>ich</w:t>
      </w:r>
      <w:r w:rsidR="004B1AE7" w:rsidRPr="00F719E2">
        <w:rPr>
          <w:rFonts w:ascii="Garamond" w:hAnsi="Garamond" w:cs="Times New Roman"/>
          <w:sz w:val="24"/>
          <w:szCs w:val="24"/>
        </w:rPr>
        <w:t xml:space="preserve"> schools hired them.</w:t>
      </w:r>
      <w:r w:rsidR="006969B1" w:rsidRPr="00F719E2">
        <w:rPr>
          <w:rFonts w:ascii="Garamond" w:hAnsi="Garamond" w:cs="Times New Roman"/>
          <w:sz w:val="24"/>
          <w:szCs w:val="24"/>
        </w:rPr>
        <w:t xml:space="preserve"> We look at</w:t>
      </w:r>
      <w:r w:rsidR="00E92AD8">
        <w:rPr>
          <w:rFonts w:ascii="Garamond" w:hAnsi="Garamond" w:cs="Times New Roman"/>
          <w:sz w:val="24"/>
          <w:szCs w:val="24"/>
        </w:rPr>
        <w:t xml:space="preserve"> school-level student</w:t>
      </w:r>
      <w:r w:rsidR="00F44DF1" w:rsidRPr="00F719E2">
        <w:rPr>
          <w:rFonts w:ascii="Garamond" w:hAnsi="Garamond" w:cs="Times New Roman"/>
          <w:sz w:val="24"/>
          <w:szCs w:val="24"/>
        </w:rPr>
        <w:t xml:space="preserve"> characteristics</w:t>
      </w:r>
      <w:r w:rsidR="007C4DD2" w:rsidRPr="00F719E2">
        <w:rPr>
          <w:rFonts w:ascii="Garamond" w:hAnsi="Garamond" w:cs="Times New Roman"/>
          <w:sz w:val="24"/>
          <w:szCs w:val="24"/>
        </w:rPr>
        <w:t xml:space="preserve">, focusing specifically on </w:t>
      </w:r>
      <w:proofErr w:type="gramStart"/>
      <w:r w:rsidR="007C4DD2" w:rsidRPr="00F719E2">
        <w:rPr>
          <w:rFonts w:ascii="Garamond" w:hAnsi="Garamond" w:cs="Times New Roman"/>
          <w:sz w:val="24"/>
          <w:szCs w:val="24"/>
        </w:rPr>
        <w:t>economically disadvantaged</w:t>
      </w:r>
      <w:proofErr w:type="gramEnd"/>
      <w:r w:rsidR="007C4DD2" w:rsidRPr="00F719E2">
        <w:rPr>
          <w:rFonts w:ascii="Garamond" w:hAnsi="Garamond" w:cs="Times New Roman"/>
          <w:sz w:val="24"/>
          <w:szCs w:val="24"/>
        </w:rPr>
        <w:t xml:space="preserve"> and Black students.</w:t>
      </w:r>
      <w:r w:rsidR="00D26532" w:rsidRPr="00F719E2">
        <w:rPr>
          <w:rFonts w:ascii="Garamond" w:hAnsi="Garamond" w:cs="Times New Roman"/>
          <w:sz w:val="24"/>
          <w:szCs w:val="24"/>
        </w:rPr>
        <w:t xml:space="preserve"> </w:t>
      </w:r>
    </w:p>
    <w:p w14:paraId="28A1D44E" w14:textId="3DD5EF3F" w:rsidR="006F2CDF" w:rsidRPr="00F719E2" w:rsidRDefault="00BC119F"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W</w:t>
      </w:r>
      <w:r w:rsidR="00A83D3D" w:rsidRPr="00F719E2">
        <w:rPr>
          <w:rFonts w:ascii="Garamond" w:hAnsi="Garamond" w:cs="Times New Roman"/>
          <w:sz w:val="24"/>
          <w:szCs w:val="24"/>
        </w:rPr>
        <w:t>e find that RTW teachers</w:t>
      </w:r>
      <w:r w:rsidR="00E258AE" w:rsidRPr="00F719E2">
        <w:rPr>
          <w:rFonts w:ascii="Garamond" w:hAnsi="Garamond" w:cs="Times New Roman"/>
          <w:sz w:val="24"/>
          <w:szCs w:val="24"/>
        </w:rPr>
        <w:t xml:space="preserve"> </w:t>
      </w:r>
      <w:r w:rsidR="00AF76B4" w:rsidRPr="00F719E2">
        <w:rPr>
          <w:rFonts w:ascii="Garamond" w:hAnsi="Garamond" w:cs="Times New Roman"/>
          <w:sz w:val="24"/>
          <w:szCs w:val="24"/>
        </w:rPr>
        <w:t>are generally</w:t>
      </w:r>
      <w:r w:rsidR="006E15DA" w:rsidRPr="00F719E2">
        <w:rPr>
          <w:rFonts w:ascii="Garamond" w:hAnsi="Garamond" w:cs="Times New Roman"/>
          <w:sz w:val="24"/>
          <w:szCs w:val="24"/>
        </w:rPr>
        <w:t xml:space="preserve"> White females, </w:t>
      </w:r>
      <w:r w:rsidR="00E92AD8">
        <w:rPr>
          <w:rFonts w:ascii="Garamond" w:hAnsi="Garamond" w:cs="Times New Roman"/>
          <w:sz w:val="24"/>
          <w:szCs w:val="24"/>
        </w:rPr>
        <w:t xml:space="preserve">which is true for most North Carolina teachers, but Black teachers are overrepresented in the pool of RTW teachers relative to </w:t>
      </w:r>
      <w:r w:rsidR="00E92AD8">
        <w:rPr>
          <w:rFonts w:ascii="Garamond" w:hAnsi="Garamond" w:cs="Times New Roman"/>
          <w:sz w:val="24"/>
          <w:szCs w:val="24"/>
        </w:rPr>
        <w:lastRenderedPageBreak/>
        <w:t xml:space="preserve">the distribution of all full-time teachers during the policy period. </w:t>
      </w:r>
      <w:r w:rsidR="00D9750C" w:rsidRPr="00F719E2">
        <w:rPr>
          <w:rFonts w:ascii="Garamond" w:hAnsi="Garamond" w:cs="Times New Roman"/>
          <w:sz w:val="24"/>
          <w:szCs w:val="24"/>
        </w:rPr>
        <w:t xml:space="preserve">RTW teachers are </w:t>
      </w:r>
      <w:r w:rsidR="00A245E9" w:rsidRPr="00F719E2">
        <w:rPr>
          <w:rFonts w:ascii="Garamond" w:hAnsi="Garamond" w:cs="Times New Roman"/>
          <w:sz w:val="24"/>
          <w:szCs w:val="24"/>
        </w:rPr>
        <w:t>less qualified than the average teacher in terms of where they went to school</w:t>
      </w:r>
      <w:r w:rsidR="00D86398" w:rsidRPr="00F719E2">
        <w:rPr>
          <w:rFonts w:ascii="Garamond" w:hAnsi="Garamond" w:cs="Times New Roman"/>
          <w:sz w:val="24"/>
          <w:szCs w:val="24"/>
        </w:rPr>
        <w:t xml:space="preserve"> (college competitiveness)</w:t>
      </w:r>
      <w:r w:rsidR="00F06176" w:rsidRPr="00F719E2">
        <w:rPr>
          <w:rFonts w:ascii="Garamond" w:hAnsi="Garamond" w:cs="Times New Roman"/>
          <w:sz w:val="24"/>
          <w:szCs w:val="24"/>
        </w:rPr>
        <w:t xml:space="preserve"> </w:t>
      </w:r>
      <w:r w:rsidR="00A245E9" w:rsidRPr="00F719E2">
        <w:rPr>
          <w:rFonts w:ascii="Garamond" w:hAnsi="Garamond" w:cs="Times New Roman"/>
          <w:sz w:val="24"/>
          <w:szCs w:val="24"/>
        </w:rPr>
        <w:t xml:space="preserve">but </w:t>
      </w:r>
      <w:r w:rsidR="00D86398" w:rsidRPr="00F719E2">
        <w:rPr>
          <w:rFonts w:ascii="Garamond" w:hAnsi="Garamond" w:cs="Times New Roman"/>
          <w:sz w:val="24"/>
          <w:szCs w:val="24"/>
        </w:rPr>
        <w:t>are more qualified in terms of their degree level</w:t>
      </w:r>
      <w:r w:rsidR="00F06176" w:rsidRPr="00F719E2">
        <w:rPr>
          <w:rFonts w:ascii="Garamond" w:hAnsi="Garamond" w:cs="Times New Roman"/>
          <w:sz w:val="24"/>
          <w:szCs w:val="24"/>
        </w:rPr>
        <w:t xml:space="preserve"> (bachelors, masters, etc.)</w:t>
      </w:r>
      <w:r w:rsidR="00D86398" w:rsidRPr="00F719E2">
        <w:rPr>
          <w:rFonts w:ascii="Garamond" w:hAnsi="Garamond" w:cs="Times New Roman"/>
          <w:sz w:val="24"/>
          <w:szCs w:val="24"/>
        </w:rPr>
        <w:t>.</w:t>
      </w:r>
      <w:r w:rsidR="00F06176" w:rsidRPr="00F719E2">
        <w:rPr>
          <w:rFonts w:ascii="Garamond" w:hAnsi="Garamond" w:cs="Times New Roman"/>
          <w:sz w:val="24"/>
          <w:szCs w:val="24"/>
        </w:rPr>
        <w:t xml:space="preserve"> </w:t>
      </w:r>
      <w:r w:rsidR="00E92AD8">
        <w:rPr>
          <w:rFonts w:ascii="Garamond" w:hAnsi="Garamond" w:cs="Times New Roman"/>
          <w:sz w:val="24"/>
          <w:szCs w:val="24"/>
        </w:rPr>
        <w:t xml:space="preserve">As would be expected with retirees, they </w:t>
      </w:r>
      <w:r w:rsidR="00F06176" w:rsidRPr="00F719E2">
        <w:rPr>
          <w:rFonts w:ascii="Garamond" w:hAnsi="Garamond" w:cs="Times New Roman"/>
          <w:sz w:val="24"/>
          <w:szCs w:val="24"/>
        </w:rPr>
        <w:t>have more years of experience than the average teacher.</w:t>
      </w:r>
      <w:r w:rsidR="0079062A" w:rsidRPr="00F719E2">
        <w:rPr>
          <w:rFonts w:ascii="Garamond" w:hAnsi="Garamond" w:cs="Times New Roman"/>
          <w:sz w:val="24"/>
          <w:szCs w:val="24"/>
        </w:rPr>
        <w:t xml:space="preserve"> </w:t>
      </w:r>
      <w:r w:rsidR="00BB2708" w:rsidRPr="00F719E2">
        <w:rPr>
          <w:rFonts w:ascii="Garamond" w:hAnsi="Garamond" w:cs="Times New Roman"/>
          <w:sz w:val="24"/>
          <w:szCs w:val="24"/>
        </w:rPr>
        <w:t xml:space="preserve">Additionally, </w:t>
      </w:r>
      <w:r w:rsidR="0079062A" w:rsidRPr="00F719E2">
        <w:rPr>
          <w:rFonts w:ascii="Garamond" w:hAnsi="Garamond" w:cs="Times New Roman"/>
          <w:sz w:val="24"/>
          <w:szCs w:val="24"/>
        </w:rPr>
        <w:t>RTW teachers are most likely to teach classes with no specific discipline (</w:t>
      </w:r>
      <w:r w:rsidR="007B12C7" w:rsidRPr="00F719E2">
        <w:rPr>
          <w:rFonts w:ascii="Garamond" w:hAnsi="Garamond" w:cs="Times New Roman"/>
          <w:sz w:val="24"/>
          <w:szCs w:val="24"/>
        </w:rPr>
        <w:t>elementary classes), communication classes, and math classes.</w:t>
      </w:r>
      <w:r w:rsidR="00BB2708" w:rsidRPr="00F719E2">
        <w:rPr>
          <w:rFonts w:ascii="Garamond" w:hAnsi="Garamond" w:cs="Times New Roman"/>
          <w:sz w:val="24"/>
          <w:szCs w:val="24"/>
        </w:rPr>
        <w:t xml:space="preserve"> This generally reflects</w:t>
      </w:r>
      <w:r w:rsidR="00B716DC" w:rsidRPr="00F719E2">
        <w:rPr>
          <w:rFonts w:ascii="Garamond" w:hAnsi="Garamond" w:cs="Times New Roman"/>
          <w:sz w:val="24"/>
          <w:szCs w:val="24"/>
        </w:rPr>
        <w:t xml:space="preserve"> average teaching assignments. </w:t>
      </w:r>
    </w:p>
    <w:p w14:paraId="2ABCB65F" w14:textId="3E016FAD" w:rsidR="006F2CDF" w:rsidRPr="00F719E2" w:rsidRDefault="0015186D"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In terms of </w:t>
      </w:r>
      <w:r w:rsidR="00E92AD8">
        <w:rPr>
          <w:rFonts w:ascii="Garamond" w:hAnsi="Garamond" w:cs="Times New Roman"/>
          <w:sz w:val="24"/>
          <w:szCs w:val="24"/>
        </w:rPr>
        <w:t>the</w:t>
      </w:r>
      <w:r w:rsidRPr="00F719E2">
        <w:rPr>
          <w:rFonts w:ascii="Garamond" w:hAnsi="Garamond" w:cs="Times New Roman"/>
          <w:sz w:val="24"/>
          <w:szCs w:val="24"/>
        </w:rPr>
        <w:t xml:space="preserve"> schools</w:t>
      </w:r>
      <w:r w:rsidR="00E92AD8">
        <w:rPr>
          <w:rFonts w:ascii="Garamond" w:hAnsi="Garamond" w:cs="Times New Roman"/>
          <w:sz w:val="24"/>
          <w:szCs w:val="24"/>
        </w:rPr>
        <w:t xml:space="preserve"> that</w:t>
      </w:r>
      <w:r w:rsidRPr="00F719E2">
        <w:rPr>
          <w:rFonts w:ascii="Garamond" w:hAnsi="Garamond" w:cs="Times New Roman"/>
          <w:sz w:val="24"/>
          <w:szCs w:val="24"/>
        </w:rPr>
        <w:t xml:space="preserve"> hired these teachers, it appears that most schools </w:t>
      </w:r>
      <w:r w:rsidR="00E92AD8">
        <w:rPr>
          <w:rFonts w:ascii="Garamond" w:hAnsi="Garamond" w:cs="Times New Roman"/>
          <w:sz w:val="24"/>
          <w:szCs w:val="24"/>
        </w:rPr>
        <w:t>rehire their own retirees.</w:t>
      </w:r>
      <w:r w:rsidR="00BE7D1E" w:rsidRPr="00F719E2">
        <w:rPr>
          <w:rFonts w:ascii="Garamond" w:hAnsi="Garamond" w:cs="Times New Roman"/>
          <w:sz w:val="24"/>
          <w:szCs w:val="24"/>
        </w:rPr>
        <w:t xml:space="preserve"> About 60% of RTW teachers return to the school they retired from. </w:t>
      </w:r>
      <w:r w:rsidR="00E82FA2" w:rsidRPr="00F719E2">
        <w:rPr>
          <w:rFonts w:ascii="Garamond" w:hAnsi="Garamond" w:cs="Times New Roman"/>
          <w:sz w:val="24"/>
          <w:szCs w:val="24"/>
        </w:rPr>
        <w:t>M</w:t>
      </w:r>
      <w:r w:rsidR="009C136D" w:rsidRPr="00F719E2">
        <w:rPr>
          <w:rFonts w:ascii="Garamond" w:hAnsi="Garamond" w:cs="Times New Roman"/>
          <w:sz w:val="24"/>
          <w:szCs w:val="24"/>
        </w:rPr>
        <w:t xml:space="preserve">any RTW teachers are elementary school teachers </w:t>
      </w:r>
      <w:r w:rsidR="007A276D" w:rsidRPr="00F719E2">
        <w:rPr>
          <w:rFonts w:ascii="Garamond" w:hAnsi="Garamond" w:cs="Times New Roman"/>
          <w:sz w:val="24"/>
          <w:szCs w:val="24"/>
        </w:rPr>
        <w:t>but compared to all teachers they are more likely to teach</w:t>
      </w:r>
      <w:r w:rsidR="00E92AD8">
        <w:rPr>
          <w:rFonts w:ascii="Garamond" w:hAnsi="Garamond" w:cs="Times New Roman"/>
          <w:sz w:val="24"/>
          <w:szCs w:val="24"/>
        </w:rPr>
        <w:t xml:space="preserve"> </w:t>
      </w:r>
      <w:r w:rsidR="007A276D" w:rsidRPr="00F719E2">
        <w:rPr>
          <w:rFonts w:ascii="Garamond" w:hAnsi="Garamond" w:cs="Times New Roman"/>
          <w:sz w:val="24"/>
          <w:szCs w:val="24"/>
        </w:rPr>
        <w:t xml:space="preserve">high school. We also observe that </w:t>
      </w:r>
      <w:r w:rsidR="008F5245" w:rsidRPr="00F719E2">
        <w:rPr>
          <w:rFonts w:ascii="Garamond" w:hAnsi="Garamond" w:cs="Times New Roman"/>
          <w:sz w:val="24"/>
          <w:szCs w:val="24"/>
        </w:rPr>
        <w:t>RTW teachers are more likely to teach in rural schools than in town/suburban and city schools</w:t>
      </w:r>
      <w:r w:rsidR="00E92AD8">
        <w:rPr>
          <w:rFonts w:ascii="Garamond" w:hAnsi="Garamond" w:cs="Times New Roman"/>
          <w:sz w:val="24"/>
          <w:szCs w:val="24"/>
        </w:rPr>
        <w:t>,</w:t>
      </w:r>
      <w:r w:rsidR="008F5245" w:rsidRPr="00F719E2">
        <w:rPr>
          <w:rFonts w:ascii="Garamond" w:hAnsi="Garamond" w:cs="Times New Roman"/>
          <w:sz w:val="24"/>
          <w:szCs w:val="24"/>
        </w:rPr>
        <w:t xml:space="preserve"> relative to the average teacher.</w:t>
      </w:r>
      <w:r w:rsidR="000605C9" w:rsidRPr="00F719E2">
        <w:rPr>
          <w:rFonts w:ascii="Garamond" w:hAnsi="Garamond" w:cs="Times New Roman"/>
          <w:sz w:val="24"/>
          <w:szCs w:val="24"/>
        </w:rPr>
        <w:t xml:space="preserve"> Additionally,</w:t>
      </w:r>
      <w:r w:rsidR="007C1A55" w:rsidRPr="00F719E2">
        <w:rPr>
          <w:rFonts w:ascii="Garamond" w:hAnsi="Garamond" w:cs="Times New Roman"/>
          <w:sz w:val="24"/>
          <w:szCs w:val="24"/>
        </w:rPr>
        <w:t xml:space="preserve"> and perhaps most importantly</w:t>
      </w:r>
      <w:r w:rsidR="00B817E4">
        <w:rPr>
          <w:rFonts w:ascii="Garamond" w:hAnsi="Garamond" w:cs="Times New Roman"/>
          <w:sz w:val="24"/>
          <w:szCs w:val="24"/>
        </w:rPr>
        <w:t>,</w:t>
      </w:r>
      <w:r w:rsidR="000605C9" w:rsidRPr="00F719E2">
        <w:rPr>
          <w:rFonts w:ascii="Garamond" w:hAnsi="Garamond" w:cs="Times New Roman"/>
          <w:sz w:val="24"/>
          <w:szCs w:val="24"/>
        </w:rPr>
        <w:t xml:space="preserve"> RTW teachers</w:t>
      </w:r>
      <w:r w:rsidR="00B817E4">
        <w:rPr>
          <w:rFonts w:ascii="Garamond" w:hAnsi="Garamond" w:cs="Times New Roman"/>
          <w:sz w:val="24"/>
          <w:szCs w:val="24"/>
        </w:rPr>
        <w:t xml:space="preserve"> were overrepresented in</w:t>
      </w:r>
      <w:r w:rsidR="000605C9" w:rsidRPr="00F719E2">
        <w:rPr>
          <w:rFonts w:ascii="Garamond" w:hAnsi="Garamond" w:cs="Times New Roman"/>
          <w:sz w:val="24"/>
          <w:szCs w:val="24"/>
        </w:rPr>
        <w:t xml:space="preserve"> schools </w:t>
      </w:r>
      <w:r w:rsidR="00BB5107" w:rsidRPr="00F719E2">
        <w:rPr>
          <w:rFonts w:ascii="Garamond" w:hAnsi="Garamond" w:cs="Times New Roman"/>
          <w:sz w:val="24"/>
          <w:szCs w:val="24"/>
        </w:rPr>
        <w:t xml:space="preserve">with </w:t>
      </w:r>
      <w:r w:rsidR="00B817E4">
        <w:rPr>
          <w:rFonts w:ascii="Garamond" w:hAnsi="Garamond" w:cs="Times New Roman"/>
          <w:sz w:val="24"/>
          <w:szCs w:val="24"/>
        </w:rPr>
        <w:t xml:space="preserve">many </w:t>
      </w:r>
      <w:proofErr w:type="gramStart"/>
      <w:r w:rsidR="00BB5107" w:rsidRPr="00F719E2">
        <w:rPr>
          <w:rFonts w:ascii="Garamond" w:hAnsi="Garamond" w:cs="Times New Roman"/>
          <w:sz w:val="24"/>
          <w:szCs w:val="24"/>
        </w:rPr>
        <w:t>economically disadvantaged</w:t>
      </w:r>
      <w:proofErr w:type="gramEnd"/>
      <w:r w:rsidR="00BB5107" w:rsidRPr="00F719E2">
        <w:rPr>
          <w:rFonts w:ascii="Garamond" w:hAnsi="Garamond" w:cs="Times New Roman"/>
          <w:sz w:val="24"/>
          <w:szCs w:val="24"/>
        </w:rPr>
        <w:t xml:space="preserve"> and Black students</w:t>
      </w:r>
      <w:r w:rsidR="00B817E4">
        <w:rPr>
          <w:rFonts w:ascii="Garamond" w:hAnsi="Garamond" w:cs="Times New Roman"/>
          <w:sz w:val="24"/>
          <w:szCs w:val="24"/>
        </w:rPr>
        <w:t>.</w:t>
      </w:r>
      <w:r w:rsidR="00C96B64" w:rsidRPr="00F719E2">
        <w:rPr>
          <w:rFonts w:ascii="Garamond" w:hAnsi="Garamond" w:cs="Times New Roman"/>
          <w:sz w:val="24"/>
          <w:szCs w:val="24"/>
        </w:rPr>
        <w:t xml:space="preserve"> In other words, </w:t>
      </w:r>
      <w:r w:rsidR="004B7256" w:rsidRPr="00F719E2">
        <w:rPr>
          <w:rFonts w:ascii="Garamond" w:hAnsi="Garamond" w:cs="Times New Roman"/>
          <w:sz w:val="24"/>
          <w:szCs w:val="24"/>
        </w:rPr>
        <w:t xml:space="preserve">these teachers helped fill vacancies at high-need schools, </w:t>
      </w:r>
      <w:r w:rsidR="006D434B" w:rsidRPr="00F719E2">
        <w:rPr>
          <w:rFonts w:ascii="Garamond" w:hAnsi="Garamond" w:cs="Times New Roman"/>
          <w:sz w:val="24"/>
          <w:szCs w:val="24"/>
        </w:rPr>
        <w:t>schools</w:t>
      </w:r>
      <w:r w:rsidR="004B7256" w:rsidRPr="00F719E2">
        <w:rPr>
          <w:rFonts w:ascii="Garamond" w:hAnsi="Garamond" w:cs="Times New Roman"/>
          <w:sz w:val="24"/>
          <w:szCs w:val="24"/>
        </w:rPr>
        <w:t xml:space="preserve"> where there are generally more teacher shortages. </w:t>
      </w:r>
    </w:p>
    <w:p w14:paraId="41821972" w14:textId="2F823720" w:rsidR="001F19C5" w:rsidRPr="00F719E2" w:rsidRDefault="001F19C5"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While this policy ended over a decade ago, it is still relevant to study for three reasons. First, shortages still exist, both nationally and in North Carolina</w:t>
      </w:r>
      <w:r w:rsidRPr="00B7156D">
        <w:rPr>
          <w:rFonts w:ascii="Garamond" w:hAnsi="Garamond" w:cs="Times New Roman"/>
          <w:sz w:val="24"/>
          <w:szCs w:val="24"/>
        </w:rPr>
        <w:t>. Nguyen,</w:t>
      </w:r>
      <w:r w:rsidR="00B7156D" w:rsidRPr="00B7156D">
        <w:rPr>
          <w:rFonts w:ascii="Garamond" w:hAnsi="Garamond" w:cs="Times New Roman"/>
          <w:sz w:val="24"/>
          <w:szCs w:val="24"/>
        </w:rPr>
        <w:t xml:space="preserve"> et al. </w:t>
      </w:r>
      <w:r w:rsidRPr="00B7156D">
        <w:rPr>
          <w:rFonts w:ascii="Garamond" w:hAnsi="Garamond" w:cs="Times New Roman"/>
          <w:sz w:val="24"/>
          <w:szCs w:val="24"/>
        </w:rPr>
        <w:t>(2022)</w:t>
      </w:r>
      <w:r w:rsidRPr="00F719E2">
        <w:rPr>
          <w:rFonts w:ascii="Garamond" w:hAnsi="Garamond" w:cs="Times New Roman"/>
          <w:sz w:val="24"/>
          <w:szCs w:val="24"/>
        </w:rPr>
        <w:t xml:space="preserve"> calculate that </w:t>
      </w:r>
      <w:r w:rsidR="00367CB9">
        <w:rPr>
          <w:rFonts w:ascii="Garamond" w:hAnsi="Garamond" w:cs="Times New Roman"/>
          <w:sz w:val="24"/>
          <w:szCs w:val="24"/>
        </w:rPr>
        <w:t>about 55%</w:t>
      </w:r>
      <w:r w:rsidR="000D26F3">
        <w:rPr>
          <w:rFonts w:ascii="Garamond" w:hAnsi="Garamond" w:cs="Times New Roman"/>
          <w:sz w:val="24"/>
          <w:szCs w:val="24"/>
        </w:rPr>
        <w:t xml:space="preserve"> (1,700)</w:t>
      </w:r>
      <w:r w:rsidR="00367CB9">
        <w:rPr>
          <w:rFonts w:ascii="Garamond" w:hAnsi="Garamond" w:cs="Times New Roman"/>
          <w:sz w:val="24"/>
          <w:szCs w:val="24"/>
        </w:rPr>
        <w:t xml:space="preserve"> of</w:t>
      </w:r>
      <w:r w:rsidR="00D94441">
        <w:rPr>
          <w:rFonts w:ascii="Garamond" w:hAnsi="Garamond" w:cs="Times New Roman"/>
          <w:sz w:val="24"/>
          <w:szCs w:val="24"/>
        </w:rPr>
        <w:t xml:space="preserve"> </w:t>
      </w:r>
      <w:r w:rsidR="00D4343C">
        <w:rPr>
          <w:rFonts w:ascii="Garamond" w:hAnsi="Garamond" w:cs="Times New Roman"/>
          <w:sz w:val="24"/>
          <w:szCs w:val="24"/>
        </w:rPr>
        <w:t xml:space="preserve">teaching </w:t>
      </w:r>
      <w:r w:rsidR="00D94441">
        <w:rPr>
          <w:rFonts w:ascii="Garamond" w:hAnsi="Garamond" w:cs="Times New Roman"/>
          <w:sz w:val="24"/>
          <w:szCs w:val="24"/>
        </w:rPr>
        <w:t>positions</w:t>
      </w:r>
      <w:r w:rsidR="000D26F3">
        <w:rPr>
          <w:rFonts w:ascii="Garamond" w:hAnsi="Garamond" w:cs="Times New Roman"/>
          <w:sz w:val="24"/>
          <w:szCs w:val="24"/>
        </w:rPr>
        <w:t xml:space="preserve"> </w:t>
      </w:r>
      <w:r w:rsidR="003257AD">
        <w:rPr>
          <w:rFonts w:ascii="Garamond" w:hAnsi="Garamond" w:cs="Times New Roman"/>
          <w:sz w:val="24"/>
          <w:szCs w:val="24"/>
        </w:rPr>
        <w:t xml:space="preserve">in North Carolina </w:t>
      </w:r>
      <w:r w:rsidR="00D94441">
        <w:rPr>
          <w:rFonts w:ascii="Garamond" w:hAnsi="Garamond" w:cs="Times New Roman"/>
          <w:sz w:val="24"/>
          <w:szCs w:val="24"/>
        </w:rPr>
        <w:t xml:space="preserve">vacant at the start of the 2020-2021 school year remained </w:t>
      </w:r>
      <w:r w:rsidR="00684584">
        <w:rPr>
          <w:rFonts w:ascii="Garamond" w:hAnsi="Garamond" w:cs="Times New Roman"/>
          <w:sz w:val="24"/>
          <w:szCs w:val="24"/>
        </w:rPr>
        <w:t xml:space="preserve">unfilled </w:t>
      </w:r>
      <w:r w:rsidR="000B7594">
        <w:rPr>
          <w:rFonts w:ascii="Garamond" w:hAnsi="Garamond" w:cs="Times New Roman"/>
          <w:sz w:val="24"/>
          <w:szCs w:val="24"/>
        </w:rPr>
        <w:t>during the year.</w:t>
      </w:r>
      <w:r w:rsidR="003257AD">
        <w:rPr>
          <w:rFonts w:ascii="Garamond" w:hAnsi="Garamond" w:cs="Times New Roman"/>
          <w:sz w:val="24"/>
          <w:szCs w:val="24"/>
        </w:rPr>
        <w:t xml:space="preserve"> </w:t>
      </w:r>
      <w:r w:rsidRPr="00F719E2">
        <w:rPr>
          <w:rFonts w:ascii="Garamond" w:hAnsi="Garamond" w:cs="Times New Roman"/>
          <w:sz w:val="24"/>
          <w:szCs w:val="24"/>
        </w:rPr>
        <w:t>Th</w:t>
      </w:r>
      <w:r w:rsidR="008C62FA">
        <w:rPr>
          <w:rFonts w:ascii="Garamond" w:hAnsi="Garamond" w:cs="Times New Roman"/>
          <w:sz w:val="24"/>
          <w:szCs w:val="24"/>
        </w:rPr>
        <w:t xml:space="preserve">is is about </w:t>
      </w:r>
      <w:r w:rsidR="005B3802">
        <w:rPr>
          <w:rFonts w:ascii="Garamond" w:hAnsi="Garamond" w:cs="Times New Roman"/>
          <w:sz w:val="24"/>
          <w:szCs w:val="24"/>
        </w:rPr>
        <w:t xml:space="preserve">1.7 vacancies per 100 teachers and </w:t>
      </w:r>
      <w:r w:rsidR="008C62FA">
        <w:rPr>
          <w:rFonts w:ascii="Garamond" w:hAnsi="Garamond" w:cs="Times New Roman"/>
          <w:sz w:val="24"/>
          <w:szCs w:val="24"/>
        </w:rPr>
        <w:t>11 vacancies per 10,000 students</w:t>
      </w:r>
      <w:r w:rsidR="008D10CB">
        <w:rPr>
          <w:rFonts w:ascii="Garamond" w:hAnsi="Garamond" w:cs="Times New Roman"/>
          <w:sz w:val="24"/>
          <w:szCs w:val="24"/>
        </w:rPr>
        <w:t xml:space="preserve">. </w:t>
      </w:r>
      <w:r w:rsidRPr="00F719E2">
        <w:rPr>
          <w:rFonts w:ascii="Garamond" w:hAnsi="Garamond" w:cs="Times New Roman"/>
          <w:sz w:val="24"/>
          <w:szCs w:val="24"/>
        </w:rPr>
        <w:t xml:space="preserve">Second, </w:t>
      </w:r>
      <w:r w:rsidR="00B817E4">
        <w:rPr>
          <w:rFonts w:ascii="Garamond" w:hAnsi="Garamond" w:cs="Times New Roman"/>
          <w:sz w:val="24"/>
          <w:szCs w:val="24"/>
        </w:rPr>
        <w:t>the question of how a RTW policy impacts the school system is relevant to current policy discussions. North Carolina</w:t>
      </w:r>
      <w:r w:rsidRPr="00F719E2">
        <w:rPr>
          <w:rFonts w:ascii="Garamond" w:hAnsi="Garamond" w:cs="Times New Roman"/>
          <w:sz w:val="24"/>
          <w:szCs w:val="24"/>
        </w:rPr>
        <w:t xml:space="preserve"> adopted a new version of </w:t>
      </w:r>
      <w:r w:rsidR="00B817E4">
        <w:rPr>
          <w:rFonts w:ascii="Garamond" w:hAnsi="Garamond" w:cs="Times New Roman"/>
          <w:sz w:val="24"/>
          <w:szCs w:val="24"/>
        </w:rPr>
        <w:t>a RTW p</w:t>
      </w:r>
      <w:r w:rsidRPr="00F719E2">
        <w:rPr>
          <w:rFonts w:ascii="Garamond" w:hAnsi="Garamond" w:cs="Times New Roman"/>
          <w:sz w:val="24"/>
          <w:szCs w:val="24"/>
        </w:rPr>
        <w:t>olicy from 2019 through 2021 and lawmakers introduced a bill in March 2023 that would bring the policy back until 2027.</w:t>
      </w:r>
      <w:r w:rsidRPr="00F719E2">
        <w:rPr>
          <w:rStyle w:val="FootnoteReference"/>
          <w:rFonts w:ascii="Garamond" w:hAnsi="Garamond" w:cs="Times New Roman"/>
          <w:sz w:val="24"/>
          <w:szCs w:val="24"/>
        </w:rPr>
        <w:footnoteReference w:id="4"/>
      </w:r>
      <w:r w:rsidRPr="00F719E2">
        <w:rPr>
          <w:rFonts w:ascii="Garamond" w:hAnsi="Garamond" w:cs="Times New Roman"/>
          <w:sz w:val="24"/>
          <w:szCs w:val="24"/>
        </w:rPr>
        <w:t xml:space="preserve"> Finally, retired teachers are being called back to work in other states. New Jersey Senate Bill </w:t>
      </w:r>
      <w:r w:rsidRPr="00F719E2">
        <w:rPr>
          <w:rFonts w:ascii="Garamond" w:hAnsi="Garamond" w:cs="Times New Roman"/>
          <w:sz w:val="24"/>
          <w:szCs w:val="24"/>
        </w:rPr>
        <w:lastRenderedPageBreak/>
        <w:t>3685, passed in January of 2022, allowed teachers and other professional staff to return after retirement and earn both their full-time salary and their pension benefits for a two-year period. This policy targeted schools in “critical need” of teachers.</w:t>
      </w:r>
    </w:p>
    <w:p w14:paraId="3D300FCF" w14:textId="5FA8013F" w:rsidR="00D04D29" w:rsidRPr="00673826" w:rsidRDefault="000E5488" w:rsidP="00673826">
      <w:pPr>
        <w:spacing w:after="0" w:line="480" w:lineRule="auto"/>
        <w:jc w:val="center"/>
        <w:rPr>
          <w:rFonts w:ascii="Garamond" w:hAnsi="Garamond" w:cs="Times New Roman"/>
          <w:sz w:val="24"/>
          <w:szCs w:val="24"/>
        </w:rPr>
      </w:pPr>
      <w:r>
        <w:rPr>
          <w:rFonts w:ascii="Garamond" w:hAnsi="Garamond" w:cs="Times New Roman"/>
          <w:b/>
          <w:bCs/>
          <w:sz w:val="24"/>
          <w:szCs w:val="24"/>
        </w:rPr>
        <w:t>Related Literature</w:t>
      </w:r>
    </w:p>
    <w:p w14:paraId="5C9A2A32" w14:textId="500583C9" w:rsidR="006A7921" w:rsidRPr="00F719E2" w:rsidRDefault="006B67E4"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Economics literature </w:t>
      </w:r>
      <w:r w:rsidR="00B817E4">
        <w:rPr>
          <w:rFonts w:ascii="Garamond" w:hAnsi="Garamond" w:cs="Times New Roman"/>
          <w:sz w:val="24"/>
          <w:szCs w:val="24"/>
        </w:rPr>
        <w:t xml:space="preserve">consistently </w:t>
      </w:r>
      <w:r w:rsidRPr="00F719E2">
        <w:rPr>
          <w:rFonts w:ascii="Garamond" w:hAnsi="Garamond" w:cs="Times New Roman"/>
          <w:sz w:val="24"/>
          <w:szCs w:val="24"/>
        </w:rPr>
        <w:t xml:space="preserve">documents </w:t>
      </w:r>
      <w:r w:rsidR="003153B4" w:rsidRPr="00F719E2">
        <w:rPr>
          <w:rFonts w:ascii="Garamond" w:hAnsi="Garamond" w:cs="Times New Roman"/>
          <w:sz w:val="24"/>
          <w:szCs w:val="24"/>
        </w:rPr>
        <w:t xml:space="preserve">teacher shortages in </w:t>
      </w:r>
      <w:proofErr w:type="gramStart"/>
      <w:r w:rsidR="00FA3A82" w:rsidRPr="00F719E2">
        <w:rPr>
          <w:rFonts w:ascii="Garamond" w:hAnsi="Garamond" w:cs="Times New Roman"/>
          <w:sz w:val="24"/>
          <w:szCs w:val="24"/>
        </w:rPr>
        <w:t xml:space="preserve">economically </w:t>
      </w:r>
      <w:r w:rsidR="00A623D6" w:rsidRPr="00F719E2">
        <w:rPr>
          <w:rFonts w:ascii="Garamond" w:hAnsi="Garamond" w:cs="Times New Roman"/>
          <w:sz w:val="24"/>
          <w:szCs w:val="24"/>
        </w:rPr>
        <w:t>disadvantaged</w:t>
      </w:r>
      <w:proofErr w:type="gramEnd"/>
      <w:r w:rsidR="00A623D6" w:rsidRPr="00F719E2">
        <w:rPr>
          <w:rFonts w:ascii="Garamond" w:hAnsi="Garamond" w:cs="Times New Roman"/>
          <w:sz w:val="24"/>
          <w:szCs w:val="24"/>
        </w:rPr>
        <w:t xml:space="preserve"> schools</w:t>
      </w:r>
      <w:r w:rsidR="00FA3A82" w:rsidRPr="00F719E2">
        <w:rPr>
          <w:rFonts w:ascii="Garamond" w:hAnsi="Garamond" w:cs="Times New Roman"/>
          <w:sz w:val="24"/>
          <w:szCs w:val="24"/>
        </w:rPr>
        <w:t xml:space="preserve">, </w:t>
      </w:r>
      <w:r w:rsidR="004D0D57">
        <w:rPr>
          <w:rFonts w:ascii="Garamond" w:hAnsi="Garamond" w:cs="Times New Roman"/>
          <w:sz w:val="24"/>
          <w:szCs w:val="24"/>
        </w:rPr>
        <w:t xml:space="preserve">high-minority schools, </w:t>
      </w:r>
      <w:r w:rsidR="00FA3A82" w:rsidRPr="00F719E2">
        <w:rPr>
          <w:rFonts w:ascii="Garamond" w:hAnsi="Garamond" w:cs="Times New Roman"/>
          <w:sz w:val="24"/>
          <w:szCs w:val="24"/>
        </w:rPr>
        <w:t>rural schools, and hard-to-staff subject areas</w:t>
      </w:r>
      <w:r w:rsidR="000A66C0" w:rsidRPr="00F719E2">
        <w:rPr>
          <w:rFonts w:ascii="Garamond" w:hAnsi="Garamond" w:cs="Times New Roman"/>
          <w:sz w:val="24"/>
          <w:szCs w:val="24"/>
        </w:rPr>
        <w:t xml:space="preserve">. </w:t>
      </w:r>
      <w:r w:rsidR="002B5B10" w:rsidRPr="00F719E2">
        <w:rPr>
          <w:rFonts w:ascii="Garamond" w:hAnsi="Garamond" w:cs="Times New Roman"/>
          <w:sz w:val="24"/>
          <w:szCs w:val="24"/>
        </w:rPr>
        <w:t xml:space="preserve">Garcia </w:t>
      </w:r>
      <w:r w:rsidR="00836191">
        <w:rPr>
          <w:rFonts w:ascii="Garamond" w:hAnsi="Garamond" w:cs="Times New Roman"/>
          <w:sz w:val="24"/>
          <w:szCs w:val="24"/>
        </w:rPr>
        <w:t>&amp;</w:t>
      </w:r>
      <w:r w:rsidR="002B5B10" w:rsidRPr="00F719E2">
        <w:rPr>
          <w:rFonts w:ascii="Garamond" w:hAnsi="Garamond" w:cs="Times New Roman"/>
          <w:sz w:val="24"/>
          <w:szCs w:val="24"/>
        </w:rPr>
        <w:t xml:space="preserve"> Weiss </w:t>
      </w:r>
      <w:r w:rsidR="000F1693" w:rsidRPr="00F719E2">
        <w:rPr>
          <w:rFonts w:ascii="Garamond" w:hAnsi="Garamond" w:cs="Times New Roman"/>
          <w:sz w:val="24"/>
          <w:szCs w:val="24"/>
        </w:rPr>
        <w:t>(2020) describe how high-poverty schools have higher attrition and turnover than low-poverty schools.</w:t>
      </w:r>
      <w:r w:rsidR="00970933" w:rsidRPr="00F719E2">
        <w:rPr>
          <w:rFonts w:ascii="Garamond" w:hAnsi="Garamond" w:cs="Times New Roman"/>
          <w:sz w:val="24"/>
          <w:szCs w:val="24"/>
        </w:rPr>
        <w:t xml:space="preserve"> </w:t>
      </w:r>
      <w:r w:rsidR="00BB41BD">
        <w:rPr>
          <w:rFonts w:ascii="Garamond" w:hAnsi="Garamond" w:cs="Times New Roman"/>
          <w:sz w:val="24"/>
          <w:szCs w:val="24"/>
        </w:rPr>
        <w:t>Carver-Thomas &amp; Darling-Hammond (2019) find that teacher turnover</w:t>
      </w:r>
      <w:r w:rsidR="006A5018">
        <w:rPr>
          <w:rFonts w:ascii="Garamond" w:hAnsi="Garamond" w:cs="Times New Roman"/>
          <w:sz w:val="24"/>
          <w:szCs w:val="24"/>
        </w:rPr>
        <w:t xml:space="preserve"> is higher</w:t>
      </w:r>
      <w:r w:rsidR="00BB41BD">
        <w:rPr>
          <w:rFonts w:ascii="Garamond" w:hAnsi="Garamond" w:cs="Times New Roman"/>
          <w:sz w:val="24"/>
          <w:szCs w:val="24"/>
        </w:rPr>
        <w:t xml:space="preserve"> in Title I schools and schools</w:t>
      </w:r>
      <w:r w:rsidR="00F434F5">
        <w:rPr>
          <w:rFonts w:ascii="Garamond" w:hAnsi="Garamond" w:cs="Times New Roman"/>
          <w:sz w:val="24"/>
          <w:szCs w:val="24"/>
        </w:rPr>
        <w:t xml:space="preserve"> with </w:t>
      </w:r>
      <w:r w:rsidR="006A5018">
        <w:rPr>
          <w:rFonts w:ascii="Garamond" w:hAnsi="Garamond" w:cs="Times New Roman"/>
          <w:sz w:val="24"/>
          <w:szCs w:val="24"/>
        </w:rPr>
        <w:t xml:space="preserve">many minority students. </w:t>
      </w:r>
      <w:r w:rsidR="00970933" w:rsidRPr="00F719E2">
        <w:rPr>
          <w:rFonts w:ascii="Garamond" w:hAnsi="Garamond" w:cs="Times New Roman"/>
          <w:sz w:val="24"/>
          <w:szCs w:val="24"/>
        </w:rPr>
        <w:t xml:space="preserve">Goldhaber, </w:t>
      </w:r>
      <w:r w:rsidR="0044561F">
        <w:rPr>
          <w:rFonts w:ascii="Garamond" w:hAnsi="Garamond" w:cs="Times New Roman"/>
          <w:sz w:val="24"/>
          <w:szCs w:val="24"/>
        </w:rPr>
        <w:t xml:space="preserve">Krieg, </w:t>
      </w:r>
      <w:r w:rsidR="00970933" w:rsidRPr="00F719E2">
        <w:rPr>
          <w:rFonts w:ascii="Garamond" w:hAnsi="Garamond" w:cs="Times New Roman"/>
          <w:sz w:val="24"/>
          <w:szCs w:val="24"/>
        </w:rPr>
        <w:t>et al. (2015) and Cowan,</w:t>
      </w:r>
      <w:r w:rsidR="009922F4" w:rsidRPr="00013A63">
        <w:rPr>
          <w:rFonts w:ascii="Garamond" w:hAnsi="Garamond" w:cs="Times New Roman"/>
          <w:sz w:val="24"/>
          <w:szCs w:val="24"/>
        </w:rPr>
        <w:t xml:space="preserve"> Goldhaber, Hayes, &amp; Theobald</w:t>
      </w:r>
      <w:r w:rsidR="00970933" w:rsidRPr="00F719E2">
        <w:rPr>
          <w:rFonts w:ascii="Garamond" w:hAnsi="Garamond" w:cs="Times New Roman"/>
          <w:sz w:val="24"/>
          <w:szCs w:val="24"/>
        </w:rPr>
        <w:t xml:space="preserve"> (2016) show </w:t>
      </w:r>
      <w:r w:rsidR="001E2AA4" w:rsidRPr="00F719E2">
        <w:rPr>
          <w:rFonts w:ascii="Garamond" w:hAnsi="Garamond" w:cs="Times New Roman"/>
          <w:sz w:val="24"/>
          <w:szCs w:val="24"/>
        </w:rPr>
        <w:t xml:space="preserve">shortages in STEM and special education. </w:t>
      </w:r>
      <w:r w:rsidR="00501EE3" w:rsidRPr="00F719E2">
        <w:rPr>
          <w:rFonts w:ascii="Garamond" w:hAnsi="Garamond" w:cs="Times New Roman"/>
          <w:sz w:val="24"/>
          <w:szCs w:val="24"/>
        </w:rPr>
        <w:t xml:space="preserve">Ingersoll (2003) and Goldhaber </w:t>
      </w:r>
      <w:r w:rsidR="00836191">
        <w:rPr>
          <w:rFonts w:ascii="Garamond" w:hAnsi="Garamond" w:cs="Times New Roman"/>
          <w:sz w:val="24"/>
          <w:szCs w:val="24"/>
        </w:rPr>
        <w:t>&amp;</w:t>
      </w:r>
      <w:r w:rsidR="00501EE3" w:rsidRPr="00F719E2">
        <w:rPr>
          <w:rFonts w:ascii="Garamond" w:hAnsi="Garamond" w:cs="Times New Roman"/>
          <w:sz w:val="24"/>
          <w:szCs w:val="24"/>
        </w:rPr>
        <w:t xml:space="preserve"> G</w:t>
      </w:r>
      <w:r w:rsidR="001926E0">
        <w:rPr>
          <w:rFonts w:ascii="Garamond" w:hAnsi="Garamond" w:cs="Times New Roman"/>
          <w:sz w:val="24"/>
          <w:szCs w:val="24"/>
        </w:rPr>
        <w:t>r</w:t>
      </w:r>
      <w:r w:rsidR="00501EE3" w:rsidRPr="00F719E2">
        <w:rPr>
          <w:rFonts w:ascii="Garamond" w:hAnsi="Garamond" w:cs="Times New Roman"/>
          <w:sz w:val="24"/>
          <w:szCs w:val="24"/>
        </w:rPr>
        <w:t xml:space="preserve">atz (2021) </w:t>
      </w:r>
      <w:r w:rsidR="00B273B8" w:rsidRPr="00F719E2">
        <w:rPr>
          <w:rFonts w:ascii="Garamond" w:hAnsi="Garamond" w:cs="Times New Roman"/>
          <w:sz w:val="24"/>
          <w:szCs w:val="24"/>
        </w:rPr>
        <w:t>find that shortages are primarily in rural areas</w:t>
      </w:r>
      <w:r w:rsidR="00B17F1E" w:rsidRPr="00F719E2">
        <w:rPr>
          <w:rFonts w:ascii="Garamond" w:hAnsi="Garamond" w:cs="Times New Roman"/>
          <w:sz w:val="24"/>
          <w:szCs w:val="24"/>
        </w:rPr>
        <w:t xml:space="preserve"> as opposed to </w:t>
      </w:r>
      <w:r w:rsidR="004734B6" w:rsidRPr="00F719E2">
        <w:rPr>
          <w:rFonts w:ascii="Garamond" w:hAnsi="Garamond" w:cs="Times New Roman"/>
          <w:sz w:val="24"/>
          <w:szCs w:val="24"/>
        </w:rPr>
        <w:t xml:space="preserve">cities, suburbs, and towns. </w:t>
      </w:r>
    </w:p>
    <w:p w14:paraId="441CF896" w14:textId="39A16550" w:rsidR="006A7921" w:rsidRPr="00F719E2" w:rsidRDefault="00F35E09"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The literature also shows that</w:t>
      </w:r>
      <w:r w:rsidR="00B817E4">
        <w:rPr>
          <w:rFonts w:ascii="Garamond" w:hAnsi="Garamond" w:cs="Times New Roman"/>
          <w:sz w:val="24"/>
          <w:szCs w:val="24"/>
        </w:rPr>
        <w:t xml:space="preserve">, even if a school has enough teachers, </w:t>
      </w:r>
      <w:r w:rsidRPr="00F719E2">
        <w:rPr>
          <w:rFonts w:ascii="Garamond" w:hAnsi="Garamond" w:cs="Times New Roman"/>
          <w:sz w:val="24"/>
          <w:szCs w:val="24"/>
        </w:rPr>
        <w:t>the</w:t>
      </w:r>
      <w:r w:rsidR="00C516C8" w:rsidRPr="00F719E2">
        <w:rPr>
          <w:rFonts w:ascii="Garamond" w:hAnsi="Garamond" w:cs="Times New Roman"/>
          <w:sz w:val="24"/>
          <w:szCs w:val="24"/>
        </w:rPr>
        <w:t>re</w:t>
      </w:r>
      <w:r w:rsidR="00EA7D02" w:rsidRPr="00F719E2">
        <w:rPr>
          <w:rFonts w:ascii="Garamond" w:hAnsi="Garamond" w:cs="Times New Roman"/>
          <w:sz w:val="24"/>
          <w:szCs w:val="24"/>
        </w:rPr>
        <w:t xml:space="preserve"> are</w:t>
      </w:r>
      <w:r w:rsidR="00C516C8" w:rsidRPr="00F719E2">
        <w:rPr>
          <w:rFonts w:ascii="Garamond" w:hAnsi="Garamond" w:cs="Times New Roman"/>
          <w:sz w:val="24"/>
          <w:szCs w:val="24"/>
        </w:rPr>
        <w:t xml:space="preserve"> shortages of </w:t>
      </w:r>
      <w:r w:rsidR="00C516C8" w:rsidRPr="00F719E2">
        <w:rPr>
          <w:rFonts w:ascii="Garamond" w:hAnsi="Garamond" w:cs="Times New Roman"/>
          <w:i/>
          <w:iCs/>
          <w:sz w:val="24"/>
          <w:szCs w:val="24"/>
        </w:rPr>
        <w:t>high-quality</w:t>
      </w:r>
      <w:r w:rsidR="00C516C8" w:rsidRPr="00F719E2">
        <w:rPr>
          <w:rFonts w:ascii="Garamond" w:hAnsi="Garamond" w:cs="Times New Roman"/>
          <w:sz w:val="24"/>
          <w:szCs w:val="24"/>
        </w:rPr>
        <w:t xml:space="preserve"> teachers </w:t>
      </w:r>
      <w:r w:rsidR="00433D8C" w:rsidRPr="00F719E2">
        <w:rPr>
          <w:rFonts w:ascii="Garamond" w:hAnsi="Garamond" w:cs="Times New Roman"/>
          <w:sz w:val="24"/>
          <w:szCs w:val="24"/>
        </w:rPr>
        <w:t xml:space="preserve">in disadvantaged schools. </w:t>
      </w:r>
      <w:r w:rsidR="00EA7D02" w:rsidRPr="00F719E2">
        <w:rPr>
          <w:rFonts w:ascii="Garamond" w:hAnsi="Garamond" w:cs="Times New Roman"/>
          <w:sz w:val="24"/>
          <w:szCs w:val="24"/>
        </w:rPr>
        <w:t xml:space="preserve">Empirical economics research </w:t>
      </w:r>
      <w:r w:rsidR="00D04D29" w:rsidRPr="00F719E2">
        <w:rPr>
          <w:rFonts w:ascii="Garamond" w:hAnsi="Garamond" w:cs="Times New Roman"/>
          <w:sz w:val="24"/>
          <w:szCs w:val="24"/>
        </w:rPr>
        <w:t>suggests that, in the absence of differential pay, teachers sort across schools such that teachers with more qualifications (</w:t>
      </w:r>
      <w:r w:rsidR="00242FC6" w:rsidRPr="00F719E2">
        <w:rPr>
          <w:rFonts w:ascii="Garamond" w:hAnsi="Garamond" w:cs="Times New Roman"/>
          <w:sz w:val="24"/>
          <w:szCs w:val="24"/>
        </w:rPr>
        <w:t>e.g</w:t>
      </w:r>
      <w:r w:rsidR="00D04D29" w:rsidRPr="00F719E2">
        <w:rPr>
          <w:rFonts w:ascii="Garamond" w:hAnsi="Garamond" w:cs="Times New Roman"/>
          <w:sz w:val="24"/>
          <w:szCs w:val="24"/>
        </w:rPr>
        <w:t xml:space="preserve">., experience, National Board Certified Teachers) teach more affluent, higher performing students </w:t>
      </w:r>
      <w:r w:rsidR="00B817E4">
        <w:rPr>
          <w:rFonts w:ascii="Garamond" w:hAnsi="Garamond" w:cs="Times New Roman"/>
          <w:sz w:val="24"/>
          <w:szCs w:val="24"/>
        </w:rPr>
        <w:t>while</w:t>
      </w:r>
      <w:r w:rsidR="00D04D29" w:rsidRPr="00F719E2">
        <w:rPr>
          <w:rFonts w:ascii="Garamond" w:hAnsi="Garamond" w:cs="Times New Roman"/>
          <w:sz w:val="24"/>
          <w:szCs w:val="24"/>
        </w:rPr>
        <w:t xml:space="preserve"> less qualified teachers are disproportionately matched with more economically disadvantaged students who are traditionally lower performing</w:t>
      </w:r>
      <w:r w:rsidR="00D04D29" w:rsidRPr="00F719E2">
        <w:rPr>
          <w:rFonts w:ascii="Garamond" w:hAnsi="Garamond" w:cs="Times New Roman"/>
          <w:noProof/>
          <w:sz w:val="24"/>
          <w:szCs w:val="24"/>
        </w:rPr>
        <w:t xml:space="preserve"> (</w:t>
      </w:r>
      <w:r w:rsidR="00EA7D02" w:rsidRPr="001926E0">
        <w:rPr>
          <w:rFonts w:ascii="Garamond" w:hAnsi="Garamond" w:cs="Times New Roman"/>
          <w:noProof/>
          <w:sz w:val="24"/>
          <w:szCs w:val="24"/>
        </w:rPr>
        <w:t xml:space="preserve">Lankford, </w:t>
      </w:r>
      <w:r w:rsidR="00806AAF" w:rsidRPr="001926E0">
        <w:rPr>
          <w:rFonts w:ascii="Garamond" w:hAnsi="Garamond" w:cs="Times New Roman"/>
          <w:noProof/>
          <w:sz w:val="24"/>
          <w:szCs w:val="24"/>
        </w:rPr>
        <w:t>et al.</w:t>
      </w:r>
      <w:r w:rsidR="00EA7D02" w:rsidRPr="001926E0">
        <w:rPr>
          <w:rFonts w:ascii="Garamond" w:hAnsi="Garamond" w:cs="Times New Roman"/>
          <w:noProof/>
          <w:sz w:val="24"/>
          <w:szCs w:val="24"/>
        </w:rPr>
        <w:t xml:space="preserve">, 2002; </w:t>
      </w:r>
      <w:r w:rsidR="00D04D29" w:rsidRPr="001926E0">
        <w:rPr>
          <w:rFonts w:ascii="Garamond" w:hAnsi="Garamond" w:cs="Times New Roman"/>
          <w:noProof/>
          <w:sz w:val="24"/>
          <w:szCs w:val="24"/>
        </w:rPr>
        <w:t>Clotfelter, Ladd, &amp; Vigdor, 2005; Goldhaber, Choi, &amp; Cramer, 2007</w:t>
      </w:r>
      <w:r w:rsidR="00D04DA4" w:rsidRPr="001926E0">
        <w:rPr>
          <w:rFonts w:ascii="Garamond" w:hAnsi="Garamond" w:cs="Times New Roman"/>
          <w:noProof/>
          <w:sz w:val="24"/>
          <w:szCs w:val="24"/>
        </w:rPr>
        <w:t>; Garcia &amp; Weiss, 2019</w:t>
      </w:r>
      <w:r w:rsidR="00D04D29" w:rsidRPr="001926E0">
        <w:rPr>
          <w:rFonts w:ascii="Garamond" w:hAnsi="Garamond" w:cs="Times New Roman"/>
          <w:noProof/>
          <w:sz w:val="24"/>
          <w:szCs w:val="24"/>
        </w:rPr>
        <w:t>)</w:t>
      </w:r>
      <w:r w:rsidR="00D04D29" w:rsidRPr="001926E0">
        <w:rPr>
          <w:rFonts w:ascii="Garamond" w:hAnsi="Garamond" w:cs="Times New Roman"/>
          <w:sz w:val="24"/>
          <w:szCs w:val="24"/>
        </w:rPr>
        <w:t>. Ingersoll</w:t>
      </w:r>
      <w:r w:rsidR="00CB294A" w:rsidRPr="001926E0">
        <w:rPr>
          <w:rFonts w:ascii="Garamond" w:hAnsi="Garamond" w:cs="Times New Roman"/>
          <w:sz w:val="24"/>
          <w:szCs w:val="24"/>
        </w:rPr>
        <w:t xml:space="preserve"> (2004)</w:t>
      </w:r>
      <w:r w:rsidR="00D04D29" w:rsidRPr="001926E0">
        <w:rPr>
          <w:rFonts w:ascii="Garamond" w:hAnsi="Garamond" w:cs="Times New Roman"/>
          <w:sz w:val="24"/>
          <w:szCs w:val="24"/>
        </w:rPr>
        <w:t xml:space="preserve"> concludes that the teacher shortage in high-poverty schools is not due to the lack of overall teacher labor supply, but rather that these schools have trouble retaining the teachers they hire. Hanushek, </w:t>
      </w:r>
      <w:r w:rsidR="00806AAF" w:rsidRPr="001926E0">
        <w:rPr>
          <w:rFonts w:ascii="Garamond" w:hAnsi="Garamond" w:cs="Times New Roman"/>
          <w:sz w:val="24"/>
          <w:szCs w:val="24"/>
        </w:rPr>
        <w:t>et al.</w:t>
      </w:r>
      <w:r w:rsidR="00CB294A" w:rsidRPr="001926E0">
        <w:rPr>
          <w:rFonts w:ascii="Garamond" w:hAnsi="Garamond" w:cs="Times New Roman"/>
          <w:sz w:val="24"/>
          <w:szCs w:val="24"/>
        </w:rPr>
        <w:t xml:space="preserve"> (2004)</w:t>
      </w:r>
      <w:r w:rsidR="00D04D29" w:rsidRPr="00F719E2">
        <w:rPr>
          <w:rFonts w:ascii="Garamond" w:hAnsi="Garamond" w:cs="Times New Roman"/>
          <w:sz w:val="24"/>
          <w:szCs w:val="24"/>
        </w:rPr>
        <w:t xml:space="preserve"> </w:t>
      </w:r>
      <w:r w:rsidR="00B817E4">
        <w:rPr>
          <w:rFonts w:ascii="Garamond" w:hAnsi="Garamond" w:cs="Times New Roman"/>
          <w:sz w:val="24"/>
          <w:szCs w:val="24"/>
        </w:rPr>
        <w:t xml:space="preserve">concurs, </w:t>
      </w:r>
      <w:r w:rsidR="00D04D29" w:rsidRPr="00F719E2">
        <w:rPr>
          <w:rFonts w:ascii="Garamond" w:hAnsi="Garamond" w:cs="Times New Roman"/>
          <w:sz w:val="24"/>
          <w:szCs w:val="24"/>
        </w:rPr>
        <w:t>show</w:t>
      </w:r>
      <w:r w:rsidR="00B817E4">
        <w:rPr>
          <w:rFonts w:ascii="Garamond" w:hAnsi="Garamond" w:cs="Times New Roman"/>
          <w:sz w:val="24"/>
          <w:szCs w:val="24"/>
        </w:rPr>
        <w:t>ing</w:t>
      </w:r>
      <w:r w:rsidR="00D04D29" w:rsidRPr="00F719E2">
        <w:rPr>
          <w:rFonts w:ascii="Garamond" w:hAnsi="Garamond" w:cs="Times New Roman"/>
          <w:sz w:val="24"/>
          <w:szCs w:val="24"/>
        </w:rPr>
        <w:t xml:space="preserve"> that teachers with more experience generally migrate from schools with lower student achievement, which are typically those with higher need, to schools with higher </w:t>
      </w:r>
      <w:r w:rsidR="00D04D29" w:rsidRPr="00F719E2">
        <w:rPr>
          <w:rFonts w:ascii="Garamond" w:hAnsi="Garamond" w:cs="Times New Roman"/>
          <w:sz w:val="24"/>
          <w:szCs w:val="24"/>
        </w:rPr>
        <w:lastRenderedPageBreak/>
        <w:t>student achievement. They estimate that experienced teachers would need a 40 percent salary increase to stay in a large urban district instead of moving to a small suburban district.</w:t>
      </w:r>
      <w:r w:rsidR="005D76B9" w:rsidRPr="00F719E2">
        <w:rPr>
          <w:rFonts w:ascii="Garamond" w:hAnsi="Garamond" w:cs="Times New Roman"/>
          <w:sz w:val="24"/>
          <w:szCs w:val="24"/>
        </w:rPr>
        <w:t xml:space="preserve"> </w:t>
      </w:r>
    </w:p>
    <w:p w14:paraId="237435D5" w14:textId="7CB3F640" w:rsidR="006A7921" w:rsidRPr="00F719E2" w:rsidRDefault="004E2CBF"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There are </w:t>
      </w:r>
      <w:r w:rsidR="00C353EC" w:rsidRPr="00F719E2">
        <w:rPr>
          <w:rFonts w:ascii="Garamond" w:hAnsi="Garamond" w:cs="Times New Roman"/>
          <w:sz w:val="24"/>
          <w:szCs w:val="24"/>
        </w:rPr>
        <w:t xml:space="preserve">several </w:t>
      </w:r>
      <w:r w:rsidRPr="00F719E2">
        <w:rPr>
          <w:rFonts w:ascii="Garamond" w:hAnsi="Garamond" w:cs="Times New Roman"/>
          <w:sz w:val="24"/>
          <w:szCs w:val="24"/>
        </w:rPr>
        <w:t>po</w:t>
      </w:r>
      <w:r w:rsidR="007F2D30" w:rsidRPr="00F719E2">
        <w:rPr>
          <w:rFonts w:ascii="Garamond" w:hAnsi="Garamond" w:cs="Times New Roman"/>
          <w:sz w:val="24"/>
          <w:szCs w:val="24"/>
        </w:rPr>
        <w:t>tential</w:t>
      </w:r>
      <w:r w:rsidRPr="00F719E2">
        <w:rPr>
          <w:rFonts w:ascii="Garamond" w:hAnsi="Garamond" w:cs="Times New Roman"/>
          <w:sz w:val="24"/>
          <w:szCs w:val="24"/>
        </w:rPr>
        <w:t xml:space="preserve"> reasons why </w:t>
      </w:r>
      <w:r w:rsidR="009E5A70" w:rsidRPr="00F719E2">
        <w:rPr>
          <w:rFonts w:ascii="Garamond" w:hAnsi="Garamond" w:cs="Times New Roman"/>
          <w:sz w:val="24"/>
          <w:szCs w:val="24"/>
        </w:rPr>
        <w:t xml:space="preserve">it is difficult for disadvantaged schools to keep their teachers. Garcia </w:t>
      </w:r>
      <w:r w:rsidR="00BC2E8B">
        <w:rPr>
          <w:rFonts w:ascii="Garamond" w:hAnsi="Garamond" w:cs="Times New Roman"/>
          <w:sz w:val="24"/>
          <w:szCs w:val="24"/>
        </w:rPr>
        <w:t>&amp;</w:t>
      </w:r>
      <w:r w:rsidR="009E5A70" w:rsidRPr="00F719E2">
        <w:rPr>
          <w:rFonts w:ascii="Garamond" w:hAnsi="Garamond" w:cs="Times New Roman"/>
          <w:sz w:val="24"/>
          <w:szCs w:val="24"/>
        </w:rPr>
        <w:t xml:space="preserve"> Weiss (2020) </w:t>
      </w:r>
      <w:r w:rsidR="007F2D30" w:rsidRPr="00F719E2">
        <w:rPr>
          <w:rFonts w:ascii="Garamond" w:hAnsi="Garamond" w:cs="Times New Roman"/>
          <w:sz w:val="24"/>
          <w:szCs w:val="24"/>
        </w:rPr>
        <w:t xml:space="preserve">highlight a few possibilities. </w:t>
      </w:r>
      <w:r w:rsidR="00C82D75" w:rsidRPr="00F719E2">
        <w:rPr>
          <w:rFonts w:ascii="Garamond" w:hAnsi="Garamond" w:cs="Times New Roman"/>
          <w:sz w:val="24"/>
          <w:szCs w:val="24"/>
        </w:rPr>
        <w:t>They show</w:t>
      </w:r>
      <w:r w:rsidR="00E75513">
        <w:rPr>
          <w:rFonts w:ascii="Garamond" w:hAnsi="Garamond" w:cs="Times New Roman"/>
          <w:sz w:val="24"/>
          <w:szCs w:val="24"/>
        </w:rPr>
        <w:t xml:space="preserve"> </w:t>
      </w:r>
      <w:r w:rsidR="00C82D75" w:rsidRPr="00F719E2">
        <w:rPr>
          <w:rFonts w:ascii="Garamond" w:hAnsi="Garamond" w:cs="Times New Roman"/>
          <w:sz w:val="24"/>
          <w:szCs w:val="24"/>
        </w:rPr>
        <w:t xml:space="preserve">that teachers in high-poverty schools make less than their peers in low-poverty schools. </w:t>
      </w:r>
      <w:r w:rsidR="0023110C" w:rsidRPr="00F719E2">
        <w:rPr>
          <w:rFonts w:ascii="Garamond" w:hAnsi="Garamond" w:cs="Times New Roman"/>
          <w:sz w:val="24"/>
          <w:szCs w:val="24"/>
        </w:rPr>
        <w:t>They also find that more teachers in high-poverty schools report</w:t>
      </w:r>
      <w:r w:rsidR="00B817E4">
        <w:rPr>
          <w:rFonts w:ascii="Garamond" w:hAnsi="Garamond" w:cs="Times New Roman"/>
          <w:sz w:val="24"/>
          <w:szCs w:val="24"/>
        </w:rPr>
        <w:t xml:space="preserve"> </w:t>
      </w:r>
      <w:r w:rsidR="00CA4A42" w:rsidRPr="00F719E2">
        <w:rPr>
          <w:rFonts w:ascii="Garamond" w:hAnsi="Garamond" w:cs="Times New Roman"/>
          <w:sz w:val="24"/>
          <w:szCs w:val="24"/>
        </w:rPr>
        <w:t xml:space="preserve">threats to their physical safety, fewer supportive relationships, </w:t>
      </w:r>
      <w:r w:rsidR="004D42BC" w:rsidRPr="00F719E2">
        <w:rPr>
          <w:rFonts w:ascii="Garamond" w:hAnsi="Garamond" w:cs="Times New Roman"/>
          <w:sz w:val="24"/>
          <w:szCs w:val="24"/>
        </w:rPr>
        <w:t xml:space="preserve">and less classroom autonomy than teachers in low-poverty schools. Finally, they find that teachers who quit are more likely to be those who did not receive training, professional support, or mentorship while </w:t>
      </w:r>
      <w:r w:rsidR="00FE002B" w:rsidRPr="00F719E2">
        <w:rPr>
          <w:rFonts w:ascii="Garamond" w:hAnsi="Garamond" w:cs="Times New Roman"/>
          <w:sz w:val="24"/>
          <w:szCs w:val="24"/>
        </w:rPr>
        <w:t>teaching</w:t>
      </w:r>
      <w:r w:rsidR="00B817E4">
        <w:rPr>
          <w:rFonts w:ascii="Garamond" w:hAnsi="Garamond" w:cs="Times New Roman"/>
          <w:sz w:val="24"/>
          <w:szCs w:val="24"/>
        </w:rPr>
        <w:t xml:space="preserve"> – </w:t>
      </w:r>
      <w:r w:rsidR="00FE002B" w:rsidRPr="00F719E2">
        <w:rPr>
          <w:rFonts w:ascii="Garamond" w:hAnsi="Garamond" w:cs="Times New Roman"/>
          <w:sz w:val="24"/>
          <w:szCs w:val="24"/>
        </w:rPr>
        <w:t xml:space="preserve">all things a high-poverty school is less able to provide its teachers than a low-poverty school. </w:t>
      </w:r>
      <w:r w:rsidR="001A26DA">
        <w:rPr>
          <w:rFonts w:ascii="Garamond" w:hAnsi="Garamond" w:cs="Times New Roman"/>
          <w:sz w:val="24"/>
          <w:szCs w:val="24"/>
        </w:rPr>
        <w:t xml:space="preserve">Similarly, </w:t>
      </w:r>
      <w:r w:rsidR="000374A8" w:rsidRPr="008E1825">
        <w:rPr>
          <w:rFonts w:ascii="Garamond" w:hAnsi="Garamond" w:cs="Arial"/>
          <w:sz w:val="24"/>
          <w:szCs w:val="24"/>
          <w:shd w:val="clear" w:color="auto" w:fill="FFFFFF"/>
        </w:rPr>
        <w:t>Garc</w:t>
      </w:r>
      <w:r w:rsidR="000374A8">
        <w:rPr>
          <w:rFonts w:ascii="Garamond" w:hAnsi="Garamond" w:cs="Arial"/>
          <w:sz w:val="24"/>
          <w:szCs w:val="24"/>
          <w:shd w:val="clear" w:color="auto" w:fill="FFFFFF"/>
        </w:rPr>
        <w:t>i</w:t>
      </w:r>
      <w:r w:rsidR="000374A8" w:rsidRPr="008E1825">
        <w:rPr>
          <w:rFonts w:ascii="Garamond" w:hAnsi="Garamond" w:cs="Arial"/>
          <w:sz w:val="24"/>
          <w:szCs w:val="24"/>
          <w:shd w:val="clear" w:color="auto" w:fill="FFFFFF"/>
        </w:rPr>
        <w:t>a,</w:t>
      </w:r>
      <w:r w:rsidR="000374A8">
        <w:rPr>
          <w:rFonts w:ascii="Garamond" w:hAnsi="Garamond" w:cs="Arial"/>
          <w:sz w:val="24"/>
          <w:szCs w:val="24"/>
          <w:shd w:val="clear" w:color="auto" w:fill="FFFFFF"/>
        </w:rPr>
        <w:t xml:space="preserve"> </w:t>
      </w:r>
      <w:r w:rsidR="000374A8" w:rsidRPr="008E1825">
        <w:rPr>
          <w:rFonts w:ascii="Garamond" w:hAnsi="Garamond" w:cs="Arial"/>
          <w:sz w:val="24"/>
          <w:szCs w:val="24"/>
          <w:shd w:val="clear" w:color="auto" w:fill="FFFFFF"/>
        </w:rPr>
        <w:t>Han,</w:t>
      </w:r>
      <w:r w:rsidR="000374A8">
        <w:rPr>
          <w:rFonts w:ascii="Garamond" w:hAnsi="Garamond" w:cs="Arial"/>
          <w:sz w:val="24"/>
          <w:szCs w:val="24"/>
          <w:shd w:val="clear" w:color="auto" w:fill="FFFFFF"/>
        </w:rPr>
        <w:t xml:space="preserve"> </w:t>
      </w:r>
      <w:r w:rsidR="000374A8" w:rsidRPr="008E1825">
        <w:rPr>
          <w:rFonts w:ascii="Garamond" w:hAnsi="Garamond" w:cs="Arial"/>
          <w:sz w:val="24"/>
          <w:szCs w:val="24"/>
          <w:shd w:val="clear" w:color="auto" w:fill="FFFFFF"/>
        </w:rPr>
        <w:t>&amp; Weiss</w:t>
      </w:r>
      <w:r w:rsidR="000374A8">
        <w:rPr>
          <w:rFonts w:ascii="Garamond" w:hAnsi="Garamond" w:cs="Arial"/>
          <w:sz w:val="24"/>
          <w:szCs w:val="24"/>
          <w:shd w:val="clear" w:color="auto" w:fill="FFFFFF"/>
        </w:rPr>
        <w:t xml:space="preserve"> </w:t>
      </w:r>
      <w:r w:rsidR="000374A8" w:rsidRPr="008E1825">
        <w:rPr>
          <w:rFonts w:ascii="Garamond" w:hAnsi="Garamond" w:cs="Arial"/>
          <w:sz w:val="24"/>
          <w:szCs w:val="24"/>
          <w:shd w:val="clear" w:color="auto" w:fill="FFFFFF"/>
        </w:rPr>
        <w:t>(2022)</w:t>
      </w:r>
      <w:r w:rsidR="000374A8">
        <w:rPr>
          <w:rFonts w:ascii="Garamond" w:hAnsi="Garamond" w:cs="Arial"/>
          <w:sz w:val="24"/>
          <w:szCs w:val="24"/>
          <w:shd w:val="clear" w:color="auto" w:fill="FFFFFF"/>
        </w:rPr>
        <w:t xml:space="preserve"> </w:t>
      </w:r>
      <w:r w:rsidR="00FC581F">
        <w:rPr>
          <w:rFonts w:ascii="Garamond" w:hAnsi="Garamond" w:cs="Times New Roman"/>
          <w:sz w:val="24"/>
          <w:szCs w:val="24"/>
        </w:rPr>
        <w:t xml:space="preserve">show that </w:t>
      </w:r>
      <w:r w:rsidR="000740A4">
        <w:rPr>
          <w:rFonts w:ascii="Garamond" w:hAnsi="Garamond" w:cs="Times New Roman"/>
          <w:sz w:val="24"/>
          <w:szCs w:val="24"/>
        </w:rPr>
        <w:t>teacher</w:t>
      </w:r>
      <w:r w:rsidR="004616A5">
        <w:rPr>
          <w:rFonts w:ascii="Garamond" w:hAnsi="Garamond" w:cs="Times New Roman"/>
          <w:sz w:val="24"/>
          <w:szCs w:val="24"/>
        </w:rPr>
        <w:t xml:space="preserve"> retention </w:t>
      </w:r>
      <w:r w:rsidR="00E1284F">
        <w:rPr>
          <w:rFonts w:ascii="Garamond" w:hAnsi="Garamond" w:cs="Times New Roman"/>
          <w:sz w:val="24"/>
          <w:szCs w:val="24"/>
        </w:rPr>
        <w:t xml:space="preserve">would be higher if teachers </w:t>
      </w:r>
      <w:r w:rsidR="00B05D26">
        <w:rPr>
          <w:rFonts w:ascii="Garamond" w:hAnsi="Garamond" w:cs="Times New Roman"/>
          <w:sz w:val="24"/>
          <w:szCs w:val="24"/>
        </w:rPr>
        <w:t>received better pay</w:t>
      </w:r>
      <w:r w:rsidR="005A332C">
        <w:rPr>
          <w:rFonts w:ascii="Garamond" w:hAnsi="Garamond" w:cs="Times New Roman"/>
          <w:sz w:val="24"/>
          <w:szCs w:val="24"/>
        </w:rPr>
        <w:t xml:space="preserve"> (</w:t>
      </w:r>
      <w:r w:rsidR="00E1284F">
        <w:rPr>
          <w:rFonts w:ascii="Garamond" w:hAnsi="Garamond" w:cs="Times New Roman"/>
          <w:sz w:val="24"/>
          <w:szCs w:val="24"/>
        </w:rPr>
        <w:t>especially for mid-career teachers)</w:t>
      </w:r>
      <w:r w:rsidR="009C5C57">
        <w:rPr>
          <w:rFonts w:ascii="Garamond" w:hAnsi="Garamond" w:cs="Times New Roman"/>
          <w:sz w:val="24"/>
          <w:szCs w:val="24"/>
        </w:rPr>
        <w:t xml:space="preserve">, </w:t>
      </w:r>
      <w:r w:rsidR="00907AA2">
        <w:rPr>
          <w:rFonts w:ascii="Garamond" w:hAnsi="Garamond" w:cs="Times New Roman"/>
          <w:sz w:val="24"/>
          <w:szCs w:val="24"/>
        </w:rPr>
        <w:t xml:space="preserve">had a stronger voice, more </w:t>
      </w:r>
      <w:proofErr w:type="gramStart"/>
      <w:r w:rsidR="00907AA2">
        <w:rPr>
          <w:rFonts w:ascii="Garamond" w:hAnsi="Garamond" w:cs="Times New Roman"/>
          <w:sz w:val="24"/>
          <w:szCs w:val="24"/>
        </w:rPr>
        <w:t>support</w:t>
      </w:r>
      <w:proofErr w:type="gramEnd"/>
      <w:r w:rsidR="00907AA2">
        <w:rPr>
          <w:rFonts w:ascii="Garamond" w:hAnsi="Garamond" w:cs="Times New Roman"/>
          <w:sz w:val="24"/>
          <w:szCs w:val="24"/>
        </w:rPr>
        <w:t xml:space="preserve"> </w:t>
      </w:r>
      <w:r w:rsidR="00EA3934">
        <w:rPr>
          <w:rFonts w:ascii="Garamond" w:hAnsi="Garamond" w:cs="Times New Roman"/>
          <w:sz w:val="24"/>
          <w:szCs w:val="24"/>
        </w:rPr>
        <w:t xml:space="preserve">and fewer problems </w:t>
      </w:r>
      <w:r w:rsidR="00907AA2">
        <w:rPr>
          <w:rFonts w:ascii="Garamond" w:hAnsi="Garamond" w:cs="Times New Roman"/>
          <w:sz w:val="24"/>
          <w:szCs w:val="24"/>
        </w:rPr>
        <w:t>at school,</w:t>
      </w:r>
      <w:r w:rsidR="00EA3934">
        <w:rPr>
          <w:rFonts w:ascii="Garamond" w:hAnsi="Garamond" w:cs="Times New Roman"/>
          <w:sz w:val="24"/>
          <w:szCs w:val="24"/>
        </w:rPr>
        <w:t xml:space="preserve"> </w:t>
      </w:r>
      <w:r w:rsidR="00907AA2">
        <w:rPr>
          <w:rFonts w:ascii="Garamond" w:hAnsi="Garamond" w:cs="Times New Roman"/>
          <w:sz w:val="24"/>
          <w:szCs w:val="24"/>
        </w:rPr>
        <w:t xml:space="preserve">and </w:t>
      </w:r>
      <w:r w:rsidR="00EA3934">
        <w:rPr>
          <w:rFonts w:ascii="Garamond" w:hAnsi="Garamond" w:cs="Times New Roman"/>
          <w:sz w:val="24"/>
          <w:szCs w:val="24"/>
        </w:rPr>
        <w:t>greater morale.</w:t>
      </w:r>
      <w:r w:rsidR="00017986">
        <w:rPr>
          <w:rFonts w:ascii="Garamond" w:hAnsi="Garamond" w:cs="Times New Roman"/>
          <w:sz w:val="24"/>
          <w:szCs w:val="24"/>
        </w:rPr>
        <w:t xml:space="preserve"> </w:t>
      </w:r>
    </w:p>
    <w:p w14:paraId="0EE3409E" w14:textId="5A0F7679" w:rsidR="00CD04EE" w:rsidRDefault="00AD29B1"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States and districts have implemented a variety of policies to persuade teachers to stay, especially teachers in disadvantaged schools and hard-to-staff subjects. </w:t>
      </w:r>
      <w:r w:rsidR="00D04D29" w:rsidRPr="00F719E2">
        <w:rPr>
          <w:rFonts w:ascii="Garamond" w:hAnsi="Garamond" w:cs="Times New Roman"/>
          <w:sz w:val="24"/>
          <w:szCs w:val="24"/>
        </w:rPr>
        <w:t xml:space="preserve">Previous literature suggests that increasing teacher pay in disadvantaged and low-performing schools or giving bonuses to teachers of hard-to-staff subjects increases teacher retention in these high-demand areas. </w:t>
      </w:r>
      <w:r w:rsidR="00A55D41" w:rsidRPr="00F719E2">
        <w:rPr>
          <w:rFonts w:ascii="Garamond" w:hAnsi="Garamond" w:cs="Times New Roman"/>
          <w:sz w:val="24"/>
          <w:szCs w:val="24"/>
        </w:rPr>
        <w:t>For example</w:t>
      </w:r>
      <w:r w:rsidR="00A55D41" w:rsidRPr="0044561F">
        <w:rPr>
          <w:rFonts w:ascii="Garamond" w:hAnsi="Garamond" w:cs="Times New Roman"/>
          <w:sz w:val="24"/>
          <w:szCs w:val="24"/>
        </w:rPr>
        <w:t xml:space="preserve">, </w:t>
      </w:r>
      <w:r w:rsidR="00D04D29" w:rsidRPr="0044561F">
        <w:rPr>
          <w:rFonts w:ascii="Garamond" w:hAnsi="Garamond" w:cs="Times New Roman"/>
          <w:sz w:val="24"/>
          <w:szCs w:val="24"/>
        </w:rPr>
        <w:t xml:space="preserve">Clotfelter, Glennie, </w:t>
      </w:r>
      <w:r w:rsidR="000E26B3" w:rsidRPr="0044561F">
        <w:rPr>
          <w:rFonts w:ascii="Garamond" w:hAnsi="Garamond" w:cs="Times New Roman"/>
          <w:sz w:val="24"/>
          <w:szCs w:val="24"/>
        </w:rPr>
        <w:t>et al.</w:t>
      </w:r>
      <w:r w:rsidR="00CB294A" w:rsidRPr="0044561F">
        <w:rPr>
          <w:rFonts w:ascii="Garamond" w:hAnsi="Garamond" w:cs="Times New Roman"/>
          <w:sz w:val="24"/>
          <w:szCs w:val="24"/>
        </w:rPr>
        <w:t xml:space="preserve"> (2008)</w:t>
      </w:r>
      <w:r w:rsidR="00D04D29" w:rsidRPr="00F719E2">
        <w:rPr>
          <w:rFonts w:ascii="Garamond" w:hAnsi="Garamond" w:cs="Times New Roman"/>
          <w:sz w:val="24"/>
          <w:szCs w:val="24"/>
        </w:rPr>
        <w:t xml:space="preserve"> study a policy North Carolina adopted in the early-2000s that gave annual bonuses of $1,800 to math, science, and special education teachers working in low-performing, high-poverty schools. They find there is less turnover, especially for experienced teachers, with this bonus program in place. </w:t>
      </w:r>
      <w:r w:rsidR="00895823" w:rsidRPr="00F719E2">
        <w:rPr>
          <w:rFonts w:ascii="Garamond" w:hAnsi="Garamond" w:cs="Times New Roman"/>
          <w:sz w:val="24"/>
          <w:szCs w:val="24"/>
        </w:rPr>
        <w:t xml:space="preserve">Cowan </w:t>
      </w:r>
      <w:r w:rsidR="00E13CA4">
        <w:rPr>
          <w:rFonts w:ascii="Garamond" w:hAnsi="Garamond" w:cs="Times New Roman"/>
          <w:sz w:val="24"/>
          <w:szCs w:val="24"/>
        </w:rPr>
        <w:t>&amp;</w:t>
      </w:r>
      <w:r w:rsidR="00895823" w:rsidRPr="00F719E2">
        <w:rPr>
          <w:rFonts w:ascii="Garamond" w:hAnsi="Garamond" w:cs="Times New Roman"/>
          <w:sz w:val="24"/>
          <w:szCs w:val="24"/>
        </w:rPr>
        <w:t xml:space="preserve"> Goldhaber (2018) examine a policy in Washington State, the Challenging Schools Bonus, which gave $5,000 bonuses to teachers who received their National Board Certification and worked in schools with a high proportion of kids receiving free or reduced-price lunches. They find that, in schools eligible for the policy, more teachers with the certification were hired, more current teachers received their certification, and </w:t>
      </w:r>
      <w:r w:rsidR="00895823" w:rsidRPr="00F719E2">
        <w:rPr>
          <w:rFonts w:ascii="Garamond" w:hAnsi="Garamond" w:cs="Times New Roman"/>
          <w:sz w:val="24"/>
          <w:szCs w:val="24"/>
        </w:rPr>
        <w:lastRenderedPageBreak/>
        <w:t>more teachers with the certification kept teaching in those schools</w:t>
      </w:r>
      <w:r w:rsidR="005F10D1" w:rsidRPr="00F719E2">
        <w:rPr>
          <w:rFonts w:ascii="Garamond" w:hAnsi="Garamond" w:cs="Times New Roman"/>
          <w:sz w:val="24"/>
          <w:szCs w:val="24"/>
        </w:rPr>
        <w:t>.</w:t>
      </w:r>
      <w:r w:rsidR="00B632E7" w:rsidRPr="00F719E2">
        <w:rPr>
          <w:rFonts w:ascii="Garamond" w:hAnsi="Garamond" w:cs="Times New Roman"/>
          <w:sz w:val="24"/>
          <w:szCs w:val="24"/>
        </w:rPr>
        <w:t xml:space="preserve"> </w:t>
      </w:r>
      <w:r w:rsidR="009761E3">
        <w:rPr>
          <w:rFonts w:ascii="Garamond" w:hAnsi="Garamond" w:cs="Times New Roman"/>
          <w:sz w:val="24"/>
          <w:szCs w:val="24"/>
        </w:rPr>
        <w:t>Like these papers, many others</w:t>
      </w:r>
      <w:r w:rsidR="00A4582C">
        <w:rPr>
          <w:rFonts w:ascii="Garamond" w:hAnsi="Garamond" w:cs="Times New Roman"/>
          <w:sz w:val="24"/>
          <w:szCs w:val="24"/>
        </w:rPr>
        <w:t xml:space="preserve"> find that teacher retention </w:t>
      </w:r>
      <w:r w:rsidR="006C257D">
        <w:rPr>
          <w:rFonts w:ascii="Garamond" w:hAnsi="Garamond" w:cs="Times New Roman"/>
          <w:sz w:val="24"/>
          <w:szCs w:val="24"/>
        </w:rPr>
        <w:t xml:space="preserve">in high-need schools and hard-to-staff subjects </w:t>
      </w:r>
      <w:r w:rsidR="00F51FF8">
        <w:rPr>
          <w:rFonts w:ascii="Garamond" w:hAnsi="Garamond" w:cs="Times New Roman"/>
          <w:sz w:val="24"/>
          <w:szCs w:val="24"/>
        </w:rPr>
        <w:t xml:space="preserve">increases when teachers receive bonuses, salary bumps, loan forgiveness, </w:t>
      </w:r>
      <w:r w:rsidR="005E02DD">
        <w:rPr>
          <w:rFonts w:ascii="Garamond" w:hAnsi="Garamond" w:cs="Times New Roman"/>
          <w:sz w:val="24"/>
          <w:szCs w:val="24"/>
        </w:rPr>
        <w:t>fellowships, etc</w:t>
      </w:r>
      <w:r w:rsidR="00CD04EE">
        <w:rPr>
          <w:rFonts w:ascii="Garamond" w:hAnsi="Garamond" w:cs="Times New Roman"/>
          <w:sz w:val="24"/>
          <w:szCs w:val="24"/>
        </w:rPr>
        <w:t xml:space="preserve">. </w:t>
      </w:r>
      <w:r w:rsidR="00863B41">
        <w:rPr>
          <w:rFonts w:ascii="Garamond" w:hAnsi="Garamond" w:cs="Times New Roman"/>
          <w:sz w:val="24"/>
          <w:szCs w:val="24"/>
        </w:rPr>
        <w:t xml:space="preserve">Some also </w:t>
      </w:r>
      <w:r w:rsidR="00B53768">
        <w:rPr>
          <w:rFonts w:ascii="Garamond" w:hAnsi="Garamond" w:cs="Times New Roman"/>
          <w:sz w:val="24"/>
          <w:szCs w:val="24"/>
        </w:rPr>
        <w:t>estimate effects on student achievement and find that</w:t>
      </w:r>
      <w:r w:rsidR="00702BAF">
        <w:rPr>
          <w:rFonts w:ascii="Garamond" w:hAnsi="Garamond" w:cs="Times New Roman"/>
          <w:sz w:val="24"/>
          <w:szCs w:val="24"/>
        </w:rPr>
        <w:t xml:space="preserve"> students </w:t>
      </w:r>
      <w:r w:rsidR="00974B2B">
        <w:rPr>
          <w:rFonts w:ascii="Garamond" w:hAnsi="Garamond" w:cs="Times New Roman"/>
          <w:sz w:val="24"/>
          <w:szCs w:val="24"/>
        </w:rPr>
        <w:t xml:space="preserve">in disadvantaged schools </w:t>
      </w:r>
      <w:r w:rsidR="00702BAF">
        <w:rPr>
          <w:rFonts w:ascii="Garamond" w:hAnsi="Garamond" w:cs="Times New Roman"/>
          <w:sz w:val="24"/>
          <w:szCs w:val="24"/>
        </w:rPr>
        <w:t xml:space="preserve">do better when they </w:t>
      </w:r>
      <w:r w:rsidR="00974B2B">
        <w:rPr>
          <w:rFonts w:ascii="Garamond" w:hAnsi="Garamond" w:cs="Times New Roman"/>
          <w:sz w:val="24"/>
          <w:szCs w:val="24"/>
        </w:rPr>
        <w:t xml:space="preserve">experience less teacher turnover and </w:t>
      </w:r>
      <w:r w:rsidR="00A933D6">
        <w:rPr>
          <w:rFonts w:ascii="Garamond" w:hAnsi="Garamond" w:cs="Times New Roman"/>
          <w:sz w:val="24"/>
          <w:szCs w:val="24"/>
        </w:rPr>
        <w:t>have access to high-quality teachers</w:t>
      </w:r>
      <w:r w:rsidR="00C01678">
        <w:rPr>
          <w:rFonts w:ascii="Garamond" w:hAnsi="Garamond" w:cs="Times New Roman"/>
          <w:sz w:val="24"/>
          <w:szCs w:val="24"/>
        </w:rPr>
        <w:t xml:space="preserve">. See </w:t>
      </w:r>
      <w:r w:rsidR="00291250" w:rsidRPr="0044561F">
        <w:rPr>
          <w:rFonts w:ascii="Garamond" w:hAnsi="Garamond" w:cs="Times New Roman"/>
          <w:sz w:val="24"/>
          <w:szCs w:val="24"/>
        </w:rPr>
        <w:t xml:space="preserve">Steele, </w:t>
      </w:r>
      <w:r w:rsidR="00E13CA4" w:rsidRPr="0044561F">
        <w:rPr>
          <w:rFonts w:ascii="Garamond" w:hAnsi="Garamond" w:cs="Times New Roman"/>
          <w:sz w:val="24"/>
          <w:szCs w:val="24"/>
        </w:rPr>
        <w:t>et al.</w:t>
      </w:r>
      <w:r w:rsidR="00E5035D" w:rsidRPr="0044561F">
        <w:rPr>
          <w:rFonts w:ascii="Garamond" w:hAnsi="Garamond" w:cs="Times New Roman"/>
          <w:sz w:val="24"/>
          <w:szCs w:val="24"/>
        </w:rPr>
        <w:t>,</w:t>
      </w:r>
      <w:r w:rsidR="00291250" w:rsidRPr="0044561F">
        <w:rPr>
          <w:rFonts w:ascii="Garamond" w:hAnsi="Garamond" w:cs="Times New Roman"/>
          <w:sz w:val="24"/>
          <w:szCs w:val="24"/>
        </w:rPr>
        <w:t xml:space="preserve"> 2010</w:t>
      </w:r>
      <w:r w:rsidR="00B654F1" w:rsidRPr="0044561F">
        <w:rPr>
          <w:rFonts w:ascii="Garamond" w:hAnsi="Garamond" w:cs="Times New Roman"/>
          <w:sz w:val="24"/>
          <w:szCs w:val="24"/>
        </w:rPr>
        <w:t xml:space="preserve">; </w:t>
      </w:r>
      <w:r w:rsidR="00291250" w:rsidRPr="0044561F">
        <w:rPr>
          <w:rFonts w:ascii="Garamond" w:hAnsi="Garamond" w:cs="Times New Roman"/>
          <w:sz w:val="24"/>
          <w:szCs w:val="24"/>
        </w:rPr>
        <w:t xml:space="preserve">Clotfelter, Ladd, </w:t>
      </w:r>
      <w:r w:rsidR="00E13CA4" w:rsidRPr="0044561F">
        <w:rPr>
          <w:rFonts w:ascii="Garamond" w:hAnsi="Garamond" w:cs="Times New Roman"/>
          <w:sz w:val="24"/>
          <w:szCs w:val="24"/>
        </w:rPr>
        <w:t>&amp;</w:t>
      </w:r>
      <w:r w:rsidR="00291250" w:rsidRPr="0044561F">
        <w:rPr>
          <w:rFonts w:ascii="Garamond" w:hAnsi="Garamond" w:cs="Times New Roman"/>
          <w:sz w:val="24"/>
          <w:szCs w:val="24"/>
        </w:rPr>
        <w:t xml:space="preserve"> </w:t>
      </w:r>
      <w:proofErr w:type="spellStart"/>
      <w:r w:rsidR="00291250" w:rsidRPr="0044561F">
        <w:rPr>
          <w:rFonts w:ascii="Garamond" w:hAnsi="Garamond" w:cs="Times New Roman"/>
          <w:sz w:val="24"/>
          <w:szCs w:val="24"/>
        </w:rPr>
        <w:t>Vigdor</w:t>
      </w:r>
      <w:proofErr w:type="spellEnd"/>
      <w:r w:rsidR="00690DED" w:rsidRPr="0044561F">
        <w:rPr>
          <w:rFonts w:ascii="Garamond" w:hAnsi="Garamond" w:cs="Times New Roman"/>
          <w:sz w:val="24"/>
          <w:szCs w:val="24"/>
        </w:rPr>
        <w:t xml:space="preserve">, </w:t>
      </w:r>
      <w:r w:rsidR="00291250" w:rsidRPr="0044561F">
        <w:rPr>
          <w:rFonts w:ascii="Garamond" w:hAnsi="Garamond" w:cs="Times New Roman"/>
          <w:sz w:val="24"/>
          <w:szCs w:val="24"/>
        </w:rPr>
        <w:t>2011;</w:t>
      </w:r>
      <w:r w:rsidR="00291250" w:rsidRPr="00F719E2">
        <w:rPr>
          <w:rFonts w:ascii="Garamond" w:hAnsi="Garamond" w:cs="Times New Roman"/>
          <w:sz w:val="24"/>
          <w:szCs w:val="24"/>
        </w:rPr>
        <w:t xml:space="preserve"> </w:t>
      </w:r>
      <w:proofErr w:type="spellStart"/>
      <w:r w:rsidR="00291250" w:rsidRPr="00F719E2">
        <w:rPr>
          <w:rFonts w:ascii="Garamond" w:hAnsi="Garamond" w:cs="Times New Roman"/>
          <w:sz w:val="24"/>
          <w:szCs w:val="24"/>
        </w:rPr>
        <w:t>Glazerman</w:t>
      </w:r>
      <w:proofErr w:type="spellEnd"/>
      <w:r w:rsidR="00291250" w:rsidRPr="00F719E2">
        <w:rPr>
          <w:rFonts w:ascii="Garamond" w:hAnsi="Garamond" w:cs="Times New Roman"/>
          <w:sz w:val="24"/>
          <w:szCs w:val="24"/>
        </w:rPr>
        <w:t>, et al.</w:t>
      </w:r>
      <w:r w:rsidR="00B25CA4" w:rsidRPr="00F719E2">
        <w:rPr>
          <w:rFonts w:ascii="Garamond" w:hAnsi="Garamond" w:cs="Times New Roman"/>
          <w:sz w:val="24"/>
          <w:szCs w:val="24"/>
        </w:rPr>
        <w:t xml:space="preserve">, </w:t>
      </w:r>
      <w:r w:rsidR="00291250" w:rsidRPr="00F719E2">
        <w:rPr>
          <w:rFonts w:ascii="Garamond" w:hAnsi="Garamond" w:cs="Times New Roman"/>
          <w:sz w:val="24"/>
          <w:szCs w:val="24"/>
        </w:rPr>
        <w:t xml:space="preserve">2013; Dee </w:t>
      </w:r>
      <w:r w:rsidR="00E13CA4">
        <w:rPr>
          <w:rFonts w:ascii="Garamond" w:hAnsi="Garamond" w:cs="Times New Roman"/>
          <w:sz w:val="24"/>
          <w:szCs w:val="24"/>
        </w:rPr>
        <w:t>&amp;</w:t>
      </w:r>
      <w:r w:rsidR="00291250" w:rsidRPr="00F719E2">
        <w:rPr>
          <w:rFonts w:ascii="Garamond" w:hAnsi="Garamond" w:cs="Times New Roman"/>
          <w:sz w:val="24"/>
          <w:szCs w:val="24"/>
        </w:rPr>
        <w:t xml:space="preserve"> Wyckoff</w:t>
      </w:r>
      <w:r w:rsidR="00B25CA4" w:rsidRPr="00F719E2">
        <w:rPr>
          <w:rFonts w:ascii="Garamond" w:hAnsi="Garamond" w:cs="Times New Roman"/>
          <w:sz w:val="24"/>
          <w:szCs w:val="24"/>
        </w:rPr>
        <w:t xml:space="preserve">, </w:t>
      </w:r>
      <w:r w:rsidR="00291250" w:rsidRPr="00F719E2">
        <w:rPr>
          <w:rFonts w:ascii="Garamond" w:hAnsi="Garamond" w:cs="Times New Roman"/>
          <w:sz w:val="24"/>
          <w:szCs w:val="24"/>
        </w:rPr>
        <w:t xml:space="preserve">2015; Feng </w:t>
      </w:r>
      <w:r w:rsidR="00E13CA4">
        <w:rPr>
          <w:rFonts w:ascii="Garamond" w:hAnsi="Garamond" w:cs="Times New Roman"/>
          <w:sz w:val="24"/>
          <w:szCs w:val="24"/>
        </w:rPr>
        <w:t>&amp;</w:t>
      </w:r>
      <w:r w:rsidR="00291250" w:rsidRPr="00F719E2">
        <w:rPr>
          <w:rFonts w:ascii="Garamond" w:hAnsi="Garamond" w:cs="Times New Roman"/>
          <w:sz w:val="24"/>
          <w:szCs w:val="24"/>
        </w:rPr>
        <w:t xml:space="preserve"> Sass</w:t>
      </w:r>
      <w:r w:rsidR="00B25CA4" w:rsidRPr="00F719E2">
        <w:rPr>
          <w:rFonts w:ascii="Garamond" w:hAnsi="Garamond" w:cs="Times New Roman"/>
          <w:sz w:val="24"/>
          <w:szCs w:val="24"/>
        </w:rPr>
        <w:t xml:space="preserve">, </w:t>
      </w:r>
      <w:r w:rsidR="00291250" w:rsidRPr="00F719E2">
        <w:rPr>
          <w:rFonts w:ascii="Garamond" w:hAnsi="Garamond" w:cs="Times New Roman"/>
          <w:sz w:val="24"/>
          <w:szCs w:val="24"/>
        </w:rPr>
        <w:t>201</w:t>
      </w:r>
      <w:r w:rsidR="00F71F30" w:rsidRPr="00F719E2">
        <w:rPr>
          <w:rFonts w:ascii="Garamond" w:hAnsi="Garamond" w:cs="Times New Roman"/>
          <w:sz w:val="24"/>
          <w:szCs w:val="24"/>
        </w:rPr>
        <w:t>8</w:t>
      </w:r>
      <w:r w:rsidR="00291250" w:rsidRPr="00F719E2">
        <w:rPr>
          <w:rFonts w:ascii="Garamond" w:hAnsi="Garamond" w:cs="Times New Roman"/>
          <w:sz w:val="24"/>
          <w:szCs w:val="24"/>
        </w:rPr>
        <w:t xml:space="preserve">; </w:t>
      </w:r>
      <w:r w:rsidR="00291250" w:rsidRPr="00D60CFA">
        <w:rPr>
          <w:rFonts w:ascii="Garamond" w:hAnsi="Garamond" w:cs="Times New Roman"/>
          <w:sz w:val="24"/>
          <w:szCs w:val="24"/>
        </w:rPr>
        <w:t xml:space="preserve">Springer, </w:t>
      </w:r>
      <w:r w:rsidR="00E13CA4" w:rsidRPr="00D60CFA">
        <w:rPr>
          <w:rFonts w:ascii="Garamond" w:hAnsi="Garamond" w:cs="Times New Roman"/>
          <w:sz w:val="24"/>
          <w:szCs w:val="24"/>
        </w:rPr>
        <w:t>et al.</w:t>
      </w:r>
      <w:r w:rsidR="005E46C0" w:rsidRPr="00D60CFA">
        <w:rPr>
          <w:rFonts w:ascii="Garamond" w:hAnsi="Garamond" w:cs="Times New Roman"/>
          <w:sz w:val="24"/>
          <w:szCs w:val="24"/>
        </w:rPr>
        <w:t xml:space="preserve">, </w:t>
      </w:r>
      <w:r w:rsidR="00291250" w:rsidRPr="00D60CFA">
        <w:rPr>
          <w:rFonts w:ascii="Garamond" w:hAnsi="Garamond" w:cs="Times New Roman"/>
          <w:sz w:val="24"/>
          <w:szCs w:val="24"/>
        </w:rPr>
        <w:t xml:space="preserve">2016; </w:t>
      </w:r>
      <w:proofErr w:type="spellStart"/>
      <w:r w:rsidR="00291250" w:rsidRPr="00D60CFA">
        <w:rPr>
          <w:rFonts w:ascii="Garamond" w:hAnsi="Garamond" w:cs="Times New Roman"/>
          <w:sz w:val="24"/>
          <w:szCs w:val="24"/>
        </w:rPr>
        <w:t>Adnot</w:t>
      </w:r>
      <w:proofErr w:type="spellEnd"/>
      <w:r w:rsidR="00291250" w:rsidRPr="00D60CFA">
        <w:rPr>
          <w:rFonts w:ascii="Garamond" w:hAnsi="Garamond" w:cs="Times New Roman"/>
          <w:sz w:val="24"/>
          <w:szCs w:val="24"/>
        </w:rPr>
        <w:t>,</w:t>
      </w:r>
      <w:r w:rsidR="00D60CFA" w:rsidRPr="00D60CFA">
        <w:rPr>
          <w:rFonts w:ascii="Garamond" w:hAnsi="Garamond" w:cs="Times New Roman"/>
          <w:sz w:val="24"/>
          <w:szCs w:val="24"/>
        </w:rPr>
        <w:t xml:space="preserve"> et al.</w:t>
      </w:r>
      <w:r w:rsidR="005E46C0" w:rsidRPr="00D60CFA">
        <w:rPr>
          <w:rFonts w:ascii="Garamond" w:hAnsi="Garamond" w:cs="Times New Roman"/>
          <w:sz w:val="24"/>
          <w:szCs w:val="24"/>
        </w:rPr>
        <w:t xml:space="preserve">, </w:t>
      </w:r>
      <w:r w:rsidR="005B61AF" w:rsidRPr="00D60CFA">
        <w:rPr>
          <w:rFonts w:ascii="Garamond" w:hAnsi="Garamond" w:cs="Times New Roman"/>
          <w:sz w:val="24"/>
          <w:szCs w:val="24"/>
        </w:rPr>
        <w:t>2017</w:t>
      </w:r>
      <w:r w:rsidR="00291250" w:rsidRPr="00F719E2">
        <w:rPr>
          <w:rFonts w:ascii="Garamond" w:hAnsi="Garamond" w:cs="Times New Roman"/>
          <w:sz w:val="24"/>
          <w:szCs w:val="24"/>
        </w:rPr>
        <w:t xml:space="preserve">; </w:t>
      </w:r>
      <w:r w:rsidR="00B654F1" w:rsidRPr="00F719E2">
        <w:rPr>
          <w:rFonts w:ascii="Garamond" w:hAnsi="Garamond" w:cs="Times New Roman"/>
          <w:sz w:val="24"/>
          <w:szCs w:val="24"/>
        </w:rPr>
        <w:t xml:space="preserve">and </w:t>
      </w:r>
      <w:r w:rsidR="00291250" w:rsidRPr="00F719E2">
        <w:rPr>
          <w:rFonts w:ascii="Garamond" w:hAnsi="Garamond" w:cs="Times New Roman"/>
          <w:sz w:val="24"/>
          <w:szCs w:val="24"/>
        </w:rPr>
        <w:t>Morgan, et al.</w:t>
      </w:r>
      <w:r w:rsidR="005E46C0" w:rsidRPr="00F719E2">
        <w:rPr>
          <w:rFonts w:ascii="Garamond" w:hAnsi="Garamond" w:cs="Times New Roman"/>
          <w:sz w:val="24"/>
          <w:szCs w:val="24"/>
        </w:rPr>
        <w:t xml:space="preserve">, </w:t>
      </w:r>
      <w:r w:rsidR="00291250" w:rsidRPr="00F719E2">
        <w:rPr>
          <w:rFonts w:ascii="Garamond" w:hAnsi="Garamond" w:cs="Times New Roman"/>
          <w:sz w:val="24"/>
          <w:szCs w:val="24"/>
        </w:rPr>
        <w:t>2023</w:t>
      </w:r>
      <w:r w:rsidR="00C01678">
        <w:rPr>
          <w:rFonts w:ascii="Garamond" w:hAnsi="Garamond" w:cs="Times New Roman"/>
          <w:sz w:val="24"/>
          <w:szCs w:val="24"/>
        </w:rPr>
        <w:t>.</w:t>
      </w:r>
      <w:r w:rsidR="00291250" w:rsidRPr="00F719E2">
        <w:rPr>
          <w:rFonts w:ascii="Garamond" w:hAnsi="Garamond" w:cs="Times New Roman"/>
          <w:sz w:val="24"/>
          <w:szCs w:val="24"/>
        </w:rPr>
        <w:t xml:space="preserve"> </w:t>
      </w:r>
    </w:p>
    <w:p w14:paraId="29BC8C45" w14:textId="6183F8A8" w:rsidR="00AA736F" w:rsidRPr="00F719E2" w:rsidRDefault="006F5722" w:rsidP="00C6646B">
      <w:pPr>
        <w:spacing w:after="0" w:line="480" w:lineRule="auto"/>
        <w:ind w:firstLine="720"/>
        <w:rPr>
          <w:rFonts w:ascii="Garamond" w:hAnsi="Garamond" w:cs="Times New Roman"/>
          <w:sz w:val="24"/>
          <w:szCs w:val="24"/>
        </w:rPr>
      </w:pPr>
      <w:r>
        <w:rPr>
          <w:rFonts w:ascii="Garamond" w:hAnsi="Garamond" w:cs="Times New Roman"/>
          <w:sz w:val="24"/>
          <w:szCs w:val="24"/>
        </w:rPr>
        <w:t xml:space="preserve">As </w:t>
      </w:r>
      <w:r w:rsidR="006A0768">
        <w:rPr>
          <w:rFonts w:ascii="Garamond" w:hAnsi="Garamond" w:cs="Times New Roman"/>
          <w:sz w:val="24"/>
          <w:szCs w:val="24"/>
        </w:rPr>
        <w:t>Carver-Thomas &amp; Darling</w:t>
      </w:r>
      <w:r w:rsidR="00A36977">
        <w:rPr>
          <w:rFonts w:ascii="Garamond" w:hAnsi="Garamond" w:cs="Times New Roman"/>
          <w:sz w:val="24"/>
          <w:szCs w:val="24"/>
        </w:rPr>
        <w:t xml:space="preserve">-Hammond (2019) </w:t>
      </w:r>
      <w:r w:rsidR="00BE6FD6">
        <w:rPr>
          <w:rFonts w:ascii="Garamond" w:hAnsi="Garamond" w:cs="Times New Roman"/>
          <w:sz w:val="24"/>
          <w:szCs w:val="24"/>
        </w:rPr>
        <w:t xml:space="preserve">highlight, </w:t>
      </w:r>
      <w:r w:rsidR="009239A7">
        <w:rPr>
          <w:rFonts w:ascii="Garamond" w:hAnsi="Garamond" w:cs="Times New Roman"/>
          <w:sz w:val="24"/>
          <w:szCs w:val="24"/>
        </w:rPr>
        <w:t>retirements</w:t>
      </w:r>
      <w:r w:rsidR="002166E9">
        <w:rPr>
          <w:rFonts w:ascii="Garamond" w:hAnsi="Garamond" w:cs="Times New Roman"/>
          <w:sz w:val="24"/>
          <w:szCs w:val="24"/>
        </w:rPr>
        <w:t xml:space="preserve"> con</w:t>
      </w:r>
      <w:r w:rsidR="00C4084B">
        <w:rPr>
          <w:rFonts w:ascii="Garamond" w:hAnsi="Garamond" w:cs="Times New Roman"/>
          <w:sz w:val="24"/>
          <w:szCs w:val="24"/>
        </w:rPr>
        <w:t xml:space="preserve">stitute a sizeable fraction of </w:t>
      </w:r>
      <w:r w:rsidR="00781972">
        <w:rPr>
          <w:rFonts w:ascii="Garamond" w:hAnsi="Garamond" w:cs="Times New Roman"/>
          <w:sz w:val="24"/>
          <w:szCs w:val="24"/>
        </w:rPr>
        <w:t xml:space="preserve">teacher exits or moves </w:t>
      </w:r>
      <w:r w:rsidR="009C747B">
        <w:rPr>
          <w:rFonts w:ascii="Garamond" w:hAnsi="Garamond" w:cs="Times New Roman"/>
          <w:sz w:val="24"/>
          <w:szCs w:val="24"/>
        </w:rPr>
        <w:t xml:space="preserve">(18% in their data), so it is </w:t>
      </w:r>
      <w:r w:rsidR="006B7FF7">
        <w:rPr>
          <w:rFonts w:ascii="Garamond" w:hAnsi="Garamond" w:cs="Times New Roman"/>
          <w:sz w:val="24"/>
          <w:szCs w:val="24"/>
        </w:rPr>
        <w:t>not</w:t>
      </w:r>
      <w:r w:rsidR="004A2247">
        <w:rPr>
          <w:rFonts w:ascii="Garamond" w:hAnsi="Garamond" w:cs="Times New Roman"/>
          <w:sz w:val="24"/>
          <w:szCs w:val="24"/>
        </w:rPr>
        <w:t xml:space="preserve"> only important to examine policies that address teacher </w:t>
      </w:r>
      <w:r w:rsidR="00ED345B">
        <w:rPr>
          <w:rFonts w:ascii="Garamond" w:hAnsi="Garamond" w:cs="Times New Roman"/>
          <w:sz w:val="24"/>
          <w:szCs w:val="24"/>
        </w:rPr>
        <w:t>retention generally, but also those that focus specifically on</w:t>
      </w:r>
      <w:r w:rsidR="002474A3">
        <w:rPr>
          <w:rFonts w:ascii="Garamond" w:hAnsi="Garamond" w:cs="Times New Roman"/>
          <w:sz w:val="24"/>
          <w:szCs w:val="24"/>
        </w:rPr>
        <w:t xml:space="preserve"> retaining</w:t>
      </w:r>
      <w:r w:rsidR="00ED345B">
        <w:rPr>
          <w:rFonts w:ascii="Garamond" w:hAnsi="Garamond" w:cs="Times New Roman"/>
          <w:sz w:val="24"/>
          <w:szCs w:val="24"/>
        </w:rPr>
        <w:t xml:space="preserve"> teachers near retirement.</w:t>
      </w:r>
      <w:r w:rsidR="006B5466">
        <w:rPr>
          <w:rFonts w:ascii="Garamond" w:hAnsi="Garamond" w:cs="Times New Roman"/>
          <w:sz w:val="24"/>
          <w:szCs w:val="24"/>
        </w:rPr>
        <w:t xml:space="preserve"> </w:t>
      </w:r>
      <w:r w:rsidR="008B742A">
        <w:rPr>
          <w:rFonts w:ascii="Garamond" w:hAnsi="Garamond" w:cs="Times New Roman"/>
          <w:sz w:val="24"/>
          <w:szCs w:val="24"/>
        </w:rPr>
        <w:t xml:space="preserve">There are a few such studies that </w:t>
      </w:r>
      <w:r w:rsidR="006B5466">
        <w:rPr>
          <w:rFonts w:ascii="Garamond" w:hAnsi="Garamond" w:cs="Times New Roman"/>
          <w:sz w:val="24"/>
          <w:szCs w:val="24"/>
        </w:rPr>
        <w:t>analyze</w:t>
      </w:r>
      <w:r w:rsidR="008B742A">
        <w:rPr>
          <w:rFonts w:ascii="Garamond" w:hAnsi="Garamond" w:cs="Times New Roman"/>
          <w:sz w:val="24"/>
          <w:szCs w:val="24"/>
        </w:rPr>
        <w:t xml:space="preserve"> </w:t>
      </w:r>
      <w:r>
        <w:rPr>
          <w:rFonts w:ascii="Garamond" w:hAnsi="Garamond" w:cs="Times New Roman"/>
          <w:sz w:val="24"/>
          <w:szCs w:val="24"/>
        </w:rPr>
        <w:t>policies specifically related to experienced teachers and retirees.</w:t>
      </w:r>
      <w:r w:rsidR="006B5466">
        <w:rPr>
          <w:rFonts w:ascii="Garamond" w:hAnsi="Garamond" w:cs="Times New Roman"/>
          <w:sz w:val="24"/>
          <w:szCs w:val="24"/>
        </w:rPr>
        <w:t xml:space="preserve"> </w:t>
      </w:r>
      <w:r w:rsidR="00E7784C">
        <w:rPr>
          <w:rFonts w:ascii="Garamond" w:hAnsi="Garamond" w:cs="Times New Roman"/>
          <w:sz w:val="24"/>
          <w:szCs w:val="24"/>
        </w:rPr>
        <w:t>First, u</w:t>
      </w:r>
      <w:r w:rsidR="006238B8" w:rsidRPr="00F719E2">
        <w:rPr>
          <w:rFonts w:ascii="Garamond" w:hAnsi="Garamond" w:cs="Times New Roman"/>
          <w:sz w:val="24"/>
          <w:szCs w:val="24"/>
        </w:rPr>
        <w:t xml:space="preserve">sing data from </w:t>
      </w:r>
      <w:r w:rsidR="006238B8" w:rsidRPr="00D60CFA">
        <w:rPr>
          <w:rFonts w:ascii="Garamond" w:hAnsi="Garamond" w:cs="Times New Roman"/>
          <w:sz w:val="24"/>
          <w:szCs w:val="24"/>
        </w:rPr>
        <w:t xml:space="preserve">Tennessee, Ni, </w:t>
      </w:r>
      <w:r w:rsidR="00D60CFA" w:rsidRPr="00D60CFA">
        <w:rPr>
          <w:rFonts w:ascii="Garamond" w:hAnsi="Garamond" w:cs="Times New Roman"/>
          <w:sz w:val="24"/>
          <w:szCs w:val="24"/>
        </w:rPr>
        <w:t xml:space="preserve">et al. </w:t>
      </w:r>
      <w:r w:rsidR="006238B8" w:rsidRPr="00D60CFA">
        <w:rPr>
          <w:rFonts w:ascii="Garamond" w:hAnsi="Garamond" w:cs="Times New Roman"/>
          <w:sz w:val="24"/>
          <w:szCs w:val="24"/>
        </w:rPr>
        <w:t>(202</w:t>
      </w:r>
      <w:r w:rsidR="005A4197" w:rsidRPr="00D60CFA">
        <w:rPr>
          <w:rFonts w:ascii="Garamond" w:hAnsi="Garamond" w:cs="Times New Roman"/>
          <w:sz w:val="24"/>
          <w:szCs w:val="24"/>
        </w:rPr>
        <w:t>2</w:t>
      </w:r>
      <w:r w:rsidR="006238B8" w:rsidRPr="00D60CFA">
        <w:rPr>
          <w:rFonts w:ascii="Garamond" w:hAnsi="Garamond" w:cs="Times New Roman"/>
          <w:sz w:val="24"/>
          <w:szCs w:val="24"/>
        </w:rPr>
        <w:t>) find</w:t>
      </w:r>
      <w:r w:rsidR="006238B8" w:rsidRPr="00F719E2">
        <w:rPr>
          <w:rFonts w:ascii="Garamond" w:hAnsi="Garamond" w:cs="Times New Roman"/>
          <w:sz w:val="24"/>
          <w:szCs w:val="24"/>
        </w:rPr>
        <w:t xml:space="preserve"> that high-quality teachers are less likely to retire than low-quality teachers at the same age and experience levels. Teacher quality is determined by classroom evaluations, student test-score growth as measured by value added, and student achievement. They simulate how high- and low- quality teachers would react to different pension changes, including late-career bonuses. They find that bonuses given to high-quality teachers in high-poverty schools would incentivize these teachers to postpone retirement, which would benefit high-need students at a relatively low cost. </w:t>
      </w:r>
      <w:r w:rsidR="00E7784C">
        <w:rPr>
          <w:rFonts w:ascii="Garamond" w:hAnsi="Garamond" w:cs="Times New Roman"/>
          <w:sz w:val="24"/>
          <w:szCs w:val="24"/>
        </w:rPr>
        <w:t xml:space="preserve">Second, </w:t>
      </w:r>
      <w:r w:rsidR="006238B8" w:rsidRPr="00F719E2">
        <w:rPr>
          <w:rFonts w:ascii="Garamond" w:hAnsi="Garamond" w:cs="Times New Roman"/>
          <w:sz w:val="24"/>
          <w:szCs w:val="24"/>
        </w:rPr>
        <w:t xml:space="preserve">Kim, et al. (2021) simulate the effects of late-career bonuses and deferred retirement plans on teacher retirement decisions. Their findings suggest that both policies would increase the number of years senior teachers work. The authors argue that the benefits of delayed retirement outweigh the costs if these teachers work in STEM classes or low-performing schools. </w:t>
      </w:r>
    </w:p>
    <w:p w14:paraId="79AA7F8E" w14:textId="381B47E7" w:rsidR="0063402A" w:rsidRPr="00F719E2" w:rsidRDefault="00E55FB0"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We contribute to th</w:t>
      </w:r>
      <w:r w:rsidR="00C3066C">
        <w:rPr>
          <w:rFonts w:ascii="Garamond" w:hAnsi="Garamond" w:cs="Times New Roman"/>
          <w:sz w:val="24"/>
          <w:szCs w:val="24"/>
        </w:rPr>
        <w:t>is</w:t>
      </w:r>
      <w:r w:rsidRPr="00F719E2">
        <w:rPr>
          <w:rFonts w:ascii="Garamond" w:hAnsi="Garamond" w:cs="Times New Roman"/>
          <w:sz w:val="24"/>
          <w:szCs w:val="24"/>
        </w:rPr>
        <w:t xml:space="preserve"> literature by </w:t>
      </w:r>
      <w:r w:rsidR="00D2688C" w:rsidRPr="00F719E2">
        <w:rPr>
          <w:rFonts w:ascii="Garamond" w:hAnsi="Garamond" w:cs="Times New Roman"/>
          <w:sz w:val="24"/>
          <w:szCs w:val="24"/>
        </w:rPr>
        <w:t xml:space="preserve">studying a </w:t>
      </w:r>
      <w:r w:rsidR="0041271A" w:rsidRPr="00F719E2">
        <w:rPr>
          <w:rFonts w:ascii="Garamond" w:hAnsi="Garamond" w:cs="Times New Roman"/>
          <w:sz w:val="24"/>
          <w:szCs w:val="24"/>
        </w:rPr>
        <w:t>di</w:t>
      </w:r>
      <w:r w:rsidR="008F30FF">
        <w:rPr>
          <w:rFonts w:ascii="Garamond" w:hAnsi="Garamond" w:cs="Times New Roman"/>
          <w:sz w:val="24"/>
          <w:szCs w:val="24"/>
        </w:rPr>
        <w:t>stinct</w:t>
      </w:r>
      <w:r w:rsidR="0041271A" w:rsidRPr="00F719E2">
        <w:rPr>
          <w:rFonts w:ascii="Garamond" w:hAnsi="Garamond" w:cs="Times New Roman"/>
          <w:sz w:val="24"/>
          <w:szCs w:val="24"/>
        </w:rPr>
        <w:t xml:space="preserve"> policy </w:t>
      </w:r>
      <w:r w:rsidR="00DB5538" w:rsidRPr="00F719E2">
        <w:rPr>
          <w:rFonts w:ascii="Garamond" w:hAnsi="Garamond" w:cs="Times New Roman"/>
          <w:sz w:val="24"/>
          <w:szCs w:val="24"/>
        </w:rPr>
        <w:t>aimed at curbing the teacher shortage</w:t>
      </w:r>
      <w:r w:rsidR="009C5E9A" w:rsidRPr="00F719E2">
        <w:rPr>
          <w:rFonts w:ascii="Garamond" w:hAnsi="Garamond" w:cs="Times New Roman"/>
          <w:sz w:val="24"/>
          <w:szCs w:val="24"/>
        </w:rPr>
        <w:t>.</w:t>
      </w:r>
      <w:r w:rsidR="000E01E5" w:rsidRPr="00F719E2">
        <w:rPr>
          <w:rFonts w:ascii="Garamond" w:hAnsi="Garamond" w:cs="Times New Roman"/>
          <w:sz w:val="24"/>
          <w:szCs w:val="24"/>
        </w:rPr>
        <w:t xml:space="preserve"> Instead of</w:t>
      </w:r>
      <w:r w:rsidR="00A2417F" w:rsidRPr="00F719E2">
        <w:rPr>
          <w:rFonts w:ascii="Garamond" w:hAnsi="Garamond" w:cs="Times New Roman"/>
          <w:sz w:val="24"/>
          <w:szCs w:val="24"/>
        </w:rPr>
        <w:t xml:space="preserve"> </w:t>
      </w:r>
      <w:r w:rsidR="00716A48" w:rsidRPr="00F719E2">
        <w:rPr>
          <w:rFonts w:ascii="Garamond" w:hAnsi="Garamond" w:cs="Times New Roman"/>
          <w:sz w:val="24"/>
          <w:szCs w:val="24"/>
        </w:rPr>
        <w:t xml:space="preserve">getting senior teachers to stay by offering bonuses and deferred retirement </w:t>
      </w:r>
      <w:r w:rsidR="00716A48" w:rsidRPr="00F719E2">
        <w:rPr>
          <w:rFonts w:ascii="Garamond" w:hAnsi="Garamond" w:cs="Times New Roman"/>
          <w:sz w:val="24"/>
          <w:szCs w:val="24"/>
        </w:rPr>
        <w:lastRenderedPageBreak/>
        <w:t xml:space="preserve">plans, the policy </w:t>
      </w:r>
      <w:r w:rsidR="00D35304" w:rsidRPr="00F719E2">
        <w:rPr>
          <w:rFonts w:ascii="Garamond" w:hAnsi="Garamond" w:cs="Times New Roman"/>
          <w:sz w:val="24"/>
          <w:szCs w:val="24"/>
        </w:rPr>
        <w:t xml:space="preserve">we study targets teachers who have </w:t>
      </w:r>
      <w:r w:rsidR="00D35304" w:rsidRPr="00F719E2">
        <w:rPr>
          <w:rFonts w:ascii="Garamond" w:hAnsi="Garamond" w:cs="Times New Roman"/>
          <w:i/>
          <w:iCs/>
          <w:sz w:val="24"/>
          <w:szCs w:val="24"/>
        </w:rPr>
        <w:t>already</w:t>
      </w:r>
      <w:r w:rsidR="00D35304" w:rsidRPr="00F719E2">
        <w:rPr>
          <w:rFonts w:ascii="Garamond" w:hAnsi="Garamond" w:cs="Times New Roman"/>
          <w:sz w:val="24"/>
          <w:szCs w:val="24"/>
        </w:rPr>
        <w:t xml:space="preserve"> retired and </w:t>
      </w:r>
      <w:r w:rsidR="009016A2" w:rsidRPr="00F719E2">
        <w:rPr>
          <w:rFonts w:ascii="Garamond" w:hAnsi="Garamond" w:cs="Times New Roman"/>
          <w:sz w:val="24"/>
          <w:szCs w:val="24"/>
        </w:rPr>
        <w:t>incentivizes them to return to work. W</w:t>
      </w:r>
      <w:r w:rsidR="00B21CF7" w:rsidRPr="00F719E2">
        <w:rPr>
          <w:rFonts w:ascii="Garamond" w:hAnsi="Garamond" w:cs="Times New Roman"/>
          <w:sz w:val="24"/>
          <w:szCs w:val="24"/>
        </w:rPr>
        <w:t xml:space="preserve">hile the policy was not specifically targeted at </w:t>
      </w:r>
      <w:r w:rsidR="00F82FEA" w:rsidRPr="00F719E2">
        <w:rPr>
          <w:rFonts w:ascii="Garamond" w:hAnsi="Garamond" w:cs="Times New Roman"/>
          <w:sz w:val="24"/>
          <w:szCs w:val="24"/>
        </w:rPr>
        <w:t>high-need schools and hard-to-staff subjects, we show that</w:t>
      </w:r>
      <w:r w:rsidR="009016A2" w:rsidRPr="00F719E2">
        <w:rPr>
          <w:rFonts w:ascii="Garamond" w:hAnsi="Garamond" w:cs="Times New Roman"/>
          <w:sz w:val="24"/>
          <w:szCs w:val="24"/>
        </w:rPr>
        <w:t xml:space="preserve"> </w:t>
      </w:r>
      <w:r w:rsidR="003304AB" w:rsidRPr="00F719E2">
        <w:rPr>
          <w:rFonts w:ascii="Garamond" w:hAnsi="Garamond" w:cs="Times New Roman"/>
          <w:sz w:val="24"/>
          <w:szCs w:val="24"/>
        </w:rPr>
        <w:t>these are the</w:t>
      </w:r>
      <w:r w:rsidR="0063402A" w:rsidRPr="00F719E2">
        <w:rPr>
          <w:rFonts w:ascii="Garamond" w:hAnsi="Garamond" w:cs="Times New Roman"/>
          <w:sz w:val="24"/>
          <w:szCs w:val="24"/>
        </w:rPr>
        <w:t xml:space="preserve"> positions most often filled by RTW teachers. </w:t>
      </w:r>
    </w:p>
    <w:p w14:paraId="33D6BAE2" w14:textId="2739ED94" w:rsidR="00AD26D9" w:rsidRPr="00673826" w:rsidRDefault="00CA33A9" w:rsidP="00673826">
      <w:pPr>
        <w:spacing w:after="0" w:line="480" w:lineRule="auto"/>
        <w:jc w:val="center"/>
        <w:rPr>
          <w:rFonts w:ascii="Garamond" w:hAnsi="Garamond" w:cs="Times New Roman"/>
          <w:b/>
          <w:bCs/>
          <w:sz w:val="24"/>
          <w:szCs w:val="24"/>
        </w:rPr>
      </w:pPr>
      <w:r w:rsidRPr="00673826">
        <w:rPr>
          <w:rFonts w:ascii="Garamond" w:hAnsi="Garamond" w:cs="Times New Roman"/>
          <w:b/>
          <w:bCs/>
          <w:sz w:val="24"/>
          <w:szCs w:val="24"/>
        </w:rPr>
        <w:t>Return-to-Work Policy</w:t>
      </w:r>
    </w:p>
    <w:p w14:paraId="514BED5C" w14:textId="5D4FE365" w:rsidR="00AD26D9" w:rsidRPr="00F719E2" w:rsidRDefault="00AD26D9" w:rsidP="00C6646B">
      <w:pPr>
        <w:spacing w:after="0" w:line="480" w:lineRule="auto"/>
        <w:ind w:firstLine="720"/>
        <w:contextualSpacing/>
        <w:rPr>
          <w:rFonts w:ascii="Garamond" w:hAnsi="Garamond" w:cs="Times New Roman"/>
          <w:sz w:val="24"/>
          <w:szCs w:val="24"/>
        </w:rPr>
      </w:pPr>
      <w:r w:rsidRPr="00F719E2">
        <w:rPr>
          <w:rFonts w:ascii="Garamond" w:hAnsi="Garamond" w:cs="Times New Roman"/>
          <w:sz w:val="24"/>
          <w:szCs w:val="24"/>
        </w:rPr>
        <w:t xml:space="preserve">North Carolina implemented a RTW </w:t>
      </w:r>
      <w:r w:rsidR="004E37E7" w:rsidRPr="00F719E2">
        <w:rPr>
          <w:rFonts w:ascii="Garamond" w:hAnsi="Garamond" w:cs="Times New Roman"/>
          <w:sz w:val="24"/>
          <w:szCs w:val="24"/>
        </w:rPr>
        <w:t>p</w:t>
      </w:r>
      <w:r w:rsidRPr="00F719E2">
        <w:rPr>
          <w:rFonts w:ascii="Garamond" w:hAnsi="Garamond" w:cs="Times New Roman"/>
          <w:sz w:val="24"/>
          <w:szCs w:val="24"/>
        </w:rPr>
        <w:t xml:space="preserve">olicy in 1999 to combat a potential shortage of teachers in the labor market caused by the </w:t>
      </w:r>
      <w:r w:rsidR="008F30FF">
        <w:rPr>
          <w:rFonts w:ascii="Garamond" w:hAnsi="Garamond" w:cs="Times New Roman"/>
          <w:sz w:val="24"/>
          <w:szCs w:val="24"/>
        </w:rPr>
        <w:t xml:space="preserve">impending </w:t>
      </w:r>
      <w:r w:rsidRPr="00F719E2">
        <w:rPr>
          <w:rFonts w:ascii="Garamond" w:hAnsi="Garamond" w:cs="Times New Roman"/>
          <w:sz w:val="24"/>
          <w:szCs w:val="24"/>
        </w:rPr>
        <w:t>retirement of the large cohort of Baby Boomers. Before and after RTW, if retired teachers returned to a full-time teaching position, their pension benefits and health insurance coverage from the retirement system would be suspended. If instead they returned to a part-time position, they could keep collecting health and retirement benefits as long as their</w:t>
      </w:r>
      <w:r w:rsidR="008F30FF">
        <w:rPr>
          <w:rFonts w:ascii="Garamond" w:hAnsi="Garamond" w:cs="Times New Roman"/>
          <w:sz w:val="24"/>
          <w:szCs w:val="24"/>
        </w:rPr>
        <w:t xml:space="preserve"> public teaching</w:t>
      </w:r>
      <w:r w:rsidRPr="00F719E2">
        <w:rPr>
          <w:rFonts w:ascii="Garamond" w:hAnsi="Garamond" w:cs="Times New Roman"/>
          <w:sz w:val="24"/>
          <w:szCs w:val="24"/>
        </w:rPr>
        <w:t xml:space="preserve"> earnings did not exceed a cap of half of their previous full-time salary. RTW raised this salary cap</w:t>
      </w:r>
      <w:r w:rsidR="008F30FF">
        <w:rPr>
          <w:rFonts w:ascii="Garamond" w:hAnsi="Garamond" w:cs="Times New Roman"/>
          <w:sz w:val="24"/>
          <w:szCs w:val="24"/>
        </w:rPr>
        <w:t>,</w:t>
      </w:r>
      <w:r w:rsidRPr="00F719E2">
        <w:rPr>
          <w:rFonts w:ascii="Garamond" w:hAnsi="Garamond" w:cs="Times New Roman"/>
          <w:sz w:val="24"/>
          <w:szCs w:val="24"/>
        </w:rPr>
        <w:t xml:space="preserve"> allowing retirees to receive both their full-time salary and pension benefits concurrently, </w:t>
      </w:r>
      <w:r w:rsidR="008F30FF">
        <w:rPr>
          <w:rFonts w:ascii="Garamond" w:hAnsi="Garamond" w:cs="Times New Roman"/>
          <w:sz w:val="24"/>
          <w:szCs w:val="24"/>
        </w:rPr>
        <w:t xml:space="preserve">luring </w:t>
      </w:r>
      <w:r w:rsidRPr="00F719E2">
        <w:rPr>
          <w:rFonts w:ascii="Garamond" w:hAnsi="Garamond" w:cs="Times New Roman"/>
          <w:sz w:val="24"/>
          <w:szCs w:val="24"/>
        </w:rPr>
        <w:t xml:space="preserve">retirees back to the full-time workforce. </w:t>
      </w:r>
    </w:p>
    <w:p w14:paraId="05C2C8A5" w14:textId="1C98145F" w:rsidR="00D73CFC" w:rsidRDefault="00251B7A" w:rsidP="00C6646B">
      <w:pPr>
        <w:spacing w:after="0" w:line="480" w:lineRule="auto"/>
        <w:ind w:firstLine="720"/>
        <w:contextualSpacing/>
        <w:rPr>
          <w:rFonts w:ascii="Garamond" w:hAnsi="Garamond" w:cs="Times New Roman"/>
          <w:sz w:val="24"/>
          <w:szCs w:val="24"/>
        </w:rPr>
      </w:pPr>
      <w:r w:rsidRPr="00F719E2">
        <w:rPr>
          <w:rFonts w:ascii="Garamond" w:hAnsi="Garamond" w:cs="Times New Roman"/>
          <w:sz w:val="24"/>
          <w:szCs w:val="24"/>
        </w:rPr>
        <w:t xml:space="preserve">Indeed, we see that the </w:t>
      </w:r>
      <w:r w:rsidR="008F30FF">
        <w:rPr>
          <w:rFonts w:ascii="Garamond" w:hAnsi="Garamond" w:cs="Times New Roman"/>
          <w:sz w:val="24"/>
          <w:szCs w:val="24"/>
        </w:rPr>
        <w:t xml:space="preserve">RTW </w:t>
      </w:r>
      <w:r w:rsidRPr="00F719E2">
        <w:rPr>
          <w:rFonts w:ascii="Garamond" w:hAnsi="Garamond" w:cs="Times New Roman"/>
          <w:sz w:val="24"/>
          <w:szCs w:val="24"/>
        </w:rPr>
        <w:t xml:space="preserve">policy brought a significant number of teachers back to work after retirement, as shown in Figure 1. </w:t>
      </w:r>
    </w:p>
    <w:p w14:paraId="1B08926B" w14:textId="77777777" w:rsidR="00D73CFC" w:rsidRDefault="00D73CFC" w:rsidP="00D73CFC">
      <w:pPr>
        <w:spacing w:after="0" w:line="240" w:lineRule="auto"/>
        <w:rPr>
          <w:rFonts w:ascii="Garamond" w:hAnsi="Garamond" w:cs="Times New Roman"/>
          <w:b/>
          <w:bCs/>
          <w:sz w:val="24"/>
          <w:szCs w:val="24"/>
        </w:rPr>
      </w:pPr>
      <w:r w:rsidRPr="00A855E0">
        <w:rPr>
          <w:rFonts w:ascii="Garamond" w:hAnsi="Garamond" w:cs="Times New Roman"/>
          <w:b/>
          <w:bCs/>
          <w:sz w:val="24"/>
          <w:szCs w:val="24"/>
        </w:rPr>
        <w:t>Figure 1</w:t>
      </w:r>
    </w:p>
    <w:p w14:paraId="32E5DBDA" w14:textId="77777777" w:rsidR="00D73CFC" w:rsidRPr="00A855E0" w:rsidRDefault="00D73CFC" w:rsidP="00D73CFC">
      <w:pPr>
        <w:spacing w:after="0" w:line="240" w:lineRule="auto"/>
        <w:rPr>
          <w:rFonts w:ascii="Garamond" w:hAnsi="Garamond" w:cs="Times New Roman"/>
          <w:b/>
          <w:bCs/>
          <w:sz w:val="24"/>
          <w:szCs w:val="24"/>
        </w:rPr>
      </w:pPr>
    </w:p>
    <w:p w14:paraId="373010E3" w14:textId="77777777" w:rsidR="00D73CFC" w:rsidRPr="00A855E0" w:rsidRDefault="00D73CFC" w:rsidP="00D73CFC">
      <w:pPr>
        <w:spacing w:after="0" w:line="240" w:lineRule="auto"/>
        <w:rPr>
          <w:rFonts w:ascii="Garamond" w:hAnsi="Garamond" w:cs="Times New Roman"/>
          <w:i/>
          <w:iCs/>
          <w:sz w:val="24"/>
          <w:szCs w:val="24"/>
        </w:rPr>
      </w:pPr>
      <w:r w:rsidRPr="00A855E0">
        <w:rPr>
          <w:rFonts w:ascii="Garamond" w:hAnsi="Garamond" w:cs="Times New Roman"/>
          <w:i/>
          <w:iCs/>
          <w:sz w:val="24"/>
          <w:szCs w:val="24"/>
        </w:rPr>
        <w:t>Policy Take-Up</w:t>
      </w:r>
    </w:p>
    <w:p w14:paraId="4A04B45F" w14:textId="77777777" w:rsidR="00D73CFC" w:rsidRPr="00F719E2" w:rsidRDefault="00D73CFC" w:rsidP="00D73CFC">
      <w:pPr>
        <w:spacing w:after="0" w:line="240" w:lineRule="auto"/>
        <w:rPr>
          <w:rFonts w:ascii="Garamond" w:hAnsi="Garamond" w:cs="Times New Roman"/>
          <w:sz w:val="24"/>
          <w:szCs w:val="24"/>
        </w:rPr>
      </w:pPr>
    </w:p>
    <w:p w14:paraId="31888D89" w14:textId="77777777" w:rsidR="00D73CFC" w:rsidRPr="00F719E2" w:rsidRDefault="00D73CFC" w:rsidP="00D73CFC">
      <w:pPr>
        <w:spacing w:after="0" w:line="240" w:lineRule="auto"/>
        <w:rPr>
          <w:rFonts w:ascii="Garamond" w:hAnsi="Garamond" w:cs="Times New Roman"/>
          <w:sz w:val="24"/>
          <w:szCs w:val="24"/>
        </w:rPr>
      </w:pPr>
      <w:r w:rsidRPr="00F719E2">
        <w:rPr>
          <w:rFonts w:ascii="Garamond" w:hAnsi="Garamond"/>
          <w:noProof/>
        </w:rPr>
        <w:drawing>
          <wp:inline distT="0" distB="0" distL="0" distR="0" wp14:anchorId="49EC2344" wp14:editId="72839622">
            <wp:extent cx="3663950" cy="2675871"/>
            <wp:effectExtent l="0" t="0" r="0" b="0"/>
            <wp:docPr id="3" name="Picture 3">
              <a:extLst xmlns:a="http://schemas.openxmlformats.org/drawingml/2006/main">
                <a:ext uri="{FF2B5EF4-FFF2-40B4-BE49-F238E27FC236}">
                  <a16:creationId xmlns:a16="http://schemas.microsoft.com/office/drawing/2014/main" id="{23684B38-696A-D679-C718-A03D78DF92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3684B38-696A-D679-C718-A03D78DF9249}"/>
                        </a:ext>
                      </a:extLst>
                    </pic:cNvPr>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06499" cy="2706946"/>
                    </a:xfrm>
                    <a:prstGeom prst="rect">
                      <a:avLst/>
                    </a:prstGeom>
                    <a:noFill/>
                    <a:ln>
                      <a:noFill/>
                    </a:ln>
                  </pic:spPr>
                </pic:pic>
              </a:graphicData>
            </a:graphic>
          </wp:inline>
        </w:drawing>
      </w:r>
    </w:p>
    <w:p w14:paraId="5EAA7F42" w14:textId="77777777" w:rsidR="00D73CFC" w:rsidRPr="00F719E2" w:rsidRDefault="00D73CFC" w:rsidP="00D73CFC">
      <w:pPr>
        <w:spacing w:after="0" w:line="240" w:lineRule="auto"/>
        <w:rPr>
          <w:rFonts w:ascii="Garamond" w:hAnsi="Garamond" w:cs="Times New Roman"/>
          <w:b/>
          <w:bCs/>
          <w:sz w:val="24"/>
          <w:szCs w:val="24"/>
        </w:rPr>
      </w:pPr>
    </w:p>
    <w:p w14:paraId="11523D5B" w14:textId="7E74D8EE" w:rsidR="00D73CFC" w:rsidRDefault="00D73CFC" w:rsidP="00D73504">
      <w:pPr>
        <w:spacing w:after="0" w:line="240" w:lineRule="auto"/>
        <w:jc w:val="both"/>
        <w:rPr>
          <w:rFonts w:ascii="Garamond" w:hAnsi="Garamond" w:cs="Times New Roman"/>
          <w:sz w:val="20"/>
          <w:szCs w:val="20"/>
        </w:rPr>
      </w:pPr>
      <w:r w:rsidRPr="00F719E2">
        <w:rPr>
          <w:rFonts w:ascii="Garamond" w:hAnsi="Garamond" w:cs="Times New Roman"/>
          <w:i/>
          <w:iCs/>
          <w:sz w:val="20"/>
          <w:szCs w:val="20"/>
        </w:rPr>
        <w:t>Notes</w:t>
      </w:r>
      <w:r w:rsidRPr="00F719E2">
        <w:rPr>
          <w:rFonts w:ascii="Garamond" w:hAnsi="Garamond" w:cs="Times New Roman"/>
          <w:sz w:val="20"/>
          <w:szCs w:val="20"/>
        </w:rPr>
        <w:t>:</w:t>
      </w:r>
      <w:r w:rsidRPr="00F719E2">
        <w:rPr>
          <w:rFonts w:ascii="Garamond" w:hAnsi="Garamond" w:cs="Times New Roman"/>
          <w:i/>
          <w:iCs/>
          <w:sz w:val="20"/>
          <w:szCs w:val="20"/>
        </w:rPr>
        <w:t xml:space="preserve"> </w:t>
      </w:r>
      <w:r w:rsidRPr="00F719E2">
        <w:rPr>
          <w:rFonts w:ascii="Garamond" w:hAnsi="Garamond" w:cs="Times New Roman"/>
          <w:sz w:val="20"/>
          <w:szCs w:val="20"/>
        </w:rPr>
        <w:t xml:space="preserve">This figure shows the proportion of RTW to retirement eligible teachers in the previous year (left y-axis, black line) and the proportion of RTW to all fulltime teachers (right y-axis, gray line) from 1996 through 2012. A retirement eligible teacher </w:t>
      </w:r>
      <w:proofErr w:type="gramStart"/>
      <w:r w:rsidRPr="00F719E2">
        <w:rPr>
          <w:rFonts w:ascii="Garamond" w:hAnsi="Garamond" w:cs="Times New Roman"/>
          <w:sz w:val="20"/>
          <w:szCs w:val="20"/>
        </w:rPr>
        <w:t>is someone who is</w:t>
      </w:r>
      <w:proofErr w:type="gramEnd"/>
      <w:r w:rsidRPr="00F719E2">
        <w:rPr>
          <w:rFonts w:ascii="Garamond" w:hAnsi="Garamond" w:cs="Times New Roman"/>
          <w:sz w:val="20"/>
          <w:szCs w:val="20"/>
        </w:rPr>
        <w:t xml:space="preserve"> (a) 65 years old with 5 years of membership service, (b) 60 years old with 25 years of service, or (c) 30 years of service at any age. The years on the x-axis correspond to the spring semester of </w:t>
      </w:r>
      <w:r>
        <w:rPr>
          <w:rFonts w:ascii="Garamond" w:hAnsi="Garamond" w:cs="Times New Roman"/>
          <w:sz w:val="20"/>
          <w:szCs w:val="20"/>
        </w:rPr>
        <w:t xml:space="preserve">the </w:t>
      </w:r>
      <w:r w:rsidRPr="00F719E2">
        <w:rPr>
          <w:rFonts w:ascii="Garamond" w:hAnsi="Garamond" w:cs="Times New Roman"/>
          <w:sz w:val="20"/>
          <w:szCs w:val="20"/>
        </w:rPr>
        <w:t xml:space="preserve">school year. The first and last years of the policy, 1999 and 2009, are denoted by the vertical dashed lines. </w:t>
      </w:r>
    </w:p>
    <w:p w14:paraId="63B328CE" w14:textId="77777777" w:rsidR="00D73504" w:rsidRDefault="00D73504" w:rsidP="00D73504">
      <w:pPr>
        <w:spacing w:after="0" w:line="240" w:lineRule="auto"/>
        <w:jc w:val="both"/>
        <w:rPr>
          <w:rFonts w:ascii="Garamond" w:hAnsi="Garamond" w:cs="Times New Roman"/>
          <w:sz w:val="24"/>
          <w:szCs w:val="24"/>
        </w:rPr>
      </w:pPr>
    </w:p>
    <w:p w14:paraId="65BE0CF3" w14:textId="1501EBE1" w:rsidR="008F30FF" w:rsidRDefault="00251B7A" w:rsidP="00C6646B">
      <w:pPr>
        <w:spacing w:after="0" w:line="480" w:lineRule="auto"/>
        <w:ind w:firstLine="720"/>
        <w:contextualSpacing/>
        <w:rPr>
          <w:rFonts w:ascii="Garamond" w:hAnsi="Garamond" w:cs="Times New Roman"/>
          <w:sz w:val="24"/>
          <w:szCs w:val="24"/>
        </w:rPr>
      </w:pPr>
      <w:r w:rsidRPr="00F719E2">
        <w:rPr>
          <w:rFonts w:ascii="Garamond" w:hAnsi="Garamond" w:cs="Times New Roman"/>
          <w:sz w:val="24"/>
          <w:szCs w:val="24"/>
        </w:rPr>
        <w:t xml:space="preserve">The gray line is the proportion of RTW teachers out of all teachers for each year between 1996 and 2012. It steadily increases and peaks just under 2% in 2008. </w:t>
      </w:r>
      <w:r w:rsidR="00316704">
        <w:rPr>
          <w:rFonts w:ascii="Garamond" w:hAnsi="Garamond" w:cs="Times New Roman"/>
          <w:sz w:val="24"/>
          <w:szCs w:val="24"/>
        </w:rPr>
        <w:t>While l</w:t>
      </w:r>
      <w:r w:rsidR="00AD6CF9">
        <w:rPr>
          <w:rFonts w:ascii="Garamond" w:hAnsi="Garamond" w:cs="Times New Roman"/>
          <w:sz w:val="24"/>
          <w:szCs w:val="24"/>
        </w:rPr>
        <w:t xml:space="preserve">ooking at </w:t>
      </w:r>
      <w:r w:rsidR="0004683D">
        <w:rPr>
          <w:rFonts w:ascii="Garamond" w:hAnsi="Garamond" w:cs="Times New Roman"/>
          <w:sz w:val="24"/>
          <w:szCs w:val="24"/>
        </w:rPr>
        <w:t xml:space="preserve">the number of teachers who came back </w:t>
      </w:r>
      <w:r w:rsidR="005A29B1">
        <w:rPr>
          <w:rFonts w:ascii="Garamond" w:hAnsi="Garamond" w:cs="Times New Roman"/>
          <w:sz w:val="24"/>
          <w:szCs w:val="24"/>
        </w:rPr>
        <w:t xml:space="preserve">relative to </w:t>
      </w:r>
      <w:r w:rsidR="00114A47">
        <w:rPr>
          <w:rFonts w:ascii="Garamond" w:hAnsi="Garamond" w:cs="Times New Roman"/>
          <w:sz w:val="24"/>
          <w:szCs w:val="24"/>
        </w:rPr>
        <w:t xml:space="preserve">all teachers does show that the policy created a meaningful incentive to return, </w:t>
      </w:r>
      <w:r w:rsidR="00316704">
        <w:rPr>
          <w:rFonts w:ascii="Garamond" w:hAnsi="Garamond" w:cs="Times New Roman"/>
          <w:sz w:val="24"/>
          <w:szCs w:val="24"/>
        </w:rPr>
        <w:t xml:space="preserve">it may be </w:t>
      </w:r>
      <w:r w:rsidR="00F91879">
        <w:rPr>
          <w:rFonts w:ascii="Garamond" w:hAnsi="Garamond" w:cs="Times New Roman"/>
          <w:sz w:val="24"/>
          <w:szCs w:val="24"/>
        </w:rPr>
        <w:t>more informative</w:t>
      </w:r>
      <w:r w:rsidR="00086396">
        <w:rPr>
          <w:rFonts w:ascii="Garamond" w:hAnsi="Garamond" w:cs="Times New Roman"/>
          <w:sz w:val="24"/>
          <w:szCs w:val="24"/>
        </w:rPr>
        <w:t xml:space="preserve"> to look at who came back </w:t>
      </w:r>
      <w:r w:rsidR="005F199E">
        <w:rPr>
          <w:rFonts w:ascii="Garamond" w:hAnsi="Garamond" w:cs="Times New Roman"/>
          <w:sz w:val="24"/>
          <w:szCs w:val="24"/>
        </w:rPr>
        <w:t xml:space="preserve">relative to teachers </w:t>
      </w:r>
      <w:r w:rsidR="00845ACF">
        <w:rPr>
          <w:rFonts w:ascii="Garamond" w:hAnsi="Garamond" w:cs="Times New Roman"/>
          <w:sz w:val="24"/>
          <w:szCs w:val="24"/>
        </w:rPr>
        <w:t>qualified to take up the policy</w:t>
      </w:r>
      <w:r w:rsidR="00D10209">
        <w:rPr>
          <w:rFonts w:ascii="Garamond" w:hAnsi="Garamond" w:cs="Times New Roman"/>
          <w:sz w:val="24"/>
          <w:szCs w:val="24"/>
        </w:rPr>
        <w:t xml:space="preserve">: teachers eligible for retirement. </w:t>
      </w:r>
    </w:p>
    <w:p w14:paraId="19725DF1" w14:textId="3E7397D2" w:rsidR="00251B7A" w:rsidRPr="00F719E2" w:rsidRDefault="00251B7A" w:rsidP="00C6646B">
      <w:pPr>
        <w:spacing w:after="0" w:line="480" w:lineRule="auto"/>
        <w:ind w:firstLine="720"/>
        <w:contextualSpacing/>
        <w:rPr>
          <w:rFonts w:ascii="Garamond" w:hAnsi="Garamond" w:cs="Times New Roman"/>
          <w:sz w:val="24"/>
          <w:szCs w:val="24"/>
        </w:rPr>
      </w:pPr>
      <w:r w:rsidRPr="00F719E2">
        <w:rPr>
          <w:rFonts w:ascii="Garamond" w:hAnsi="Garamond" w:cs="Times New Roman"/>
          <w:sz w:val="24"/>
          <w:szCs w:val="24"/>
        </w:rPr>
        <w:t xml:space="preserve">The black line shows </w:t>
      </w:r>
      <w:r w:rsidR="008F30FF">
        <w:rPr>
          <w:rFonts w:ascii="Garamond" w:hAnsi="Garamond" w:cs="Times New Roman"/>
          <w:sz w:val="24"/>
          <w:szCs w:val="24"/>
        </w:rPr>
        <w:t xml:space="preserve">policy </w:t>
      </w:r>
      <w:r w:rsidRPr="00F719E2">
        <w:rPr>
          <w:rFonts w:ascii="Garamond" w:hAnsi="Garamond" w:cs="Times New Roman"/>
          <w:sz w:val="24"/>
          <w:szCs w:val="24"/>
        </w:rPr>
        <w:t>take-up relative to the number of teachers who were eligible for retirement in the prior year. A teacher is eligible for retirement if she is 65 years old with 5 years of service (i.e., has been a member of the Teachers’ and State Employees’ Retirement System for 5 years), 60 years old with 25 years of service, or is any age with 30 years of service. The proportion of RTW teachers out of those eligible for retirement increases throughout the policy period until 2009, when just over 35% of previously retirement eligible teachers return to full-time work. The number of RTW teachers drops to zero in 2010 corresponding with the expiration of the policy.</w:t>
      </w:r>
      <w:r w:rsidRPr="00F719E2">
        <w:rPr>
          <w:rStyle w:val="FootnoteReference"/>
          <w:rFonts w:ascii="Garamond" w:hAnsi="Garamond" w:cs="Times New Roman"/>
          <w:sz w:val="24"/>
          <w:szCs w:val="24"/>
        </w:rPr>
        <w:footnoteReference w:id="5"/>
      </w:r>
    </w:p>
    <w:p w14:paraId="028BA9A5" w14:textId="4D0B5AFC" w:rsidR="00AD26D9" w:rsidRPr="00F719E2" w:rsidRDefault="00AD26D9" w:rsidP="00C6646B">
      <w:pPr>
        <w:spacing w:after="0" w:line="480" w:lineRule="auto"/>
        <w:ind w:firstLine="720"/>
        <w:contextualSpacing/>
        <w:rPr>
          <w:rFonts w:ascii="Garamond" w:hAnsi="Garamond" w:cs="Times New Roman"/>
          <w:sz w:val="24"/>
          <w:szCs w:val="24"/>
        </w:rPr>
      </w:pPr>
      <w:r w:rsidRPr="00F719E2">
        <w:rPr>
          <w:rFonts w:ascii="Garamond" w:hAnsi="Garamond" w:cs="Times New Roman"/>
          <w:sz w:val="24"/>
          <w:szCs w:val="24"/>
        </w:rPr>
        <w:t>The policy was originally set to expire in 2003 but was extended multiple times until it ultimately expired in the fall of 2009. During this time, the policy underwent several revisions</w:t>
      </w:r>
      <w:r w:rsidR="000854A6" w:rsidRPr="00F719E2">
        <w:rPr>
          <w:rFonts w:ascii="Garamond" w:hAnsi="Garamond" w:cs="Times New Roman"/>
          <w:sz w:val="24"/>
          <w:szCs w:val="24"/>
        </w:rPr>
        <w:t xml:space="preserve">. </w:t>
      </w:r>
      <w:r w:rsidR="00AA0AF7" w:rsidRPr="00F719E2">
        <w:rPr>
          <w:rFonts w:ascii="Garamond" w:hAnsi="Garamond" w:cs="Times New Roman"/>
          <w:sz w:val="24"/>
          <w:szCs w:val="24"/>
        </w:rPr>
        <w:t>For example, during the first year of the policy</w:t>
      </w:r>
      <w:r w:rsidR="00462C7D" w:rsidRPr="00F719E2">
        <w:rPr>
          <w:rFonts w:ascii="Garamond" w:hAnsi="Garamond" w:cs="Times New Roman"/>
          <w:sz w:val="24"/>
          <w:szCs w:val="24"/>
        </w:rPr>
        <w:t>,</w:t>
      </w:r>
      <w:r w:rsidR="00AA0AF7" w:rsidRPr="00F719E2">
        <w:rPr>
          <w:rFonts w:ascii="Garamond" w:hAnsi="Garamond" w:cs="Times New Roman"/>
          <w:sz w:val="24"/>
          <w:szCs w:val="24"/>
        </w:rPr>
        <w:t xml:space="preserve"> </w:t>
      </w:r>
      <w:r w:rsidRPr="00F719E2">
        <w:rPr>
          <w:rFonts w:ascii="Garamond" w:hAnsi="Garamond" w:cs="Times New Roman"/>
          <w:sz w:val="24"/>
          <w:szCs w:val="24"/>
        </w:rPr>
        <w:t xml:space="preserve">teachers </w:t>
      </w:r>
      <w:r w:rsidR="00AA0AF7" w:rsidRPr="00F719E2">
        <w:rPr>
          <w:rFonts w:ascii="Garamond" w:hAnsi="Garamond" w:cs="Times New Roman"/>
          <w:sz w:val="24"/>
          <w:szCs w:val="24"/>
        </w:rPr>
        <w:t xml:space="preserve">were required to </w:t>
      </w:r>
      <w:r w:rsidRPr="00F719E2">
        <w:rPr>
          <w:rFonts w:ascii="Garamond" w:hAnsi="Garamond" w:cs="Times New Roman"/>
          <w:sz w:val="24"/>
          <w:szCs w:val="24"/>
        </w:rPr>
        <w:t xml:space="preserve">return to low-performing schools in places with shortages of teachers in their certification areas. They were also only allowed to return as interim instructors or substitutes, not permanent teachers. These restrictions were lifted </w:t>
      </w:r>
      <w:r w:rsidRPr="00F719E2">
        <w:rPr>
          <w:rFonts w:ascii="Garamond" w:hAnsi="Garamond" w:cs="Times New Roman"/>
          <w:sz w:val="24"/>
          <w:szCs w:val="24"/>
        </w:rPr>
        <w:lastRenderedPageBreak/>
        <w:t>in June of 2000.</w:t>
      </w:r>
      <w:r w:rsidRPr="00F719E2">
        <w:rPr>
          <w:rStyle w:val="FootnoteReference"/>
          <w:rFonts w:ascii="Garamond" w:hAnsi="Garamond" w:cs="Times New Roman"/>
          <w:sz w:val="24"/>
          <w:szCs w:val="24"/>
        </w:rPr>
        <w:footnoteReference w:id="6"/>
      </w:r>
      <w:r w:rsidR="008F30FF">
        <w:rPr>
          <w:rFonts w:ascii="Garamond" w:hAnsi="Garamond" w:cs="Times New Roman"/>
          <w:sz w:val="24"/>
          <w:szCs w:val="24"/>
        </w:rPr>
        <w:t xml:space="preserve"> Only </w:t>
      </w:r>
      <w:r w:rsidR="00333BA7">
        <w:rPr>
          <w:rFonts w:ascii="Garamond" w:hAnsi="Garamond" w:cs="Times New Roman"/>
          <w:sz w:val="24"/>
          <w:szCs w:val="24"/>
        </w:rPr>
        <w:t>0.01</w:t>
      </w:r>
      <w:r w:rsidR="008F30FF">
        <w:rPr>
          <w:rFonts w:ascii="Garamond" w:hAnsi="Garamond" w:cs="Times New Roman"/>
          <w:sz w:val="24"/>
          <w:szCs w:val="24"/>
        </w:rPr>
        <w:t xml:space="preserve">% of full-time teachers </w:t>
      </w:r>
      <w:r w:rsidR="006D58BD">
        <w:rPr>
          <w:rFonts w:ascii="Garamond" w:hAnsi="Garamond" w:cs="Times New Roman"/>
          <w:sz w:val="24"/>
          <w:szCs w:val="24"/>
        </w:rPr>
        <w:t xml:space="preserve">(10 teachers) </w:t>
      </w:r>
      <w:r w:rsidR="008F30FF">
        <w:rPr>
          <w:rFonts w:ascii="Garamond" w:hAnsi="Garamond" w:cs="Times New Roman"/>
          <w:sz w:val="24"/>
          <w:szCs w:val="24"/>
        </w:rPr>
        <w:t xml:space="preserve">were RTW during this restricted policy. This may not be because the restriction was undesirable, but just that the large cohort of Baby Boomers had not yet reached retirement eligibility. </w:t>
      </w:r>
    </w:p>
    <w:p w14:paraId="64CE60F6" w14:textId="7AC92660" w:rsidR="00EE5477" w:rsidRPr="00673826" w:rsidRDefault="00AB2859" w:rsidP="00673826">
      <w:pPr>
        <w:spacing w:after="0" w:line="480" w:lineRule="auto"/>
        <w:jc w:val="center"/>
        <w:rPr>
          <w:rFonts w:ascii="Garamond" w:hAnsi="Garamond" w:cs="Times New Roman"/>
          <w:b/>
          <w:bCs/>
          <w:sz w:val="24"/>
          <w:szCs w:val="24"/>
        </w:rPr>
      </w:pPr>
      <w:r w:rsidRPr="00673826">
        <w:rPr>
          <w:rFonts w:ascii="Garamond" w:hAnsi="Garamond" w:cs="Times New Roman"/>
          <w:b/>
          <w:bCs/>
          <w:sz w:val="24"/>
          <w:szCs w:val="24"/>
        </w:rPr>
        <w:t>Data</w:t>
      </w:r>
    </w:p>
    <w:p w14:paraId="6F8687EE" w14:textId="1052F92C" w:rsidR="002468CB" w:rsidRDefault="00EE5477" w:rsidP="00A95CD7">
      <w:pPr>
        <w:spacing w:after="0" w:line="480" w:lineRule="auto"/>
        <w:ind w:firstLine="720"/>
        <w:rPr>
          <w:rFonts w:ascii="Garamond" w:hAnsi="Garamond" w:cs="Times New Roman"/>
          <w:sz w:val="24"/>
          <w:szCs w:val="24"/>
        </w:rPr>
      </w:pPr>
      <w:r w:rsidRPr="00F719E2">
        <w:rPr>
          <w:rFonts w:ascii="Garamond" w:hAnsi="Garamond" w:cs="Times New Roman"/>
          <w:sz w:val="24"/>
          <w:szCs w:val="24"/>
        </w:rPr>
        <w:t>We use statewide administrative data from the North Carolina Education Research Data Center (NCERDC).</w:t>
      </w:r>
      <w:r w:rsidR="000836D6" w:rsidRPr="00F719E2">
        <w:rPr>
          <w:rFonts w:ascii="Garamond" w:hAnsi="Garamond" w:cs="Times New Roman"/>
          <w:sz w:val="24"/>
          <w:szCs w:val="24"/>
        </w:rPr>
        <w:t xml:space="preserve"> </w:t>
      </w:r>
      <w:r w:rsidR="00835535" w:rsidRPr="00F719E2">
        <w:rPr>
          <w:rFonts w:ascii="Garamond" w:hAnsi="Garamond" w:cs="Times New Roman"/>
          <w:sz w:val="24"/>
          <w:szCs w:val="24"/>
        </w:rPr>
        <w:t xml:space="preserve">We primarily use </w:t>
      </w:r>
      <w:r w:rsidR="00EB0577" w:rsidRPr="00F719E2">
        <w:rPr>
          <w:rFonts w:ascii="Garamond" w:hAnsi="Garamond" w:cs="Times New Roman"/>
          <w:sz w:val="24"/>
          <w:szCs w:val="24"/>
        </w:rPr>
        <w:t xml:space="preserve">data from </w:t>
      </w:r>
      <w:r w:rsidR="00835535" w:rsidRPr="00F719E2">
        <w:rPr>
          <w:rFonts w:ascii="Garamond" w:hAnsi="Garamond" w:cs="Times New Roman"/>
          <w:sz w:val="24"/>
          <w:szCs w:val="24"/>
        </w:rPr>
        <w:t xml:space="preserve">two </w:t>
      </w:r>
      <w:r w:rsidR="00942F07" w:rsidRPr="00F719E2">
        <w:rPr>
          <w:rFonts w:ascii="Garamond" w:hAnsi="Garamond" w:cs="Times New Roman"/>
          <w:sz w:val="24"/>
          <w:szCs w:val="24"/>
        </w:rPr>
        <w:t>dimensions</w:t>
      </w:r>
      <w:r w:rsidR="00835535" w:rsidRPr="00F719E2">
        <w:rPr>
          <w:rFonts w:ascii="Garamond" w:hAnsi="Garamond" w:cs="Times New Roman"/>
          <w:sz w:val="24"/>
          <w:szCs w:val="24"/>
        </w:rPr>
        <w:t xml:space="preserve"> of this very rich dataset. </w:t>
      </w:r>
      <w:r w:rsidR="00117A52" w:rsidRPr="00F719E2">
        <w:rPr>
          <w:rFonts w:ascii="Garamond" w:hAnsi="Garamond" w:cs="Times New Roman"/>
          <w:sz w:val="24"/>
          <w:szCs w:val="24"/>
        </w:rPr>
        <w:t>The first is data on teachers</w:t>
      </w:r>
      <w:r w:rsidR="00A47EA5" w:rsidRPr="00F719E2">
        <w:rPr>
          <w:rFonts w:ascii="Garamond" w:hAnsi="Garamond" w:cs="Times New Roman"/>
          <w:sz w:val="24"/>
          <w:szCs w:val="24"/>
        </w:rPr>
        <w:t>, which includes</w:t>
      </w:r>
      <w:r w:rsidR="00D36E63" w:rsidRPr="00F719E2">
        <w:rPr>
          <w:rFonts w:ascii="Garamond" w:hAnsi="Garamond" w:cs="Times New Roman"/>
          <w:sz w:val="24"/>
          <w:szCs w:val="24"/>
        </w:rPr>
        <w:t xml:space="preserve"> demographic characteristics, information on their schooling (including the selectivity of their colleges based on the Barron’s Admissions Competitiveness Index and the highest degree they earned), their years of teaching experience, and snapshots of </w:t>
      </w:r>
      <w:r w:rsidR="008F30FF">
        <w:rPr>
          <w:rFonts w:ascii="Garamond" w:hAnsi="Garamond" w:cs="Times New Roman"/>
          <w:sz w:val="24"/>
          <w:szCs w:val="24"/>
        </w:rPr>
        <w:t>yearly</w:t>
      </w:r>
      <w:r w:rsidR="00D36E63" w:rsidRPr="00F719E2">
        <w:rPr>
          <w:rFonts w:ascii="Garamond" w:hAnsi="Garamond" w:cs="Times New Roman"/>
          <w:sz w:val="24"/>
          <w:szCs w:val="24"/>
        </w:rPr>
        <w:t xml:space="preserve"> pay</w:t>
      </w:r>
      <w:r w:rsidR="008F30FF">
        <w:rPr>
          <w:rFonts w:ascii="Garamond" w:hAnsi="Garamond" w:cs="Times New Roman"/>
          <w:sz w:val="24"/>
          <w:szCs w:val="24"/>
        </w:rPr>
        <w:t>.</w:t>
      </w:r>
      <w:r w:rsidR="00D36E63" w:rsidRPr="00F719E2">
        <w:rPr>
          <w:rFonts w:ascii="Garamond" w:hAnsi="Garamond" w:cs="Times New Roman"/>
          <w:sz w:val="24"/>
          <w:szCs w:val="24"/>
        </w:rPr>
        <w:t xml:space="preserve"> Importantly, the pay data includes budget codes that allow us to identify who retired and returned during the policy period</w:t>
      </w:r>
      <w:r w:rsidR="00CB621D" w:rsidRPr="00F719E2">
        <w:rPr>
          <w:rFonts w:ascii="Garamond" w:hAnsi="Garamond" w:cs="Times New Roman"/>
          <w:sz w:val="24"/>
          <w:szCs w:val="24"/>
        </w:rPr>
        <w:t xml:space="preserve"> (</w:t>
      </w:r>
      <w:r w:rsidR="0082028A" w:rsidRPr="00F719E2">
        <w:rPr>
          <w:rFonts w:ascii="Garamond" w:hAnsi="Garamond" w:cs="Times New Roman"/>
          <w:sz w:val="24"/>
          <w:szCs w:val="24"/>
        </w:rPr>
        <w:t>“RTW teachers”)</w:t>
      </w:r>
      <w:r w:rsidR="00D36E63" w:rsidRPr="00F719E2">
        <w:rPr>
          <w:rFonts w:ascii="Garamond" w:hAnsi="Garamond" w:cs="Times New Roman"/>
          <w:sz w:val="24"/>
          <w:szCs w:val="24"/>
        </w:rPr>
        <w:t>. We limit our sample to full-time teachers</w:t>
      </w:r>
      <w:r w:rsidR="007625F8">
        <w:rPr>
          <w:rFonts w:ascii="Garamond" w:hAnsi="Garamond" w:cs="Times New Roman"/>
          <w:sz w:val="24"/>
          <w:szCs w:val="24"/>
        </w:rPr>
        <w:t xml:space="preserve"> because we cannot tell whether part-time workers are returning retirees </w:t>
      </w:r>
      <w:r w:rsidR="00BF6AB1">
        <w:rPr>
          <w:rFonts w:ascii="Garamond" w:hAnsi="Garamond" w:cs="Times New Roman"/>
          <w:sz w:val="24"/>
          <w:szCs w:val="24"/>
        </w:rPr>
        <w:t>(drawing their pension simultaneously) or</w:t>
      </w:r>
      <w:r w:rsidR="00CC34A1">
        <w:rPr>
          <w:rFonts w:ascii="Garamond" w:hAnsi="Garamond" w:cs="Times New Roman"/>
          <w:sz w:val="24"/>
          <w:szCs w:val="24"/>
        </w:rPr>
        <w:t xml:space="preserve"> are</w:t>
      </w:r>
      <w:r w:rsidR="00BF6AB1">
        <w:rPr>
          <w:rFonts w:ascii="Garamond" w:hAnsi="Garamond" w:cs="Times New Roman"/>
          <w:sz w:val="24"/>
          <w:szCs w:val="24"/>
        </w:rPr>
        <w:t xml:space="preserve"> not</w:t>
      </w:r>
      <w:r w:rsidR="00CC34A1">
        <w:rPr>
          <w:rFonts w:ascii="Garamond" w:hAnsi="Garamond" w:cs="Times New Roman"/>
          <w:sz w:val="24"/>
          <w:szCs w:val="24"/>
        </w:rPr>
        <w:t xml:space="preserve"> yet</w:t>
      </w:r>
      <w:r w:rsidR="00BF6AB1">
        <w:rPr>
          <w:rFonts w:ascii="Garamond" w:hAnsi="Garamond" w:cs="Times New Roman"/>
          <w:sz w:val="24"/>
          <w:szCs w:val="24"/>
        </w:rPr>
        <w:t xml:space="preserve"> retired. The</w:t>
      </w:r>
      <w:r w:rsidR="00AA3ED1" w:rsidRPr="00F719E2">
        <w:rPr>
          <w:rFonts w:ascii="Garamond" w:hAnsi="Garamond" w:cs="Times New Roman"/>
          <w:sz w:val="24"/>
          <w:szCs w:val="24"/>
        </w:rPr>
        <w:t xml:space="preserve"> second is data on schools fr</w:t>
      </w:r>
      <w:r w:rsidR="00D36E63" w:rsidRPr="00F719E2">
        <w:rPr>
          <w:rFonts w:ascii="Garamond" w:hAnsi="Garamond" w:cs="Times New Roman"/>
          <w:sz w:val="24"/>
          <w:szCs w:val="24"/>
        </w:rPr>
        <w:t xml:space="preserve">om the Common Core of Data (CCD). </w:t>
      </w:r>
      <w:r w:rsidR="003C5304" w:rsidRPr="00F719E2">
        <w:rPr>
          <w:rFonts w:ascii="Garamond" w:hAnsi="Garamond" w:cs="Times New Roman"/>
          <w:sz w:val="24"/>
          <w:szCs w:val="24"/>
        </w:rPr>
        <w:t>School characteristics include type (elementary, middle, high), student characteristics (</w:t>
      </w:r>
      <w:r w:rsidR="00966E94" w:rsidRPr="00F719E2">
        <w:rPr>
          <w:rFonts w:ascii="Garamond" w:hAnsi="Garamond" w:cs="Times New Roman"/>
          <w:sz w:val="24"/>
          <w:szCs w:val="24"/>
        </w:rPr>
        <w:t xml:space="preserve">percentages of minority and </w:t>
      </w:r>
      <w:proofErr w:type="gramStart"/>
      <w:r w:rsidR="00966E94" w:rsidRPr="00F719E2">
        <w:rPr>
          <w:rFonts w:ascii="Garamond" w:hAnsi="Garamond" w:cs="Times New Roman"/>
          <w:sz w:val="24"/>
          <w:szCs w:val="24"/>
        </w:rPr>
        <w:t>economically disadvantaged</w:t>
      </w:r>
      <w:proofErr w:type="gramEnd"/>
      <w:r w:rsidR="00966E94" w:rsidRPr="00F719E2">
        <w:rPr>
          <w:rFonts w:ascii="Garamond" w:hAnsi="Garamond" w:cs="Times New Roman"/>
          <w:sz w:val="24"/>
          <w:szCs w:val="24"/>
        </w:rPr>
        <w:t xml:space="preserve"> students),</w:t>
      </w:r>
      <w:r w:rsidR="006D0BE9" w:rsidRPr="00F719E2">
        <w:rPr>
          <w:rFonts w:ascii="Garamond" w:hAnsi="Garamond" w:cs="Times New Roman"/>
          <w:sz w:val="24"/>
          <w:szCs w:val="24"/>
        </w:rPr>
        <w:t xml:space="preserve"> and urbanicity.</w:t>
      </w:r>
      <w:r w:rsidR="000E5760">
        <w:rPr>
          <w:rFonts w:ascii="Garamond" w:hAnsi="Garamond" w:cs="Times New Roman"/>
          <w:sz w:val="24"/>
          <w:szCs w:val="24"/>
        </w:rPr>
        <w:t xml:space="preserve"> Overall, the data</w:t>
      </w:r>
      <w:r w:rsidR="000E5760" w:rsidRPr="00F719E2">
        <w:rPr>
          <w:rFonts w:ascii="Garamond" w:hAnsi="Garamond" w:cs="Times New Roman"/>
          <w:sz w:val="24"/>
          <w:szCs w:val="24"/>
        </w:rPr>
        <w:t xml:space="preserve"> includes almost 168,000 </w:t>
      </w:r>
      <w:r w:rsidR="000E5760">
        <w:rPr>
          <w:rFonts w:ascii="Garamond" w:hAnsi="Garamond" w:cs="Times New Roman"/>
          <w:sz w:val="24"/>
          <w:szCs w:val="24"/>
        </w:rPr>
        <w:t xml:space="preserve">full-time </w:t>
      </w:r>
      <w:r w:rsidR="000E5760" w:rsidRPr="00F719E2">
        <w:rPr>
          <w:rFonts w:ascii="Garamond" w:hAnsi="Garamond" w:cs="Times New Roman"/>
          <w:sz w:val="24"/>
          <w:szCs w:val="24"/>
        </w:rPr>
        <w:t>teachers in over 2,700 schools between 1999 and 2009. About 3,700 teachers (2.2%) returned to work during the policy and over 1,600 (58%) schools hired at least one of them.</w:t>
      </w:r>
    </w:p>
    <w:p w14:paraId="63F83609" w14:textId="0C2BCF4D" w:rsidR="004242CA" w:rsidRDefault="000E5760" w:rsidP="00A95CD7">
      <w:pPr>
        <w:spacing w:after="0" w:line="480" w:lineRule="auto"/>
        <w:ind w:firstLine="720"/>
        <w:rPr>
          <w:rFonts w:ascii="Garamond" w:hAnsi="Garamond" w:cs="Times New Roman"/>
          <w:sz w:val="24"/>
          <w:szCs w:val="24"/>
        </w:rPr>
      </w:pPr>
      <w:r>
        <w:rPr>
          <w:rFonts w:ascii="Garamond" w:hAnsi="Garamond" w:cs="Times New Roman"/>
          <w:sz w:val="24"/>
          <w:szCs w:val="24"/>
        </w:rPr>
        <w:t>To construct our analysis sample, w</w:t>
      </w:r>
      <w:r w:rsidR="00675EE8">
        <w:rPr>
          <w:rFonts w:ascii="Garamond" w:hAnsi="Garamond" w:cs="Times New Roman"/>
          <w:sz w:val="24"/>
          <w:szCs w:val="24"/>
        </w:rPr>
        <w:t xml:space="preserve">e </w:t>
      </w:r>
      <w:proofErr w:type="gramStart"/>
      <w:r w:rsidR="00675EE8">
        <w:rPr>
          <w:rFonts w:ascii="Garamond" w:hAnsi="Garamond" w:cs="Times New Roman"/>
          <w:sz w:val="24"/>
          <w:szCs w:val="24"/>
        </w:rPr>
        <w:t>merge together</w:t>
      </w:r>
      <w:proofErr w:type="gramEnd"/>
      <w:r w:rsidR="00675EE8">
        <w:rPr>
          <w:rFonts w:ascii="Garamond" w:hAnsi="Garamond" w:cs="Times New Roman"/>
          <w:sz w:val="24"/>
          <w:szCs w:val="24"/>
        </w:rPr>
        <w:t xml:space="preserve"> </w:t>
      </w:r>
      <w:r w:rsidR="00A62FA5">
        <w:rPr>
          <w:rFonts w:ascii="Garamond" w:hAnsi="Garamond" w:cs="Times New Roman"/>
          <w:sz w:val="24"/>
          <w:szCs w:val="24"/>
        </w:rPr>
        <w:t>th</w:t>
      </w:r>
      <w:r>
        <w:rPr>
          <w:rFonts w:ascii="Garamond" w:hAnsi="Garamond" w:cs="Times New Roman"/>
          <w:sz w:val="24"/>
          <w:szCs w:val="24"/>
        </w:rPr>
        <w:t>e</w:t>
      </w:r>
      <w:r w:rsidR="00A62FA5">
        <w:rPr>
          <w:rFonts w:ascii="Garamond" w:hAnsi="Garamond" w:cs="Times New Roman"/>
          <w:sz w:val="24"/>
          <w:szCs w:val="24"/>
        </w:rPr>
        <w:t xml:space="preserve"> teacher and school data to get a </w:t>
      </w:r>
      <w:r w:rsidR="00DD2938">
        <w:rPr>
          <w:rFonts w:ascii="Garamond" w:hAnsi="Garamond" w:cs="Times New Roman"/>
          <w:sz w:val="24"/>
          <w:szCs w:val="24"/>
        </w:rPr>
        <w:t xml:space="preserve">teacher-school-year level dataset that has all the characteristics we </w:t>
      </w:r>
      <w:r w:rsidR="00DC5823">
        <w:rPr>
          <w:rFonts w:ascii="Garamond" w:hAnsi="Garamond" w:cs="Times New Roman"/>
          <w:sz w:val="24"/>
          <w:szCs w:val="24"/>
        </w:rPr>
        <w:t xml:space="preserve">study. </w:t>
      </w:r>
      <w:r w:rsidR="00C03713">
        <w:rPr>
          <w:rFonts w:ascii="Garamond" w:hAnsi="Garamond" w:cs="Times New Roman"/>
          <w:sz w:val="24"/>
          <w:szCs w:val="24"/>
        </w:rPr>
        <w:t>Then w</w:t>
      </w:r>
      <w:r w:rsidR="00BC0E76">
        <w:rPr>
          <w:rFonts w:ascii="Garamond" w:hAnsi="Garamond" w:cs="Times New Roman"/>
          <w:sz w:val="24"/>
          <w:szCs w:val="24"/>
        </w:rPr>
        <w:t xml:space="preserve">e identify RTW teachers using the budget code indicator present in the data. </w:t>
      </w:r>
      <w:r w:rsidR="004242CA">
        <w:rPr>
          <w:rFonts w:ascii="Garamond" w:hAnsi="Garamond" w:cs="Times New Roman"/>
          <w:sz w:val="24"/>
          <w:szCs w:val="24"/>
        </w:rPr>
        <w:t xml:space="preserve">We </w:t>
      </w:r>
      <w:r w:rsidR="00006D76">
        <w:rPr>
          <w:rFonts w:ascii="Garamond" w:hAnsi="Garamond" w:cs="Times New Roman"/>
          <w:sz w:val="24"/>
          <w:szCs w:val="24"/>
        </w:rPr>
        <w:t>exclude teacher</w:t>
      </w:r>
      <w:r w:rsidR="007147A8">
        <w:rPr>
          <w:rFonts w:ascii="Garamond" w:hAnsi="Garamond" w:cs="Times New Roman"/>
          <w:sz w:val="24"/>
          <w:szCs w:val="24"/>
        </w:rPr>
        <w:t xml:space="preserve">-year observations </w:t>
      </w:r>
      <w:r w:rsidR="00006D76">
        <w:rPr>
          <w:rFonts w:ascii="Garamond" w:hAnsi="Garamond" w:cs="Times New Roman"/>
          <w:sz w:val="24"/>
          <w:szCs w:val="24"/>
        </w:rPr>
        <w:t>from our sample if the</w:t>
      </w:r>
      <w:r w:rsidR="004B5A67">
        <w:rPr>
          <w:rFonts w:ascii="Garamond" w:hAnsi="Garamond" w:cs="Times New Roman"/>
          <w:sz w:val="24"/>
          <w:szCs w:val="24"/>
        </w:rPr>
        <w:t xml:space="preserve"> teacher is </w:t>
      </w:r>
      <w:r w:rsidR="007F5383">
        <w:rPr>
          <w:rFonts w:ascii="Garamond" w:hAnsi="Garamond" w:cs="Times New Roman"/>
          <w:sz w:val="24"/>
          <w:szCs w:val="24"/>
        </w:rPr>
        <w:t>identified as RTW but ha</w:t>
      </w:r>
      <w:r w:rsidR="004B5A67">
        <w:rPr>
          <w:rFonts w:ascii="Garamond" w:hAnsi="Garamond" w:cs="Times New Roman"/>
          <w:sz w:val="24"/>
          <w:szCs w:val="24"/>
        </w:rPr>
        <w:t>s</w:t>
      </w:r>
      <w:r w:rsidR="007F5383">
        <w:rPr>
          <w:rFonts w:ascii="Garamond" w:hAnsi="Garamond" w:cs="Times New Roman"/>
          <w:sz w:val="24"/>
          <w:szCs w:val="24"/>
        </w:rPr>
        <w:t xml:space="preserve"> too few years of experience to </w:t>
      </w:r>
      <w:r w:rsidR="00E34272">
        <w:rPr>
          <w:rFonts w:ascii="Garamond" w:hAnsi="Garamond" w:cs="Times New Roman"/>
          <w:sz w:val="24"/>
          <w:szCs w:val="24"/>
        </w:rPr>
        <w:t xml:space="preserve">realistically </w:t>
      </w:r>
      <w:r w:rsidR="0065263B">
        <w:rPr>
          <w:rFonts w:ascii="Garamond" w:hAnsi="Garamond" w:cs="Times New Roman"/>
          <w:sz w:val="24"/>
          <w:szCs w:val="24"/>
        </w:rPr>
        <w:t>be retired.</w:t>
      </w:r>
      <w:r w:rsidR="00822ED6">
        <w:rPr>
          <w:rFonts w:ascii="Garamond" w:hAnsi="Garamond" w:cs="Times New Roman"/>
          <w:sz w:val="24"/>
          <w:szCs w:val="24"/>
        </w:rPr>
        <w:t xml:space="preserve"> Specifically, </w:t>
      </w:r>
      <w:r w:rsidR="00343746">
        <w:rPr>
          <w:rFonts w:ascii="Garamond" w:hAnsi="Garamond" w:cs="Times New Roman"/>
          <w:sz w:val="24"/>
          <w:szCs w:val="24"/>
        </w:rPr>
        <w:t>about</w:t>
      </w:r>
      <w:r w:rsidR="0063264F">
        <w:rPr>
          <w:rFonts w:ascii="Garamond" w:hAnsi="Garamond" w:cs="Times New Roman"/>
          <w:sz w:val="24"/>
          <w:szCs w:val="24"/>
        </w:rPr>
        <w:t xml:space="preserve"> 5%</w:t>
      </w:r>
      <w:r w:rsidR="00343746">
        <w:rPr>
          <w:rFonts w:ascii="Garamond" w:hAnsi="Garamond" w:cs="Times New Roman"/>
          <w:sz w:val="24"/>
          <w:szCs w:val="24"/>
        </w:rPr>
        <w:t xml:space="preserve"> of</w:t>
      </w:r>
      <w:r w:rsidR="00822ED6">
        <w:rPr>
          <w:rFonts w:ascii="Garamond" w:hAnsi="Garamond" w:cs="Times New Roman"/>
          <w:sz w:val="24"/>
          <w:szCs w:val="24"/>
        </w:rPr>
        <w:t xml:space="preserve"> RTW teacher</w:t>
      </w:r>
      <w:r w:rsidR="000603E9">
        <w:rPr>
          <w:rFonts w:ascii="Garamond" w:hAnsi="Garamond" w:cs="Times New Roman"/>
          <w:sz w:val="24"/>
          <w:szCs w:val="24"/>
        </w:rPr>
        <w:t>-year observations</w:t>
      </w:r>
      <w:r w:rsidR="00822ED6">
        <w:rPr>
          <w:rFonts w:ascii="Garamond" w:hAnsi="Garamond" w:cs="Times New Roman"/>
          <w:sz w:val="24"/>
          <w:szCs w:val="24"/>
        </w:rPr>
        <w:t xml:space="preserve"> </w:t>
      </w:r>
      <w:r w:rsidR="00343746">
        <w:rPr>
          <w:rFonts w:ascii="Garamond" w:hAnsi="Garamond" w:cs="Times New Roman"/>
          <w:sz w:val="24"/>
          <w:szCs w:val="24"/>
        </w:rPr>
        <w:t>have</w:t>
      </w:r>
      <w:r w:rsidR="00822ED6">
        <w:rPr>
          <w:rFonts w:ascii="Garamond" w:hAnsi="Garamond" w:cs="Times New Roman"/>
          <w:sz w:val="24"/>
          <w:szCs w:val="24"/>
        </w:rPr>
        <w:t xml:space="preserve"> less than 24 </w:t>
      </w:r>
      <w:r w:rsidR="00822ED6">
        <w:rPr>
          <w:rFonts w:ascii="Garamond" w:hAnsi="Garamond" w:cs="Times New Roman"/>
          <w:sz w:val="24"/>
          <w:szCs w:val="24"/>
        </w:rPr>
        <w:lastRenderedPageBreak/>
        <w:t>years of experience</w:t>
      </w:r>
      <w:r w:rsidR="005B57A1">
        <w:rPr>
          <w:rFonts w:ascii="Garamond" w:hAnsi="Garamond" w:cs="Times New Roman"/>
          <w:sz w:val="24"/>
          <w:szCs w:val="24"/>
        </w:rPr>
        <w:t xml:space="preserve"> </w:t>
      </w:r>
      <w:r w:rsidR="00F97AF1">
        <w:rPr>
          <w:rFonts w:ascii="Garamond" w:hAnsi="Garamond" w:cs="Times New Roman"/>
          <w:sz w:val="24"/>
          <w:szCs w:val="24"/>
        </w:rPr>
        <w:t xml:space="preserve">at ages </w:t>
      </w:r>
      <w:r w:rsidR="009B589F">
        <w:rPr>
          <w:rFonts w:ascii="Garamond" w:hAnsi="Garamond" w:cs="Times New Roman"/>
          <w:sz w:val="24"/>
          <w:szCs w:val="24"/>
        </w:rPr>
        <w:t xml:space="preserve">below the appropriate cutoffs. We do not understand </w:t>
      </w:r>
      <w:r w:rsidR="00E87DA6">
        <w:rPr>
          <w:rFonts w:ascii="Garamond" w:hAnsi="Garamond" w:cs="Times New Roman"/>
          <w:sz w:val="24"/>
          <w:szCs w:val="24"/>
        </w:rPr>
        <w:t xml:space="preserve">why these teachers are considered RTW and exclude them </w:t>
      </w:r>
      <w:r w:rsidR="008341D4">
        <w:rPr>
          <w:rFonts w:ascii="Garamond" w:hAnsi="Garamond" w:cs="Times New Roman"/>
          <w:sz w:val="24"/>
          <w:szCs w:val="24"/>
        </w:rPr>
        <w:t xml:space="preserve">from our </w:t>
      </w:r>
      <w:proofErr w:type="gramStart"/>
      <w:r w:rsidR="008341D4">
        <w:rPr>
          <w:rFonts w:ascii="Garamond" w:hAnsi="Garamond" w:cs="Times New Roman"/>
          <w:sz w:val="24"/>
          <w:szCs w:val="24"/>
        </w:rPr>
        <w:t>sample</w:t>
      </w:r>
      <w:proofErr w:type="gramEnd"/>
      <w:r w:rsidR="008341D4">
        <w:rPr>
          <w:rFonts w:ascii="Garamond" w:hAnsi="Garamond" w:cs="Times New Roman"/>
          <w:sz w:val="24"/>
          <w:szCs w:val="24"/>
        </w:rPr>
        <w:t xml:space="preserve"> </w:t>
      </w:r>
      <w:r w:rsidR="00E87DA6">
        <w:rPr>
          <w:rFonts w:ascii="Garamond" w:hAnsi="Garamond" w:cs="Times New Roman"/>
          <w:sz w:val="24"/>
          <w:szCs w:val="24"/>
        </w:rPr>
        <w:t xml:space="preserve">so they do not </w:t>
      </w:r>
      <w:r w:rsidR="008341D4">
        <w:rPr>
          <w:rFonts w:ascii="Garamond" w:hAnsi="Garamond" w:cs="Times New Roman"/>
          <w:sz w:val="24"/>
          <w:szCs w:val="24"/>
        </w:rPr>
        <w:t>bias our results.</w:t>
      </w:r>
    </w:p>
    <w:p w14:paraId="61776722" w14:textId="2C62799B" w:rsidR="006A0B60" w:rsidRDefault="0084409C" w:rsidP="00A95CD7">
      <w:pPr>
        <w:spacing w:after="0" w:line="480" w:lineRule="auto"/>
        <w:ind w:firstLine="720"/>
        <w:rPr>
          <w:rFonts w:ascii="Garamond" w:hAnsi="Garamond" w:cs="Times New Roman"/>
          <w:sz w:val="24"/>
          <w:szCs w:val="24"/>
        </w:rPr>
      </w:pPr>
      <w:r>
        <w:rPr>
          <w:rFonts w:ascii="Garamond" w:hAnsi="Garamond" w:cs="Times New Roman"/>
          <w:sz w:val="24"/>
          <w:szCs w:val="24"/>
        </w:rPr>
        <w:t>In addition, we</w:t>
      </w:r>
      <w:r w:rsidR="00793D44">
        <w:rPr>
          <w:rFonts w:ascii="Garamond" w:hAnsi="Garamond" w:cs="Times New Roman"/>
          <w:sz w:val="24"/>
          <w:szCs w:val="24"/>
        </w:rPr>
        <w:t xml:space="preserve"> keep only th</w:t>
      </w:r>
      <w:r w:rsidR="00C03713">
        <w:rPr>
          <w:rFonts w:ascii="Garamond" w:hAnsi="Garamond" w:cs="Times New Roman"/>
          <w:sz w:val="24"/>
          <w:szCs w:val="24"/>
        </w:rPr>
        <w:t>e RTW teachers</w:t>
      </w:r>
      <w:r w:rsidR="00793D44">
        <w:rPr>
          <w:rFonts w:ascii="Garamond" w:hAnsi="Garamond" w:cs="Times New Roman"/>
          <w:sz w:val="24"/>
          <w:szCs w:val="24"/>
        </w:rPr>
        <w:t xml:space="preserve"> who have non-missing values for the characteristics </w:t>
      </w:r>
      <w:r w:rsidR="0000279F">
        <w:rPr>
          <w:rFonts w:ascii="Garamond" w:hAnsi="Garamond" w:cs="Times New Roman"/>
          <w:sz w:val="24"/>
          <w:szCs w:val="24"/>
        </w:rPr>
        <w:t>we study. Specifically, we exclude teacher</w:t>
      </w:r>
      <w:r w:rsidR="00922DD0">
        <w:rPr>
          <w:rFonts w:ascii="Garamond" w:hAnsi="Garamond" w:cs="Times New Roman"/>
          <w:sz w:val="24"/>
          <w:szCs w:val="24"/>
        </w:rPr>
        <w:t>-year observations</w:t>
      </w:r>
      <w:r w:rsidR="0000279F">
        <w:rPr>
          <w:rFonts w:ascii="Garamond" w:hAnsi="Garamond" w:cs="Times New Roman"/>
          <w:sz w:val="24"/>
          <w:szCs w:val="24"/>
        </w:rPr>
        <w:t xml:space="preserve"> </w:t>
      </w:r>
      <w:r w:rsidR="00861311">
        <w:rPr>
          <w:rFonts w:ascii="Garamond" w:hAnsi="Garamond" w:cs="Times New Roman"/>
          <w:sz w:val="24"/>
          <w:szCs w:val="24"/>
        </w:rPr>
        <w:t>if the data does not include the subject they teach</w:t>
      </w:r>
      <w:r w:rsidR="00442939">
        <w:rPr>
          <w:rFonts w:ascii="Garamond" w:hAnsi="Garamond" w:cs="Times New Roman"/>
          <w:sz w:val="24"/>
          <w:szCs w:val="24"/>
        </w:rPr>
        <w:t>;</w:t>
      </w:r>
      <w:r w:rsidR="00861311">
        <w:rPr>
          <w:rFonts w:ascii="Garamond" w:hAnsi="Garamond" w:cs="Times New Roman"/>
          <w:sz w:val="24"/>
          <w:szCs w:val="24"/>
        </w:rPr>
        <w:t xml:space="preserve"> the highest degree they earned</w:t>
      </w:r>
      <w:r w:rsidR="00442939">
        <w:rPr>
          <w:rFonts w:ascii="Garamond" w:hAnsi="Garamond" w:cs="Times New Roman"/>
          <w:sz w:val="24"/>
          <w:szCs w:val="24"/>
        </w:rPr>
        <w:t>;</w:t>
      </w:r>
      <w:r w:rsidR="00861311">
        <w:rPr>
          <w:rFonts w:ascii="Garamond" w:hAnsi="Garamond" w:cs="Times New Roman"/>
          <w:sz w:val="24"/>
          <w:szCs w:val="24"/>
        </w:rPr>
        <w:t xml:space="preserve"> </w:t>
      </w:r>
      <w:r w:rsidR="00B00133">
        <w:rPr>
          <w:rFonts w:ascii="Garamond" w:hAnsi="Garamond" w:cs="Times New Roman"/>
          <w:sz w:val="24"/>
          <w:szCs w:val="24"/>
        </w:rPr>
        <w:t xml:space="preserve">the competitiveness of their college; </w:t>
      </w:r>
      <w:r w:rsidR="00595140">
        <w:rPr>
          <w:rFonts w:ascii="Garamond" w:hAnsi="Garamond" w:cs="Times New Roman"/>
          <w:sz w:val="24"/>
          <w:szCs w:val="24"/>
        </w:rPr>
        <w:t xml:space="preserve">their race or gender; </w:t>
      </w:r>
      <w:r w:rsidR="00441998">
        <w:rPr>
          <w:rFonts w:ascii="Garamond" w:hAnsi="Garamond" w:cs="Times New Roman"/>
          <w:sz w:val="24"/>
          <w:szCs w:val="24"/>
        </w:rPr>
        <w:t xml:space="preserve">their years of experience; </w:t>
      </w:r>
      <w:r w:rsidR="00F22CA8">
        <w:rPr>
          <w:rFonts w:ascii="Garamond" w:hAnsi="Garamond" w:cs="Times New Roman"/>
          <w:sz w:val="24"/>
          <w:szCs w:val="24"/>
        </w:rPr>
        <w:t>whether they taught at an elementary, middle, or high school</w:t>
      </w:r>
      <w:r w:rsidR="00442939">
        <w:rPr>
          <w:rFonts w:ascii="Garamond" w:hAnsi="Garamond" w:cs="Times New Roman"/>
          <w:sz w:val="24"/>
          <w:szCs w:val="24"/>
        </w:rPr>
        <w:t>;</w:t>
      </w:r>
      <w:r w:rsidR="00F22CA8">
        <w:rPr>
          <w:rFonts w:ascii="Garamond" w:hAnsi="Garamond" w:cs="Times New Roman"/>
          <w:sz w:val="24"/>
          <w:szCs w:val="24"/>
        </w:rPr>
        <w:t xml:space="preserve"> </w:t>
      </w:r>
      <w:r w:rsidR="00595140">
        <w:rPr>
          <w:rFonts w:ascii="Garamond" w:hAnsi="Garamond" w:cs="Times New Roman"/>
          <w:sz w:val="24"/>
          <w:szCs w:val="24"/>
        </w:rPr>
        <w:t xml:space="preserve">and whether their school </w:t>
      </w:r>
      <w:proofErr w:type="gramStart"/>
      <w:r w:rsidR="00595140">
        <w:rPr>
          <w:rFonts w:ascii="Garamond" w:hAnsi="Garamond" w:cs="Times New Roman"/>
          <w:sz w:val="24"/>
          <w:szCs w:val="24"/>
        </w:rPr>
        <w:t>was located in</w:t>
      </w:r>
      <w:proofErr w:type="gramEnd"/>
      <w:r w:rsidR="00595140">
        <w:rPr>
          <w:rFonts w:ascii="Garamond" w:hAnsi="Garamond" w:cs="Times New Roman"/>
          <w:sz w:val="24"/>
          <w:szCs w:val="24"/>
        </w:rPr>
        <w:t xml:space="preserve"> </w:t>
      </w:r>
      <w:r w:rsidR="00442939">
        <w:rPr>
          <w:rFonts w:ascii="Garamond" w:hAnsi="Garamond" w:cs="Times New Roman"/>
          <w:sz w:val="24"/>
          <w:szCs w:val="24"/>
        </w:rPr>
        <w:t>a city, town/suburb, or rural area.</w:t>
      </w:r>
      <w:r w:rsidR="00595140">
        <w:rPr>
          <w:rFonts w:ascii="Garamond" w:hAnsi="Garamond" w:cs="Times New Roman"/>
          <w:sz w:val="24"/>
          <w:szCs w:val="24"/>
        </w:rPr>
        <w:t xml:space="preserve"> </w:t>
      </w:r>
      <w:r w:rsidR="00105DA1">
        <w:rPr>
          <w:rFonts w:ascii="Garamond" w:hAnsi="Garamond" w:cs="Times New Roman"/>
          <w:sz w:val="24"/>
          <w:szCs w:val="24"/>
        </w:rPr>
        <w:t xml:space="preserve">We drop </w:t>
      </w:r>
      <w:r w:rsidR="00FE6DC4">
        <w:rPr>
          <w:rFonts w:ascii="Garamond" w:hAnsi="Garamond" w:cs="Times New Roman"/>
          <w:sz w:val="24"/>
          <w:szCs w:val="24"/>
        </w:rPr>
        <w:t xml:space="preserve">about </w:t>
      </w:r>
      <w:r w:rsidR="00E34D07">
        <w:rPr>
          <w:rFonts w:ascii="Garamond" w:hAnsi="Garamond" w:cs="Times New Roman"/>
          <w:sz w:val="24"/>
          <w:szCs w:val="24"/>
        </w:rPr>
        <w:t>13%</w:t>
      </w:r>
      <w:r w:rsidR="00454ADD">
        <w:rPr>
          <w:rFonts w:ascii="Garamond" w:hAnsi="Garamond" w:cs="Times New Roman"/>
          <w:sz w:val="24"/>
          <w:szCs w:val="24"/>
        </w:rPr>
        <w:t xml:space="preserve"> teacher</w:t>
      </w:r>
      <w:r w:rsidR="00922DD0">
        <w:rPr>
          <w:rFonts w:ascii="Garamond" w:hAnsi="Garamond" w:cs="Times New Roman"/>
          <w:sz w:val="24"/>
          <w:szCs w:val="24"/>
        </w:rPr>
        <w:t>-years</w:t>
      </w:r>
      <w:r w:rsidR="00454ADD">
        <w:rPr>
          <w:rFonts w:ascii="Garamond" w:hAnsi="Garamond" w:cs="Times New Roman"/>
          <w:sz w:val="24"/>
          <w:szCs w:val="24"/>
        </w:rPr>
        <w:t xml:space="preserve"> due to missing values</w:t>
      </w:r>
      <w:r w:rsidR="00192244">
        <w:rPr>
          <w:rFonts w:ascii="Garamond" w:hAnsi="Garamond" w:cs="Times New Roman"/>
          <w:sz w:val="24"/>
          <w:szCs w:val="24"/>
        </w:rPr>
        <w:t>, most of whom are dropped because we cannot identify their teaching assignment.</w:t>
      </w:r>
      <w:r w:rsidR="005A16E9">
        <w:rPr>
          <w:rFonts w:ascii="Garamond" w:hAnsi="Garamond" w:cs="Times New Roman"/>
          <w:sz w:val="24"/>
          <w:szCs w:val="24"/>
        </w:rPr>
        <w:t xml:space="preserve"> </w:t>
      </w:r>
    </w:p>
    <w:p w14:paraId="2E380F53" w14:textId="17426CF5" w:rsidR="00EE5477" w:rsidRPr="00F719E2" w:rsidRDefault="007926AD" w:rsidP="00C6646B">
      <w:pPr>
        <w:spacing w:after="0" w:line="480" w:lineRule="auto"/>
        <w:ind w:firstLine="720"/>
        <w:rPr>
          <w:rFonts w:ascii="Garamond" w:hAnsi="Garamond" w:cs="Times New Roman"/>
          <w:sz w:val="24"/>
          <w:szCs w:val="24"/>
        </w:rPr>
      </w:pPr>
      <w:proofErr w:type="gramStart"/>
      <w:r>
        <w:rPr>
          <w:rFonts w:ascii="Garamond" w:hAnsi="Garamond" w:cs="Times New Roman"/>
          <w:sz w:val="24"/>
          <w:szCs w:val="24"/>
        </w:rPr>
        <w:t>After going through this sample selection process, there</w:t>
      </w:r>
      <w:proofErr w:type="gramEnd"/>
      <w:r>
        <w:rPr>
          <w:rFonts w:ascii="Garamond" w:hAnsi="Garamond" w:cs="Times New Roman"/>
          <w:sz w:val="24"/>
          <w:szCs w:val="24"/>
        </w:rPr>
        <w:t xml:space="preserve"> </w:t>
      </w:r>
      <w:r w:rsidR="00DE3B95">
        <w:rPr>
          <w:rFonts w:ascii="Garamond" w:hAnsi="Garamond" w:cs="Times New Roman"/>
          <w:sz w:val="24"/>
          <w:szCs w:val="24"/>
        </w:rPr>
        <w:t xml:space="preserve">are some </w:t>
      </w:r>
      <w:r w:rsidR="00200E60">
        <w:rPr>
          <w:rFonts w:ascii="Garamond" w:hAnsi="Garamond" w:cs="Times New Roman"/>
          <w:sz w:val="24"/>
          <w:szCs w:val="24"/>
        </w:rPr>
        <w:t xml:space="preserve">RTW teachers </w:t>
      </w:r>
      <w:r w:rsidR="00DF1B76">
        <w:rPr>
          <w:rFonts w:ascii="Garamond" w:hAnsi="Garamond" w:cs="Times New Roman"/>
          <w:sz w:val="24"/>
          <w:szCs w:val="24"/>
        </w:rPr>
        <w:t xml:space="preserve">for whom we no longer observe their first year back to work after retirement. </w:t>
      </w:r>
      <w:r w:rsidR="00455247">
        <w:rPr>
          <w:rFonts w:ascii="Garamond" w:hAnsi="Garamond" w:cs="Times New Roman"/>
          <w:sz w:val="24"/>
          <w:szCs w:val="24"/>
        </w:rPr>
        <w:t xml:space="preserve">We exclude </w:t>
      </w:r>
      <w:r w:rsidR="00351FC7">
        <w:rPr>
          <w:rFonts w:ascii="Garamond" w:hAnsi="Garamond" w:cs="Times New Roman"/>
          <w:sz w:val="24"/>
          <w:szCs w:val="24"/>
        </w:rPr>
        <w:t xml:space="preserve">the rest of these teachers’ observations to keep our analysis sample consistent. In other words, </w:t>
      </w:r>
      <w:r w:rsidR="00A34AD7">
        <w:rPr>
          <w:rFonts w:ascii="Garamond" w:hAnsi="Garamond" w:cs="Times New Roman"/>
          <w:sz w:val="24"/>
          <w:szCs w:val="24"/>
        </w:rPr>
        <w:t>we only include RTW teachers in our sample if we can see the first year they return to work.</w:t>
      </w:r>
      <w:r w:rsidR="00C41A8E">
        <w:rPr>
          <w:rFonts w:ascii="Garamond" w:hAnsi="Garamond" w:cs="Times New Roman"/>
          <w:sz w:val="24"/>
          <w:szCs w:val="24"/>
        </w:rPr>
        <w:t xml:space="preserve"> </w:t>
      </w:r>
      <w:r w:rsidR="006D08C6">
        <w:rPr>
          <w:rFonts w:ascii="Garamond" w:hAnsi="Garamond" w:cs="Times New Roman"/>
          <w:sz w:val="24"/>
          <w:szCs w:val="24"/>
        </w:rPr>
        <w:t xml:space="preserve">We explain why we use only first-year RTW teachers in the methods section. </w:t>
      </w:r>
      <w:r w:rsidR="00B641DB">
        <w:rPr>
          <w:rFonts w:ascii="Garamond" w:hAnsi="Garamond" w:cs="Times New Roman"/>
          <w:sz w:val="24"/>
          <w:szCs w:val="24"/>
        </w:rPr>
        <w:t xml:space="preserve">Our final analysis sample includes </w:t>
      </w:r>
      <w:r w:rsidR="0018340A">
        <w:rPr>
          <w:rFonts w:ascii="Garamond" w:hAnsi="Garamond" w:cs="Times New Roman"/>
          <w:sz w:val="24"/>
          <w:szCs w:val="24"/>
        </w:rPr>
        <w:t xml:space="preserve">2,694 </w:t>
      </w:r>
      <w:r w:rsidR="00C7379B" w:rsidRPr="00F719E2">
        <w:rPr>
          <w:rFonts w:ascii="Garamond" w:hAnsi="Garamond" w:cs="Times New Roman"/>
          <w:sz w:val="24"/>
          <w:szCs w:val="24"/>
        </w:rPr>
        <w:t>RTW teachers</w:t>
      </w:r>
      <w:r w:rsidR="0018340A">
        <w:rPr>
          <w:rFonts w:ascii="Garamond" w:hAnsi="Garamond" w:cs="Times New Roman"/>
          <w:sz w:val="24"/>
          <w:szCs w:val="24"/>
        </w:rPr>
        <w:t>.</w:t>
      </w:r>
    </w:p>
    <w:p w14:paraId="7496E4D9" w14:textId="39EA0F79" w:rsidR="000B3B4B" w:rsidRPr="00673826" w:rsidRDefault="00453C10" w:rsidP="00673826">
      <w:pPr>
        <w:spacing w:after="0" w:line="480" w:lineRule="auto"/>
        <w:jc w:val="center"/>
        <w:rPr>
          <w:rFonts w:ascii="Garamond" w:hAnsi="Garamond" w:cs="Times New Roman"/>
          <w:b/>
          <w:bCs/>
          <w:sz w:val="24"/>
          <w:szCs w:val="24"/>
        </w:rPr>
      </w:pPr>
      <w:r w:rsidRPr="00673826">
        <w:rPr>
          <w:rFonts w:ascii="Garamond" w:hAnsi="Garamond" w:cs="Times New Roman"/>
          <w:b/>
          <w:bCs/>
          <w:sz w:val="24"/>
          <w:szCs w:val="24"/>
        </w:rPr>
        <w:t>Methods</w:t>
      </w:r>
    </w:p>
    <w:p w14:paraId="6CA62762" w14:textId="513987D0" w:rsidR="00813A79" w:rsidRPr="00F719E2" w:rsidRDefault="0018235D"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First, we </w:t>
      </w:r>
      <w:r w:rsidR="00F64BFB" w:rsidRPr="00F719E2">
        <w:rPr>
          <w:rFonts w:ascii="Garamond" w:hAnsi="Garamond" w:cs="Times New Roman"/>
          <w:sz w:val="24"/>
          <w:szCs w:val="24"/>
        </w:rPr>
        <w:t>identify RTW teachers</w:t>
      </w:r>
      <w:r w:rsidR="00E27E50" w:rsidRPr="00F719E2">
        <w:rPr>
          <w:rFonts w:ascii="Garamond" w:hAnsi="Garamond" w:cs="Times New Roman"/>
          <w:sz w:val="24"/>
          <w:szCs w:val="24"/>
        </w:rPr>
        <w:t xml:space="preserve"> and examine </w:t>
      </w:r>
      <w:r w:rsidR="00B16600">
        <w:rPr>
          <w:rFonts w:ascii="Garamond" w:hAnsi="Garamond" w:cs="Times New Roman"/>
          <w:sz w:val="24"/>
          <w:szCs w:val="24"/>
        </w:rPr>
        <w:t>their characteristics and teaching position</w:t>
      </w:r>
      <w:r w:rsidR="003C2FB1" w:rsidRPr="00F719E2">
        <w:rPr>
          <w:rFonts w:ascii="Garamond" w:hAnsi="Garamond" w:cs="Times New Roman"/>
          <w:sz w:val="24"/>
          <w:szCs w:val="24"/>
        </w:rPr>
        <w:t xml:space="preserve"> during the</w:t>
      </w:r>
      <w:r w:rsidR="00D26082" w:rsidRPr="00F719E2">
        <w:rPr>
          <w:rFonts w:ascii="Garamond" w:hAnsi="Garamond" w:cs="Times New Roman"/>
          <w:sz w:val="24"/>
          <w:szCs w:val="24"/>
        </w:rPr>
        <w:t xml:space="preserve"> first year they return</w:t>
      </w:r>
      <w:r w:rsidR="008B5588" w:rsidRPr="00F719E2">
        <w:rPr>
          <w:rFonts w:ascii="Garamond" w:hAnsi="Garamond" w:cs="Times New Roman"/>
          <w:sz w:val="24"/>
          <w:szCs w:val="24"/>
        </w:rPr>
        <w:t>.</w:t>
      </w:r>
      <w:r w:rsidR="00B67B2E" w:rsidRPr="00F719E2">
        <w:rPr>
          <w:rFonts w:ascii="Garamond" w:hAnsi="Garamond" w:cs="Times New Roman"/>
          <w:sz w:val="24"/>
          <w:szCs w:val="24"/>
        </w:rPr>
        <w:t xml:space="preserve"> </w:t>
      </w:r>
      <w:r w:rsidR="002D09E6" w:rsidRPr="00F719E2">
        <w:rPr>
          <w:rFonts w:ascii="Garamond" w:hAnsi="Garamond" w:cs="Times New Roman"/>
          <w:sz w:val="24"/>
          <w:szCs w:val="24"/>
        </w:rPr>
        <w:t>Specifically, w</w:t>
      </w:r>
      <w:r w:rsidR="00E91558" w:rsidRPr="00F719E2">
        <w:rPr>
          <w:rFonts w:ascii="Garamond" w:hAnsi="Garamond" w:cs="Times New Roman"/>
          <w:sz w:val="24"/>
          <w:szCs w:val="24"/>
        </w:rPr>
        <w:t xml:space="preserve">e </w:t>
      </w:r>
      <w:r w:rsidR="00F813C1" w:rsidRPr="00F719E2">
        <w:rPr>
          <w:rFonts w:ascii="Garamond" w:hAnsi="Garamond" w:cs="Times New Roman"/>
          <w:sz w:val="24"/>
          <w:szCs w:val="24"/>
        </w:rPr>
        <w:t>look at</w:t>
      </w:r>
      <w:r w:rsidR="00B16600">
        <w:rPr>
          <w:rFonts w:ascii="Garamond" w:hAnsi="Garamond" w:cs="Times New Roman"/>
          <w:sz w:val="24"/>
          <w:szCs w:val="24"/>
        </w:rPr>
        <w:t xml:space="preserve"> </w:t>
      </w:r>
      <w:r w:rsidR="00F813C1" w:rsidRPr="00F719E2">
        <w:rPr>
          <w:rFonts w:ascii="Garamond" w:hAnsi="Garamond" w:cs="Times New Roman"/>
          <w:sz w:val="24"/>
          <w:szCs w:val="24"/>
        </w:rPr>
        <w:t>demographics, qualifications, and the subjects they teach</w:t>
      </w:r>
      <w:r w:rsidR="009D3731" w:rsidRPr="00F719E2">
        <w:rPr>
          <w:rFonts w:ascii="Garamond" w:hAnsi="Garamond" w:cs="Times New Roman"/>
          <w:sz w:val="24"/>
          <w:szCs w:val="24"/>
        </w:rPr>
        <w:t xml:space="preserve">. </w:t>
      </w:r>
      <w:r w:rsidR="00813A79" w:rsidRPr="00F719E2">
        <w:rPr>
          <w:rFonts w:ascii="Garamond" w:hAnsi="Garamond" w:cs="Times New Roman"/>
          <w:sz w:val="24"/>
          <w:szCs w:val="24"/>
        </w:rPr>
        <w:t xml:space="preserve">We only use the first year the </w:t>
      </w:r>
      <w:r w:rsidR="00B16600">
        <w:rPr>
          <w:rFonts w:ascii="Garamond" w:hAnsi="Garamond" w:cs="Times New Roman"/>
          <w:sz w:val="24"/>
          <w:szCs w:val="24"/>
        </w:rPr>
        <w:t>retiree</w:t>
      </w:r>
      <w:r w:rsidR="00813A79" w:rsidRPr="00F719E2">
        <w:rPr>
          <w:rFonts w:ascii="Garamond" w:hAnsi="Garamond" w:cs="Times New Roman"/>
          <w:sz w:val="24"/>
          <w:szCs w:val="24"/>
        </w:rPr>
        <w:t xml:space="preserve"> comes back to work because </w:t>
      </w:r>
      <w:r w:rsidR="00322A74" w:rsidRPr="00F719E2">
        <w:rPr>
          <w:rFonts w:ascii="Garamond" w:hAnsi="Garamond" w:cs="Times New Roman"/>
          <w:sz w:val="24"/>
          <w:szCs w:val="24"/>
        </w:rPr>
        <w:t>we want a teach</w:t>
      </w:r>
      <w:r w:rsidR="00AC6097" w:rsidRPr="00F719E2">
        <w:rPr>
          <w:rFonts w:ascii="Garamond" w:hAnsi="Garamond" w:cs="Times New Roman"/>
          <w:sz w:val="24"/>
          <w:szCs w:val="24"/>
        </w:rPr>
        <w:t>er</w:t>
      </w:r>
      <w:r w:rsidR="00B725A5" w:rsidRPr="00F719E2">
        <w:rPr>
          <w:rFonts w:ascii="Garamond" w:hAnsi="Garamond" w:cs="Times New Roman"/>
          <w:sz w:val="24"/>
          <w:szCs w:val="24"/>
        </w:rPr>
        <w:t>-</w:t>
      </w:r>
      <w:r w:rsidR="00322A74" w:rsidRPr="00F719E2">
        <w:rPr>
          <w:rFonts w:ascii="Garamond" w:hAnsi="Garamond" w:cs="Times New Roman"/>
          <w:sz w:val="24"/>
          <w:szCs w:val="24"/>
        </w:rPr>
        <w:t xml:space="preserve">level sample for our analysis. </w:t>
      </w:r>
      <w:r w:rsidR="00B16600">
        <w:rPr>
          <w:rFonts w:ascii="Garamond" w:hAnsi="Garamond" w:cs="Times New Roman"/>
          <w:sz w:val="24"/>
          <w:szCs w:val="24"/>
        </w:rPr>
        <w:t xml:space="preserve">This way our results describe the population of RTW teachers. An alternative would be to describe all RTW teachers over all the years they returned, but this would overweight the characteristics of teachers who return for more years. </w:t>
      </w:r>
      <w:r w:rsidR="00800387" w:rsidRPr="00F719E2">
        <w:rPr>
          <w:rFonts w:ascii="Garamond" w:hAnsi="Garamond" w:cs="Times New Roman"/>
          <w:sz w:val="24"/>
          <w:szCs w:val="24"/>
        </w:rPr>
        <w:t>I</w:t>
      </w:r>
      <w:r w:rsidR="00B16600">
        <w:rPr>
          <w:rFonts w:ascii="Garamond" w:hAnsi="Garamond" w:cs="Times New Roman"/>
          <w:sz w:val="24"/>
          <w:szCs w:val="24"/>
        </w:rPr>
        <w:t xml:space="preserve">t </w:t>
      </w:r>
      <w:r w:rsidR="00800387" w:rsidRPr="00F719E2">
        <w:rPr>
          <w:rFonts w:ascii="Garamond" w:hAnsi="Garamond" w:cs="Times New Roman"/>
          <w:sz w:val="24"/>
          <w:szCs w:val="24"/>
        </w:rPr>
        <w:t xml:space="preserve">is not problematic to </w:t>
      </w:r>
      <w:r w:rsidR="00B16600">
        <w:rPr>
          <w:rFonts w:ascii="Garamond" w:hAnsi="Garamond" w:cs="Times New Roman"/>
          <w:sz w:val="24"/>
          <w:szCs w:val="24"/>
        </w:rPr>
        <w:t xml:space="preserve">use this teacher-level sample </w:t>
      </w:r>
      <w:r w:rsidR="00813174" w:rsidRPr="00F719E2">
        <w:rPr>
          <w:rFonts w:ascii="Garamond" w:hAnsi="Garamond" w:cs="Times New Roman"/>
          <w:sz w:val="24"/>
          <w:szCs w:val="24"/>
        </w:rPr>
        <w:t>because most</w:t>
      </w:r>
      <w:r w:rsidR="0015067C" w:rsidRPr="00F719E2">
        <w:rPr>
          <w:rFonts w:ascii="Garamond" w:hAnsi="Garamond" w:cs="Times New Roman"/>
          <w:sz w:val="24"/>
          <w:szCs w:val="24"/>
        </w:rPr>
        <w:t xml:space="preserve"> (</w:t>
      </w:r>
      <w:r w:rsidR="00561F21" w:rsidRPr="00F719E2">
        <w:rPr>
          <w:rFonts w:ascii="Garamond" w:hAnsi="Garamond" w:cs="Times New Roman"/>
          <w:sz w:val="24"/>
          <w:szCs w:val="24"/>
        </w:rPr>
        <w:t>85</w:t>
      </w:r>
      <w:r w:rsidR="0015067C" w:rsidRPr="00F719E2">
        <w:rPr>
          <w:rFonts w:ascii="Garamond" w:hAnsi="Garamond" w:cs="Times New Roman"/>
          <w:sz w:val="24"/>
          <w:szCs w:val="24"/>
        </w:rPr>
        <w:t>%)</w:t>
      </w:r>
      <w:r w:rsidR="00813174" w:rsidRPr="00F719E2">
        <w:rPr>
          <w:rFonts w:ascii="Garamond" w:hAnsi="Garamond" w:cs="Times New Roman"/>
          <w:sz w:val="24"/>
          <w:szCs w:val="24"/>
        </w:rPr>
        <w:t xml:space="preserve"> RTW teachers do not switch schools after their first year </w:t>
      </w:r>
      <w:r w:rsidR="00813174" w:rsidRPr="00F719E2">
        <w:rPr>
          <w:rFonts w:ascii="Garamond" w:hAnsi="Garamond" w:cs="Times New Roman"/>
          <w:sz w:val="24"/>
          <w:szCs w:val="24"/>
        </w:rPr>
        <w:lastRenderedPageBreak/>
        <w:t>back and</w:t>
      </w:r>
      <w:r w:rsidR="000C38EB" w:rsidRPr="00F719E2">
        <w:rPr>
          <w:rFonts w:ascii="Garamond" w:hAnsi="Garamond" w:cs="Times New Roman"/>
          <w:sz w:val="24"/>
          <w:szCs w:val="24"/>
        </w:rPr>
        <w:t xml:space="preserve"> </w:t>
      </w:r>
      <w:r w:rsidR="008B5606" w:rsidRPr="00F719E2">
        <w:rPr>
          <w:rFonts w:ascii="Garamond" w:hAnsi="Garamond" w:cs="Times New Roman"/>
          <w:sz w:val="24"/>
          <w:szCs w:val="24"/>
        </w:rPr>
        <w:t>the characteristics we observe</w:t>
      </w:r>
      <w:r w:rsidR="000C38EB" w:rsidRPr="00F719E2">
        <w:rPr>
          <w:rFonts w:ascii="Garamond" w:hAnsi="Garamond" w:cs="Times New Roman"/>
          <w:sz w:val="24"/>
          <w:szCs w:val="24"/>
        </w:rPr>
        <w:t>, aside from years of experience and possibly subject taught,</w:t>
      </w:r>
      <w:r w:rsidR="008B5606" w:rsidRPr="00F719E2">
        <w:rPr>
          <w:rFonts w:ascii="Garamond" w:hAnsi="Garamond" w:cs="Times New Roman"/>
          <w:sz w:val="24"/>
          <w:szCs w:val="24"/>
        </w:rPr>
        <w:t xml:space="preserve"> are time</w:t>
      </w:r>
      <w:r w:rsidR="00B16600">
        <w:rPr>
          <w:rFonts w:ascii="Garamond" w:hAnsi="Garamond" w:cs="Times New Roman"/>
          <w:sz w:val="24"/>
          <w:szCs w:val="24"/>
        </w:rPr>
        <w:t>-</w:t>
      </w:r>
      <w:r w:rsidR="008B5606" w:rsidRPr="00F719E2">
        <w:rPr>
          <w:rFonts w:ascii="Garamond" w:hAnsi="Garamond" w:cs="Times New Roman"/>
          <w:sz w:val="24"/>
          <w:szCs w:val="24"/>
        </w:rPr>
        <w:t>invariant</w:t>
      </w:r>
      <w:r w:rsidR="00AC6097" w:rsidRPr="00F719E2">
        <w:rPr>
          <w:rFonts w:ascii="Garamond" w:hAnsi="Garamond" w:cs="Times New Roman"/>
          <w:sz w:val="24"/>
          <w:szCs w:val="24"/>
        </w:rPr>
        <w:t>.</w:t>
      </w:r>
      <w:r w:rsidR="00813A79" w:rsidRPr="00F719E2">
        <w:rPr>
          <w:rFonts w:ascii="Garamond" w:hAnsi="Garamond" w:cs="Times New Roman"/>
          <w:sz w:val="24"/>
          <w:szCs w:val="24"/>
        </w:rPr>
        <w:t xml:space="preserve"> </w:t>
      </w:r>
    </w:p>
    <w:p w14:paraId="6EEFF1F7" w14:textId="26D2BD36" w:rsidR="002B6F24" w:rsidRPr="00F719E2" w:rsidRDefault="00800387"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Second, we </w:t>
      </w:r>
      <w:r w:rsidR="004C47B0" w:rsidRPr="00F719E2">
        <w:rPr>
          <w:rFonts w:ascii="Garamond" w:hAnsi="Garamond" w:cs="Times New Roman"/>
          <w:sz w:val="24"/>
          <w:szCs w:val="24"/>
        </w:rPr>
        <w:t>characterize the schools RTW teachers returned to, again in their first year back.</w:t>
      </w:r>
      <w:r w:rsidR="005A1BAC">
        <w:rPr>
          <w:rFonts w:ascii="Garamond" w:hAnsi="Garamond" w:cs="Times New Roman"/>
          <w:sz w:val="24"/>
          <w:szCs w:val="24"/>
        </w:rPr>
        <w:t xml:space="preserve"> We do this at the teacher-level, meaning schools that hired more than one RTW teacher are overrepresented. </w:t>
      </w:r>
      <w:r w:rsidR="00882F23" w:rsidRPr="00F719E2">
        <w:rPr>
          <w:rFonts w:ascii="Garamond" w:hAnsi="Garamond" w:cs="Times New Roman"/>
          <w:sz w:val="24"/>
          <w:szCs w:val="24"/>
        </w:rPr>
        <w:t xml:space="preserve">We </w:t>
      </w:r>
      <w:r w:rsidR="00A91E75" w:rsidRPr="00F719E2">
        <w:rPr>
          <w:rFonts w:ascii="Garamond" w:hAnsi="Garamond" w:cs="Times New Roman"/>
          <w:sz w:val="24"/>
          <w:szCs w:val="24"/>
        </w:rPr>
        <w:t xml:space="preserve">look at average school characteristics like </w:t>
      </w:r>
      <w:r w:rsidR="000B7973" w:rsidRPr="00F719E2">
        <w:rPr>
          <w:rFonts w:ascii="Garamond" w:hAnsi="Garamond" w:cs="Times New Roman"/>
          <w:sz w:val="24"/>
          <w:szCs w:val="24"/>
        </w:rPr>
        <w:t xml:space="preserve">school level and </w:t>
      </w:r>
      <w:r w:rsidR="00613CBB" w:rsidRPr="00F719E2">
        <w:rPr>
          <w:rFonts w:ascii="Garamond" w:hAnsi="Garamond" w:cs="Times New Roman"/>
          <w:sz w:val="24"/>
          <w:szCs w:val="24"/>
        </w:rPr>
        <w:t>urbanicity</w:t>
      </w:r>
      <w:r w:rsidR="00AF02C1" w:rsidRPr="00F719E2">
        <w:rPr>
          <w:rFonts w:ascii="Garamond" w:hAnsi="Garamond" w:cs="Times New Roman"/>
          <w:sz w:val="24"/>
          <w:szCs w:val="24"/>
        </w:rPr>
        <w:t xml:space="preserve">. </w:t>
      </w:r>
      <w:r w:rsidR="005A1BAC">
        <w:rPr>
          <w:rFonts w:ascii="Garamond" w:hAnsi="Garamond" w:cs="Times New Roman"/>
          <w:sz w:val="24"/>
          <w:szCs w:val="24"/>
        </w:rPr>
        <w:t xml:space="preserve">Specifically, </w:t>
      </w:r>
      <w:r w:rsidR="009B169E" w:rsidRPr="00F719E2">
        <w:rPr>
          <w:rFonts w:ascii="Garamond" w:hAnsi="Garamond" w:cs="Times New Roman"/>
          <w:sz w:val="24"/>
          <w:szCs w:val="24"/>
        </w:rPr>
        <w:t xml:space="preserve">we use our teacher-level sample </w:t>
      </w:r>
      <w:r w:rsidR="006C56D5" w:rsidRPr="00F719E2">
        <w:rPr>
          <w:rFonts w:ascii="Garamond" w:hAnsi="Garamond" w:cs="Times New Roman"/>
          <w:sz w:val="24"/>
          <w:szCs w:val="24"/>
        </w:rPr>
        <w:t>to identify, on average, how many RTW teachers worked in an elementary, middle</w:t>
      </w:r>
      <w:r w:rsidR="00C90132" w:rsidRPr="00F719E2">
        <w:rPr>
          <w:rFonts w:ascii="Garamond" w:hAnsi="Garamond" w:cs="Times New Roman"/>
          <w:sz w:val="24"/>
          <w:szCs w:val="24"/>
        </w:rPr>
        <w:t>,</w:t>
      </w:r>
      <w:r w:rsidR="006C56D5" w:rsidRPr="00F719E2">
        <w:rPr>
          <w:rFonts w:ascii="Garamond" w:hAnsi="Garamond" w:cs="Times New Roman"/>
          <w:sz w:val="24"/>
          <w:szCs w:val="24"/>
        </w:rPr>
        <w:t xml:space="preserve"> or high school, or </w:t>
      </w:r>
      <w:r w:rsidR="00C90132" w:rsidRPr="00F719E2">
        <w:rPr>
          <w:rFonts w:ascii="Garamond" w:hAnsi="Garamond" w:cs="Times New Roman"/>
          <w:sz w:val="24"/>
          <w:szCs w:val="24"/>
        </w:rPr>
        <w:t>a school that is in</w:t>
      </w:r>
      <w:r w:rsidR="00613CBB" w:rsidRPr="00F719E2">
        <w:rPr>
          <w:rFonts w:ascii="Garamond" w:hAnsi="Garamond" w:cs="Times New Roman"/>
          <w:sz w:val="24"/>
          <w:szCs w:val="24"/>
        </w:rPr>
        <w:t xml:space="preserve"> a city, suburb or town, or rural area. </w:t>
      </w:r>
      <w:r w:rsidR="00B05579" w:rsidRPr="00F719E2">
        <w:rPr>
          <w:rFonts w:ascii="Garamond" w:hAnsi="Garamond" w:cs="Times New Roman"/>
          <w:sz w:val="24"/>
          <w:szCs w:val="24"/>
        </w:rPr>
        <w:t xml:space="preserve">We also identify how many RTW teachers went back to the school they taught at </w:t>
      </w:r>
      <w:r w:rsidR="00B16600">
        <w:rPr>
          <w:rFonts w:ascii="Garamond" w:hAnsi="Garamond" w:cs="Times New Roman"/>
          <w:sz w:val="24"/>
          <w:szCs w:val="24"/>
        </w:rPr>
        <w:t xml:space="preserve">just </w:t>
      </w:r>
      <w:r w:rsidR="00B05579" w:rsidRPr="00F719E2">
        <w:rPr>
          <w:rFonts w:ascii="Garamond" w:hAnsi="Garamond" w:cs="Times New Roman"/>
          <w:sz w:val="24"/>
          <w:szCs w:val="24"/>
        </w:rPr>
        <w:t>prior to retirement</w:t>
      </w:r>
      <w:r w:rsidR="00B16600">
        <w:rPr>
          <w:rFonts w:ascii="Garamond" w:hAnsi="Garamond" w:cs="Times New Roman"/>
          <w:sz w:val="24"/>
          <w:szCs w:val="24"/>
        </w:rPr>
        <w:t xml:space="preserve"> versus w</w:t>
      </w:r>
      <w:r w:rsidR="006C1121" w:rsidRPr="00F719E2">
        <w:rPr>
          <w:rFonts w:ascii="Garamond" w:hAnsi="Garamond" w:cs="Times New Roman"/>
          <w:sz w:val="24"/>
          <w:szCs w:val="24"/>
        </w:rPr>
        <w:t xml:space="preserve">ent to a different school. </w:t>
      </w:r>
    </w:p>
    <w:p w14:paraId="3FBCEE92" w14:textId="7A22597D" w:rsidR="00FB06F3" w:rsidRPr="00F719E2" w:rsidRDefault="00BE5D62"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Additionally, </w:t>
      </w:r>
      <w:r w:rsidR="007B0CE5" w:rsidRPr="00F719E2">
        <w:rPr>
          <w:rFonts w:ascii="Garamond" w:hAnsi="Garamond" w:cs="Times New Roman"/>
          <w:sz w:val="24"/>
          <w:szCs w:val="24"/>
        </w:rPr>
        <w:t>we</w:t>
      </w:r>
      <w:r w:rsidR="00164685" w:rsidRPr="00F719E2">
        <w:rPr>
          <w:rFonts w:ascii="Garamond" w:hAnsi="Garamond" w:cs="Times New Roman"/>
          <w:sz w:val="24"/>
          <w:szCs w:val="24"/>
        </w:rPr>
        <w:t xml:space="preserve"> </w:t>
      </w:r>
      <w:r w:rsidR="00792061" w:rsidRPr="00F719E2">
        <w:rPr>
          <w:rFonts w:ascii="Garamond" w:hAnsi="Garamond" w:cs="Times New Roman"/>
          <w:sz w:val="24"/>
          <w:szCs w:val="24"/>
        </w:rPr>
        <w:t>exami</w:t>
      </w:r>
      <w:r w:rsidR="00403D37" w:rsidRPr="00F719E2">
        <w:rPr>
          <w:rFonts w:ascii="Garamond" w:hAnsi="Garamond" w:cs="Times New Roman"/>
          <w:sz w:val="24"/>
          <w:szCs w:val="24"/>
        </w:rPr>
        <w:t xml:space="preserve">ne the student body in </w:t>
      </w:r>
      <w:r w:rsidR="00EF6A72" w:rsidRPr="00F719E2">
        <w:rPr>
          <w:rFonts w:ascii="Garamond" w:hAnsi="Garamond" w:cs="Times New Roman"/>
          <w:sz w:val="24"/>
          <w:szCs w:val="24"/>
        </w:rPr>
        <w:t>the schools that hire</w:t>
      </w:r>
      <w:r w:rsidR="00F10406" w:rsidRPr="00F719E2">
        <w:rPr>
          <w:rFonts w:ascii="Garamond" w:hAnsi="Garamond" w:cs="Times New Roman"/>
          <w:sz w:val="24"/>
          <w:szCs w:val="24"/>
        </w:rPr>
        <w:t>d</w:t>
      </w:r>
      <w:r w:rsidR="00EF6A72" w:rsidRPr="00F719E2">
        <w:rPr>
          <w:rFonts w:ascii="Garamond" w:hAnsi="Garamond" w:cs="Times New Roman"/>
          <w:sz w:val="24"/>
          <w:szCs w:val="24"/>
        </w:rPr>
        <w:t xml:space="preserve"> RTW teachers</w:t>
      </w:r>
      <w:r w:rsidR="007F0B8A" w:rsidRPr="00F719E2">
        <w:rPr>
          <w:rFonts w:ascii="Garamond" w:hAnsi="Garamond" w:cs="Times New Roman"/>
          <w:sz w:val="24"/>
          <w:szCs w:val="24"/>
        </w:rPr>
        <w:t>.</w:t>
      </w:r>
      <w:r w:rsidR="000D0A6A" w:rsidRPr="00F719E2">
        <w:rPr>
          <w:rFonts w:ascii="Garamond" w:hAnsi="Garamond" w:cs="Times New Roman"/>
          <w:sz w:val="24"/>
          <w:szCs w:val="24"/>
        </w:rPr>
        <w:t xml:space="preserve"> </w:t>
      </w:r>
      <w:r w:rsidR="00D71B6A" w:rsidRPr="00F719E2">
        <w:rPr>
          <w:rFonts w:ascii="Garamond" w:hAnsi="Garamond" w:cs="Times New Roman"/>
          <w:sz w:val="24"/>
          <w:szCs w:val="24"/>
        </w:rPr>
        <w:t>Since p</w:t>
      </w:r>
      <w:r w:rsidR="00887168" w:rsidRPr="00F719E2">
        <w:rPr>
          <w:rFonts w:ascii="Garamond" w:hAnsi="Garamond" w:cs="Times New Roman"/>
          <w:sz w:val="24"/>
          <w:szCs w:val="24"/>
        </w:rPr>
        <w:t>revious</w:t>
      </w:r>
      <w:r w:rsidR="002E1760" w:rsidRPr="00F719E2">
        <w:rPr>
          <w:rFonts w:ascii="Garamond" w:hAnsi="Garamond" w:cs="Times New Roman"/>
          <w:sz w:val="24"/>
          <w:szCs w:val="24"/>
        </w:rPr>
        <w:t xml:space="preserve"> literature suggests that teacher sho</w:t>
      </w:r>
      <w:r w:rsidR="00DC22E4" w:rsidRPr="00F719E2">
        <w:rPr>
          <w:rFonts w:ascii="Garamond" w:hAnsi="Garamond" w:cs="Times New Roman"/>
          <w:sz w:val="24"/>
          <w:szCs w:val="24"/>
        </w:rPr>
        <w:t>rtages are concentrated in schools with m</w:t>
      </w:r>
      <w:r w:rsidR="00FB47D6" w:rsidRPr="00F719E2">
        <w:rPr>
          <w:rFonts w:ascii="Garamond" w:hAnsi="Garamond" w:cs="Times New Roman"/>
          <w:sz w:val="24"/>
          <w:szCs w:val="24"/>
        </w:rPr>
        <w:t>any</w:t>
      </w:r>
      <w:r w:rsidR="00DC22E4" w:rsidRPr="00F719E2">
        <w:rPr>
          <w:rFonts w:ascii="Garamond" w:hAnsi="Garamond" w:cs="Times New Roman"/>
          <w:sz w:val="24"/>
          <w:szCs w:val="24"/>
        </w:rPr>
        <w:t xml:space="preserve"> high-need students,</w:t>
      </w:r>
      <w:r w:rsidR="00887A19" w:rsidRPr="00F719E2">
        <w:rPr>
          <w:rFonts w:ascii="Garamond" w:hAnsi="Garamond" w:cs="Times New Roman"/>
          <w:sz w:val="24"/>
          <w:szCs w:val="24"/>
        </w:rPr>
        <w:t xml:space="preserve"> </w:t>
      </w:r>
      <w:r w:rsidR="00DC22E4" w:rsidRPr="00F719E2">
        <w:rPr>
          <w:rFonts w:ascii="Garamond" w:hAnsi="Garamond" w:cs="Times New Roman"/>
          <w:sz w:val="24"/>
          <w:szCs w:val="24"/>
        </w:rPr>
        <w:t xml:space="preserve">we focus </w:t>
      </w:r>
      <w:r w:rsidR="00174867" w:rsidRPr="00F719E2">
        <w:rPr>
          <w:rFonts w:ascii="Garamond" w:hAnsi="Garamond" w:cs="Times New Roman"/>
          <w:sz w:val="24"/>
          <w:szCs w:val="24"/>
        </w:rPr>
        <w:t>our analys</w:t>
      </w:r>
      <w:r w:rsidR="00FB2E14" w:rsidRPr="00F719E2">
        <w:rPr>
          <w:rFonts w:ascii="Garamond" w:hAnsi="Garamond" w:cs="Times New Roman"/>
          <w:sz w:val="24"/>
          <w:szCs w:val="24"/>
        </w:rPr>
        <w:t xml:space="preserve">is on </w:t>
      </w:r>
      <w:r w:rsidR="009B1A14" w:rsidRPr="00F719E2">
        <w:rPr>
          <w:rFonts w:ascii="Garamond" w:hAnsi="Garamond" w:cs="Times New Roman"/>
          <w:sz w:val="24"/>
          <w:szCs w:val="24"/>
        </w:rPr>
        <w:t xml:space="preserve">student economic disadvantage and minority status, which </w:t>
      </w:r>
      <w:r w:rsidR="00DE398E" w:rsidRPr="00F719E2">
        <w:rPr>
          <w:rFonts w:ascii="Garamond" w:hAnsi="Garamond" w:cs="Times New Roman"/>
          <w:sz w:val="24"/>
          <w:szCs w:val="24"/>
        </w:rPr>
        <w:t xml:space="preserve">are generally indicative of need. </w:t>
      </w:r>
      <w:r w:rsidR="00BE6750" w:rsidRPr="00F719E2">
        <w:rPr>
          <w:rFonts w:ascii="Garamond" w:hAnsi="Garamond" w:cs="Times New Roman"/>
          <w:sz w:val="24"/>
          <w:szCs w:val="24"/>
        </w:rPr>
        <w:t xml:space="preserve">We also look </w:t>
      </w:r>
      <w:r w:rsidR="00CA70E8" w:rsidRPr="00F719E2">
        <w:rPr>
          <w:rFonts w:ascii="Garamond" w:hAnsi="Garamond" w:cs="Times New Roman"/>
          <w:sz w:val="24"/>
          <w:szCs w:val="24"/>
        </w:rPr>
        <w:t xml:space="preserve">at quartiles </w:t>
      </w:r>
      <w:r w:rsidR="00406E51">
        <w:rPr>
          <w:rFonts w:ascii="Garamond" w:hAnsi="Garamond" w:cs="Times New Roman"/>
          <w:sz w:val="24"/>
          <w:szCs w:val="24"/>
        </w:rPr>
        <w:t>(like Carver-Thomas &amp; Darling-Hammond, 2019</w:t>
      </w:r>
      <w:r w:rsidR="003F44A2">
        <w:rPr>
          <w:rFonts w:ascii="Garamond" w:hAnsi="Garamond" w:cs="Times New Roman"/>
          <w:sz w:val="24"/>
          <w:szCs w:val="24"/>
        </w:rPr>
        <w:t xml:space="preserve"> and </w:t>
      </w:r>
      <w:r w:rsidR="00AC2F95">
        <w:rPr>
          <w:rFonts w:ascii="Garamond" w:hAnsi="Garamond" w:cs="Times New Roman"/>
          <w:sz w:val="24"/>
          <w:szCs w:val="24"/>
        </w:rPr>
        <w:t xml:space="preserve">NCES, 2022) </w:t>
      </w:r>
      <w:r w:rsidR="00CA70E8" w:rsidRPr="00F719E2">
        <w:rPr>
          <w:rFonts w:ascii="Garamond" w:hAnsi="Garamond" w:cs="Times New Roman"/>
          <w:sz w:val="24"/>
          <w:szCs w:val="24"/>
        </w:rPr>
        <w:t>instead of average characteristics</w:t>
      </w:r>
      <w:r w:rsidR="00074485" w:rsidRPr="00F719E2">
        <w:rPr>
          <w:rFonts w:ascii="Garamond" w:hAnsi="Garamond" w:cs="Times New Roman"/>
          <w:sz w:val="24"/>
          <w:szCs w:val="24"/>
        </w:rPr>
        <w:t xml:space="preserve"> to give us a </w:t>
      </w:r>
      <w:r w:rsidR="005A1BAC">
        <w:rPr>
          <w:rFonts w:ascii="Garamond" w:hAnsi="Garamond" w:cs="Times New Roman"/>
          <w:sz w:val="24"/>
          <w:szCs w:val="24"/>
        </w:rPr>
        <w:t>clear</w:t>
      </w:r>
      <w:r w:rsidR="00166B81" w:rsidRPr="00F719E2">
        <w:rPr>
          <w:rFonts w:ascii="Garamond" w:hAnsi="Garamond" w:cs="Times New Roman"/>
          <w:sz w:val="24"/>
          <w:szCs w:val="24"/>
        </w:rPr>
        <w:t xml:space="preserve">er </w:t>
      </w:r>
      <w:r w:rsidR="004A10DB" w:rsidRPr="00F719E2">
        <w:rPr>
          <w:rFonts w:ascii="Garamond" w:hAnsi="Garamond" w:cs="Times New Roman"/>
          <w:sz w:val="24"/>
          <w:szCs w:val="24"/>
        </w:rPr>
        <w:t xml:space="preserve">idea of </w:t>
      </w:r>
      <w:r w:rsidR="005A1BAC">
        <w:rPr>
          <w:rFonts w:ascii="Garamond" w:hAnsi="Garamond" w:cs="Times New Roman"/>
          <w:sz w:val="24"/>
          <w:szCs w:val="24"/>
        </w:rPr>
        <w:t>the distribution of schools impacted by the policy rather than just the mean.</w:t>
      </w:r>
      <w:r w:rsidR="00DB291E">
        <w:rPr>
          <w:rFonts w:ascii="Garamond" w:hAnsi="Garamond" w:cs="Times New Roman"/>
          <w:sz w:val="24"/>
          <w:szCs w:val="24"/>
        </w:rPr>
        <w:t xml:space="preserve"> </w:t>
      </w:r>
      <w:r w:rsidR="005A1BAC">
        <w:rPr>
          <w:rFonts w:ascii="Garamond" w:hAnsi="Garamond" w:cs="Times New Roman"/>
          <w:sz w:val="24"/>
          <w:szCs w:val="24"/>
        </w:rPr>
        <w:t>Sp</w:t>
      </w:r>
      <w:r w:rsidR="00477174" w:rsidRPr="00F719E2">
        <w:rPr>
          <w:rFonts w:ascii="Garamond" w:hAnsi="Garamond" w:cs="Times New Roman"/>
          <w:sz w:val="24"/>
          <w:szCs w:val="24"/>
        </w:rPr>
        <w:t>ecifically</w:t>
      </w:r>
      <w:r w:rsidR="00763B65" w:rsidRPr="00F719E2">
        <w:rPr>
          <w:rFonts w:ascii="Garamond" w:hAnsi="Garamond" w:cs="Times New Roman"/>
          <w:sz w:val="24"/>
          <w:szCs w:val="24"/>
        </w:rPr>
        <w:t xml:space="preserve">, </w:t>
      </w:r>
      <w:r w:rsidR="005B5A97" w:rsidRPr="00F719E2">
        <w:rPr>
          <w:rFonts w:ascii="Garamond" w:hAnsi="Garamond" w:cs="Times New Roman"/>
          <w:sz w:val="24"/>
          <w:szCs w:val="24"/>
        </w:rPr>
        <w:t xml:space="preserve">we calculate quartiles of the percentages of </w:t>
      </w:r>
      <w:proofErr w:type="gramStart"/>
      <w:r w:rsidR="005B5A97" w:rsidRPr="00F719E2">
        <w:rPr>
          <w:rFonts w:ascii="Garamond" w:hAnsi="Garamond" w:cs="Times New Roman"/>
          <w:sz w:val="24"/>
          <w:szCs w:val="24"/>
        </w:rPr>
        <w:t>economically disadvantaged</w:t>
      </w:r>
      <w:proofErr w:type="gramEnd"/>
      <w:r w:rsidR="005B5A97" w:rsidRPr="00F719E2">
        <w:rPr>
          <w:rFonts w:ascii="Garamond" w:hAnsi="Garamond" w:cs="Times New Roman"/>
          <w:sz w:val="24"/>
          <w:szCs w:val="24"/>
        </w:rPr>
        <w:t xml:space="preserve"> and Black students </w:t>
      </w:r>
      <w:r w:rsidR="007B5649" w:rsidRPr="00F719E2">
        <w:rPr>
          <w:rFonts w:ascii="Garamond" w:hAnsi="Garamond" w:cs="Times New Roman"/>
          <w:sz w:val="24"/>
          <w:szCs w:val="24"/>
        </w:rPr>
        <w:t>in a school-by-year dataset that covers all the policy years.</w:t>
      </w:r>
      <w:r w:rsidR="008569F3">
        <w:rPr>
          <w:rFonts w:ascii="Garamond" w:hAnsi="Garamond" w:cs="Times New Roman"/>
          <w:sz w:val="24"/>
          <w:szCs w:val="24"/>
        </w:rPr>
        <w:t xml:space="preserve"> We identify the quartile f</w:t>
      </w:r>
      <w:r w:rsidR="008569F3" w:rsidRPr="00F719E2">
        <w:rPr>
          <w:rFonts w:ascii="Garamond" w:hAnsi="Garamond" w:cs="Times New Roman"/>
          <w:sz w:val="24"/>
          <w:szCs w:val="24"/>
        </w:rPr>
        <w:t>or each school that hired a RTW teacher</w:t>
      </w:r>
      <w:r w:rsidR="008569F3">
        <w:rPr>
          <w:rFonts w:ascii="Garamond" w:hAnsi="Garamond" w:cs="Times New Roman"/>
          <w:sz w:val="24"/>
          <w:szCs w:val="24"/>
        </w:rPr>
        <w:t>.</w:t>
      </w:r>
      <w:r w:rsidR="008C2BAE">
        <w:rPr>
          <w:rFonts w:ascii="Garamond" w:hAnsi="Garamond" w:cs="Times New Roman"/>
          <w:sz w:val="24"/>
          <w:szCs w:val="24"/>
        </w:rPr>
        <w:t xml:space="preserve"> </w:t>
      </w:r>
      <w:r w:rsidR="0050739F">
        <w:rPr>
          <w:rFonts w:ascii="Garamond" w:hAnsi="Garamond" w:cs="Times New Roman"/>
          <w:sz w:val="24"/>
          <w:szCs w:val="24"/>
        </w:rPr>
        <w:t xml:space="preserve">Schools with less than </w:t>
      </w:r>
      <w:r w:rsidR="00E36E4C">
        <w:rPr>
          <w:rFonts w:ascii="Garamond" w:hAnsi="Garamond" w:cs="Times New Roman"/>
          <w:sz w:val="24"/>
          <w:szCs w:val="24"/>
        </w:rPr>
        <w:t xml:space="preserve">23% of </w:t>
      </w:r>
      <w:proofErr w:type="gramStart"/>
      <w:r w:rsidR="00E36E4C">
        <w:rPr>
          <w:rFonts w:ascii="Garamond" w:hAnsi="Garamond" w:cs="Times New Roman"/>
          <w:sz w:val="24"/>
          <w:szCs w:val="24"/>
        </w:rPr>
        <w:t>economically disadvantaged</w:t>
      </w:r>
      <w:proofErr w:type="gramEnd"/>
      <w:r w:rsidR="00E36E4C">
        <w:rPr>
          <w:rFonts w:ascii="Garamond" w:hAnsi="Garamond" w:cs="Times New Roman"/>
          <w:sz w:val="24"/>
          <w:szCs w:val="24"/>
        </w:rPr>
        <w:t xml:space="preserve"> students are in the bottom quartile and those with more</w:t>
      </w:r>
      <w:r w:rsidR="0094467C">
        <w:rPr>
          <w:rFonts w:ascii="Garamond" w:hAnsi="Garamond" w:cs="Times New Roman"/>
          <w:sz w:val="24"/>
          <w:szCs w:val="24"/>
        </w:rPr>
        <w:t xml:space="preserve"> than </w:t>
      </w:r>
      <w:r w:rsidR="004E52C9">
        <w:rPr>
          <w:rFonts w:ascii="Garamond" w:hAnsi="Garamond" w:cs="Times New Roman"/>
          <w:sz w:val="24"/>
          <w:szCs w:val="24"/>
        </w:rPr>
        <w:t xml:space="preserve">53% are in the top quartile. </w:t>
      </w:r>
      <w:r w:rsidR="00FC4940">
        <w:rPr>
          <w:rFonts w:ascii="Garamond" w:hAnsi="Garamond" w:cs="Times New Roman"/>
          <w:sz w:val="24"/>
          <w:szCs w:val="24"/>
        </w:rPr>
        <w:t xml:space="preserve">Analogously, schools with less than 11% of Black students are in the bottom quartile while schools with over </w:t>
      </w:r>
      <w:r w:rsidR="00925DB8">
        <w:rPr>
          <w:rFonts w:ascii="Garamond" w:hAnsi="Garamond" w:cs="Times New Roman"/>
          <w:sz w:val="24"/>
          <w:szCs w:val="24"/>
        </w:rPr>
        <w:t xml:space="preserve">49% are in the top quartile. </w:t>
      </w:r>
      <w:r w:rsidR="005A1BAC">
        <w:rPr>
          <w:rFonts w:ascii="Garamond" w:hAnsi="Garamond" w:cs="Times New Roman"/>
          <w:sz w:val="24"/>
          <w:szCs w:val="24"/>
        </w:rPr>
        <w:t xml:space="preserve">Then we </w:t>
      </w:r>
      <w:r w:rsidR="00B97156" w:rsidRPr="00F719E2">
        <w:rPr>
          <w:rFonts w:ascii="Garamond" w:hAnsi="Garamond" w:cs="Times New Roman"/>
          <w:sz w:val="24"/>
          <w:szCs w:val="24"/>
        </w:rPr>
        <w:t>determine how many</w:t>
      </w:r>
      <w:r w:rsidR="009C61E3">
        <w:rPr>
          <w:rFonts w:ascii="Garamond" w:hAnsi="Garamond" w:cs="Times New Roman"/>
          <w:sz w:val="24"/>
          <w:szCs w:val="24"/>
        </w:rPr>
        <w:t xml:space="preserve"> </w:t>
      </w:r>
      <w:proofErr w:type="gramStart"/>
      <w:r w:rsidR="009C61E3">
        <w:rPr>
          <w:rFonts w:ascii="Garamond" w:hAnsi="Garamond" w:cs="Times New Roman"/>
          <w:sz w:val="24"/>
          <w:szCs w:val="24"/>
        </w:rPr>
        <w:t>first-year</w:t>
      </w:r>
      <w:proofErr w:type="gramEnd"/>
      <w:r w:rsidR="00B97156" w:rsidRPr="00F719E2">
        <w:rPr>
          <w:rFonts w:ascii="Garamond" w:hAnsi="Garamond" w:cs="Times New Roman"/>
          <w:sz w:val="24"/>
          <w:szCs w:val="24"/>
        </w:rPr>
        <w:t xml:space="preserve"> RTW teachers</w:t>
      </w:r>
      <w:r w:rsidR="00157AB8" w:rsidRPr="00F719E2">
        <w:rPr>
          <w:rFonts w:ascii="Garamond" w:hAnsi="Garamond" w:cs="Times New Roman"/>
          <w:sz w:val="24"/>
          <w:szCs w:val="24"/>
        </w:rPr>
        <w:t xml:space="preserve"> </w:t>
      </w:r>
      <w:r w:rsidR="00FB06F3" w:rsidRPr="00F719E2">
        <w:rPr>
          <w:rFonts w:ascii="Garamond" w:hAnsi="Garamond" w:cs="Times New Roman"/>
          <w:sz w:val="24"/>
          <w:szCs w:val="24"/>
        </w:rPr>
        <w:t xml:space="preserve">taught in schools </w:t>
      </w:r>
      <w:r w:rsidR="00157AB8" w:rsidRPr="00F719E2">
        <w:rPr>
          <w:rFonts w:ascii="Garamond" w:hAnsi="Garamond" w:cs="Times New Roman"/>
          <w:sz w:val="24"/>
          <w:szCs w:val="24"/>
        </w:rPr>
        <w:t>with</w:t>
      </w:r>
      <w:r w:rsidR="00FB06F3" w:rsidRPr="00F719E2">
        <w:rPr>
          <w:rFonts w:ascii="Garamond" w:hAnsi="Garamond" w:cs="Times New Roman"/>
          <w:sz w:val="24"/>
          <w:szCs w:val="24"/>
        </w:rPr>
        <w:t>in each quartile</w:t>
      </w:r>
      <w:r w:rsidR="00157AB8" w:rsidRPr="00F719E2">
        <w:rPr>
          <w:rFonts w:ascii="Garamond" w:hAnsi="Garamond" w:cs="Times New Roman"/>
          <w:sz w:val="24"/>
          <w:szCs w:val="24"/>
        </w:rPr>
        <w:t xml:space="preserve"> over</w:t>
      </w:r>
      <w:r w:rsidR="005A1BAC">
        <w:rPr>
          <w:rFonts w:ascii="Garamond" w:hAnsi="Garamond" w:cs="Times New Roman"/>
          <w:sz w:val="24"/>
          <w:szCs w:val="24"/>
        </w:rPr>
        <w:t xml:space="preserve"> the policy period</w:t>
      </w:r>
      <w:r w:rsidR="00FB06F3" w:rsidRPr="00F719E2">
        <w:rPr>
          <w:rFonts w:ascii="Garamond" w:hAnsi="Garamond" w:cs="Times New Roman"/>
          <w:sz w:val="24"/>
          <w:szCs w:val="24"/>
        </w:rPr>
        <w:t xml:space="preserve">. This tells us the </w:t>
      </w:r>
      <w:r w:rsidR="00E8677D" w:rsidRPr="00F719E2">
        <w:rPr>
          <w:rFonts w:ascii="Garamond" w:hAnsi="Garamond" w:cs="Times New Roman"/>
          <w:sz w:val="24"/>
          <w:szCs w:val="24"/>
        </w:rPr>
        <w:t>distribution of RTW teachers across schools wi</w:t>
      </w:r>
      <w:r w:rsidR="009658A6" w:rsidRPr="00F719E2">
        <w:rPr>
          <w:rFonts w:ascii="Garamond" w:hAnsi="Garamond" w:cs="Times New Roman"/>
          <w:sz w:val="24"/>
          <w:szCs w:val="24"/>
        </w:rPr>
        <w:t>t</w:t>
      </w:r>
      <w:r w:rsidR="00E8677D" w:rsidRPr="00F719E2">
        <w:rPr>
          <w:rFonts w:ascii="Garamond" w:hAnsi="Garamond" w:cs="Times New Roman"/>
          <w:sz w:val="24"/>
          <w:szCs w:val="24"/>
        </w:rPr>
        <w:t>h varying degrees of economic disadvantage and minority student populations.</w:t>
      </w:r>
    </w:p>
    <w:p w14:paraId="75F99DA1" w14:textId="77777777" w:rsidR="00A27F47" w:rsidRDefault="00A27F47" w:rsidP="00673826">
      <w:pPr>
        <w:spacing w:after="0" w:line="480" w:lineRule="auto"/>
        <w:jc w:val="center"/>
        <w:rPr>
          <w:rFonts w:ascii="Garamond" w:hAnsi="Garamond" w:cs="Times New Roman"/>
          <w:b/>
          <w:bCs/>
          <w:sz w:val="24"/>
          <w:szCs w:val="24"/>
        </w:rPr>
      </w:pPr>
    </w:p>
    <w:p w14:paraId="65183432" w14:textId="2191EB39" w:rsidR="00297E1A" w:rsidRPr="00673826" w:rsidRDefault="00453C10" w:rsidP="00673826">
      <w:pPr>
        <w:spacing w:after="0" w:line="480" w:lineRule="auto"/>
        <w:jc w:val="center"/>
        <w:rPr>
          <w:rFonts w:ascii="Garamond" w:hAnsi="Garamond" w:cs="Times New Roman"/>
          <w:b/>
          <w:bCs/>
          <w:sz w:val="24"/>
          <w:szCs w:val="24"/>
        </w:rPr>
      </w:pPr>
      <w:r w:rsidRPr="00673826">
        <w:rPr>
          <w:rFonts w:ascii="Garamond" w:hAnsi="Garamond" w:cs="Times New Roman"/>
          <w:b/>
          <w:bCs/>
          <w:sz w:val="24"/>
          <w:szCs w:val="24"/>
        </w:rPr>
        <w:lastRenderedPageBreak/>
        <w:t>Results</w:t>
      </w:r>
    </w:p>
    <w:p w14:paraId="7FD3FCF5" w14:textId="029C3619" w:rsidR="00066984" w:rsidRDefault="00297E1A"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Table 1 </w:t>
      </w:r>
      <w:r w:rsidR="003A057B" w:rsidRPr="00F719E2">
        <w:rPr>
          <w:rFonts w:ascii="Garamond" w:hAnsi="Garamond" w:cs="Times New Roman"/>
          <w:sz w:val="24"/>
          <w:szCs w:val="24"/>
        </w:rPr>
        <w:t>shows the average characteristics of RTW teachers in their first year back to work</w:t>
      </w:r>
      <w:r w:rsidR="006C5B95" w:rsidRPr="00F719E2">
        <w:rPr>
          <w:rFonts w:ascii="Garamond" w:hAnsi="Garamond" w:cs="Times New Roman"/>
          <w:sz w:val="24"/>
          <w:szCs w:val="24"/>
        </w:rPr>
        <w:t>, as well as</w:t>
      </w:r>
      <w:r w:rsidR="00105089" w:rsidRPr="00F719E2">
        <w:rPr>
          <w:rFonts w:ascii="Garamond" w:hAnsi="Garamond" w:cs="Times New Roman"/>
          <w:sz w:val="24"/>
          <w:szCs w:val="24"/>
        </w:rPr>
        <w:t xml:space="preserve"> the</w:t>
      </w:r>
      <w:r w:rsidR="006C5B95" w:rsidRPr="00F719E2">
        <w:rPr>
          <w:rFonts w:ascii="Garamond" w:hAnsi="Garamond" w:cs="Times New Roman"/>
          <w:sz w:val="24"/>
          <w:szCs w:val="24"/>
        </w:rPr>
        <w:t xml:space="preserve"> </w:t>
      </w:r>
      <w:r w:rsidR="006B64D2" w:rsidRPr="00F719E2">
        <w:rPr>
          <w:rFonts w:ascii="Garamond" w:hAnsi="Garamond" w:cs="Times New Roman"/>
          <w:sz w:val="24"/>
          <w:szCs w:val="24"/>
        </w:rPr>
        <w:t xml:space="preserve">average characteristics of all teachers </w:t>
      </w:r>
      <w:r w:rsidR="006C5B95" w:rsidRPr="00F719E2">
        <w:rPr>
          <w:rFonts w:ascii="Garamond" w:hAnsi="Garamond" w:cs="Times New Roman"/>
          <w:sz w:val="24"/>
          <w:szCs w:val="24"/>
        </w:rPr>
        <w:t>in the first and last years of the policy as reference point</w:t>
      </w:r>
      <w:r w:rsidR="00514E9E" w:rsidRPr="00F719E2">
        <w:rPr>
          <w:rFonts w:ascii="Garamond" w:hAnsi="Garamond" w:cs="Times New Roman"/>
          <w:sz w:val="24"/>
          <w:szCs w:val="24"/>
        </w:rPr>
        <w:t>s</w:t>
      </w:r>
      <w:r w:rsidR="003A057B" w:rsidRPr="00F719E2">
        <w:rPr>
          <w:rFonts w:ascii="Garamond" w:hAnsi="Garamond" w:cs="Times New Roman"/>
          <w:sz w:val="24"/>
          <w:szCs w:val="24"/>
        </w:rPr>
        <w:t>.</w:t>
      </w:r>
      <w:r w:rsidR="00210057" w:rsidRPr="00F719E2">
        <w:rPr>
          <w:rFonts w:ascii="Garamond" w:hAnsi="Garamond" w:cs="Times New Roman"/>
          <w:sz w:val="24"/>
          <w:szCs w:val="24"/>
        </w:rPr>
        <w:t xml:space="preserve"> </w:t>
      </w:r>
    </w:p>
    <w:p w14:paraId="0B8C0FA0" w14:textId="77777777" w:rsidR="00066984" w:rsidRPr="00A855E0" w:rsidRDefault="00066984" w:rsidP="00066984">
      <w:pPr>
        <w:rPr>
          <w:rFonts w:ascii="Garamond" w:hAnsi="Garamond" w:cs="Times New Roman"/>
          <w:b/>
          <w:bCs/>
          <w:sz w:val="24"/>
          <w:szCs w:val="24"/>
        </w:rPr>
      </w:pPr>
      <w:r w:rsidRPr="00A855E0">
        <w:rPr>
          <w:rFonts w:ascii="Garamond" w:hAnsi="Garamond" w:cs="Times New Roman"/>
          <w:b/>
          <w:bCs/>
          <w:sz w:val="24"/>
          <w:szCs w:val="24"/>
        </w:rPr>
        <w:t>Table 1</w:t>
      </w:r>
    </w:p>
    <w:p w14:paraId="17403728" w14:textId="77777777" w:rsidR="00066984" w:rsidRPr="00A855E0" w:rsidRDefault="00066984" w:rsidP="00066984">
      <w:pPr>
        <w:rPr>
          <w:rFonts w:ascii="Garamond" w:hAnsi="Garamond" w:cs="Times New Roman"/>
          <w:b/>
          <w:bCs/>
          <w:i/>
          <w:iCs/>
          <w:sz w:val="24"/>
          <w:szCs w:val="24"/>
        </w:rPr>
      </w:pPr>
      <w:r w:rsidRPr="00A855E0">
        <w:rPr>
          <w:rFonts w:ascii="Garamond" w:hAnsi="Garamond" w:cs="Times New Roman"/>
          <w:i/>
          <w:iCs/>
          <w:sz w:val="24"/>
          <w:szCs w:val="24"/>
        </w:rPr>
        <w:t>Average Teacher Characteristics</w:t>
      </w:r>
    </w:p>
    <w:tbl>
      <w:tblPr>
        <w:tblW w:w="8472" w:type="dxa"/>
        <w:tblLook w:val="04A0" w:firstRow="1" w:lastRow="0" w:firstColumn="1" w:lastColumn="0" w:noHBand="0" w:noVBand="1"/>
      </w:tblPr>
      <w:tblGrid>
        <w:gridCol w:w="3330"/>
        <w:gridCol w:w="1990"/>
        <w:gridCol w:w="276"/>
        <w:gridCol w:w="1300"/>
        <w:gridCol w:w="276"/>
        <w:gridCol w:w="1300"/>
      </w:tblGrid>
      <w:tr w:rsidR="00066984" w:rsidRPr="00F719E2" w14:paraId="47FD0218" w14:textId="77777777" w:rsidTr="00391007">
        <w:trPr>
          <w:trHeight w:val="320"/>
        </w:trPr>
        <w:tc>
          <w:tcPr>
            <w:tcW w:w="3330" w:type="dxa"/>
            <w:tcBorders>
              <w:top w:val="nil"/>
              <w:left w:val="nil"/>
              <w:bottom w:val="double" w:sz="6" w:space="0" w:color="auto"/>
              <w:right w:val="nil"/>
            </w:tcBorders>
            <w:shd w:val="clear" w:color="auto" w:fill="auto"/>
            <w:noWrap/>
            <w:vAlign w:val="bottom"/>
            <w:hideMark/>
          </w:tcPr>
          <w:p w14:paraId="1590BEB1" w14:textId="65C3C177" w:rsidR="00066984" w:rsidRPr="00F719E2" w:rsidRDefault="00066984" w:rsidP="00391007">
            <w:pPr>
              <w:spacing w:after="0" w:line="240" w:lineRule="auto"/>
              <w:rPr>
                <w:rFonts w:ascii="Garamond" w:eastAsia="Times New Roman" w:hAnsi="Garamond" w:cs="Times New Roman"/>
                <w:color w:val="000000"/>
                <w:sz w:val="24"/>
                <w:szCs w:val="24"/>
              </w:rPr>
            </w:pPr>
          </w:p>
        </w:tc>
        <w:tc>
          <w:tcPr>
            <w:tcW w:w="1990" w:type="dxa"/>
            <w:tcBorders>
              <w:top w:val="nil"/>
              <w:left w:val="nil"/>
              <w:bottom w:val="double" w:sz="6" w:space="0" w:color="auto"/>
              <w:right w:val="nil"/>
            </w:tcBorders>
            <w:shd w:val="clear" w:color="auto" w:fill="auto"/>
            <w:noWrap/>
            <w:vAlign w:val="bottom"/>
            <w:hideMark/>
          </w:tcPr>
          <w:p w14:paraId="6CF058E0"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276" w:type="dxa"/>
            <w:tcBorders>
              <w:top w:val="nil"/>
              <w:left w:val="nil"/>
              <w:bottom w:val="double" w:sz="6" w:space="0" w:color="auto"/>
              <w:right w:val="nil"/>
            </w:tcBorders>
            <w:shd w:val="clear" w:color="auto" w:fill="auto"/>
            <w:noWrap/>
            <w:vAlign w:val="bottom"/>
            <w:hideMark/>
          </w:tcPr>
          <w:p w14:paraId="5B8E7BA4"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1300" w:type="dxa"/>
            <w:tcBorders>
              <w:top w:val="nil"/>
              <w:left w:val="nil"/>
              <w:bottom w:val="double" w:sz="6" w:space="0" w:color="auto"/>
              <w:right w:val="nil"/>
            </w:tcBorders>
            <w:shd w:val="clear" w:color="auto" w:fill="auto"/>
            <w:noWrap/>
            <w:vAlign w:val="bottom"/>
            <w:hideMark/>
          </w:tcPr>
          <w:p w14:paraId="042A1C92"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276" w:type="dxa"/>
            <w:tcBorders>
              <w:top w:val="nil"/>
              <w:left w:val="nil"/>
              <w:bottom w:val="double" w:sz="6" w:space="0" w:color="auto"/>
              <w:right w:val="nil"/>
            </w:tcBorders>
            <w:shd w:val="clear" w:color="auto" w:fill="auto"/>
            <w:noWrap/>
            <w:vAlign w:val="bottom"/>
            <w:hideMark/>
          </w:tcPr>
          <w:p w14:paraId="5E96C648"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1300" w:type="dxa"/>
            <w:tcBorders>
              <w:top w:val="nil"/>
              <w:left w:val="nil"/>
              <w:bottom w:val="double" w:sz="6" w:space="0" w:color="auto"/>
              <w:right w:val="nil"/>
            </w:tcBorders>
            <w:shd w:val="clear" w:color="auto" w:fill="auto"/>
            <w:noWrap/>
            <w:vAlign w:val="bottom"/>
            <w:hideMark/>
          </w:tcPr>
          <w:p w14:paraId="5941AFAA"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r>
      <w:tr w:rsidR="00066984" w:rsidRPr="00F719E2" w14:paraId="35D135BD" w14:textId="77777777" w:rsidTr="00391007">
        <w:trPr>
          <w:trHeight w:val="940"/>
        </w:trPr>
        <w:tc>
          <w:tcPr>
            <w:tcW w:w="3330" w:type="dxa"/>
            <w:tcBorders>
              <w:top w:val="nil"/>
              <w:left w:val="nil"/>
              <w:bottom w:val="nil"/>
              <w:right w:val="nil"/>
            </w:tcBorders>
            <w:shd w:val="clear" w:color="auto" w:fill="auto"/>
            <w:noWrap/>
            <w:vAlign w:val="bottom"/>
            <w:hideMark/>
          </w:tcPr>
          <w:p w14:paraId="50463DCA" w14:textId="77777777" w:rsidR="00066984" w:rsidRPr="00F719E2" w:rsidRDefault="00066984" w:rsidP="00391007">
            <w:pPr>
              <w:spacing w:after="0" w:line="240" w:lineRule="auto"/>
              <w:rPr>
                <w:rFonts w:ascii="Garamond" w:eastAsia="Times New Roman" w:hAnsi="Garamond" w:cs="Times New Roman"/>
                <w:color w:val="000000"/>
                <w:sz w:val="24"/>
                <w:szCs w:val="24"/>
              </w:rPr>
            </w:pPr>
          </w:p>
        </w:tc>
        <w:tc>
          <w:tcPr>
            <w:tcW w:w="1990" w:type="dxa"/>
            <w:tcBorders>
              <w:top w:val="nil"/>
              <w:left w:val="nil"/>
              <w:bottom w:val="single" w:sz="4" w:space="0" w:color="auto"/>
              <w:right w:val="nil"/>
            </w:tcBorders>
            <w:shd w:val="clear" w:color="auto" w:fill="auto"/>
            <w:vAlign w:val="center"/>
            <w:hideMark/>
          </w:tcPr>
          <w:p w14:paraId="31BD5DE1"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RTW Teachers, First Year Back After Retirement</w:t>
            </w:r>
          </w:p>
        </w:tc>
        <w:tc>
          <w:tcPr>
            <w:tcW w:w="276" w:type="dxa"/>
            <w:tcBorders>
              <w:top w:val="nil"/>
              <w:left w:val="nil"/>
              <w:bottom w:val="nil"/>
              <w:right w:val="nil"/>
            </w:tcBorders>
            <w:shd w:val="clear" w:color="auto" w:fill="auto"/>
            <w:vAlign w:val="center"/>
            <w:hideMark/>
          </w:tcPr>
          <w:p w14:paraId="48C73F01"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single" w:sz="4" w:space="0" w:color="auto"/>
              <w:right w:val="nil"/>
            </w:tcBorders>
            <w:shd w:val="clear" w:color="auto" w:fill="auto"/>
            <w:vAlign w:val="center"/>
            <w:hideMark/>
          </w:tcPr>
          <w:p w14:paraId="1EC8E108"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All Teachers in 1999</w:t>
            </w:r>
          </w:p>
        </w:tc>
        <w:tc>
          <w:tcPr>
            <w:tcW w:w="276" w:type="dxa"/>
            <w:tcBorders>
              <w:top w:val="nil"/>
              <w:left w:val="nil"/>
              <w:bottom w:val="nil"/>
              <w:right w:val="nil"/>
            </w:tcBorders>
            <w:shd w:val="clear" w:color="auto" w:fill="auto"/>
            <w:vAlign w:val="center"/>
            <w:hideMark/>
          </w:tcPr>
          <w:p w14:paraId="1B6DB751"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single" w:sz="4" w:space="0" w:color="auto"/>
              <w:right w:val="nil"/>
            </w:tcBorders>
            <w:shd w:val="clear" w:color="auto" w:fill="auto"/>
            <w:vAlign w:val="center"/>
            <w:hideMark/>
          </w:tcPr>
          <w:p w14:paraId="5B1E55DF"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All Teachers in 2009</w:t>
            </w:r>
          </w:p>
        </w:tc>
      </w:tr>
      <w:tr w:rsidR="00066984" w:rsidRPr="00F719E2" w14:paraId="3D082BE1" w14:textId="77777777" w:rsidTr="00391007">
        <w:trPr>
          <w:trHeight w:val="310"/>
        </w:trPr>
        <w:tc>
          <w:tcPr>
            <w:tcW w:w="3330" w:type="dxa"/>
            <w:tcBorders>
              <w:top w:val="nil"/>
              <w:left w:val="nil"/>
              <w:bottom w:val="single" w:sz="4" w:space="0" w:color="auto"/>
              <w:right w:val="nil"/>
            </w:tcBorders>
            <w:shd w:val="clear" w:color="auto" w:fill="auto"/>
            <w:noWrap/>
            <w:vAlign w:val="bottom"/>
            <w:hideMark/>
          </w:tcPr>
          <w:p w14:paraId="36075273"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1990" w:type="dxa"/>
            <w:tcBorders>
              <w:top w:val="nil"/>
              <w:left w:val="nil"/>
              <w:bottom w:val="single" w:sz="4" w:space="0" w:color="auto"/>
              <w:right w:val="nil"/>
            </w:tcBorders>
            <w:shd w:val="clear" w:color="auto" w:fill="auto"/>
            <w:noWrap/>
            <w:vAlign w:val="center"/>
            <w:hideMark/>
          </w:tcPr>
          <w:p w14:paraId="51F2E7DC"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(1)</w:t>
            </w:r>
          </w:p>
        </w:tc>
        <w:tc>
          <w:tcPr>
            <w:tcW w:w="276" w:type="dxa"/>
            <w:tcBorders>
              <w:top w:val="nil"/>
              <w:left w:val="nil"/>
              <w:bottom w:val="single" w:sz="4" w:space="0" w:color="auto"/>
              <w:right w:val="nil"/>
            </w:tcBorders>
            <w:shd w:val="clear" w:color="auto" w:fill="auto"/>
            <w:noWrap/>
            <w:vAlign w:val="center"/>
            <w:hideMark/>
          </w:tcPr>
          <w:p w14:paraId="6EB5B3D8"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1300" w:type="dxa"/>
            <w:tcBorders>
              <w:top w:val="nil"/>
              <w:left w:val="nil"/>
              <w:bottom w:val="single" w:sz="4" w:space="0" w:color="auto"/>
              <w:right w:val="nil"/>
            </w:tcBorders>
            <w:shd w:val="clear" w:color="auto" w:fill="auto"/>
            <w:noWrap/>
            <w:vAlign w:val="center"/>
            <w:hideMark/>
          </w:tcPr>
          <w:p w14:paraId="4BC145E7"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(2)</w:t>
            </w:r>
          </w:p>
        </w:tc>
        <w:tc>
          <w:tcPr>
            <w:tcW w:w="276" w:type="dxa"/>
            <w:tcBorders>
              <w:top w:val="nil"/>
              <w:left w:val="nil"/>
              <w:bottom w:val="single" w:sz="4" w:space="0" w:color="auto"/>
              <w:right w:val="nil"/>
            </w:tcBorders>
            <w:shd w:val="clear" w:color="auto" w:fill="auto"/>
            <w:noWrap/>
            <w:vAlign w:val="center"/>
            <w:hideMark/>
          </w:tcPr>
          <w:p w14:paraId="50A38011"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1300" w:type="dxa"/>
            <w:tcBorders>
              <w:top w:val="nil"/>
              <w:left w:val="nil"/>
              <w:bottom w:val="single" w:sz="4" w:space="0" w:color="auto"/>
              <w:right w:val="nil"/>
            </w:tcBorders>
            <w:shd w:val="clear" w:color="auto" w:fill="auto"/>
            <w:noWrap/>
            <w:vAlign w:val="center"/>
            <w:hideMark/>
          </w:tcPr>
          <w:p w14:paraId="2B74DB27"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(3)</w:t>
            </w:r>
          </w:p>
        </w:tc>
      </w:tr>
      <w:tr w:rsidR="00066984" w:rsidRPr="00F719E2" w14:paraId="12097BA0" w14:textId="77777777" w:rsidTr="00391007">
        <w:trPr>
          <w:trHeight w:val="310"/>
        </w:trPr>
        <w:tc>
          <w:tcPr>
            <w:tcW w:w="3330" w:type="dxa"/>
            <w:tcBorders>
              <w:top w:val="nil"/>
              <w:left w:val="nil"/>
              <w:bottom w:val="nil"/>
              <w:right w:val="nil"/>
            </w:tcBorders>
            <w:shd w:val="clear" w:color="auto" w:fill="auto"/>
            <w:noWrap/>
            <w:vAlign w:val="bottom"/>
            <w:hideMark/>
          </w:tcPr>
          <w:p w14:paraId="7D881FDD" w14:textId="77777777" w:rsidR="00066984" w:rsidRPr="00F719E2" w:rsidRDefault="00066984" w:rsidP="00391007">
            <w:pPr>
              <w:spacing w:after="0" w:line="240" w:lineRule="auto"/>
              <w:rPr>
                <w:rFonts w:ascii="Garamond" w:eastAsia="Times New Roman" w:hAnsi="Garamond" w:cs="Times New Roman"/>
                <w:i/>
                <w:iCs/>
                <w:color w:val="000000"/>
                <w:sz w:val="24"/>
                <w:szCs w:val="24"/>
              </w:rPr>
            </w:pPr>
            <w:r w:rsidRPr="00F719E2">
              <w:rPr>
                <w:rFonts w:ascii="Garamond" w:eastAsia="Times New Roman" w:hAnsi="Garamond" w:cs="Times New Roman"/>
                <w:i/>
                <w:iCs/>
                <w:color w:val="000000"/>
                <w:sz w:val="24"/>
                <w:szCs w:val="24"/>
              </w:rPr>
              <w:t>Teacher Demographics</w:t>
            </w:r>
          </w:p>
        </w:tc>
        <w:tc>
          <w:tcPr>
            <w:tcW w:w="1990" w:type="dxa"/>
            <w:tcBorders>
              <w:top w:val="nil"/>
              <w:left w:val="nil"/>
              <w:bottom w:val="nil"/>
              <w:right w:val="nil"/>
            </w:tcBorders>
            <w:shd w:val="clear" w:color="auto" w:fill="auto"/>
            <w:noWrap/>
            <w:vAlign w:val="bottom"/>
            <w:hideMark/>
          </w:tcPr>
          <w:p w14:paraId="6A3B6C46" w14:textId="77777777" w:rsidR="00066984" w:rsidRPr="00F719E2" w:rsidRDefault="00066984" w:rsidP="00391007">
            <w:pPr>
              <w:spacing w:after="0" w:line="240" w:lineRule="auto"/>
              <w:rPr>
                <w:rFonts w:ascii="Garamond" w:eastAsia="Times New Roman" w:hAnsi="Garamond" w:cs="Times New Roman"/>
                <w:i/>
                <w:iCs/>
                <w:color w:val="000000"/>
                <w:sz w:val="24"/>
                <w:szCs w:val="24"/>
              </w:rPr>
            </w:pPr>
          </w:p>
        </w:tc>
        <w:tc>
          <w:tcPr>
            <w:tcW w:w="276" w:type="dxa"/>
            <w:tcBorders>
              <w:top w:val="nil"/>
              <w:left w:val="nil"/>
              <w:bottom w:val="nil"/>
              <w:right w:val="nil"/>
            </w:tcBorders>
            <w:shd w:val="clear" w:color="auto" w:fill="auto"/>
            <w:noWrap/>
            <w:vAlign w:val="bottom"/>
            <w:hideMark/>
          </w:tcPr>
          <w:p w14:paraId="04B5B78A" w14:textId="77777777" w:rsidR="00066984" w:rsidRPr="00F719E2" w:rsidRDefault="00066984" w:rsidP="00391007">
            <w:pPr>
              <w:spacing w:after="0" w:line="240" w:lineRule="auto"/>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4A4ED125" w14:textId="77777777" w:rsidR="00066984" w:rsidRPr="00F719E2" w:rsidRDefault="00066984" w:rsidP="00391007">
            <w:pPr>
              <w:spacing w:after="0" w:line="240" w:lineRule="auto"/>
              <w:rPr>
                <w:rFonts w:ascii="Garamond" w:eastAsia="Times New Roman" w:hAnsi="Garamond" w:cs="Times New Roman"/>
                <w:sz w:val="20"/>
                <w:szCs w:val="20"/>
              </w:rPr>
            </w:pPr>
          </w:p>
        </w:tc>
        <w:tc>
          <w:tcPr>
            <w:tcW w:w="276" w:type="dxa"/>
            <w:tcBorders>
              <w:top w:val="nil"/>
              <w:left w:val="nil"/>
              <w:bottom w:val="nil"/>
              <w:right w:val="nil"/>
            </w:tcBorders>
            <w:shd w:val="clear" w:color="auto" w:fill="auto"/>
            <w:noWrap/>
            <w:vAlign w:val="bottom"/>
            <w:hideMark/>
          </w:tcPr>
          <w:p w14:paraId="4CBA5221" w14:textId="77777777" w:rsidR="00066984" w:rsidRPr="00F719E2" w:rsidRDefault="00066984" w:rsidP="00391007">
            <w:pPr>
              <w:spacing w:after="0" w:line="240" w:lineRule="auto"/>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22EDA617" w14:textId="77777777" w:rsidR="00066984" w:rsidRPr="00F719E2" w:rsidRDefault="00066984" w:rsidP="00391007">
            <w:pPr>
              <w:spacing w:after="0" w:line="240" w:lineRule="auto"/>
              <w:rPr>
                <w:rFonts w:ascii="Garamond" w:eastAsia="Times New Roman" w:hAnsi="Garamond" w:cs="Times New Roman"/>
                <w:sz w:val="20"/>
                <w:szCs w:val="20"/>
              </w:rPr>
            </w:pPr>
          </w:p>
        </w:tc>
      </w:tr>
      <w:tr w:rsidR="00066984" w:rsidRPr="00F719E2" w14:paraId="4553A8E2" w14:textId="77777777" w:rsidTr="00391007">
        <w:trPr>
          <w:trHeight w:val="310"/>
        </w:trPr>
        <w:tc>
          <w:tcPr>
            <w:tcW w:w="3330" w:type="dxa"/>
            <w:tcBorders>
              <w:top w:val="nil"/>
              <w:left w:val="nil"/>
              <w:bottom w:val="nil"/>
              <w:right w:val="nil"/>
            </w:tcBorders>
            <w:shd w:val="clear" w:color="auto" w:fill="auto"/>
            <w:noWrap/>
            <w:vAlign w:val="center"/>
            <w:hideMark/>
          </w:tcPr>
          <w:p w14:paraId="10D8769B"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Female</w:t>
            </w:r>
          </w:p>
        </w:tc>
        <w:tc>
          <w:tcPr>
            <w:tcW w:w="1990" w:type="dxa"/>
            <w:tcBorders>
              <w:top w:val="nil"/>
              <w:left w:val="nil"/>
              <w:bottom w:val="nil"/>
              <w:right w:val="nil"/>
            </w:tcBorders>
            <w:shd w:val="clear" w:color="auto" w:fill="auto"/>
            <w:noWrap/>
            <w:vAlign w:val="bottom"/>
            <w:hideMark/>
          </w:tcPr>
          <w:p w14:paraId="5B4AC4BD"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0.81</w:t>
            </w:r>
          </w:p>
        </w:tc>
        <w:tc>
          <w:tcPr>
            <w:tcW w:w="276" w:type="dxa"/>
            <w:tcBorders>
              <w:top w:val="nil"/>
              <w:left w:val="nil"/>
              <w:bottom w:val="nil"/>
              <w:right w:val="nil"/>
            </w:tcBorders>
            <w:shd w:val="clear" w:color="auto" w:fill="auto"/>
            <w:noWrap/>
            <w:vAlign w:val="bottom"/>
            <w:hideMark/>
          </w:tcPr>
          <w:p w14:paraId="5E6A7BD9"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361E10F8"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0.81</w:t>
            </w:r>
          </w:p>
        </w:tc>
        <w:tc>
          <w:tcPr>
            <w:tcW w:w="276" w:type="dxa"/>
            <w:tcBorders>
              <w:top w:val="nil"/>
              <w:left w:val="nil"/>
              <w:bottom w:val="nil"/>
              <w:right w:val="nil"/>
            </w:tcBorders>
            <w:shd w:val="clear" w:color="auto" w:fill="auto"/>
            <w:noWrap/>
            <w:vAlign w:val="bottom"/>
            <w:hideMark/>
          </w:tcPr>
          <w:p w14:paraId="3A7DCB77"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06F3781D"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0.80</w:t>
            </w:r>
          </w:p>
        </w:tc>
      </w:tr>
      <w:tr w:rsidR="00066984" w:rsidRPr="00F719E2" w14:paraId="6830C6DB" w14:textId="77777777" w:rsidTr="00391007">
        <w:trPr>
          <w:trHeight w:val="310"/>
        </w:trPr>
        <w:tc>
          <w:tcPr>
            <w:tcW w:w="3330" w:type="dxa"/>
            <w:tcBorders>
              <w:top w:val="nil"/>
              <w:left w:val="nil"/>
              <w:bottom w:val="nil"/>
              <w:right w:val="nil"/>
            </w:tcBorders>
            <w:shd w:val="clear" w:color="auto" w:fill="auto"/>
            <w:noWrap/>
            <w:vAlign w:val="center"/>
            <w:hideMark/>
          </w:tcPr>
          <w:p w14:paraId="3582B05B"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White</w:t>
            </w:r>
          </w:p>
        </w:tc>
        <w:tc>
          <w:tcPr>
            <w:tcW w:w="1990" w:type="dxa"/>
            <w:tcBorders>
              <w:top w:val="nil"/>
              <w:left w:val="nil"/>
              <w:bottom w:val="nil"/>
              <w:right w:val="nil"/>
            </w:tcBorders>
            <w:shd w:val="clear" w:color="auto" w:fill="auto"/>
            <w:noWrap/>
            <w:vAlign w:val="bottom"/>
            <w:hideMark/>
          </w:tcPr>
          <w:p w14:paraId="71B46D1F"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0.76</w:t>
            </w:r>
          </w:p>
        </w:tc>
        <w:tc>
          <w:tcPr>
            <w:tcW w:w="276" w:type="dxa"/>
            <w:tcBorders>
              <w:top w:val="nil"/>
              <w:left w:val="nil"/>
              <w:bottom w:val="nil"/>
              <w:right w:val="nil"/>
            </w:tcBorders>
            <w:shd w:val="clear" w:color="auto" w:fill="auto"/>
            <w:noWrap/>
            <w:vAlign w:val="bottom"/>
            <w:hideMark/>
          </w:tcPr>
          <w:p w14:paraId="31CB24D7"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59511935"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0.85</w:t>
            </w:r>
          </w:p>
        </w:tc>
        <w:tc>
          <w:tcPr>
            <w:tcW w:w="276" w:type="dxa"/>
            <w:tcBorders>
              <w:top w:val="nil"/>
              <w:left w:val="nil"/>
              <w:bottom w:val="nil"/>
              <w:right w:val="nil"/>
            </w:tcBorders>
            <w:shd w:val="clear" w:color="auto" w:fill="auto"/>
            <w:noWrap/>
            <w:vAlign w:val="bottom"/>
            <w:hideMark/>
          </w:tcPr>
          <w:p w14:paraId="1740DC93"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2E5AB078"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0.85</w:t>
            </w:r>
          </w:p>
        </w:tc>
      </w:tr>
      <w:tr w:rsidR="00066984" w:rsidRPr="00F719E2" w14:paraId="0387760E" w14:textId="77777777" w:rsidTr="00391007">
        <w:trPr>
          <w:trHeight w:val="310"/>
        </w:trPr>
        <w:tc>
          <w:tcPr>
            <w:tcW w:w="3330" w:type="dxa"/>
            <w:tcBorders>
              <w:top w:val="nil"/>
              <w:left w:val="nil"/>
              <w:bottom w:val="nil"/>
              <w:right w:val="nil"/>
            </w:tcBorders>
            <w:shd w:val="clear" w:color="auto" w:fill="auto"/>
            <w:noWrap/>
            <w:vAlign w:val="center"/>
            <w:hideMark/>
          </w:tcPr>
          <w:p w14:paraId="3249A28A"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Black</w:t>
            </w:r>
          </w:p>
        </w:tc>
        <w:tc>
          <w:tcPr>
            <w:tcW w:w="1990" w:type="dxa"/>
            <w:tcBorders>
              <w:top w:val="nil"/>
              <w:left w:val="nil"/>
              <w:bottom w:val="nil"/>
              <w:right w:val="nil"/>
            </w:tcBorders>
            <w:shd w:val="clear" w:color="auto" w:fill="auto"/>
            <w:noWrap/>
            <w:vAlign w:val="bottom"/>
            <w:hideMark/>
          </w:tcPr>
          <w:p w14:paraId="4DED5FF3"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0.22</w:t>
            </w:r>
          </w:p>
        </w:tc>
        <w:tc>
          <w:tcPr>
            <w:tcW w:w="276" w:type="dxa"/>
            <w:tcBorders>
              <w:top w:val="nil"/>
              <w:left w:val="nil"/>
              <w:bottom w:val="nil"/>
              <w:right w:val="nil"/>
            </w:tcBorders>
            <w:shd w:val="clear" w:color="auto" w:fill="auto"/>
            <w:noWrap/>
            <w:vAlign w:val="bottom"/>
            <w:hideMark/>
          </w:tcPr>
          <w:p w14:paraId="2686C29F"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1AE52355"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0.14</w:t>
            </w:r>
          </w:p>
        </w:tc>
        <w:tc>
          <w:tcPr>
            <w:tcW w:w="276" w:type="dxa"/>
            <w:tcBorders>
              <w:top w:val="nil"/>
              <w:left w:val="nil"/>
              <w:bottom w:val="nil"/>
              <w:right w:val="nil"/>
            </w:tcBorders>
            <w:shd w:val="clear" w:color="auto" w:fill="auto"/>
            <w:noWrap/>
            <w:vAlign w:val="bottom"/>
            <w:hideMark/>
          </w:tcPr>
          <w:p w14:paraId="638937FD"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2235C306"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0.13</w:t>
            </w:r>
          </w:p>
        </w:tc>
      </w:tr>
      <w:tr w:rsidR="00066984" w:rsidRPr="00F719E2" w14:paraId="52260D39" w14:textId="77777777" w:rsidTr="00391007">
        <w:trPr>
          <w:trHeight w:val="310"/>
        </w:trPr>
        <w:tc>
          <w:tcPr>
            <w:tcW w:w="3330" w:type="dxa"/>
            <w:tcBorders>
              <w:top w:val="nil"/>
              <w:left w:val="nil"/>
              <w:bottom w:val="nil"/>
              <w:right w:val="nil"/>
            </w:tcBorders>
            <w:shd w:val="clear" w:color="auto" w:fill="auto"/>
            <w:noWrap/>
            <w:vAlign w:val="center"/>
            <w:hideMark/>
          </w:tcPr>
          <w:p w14:paraId="7EC8A563"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Other Race</w:t>
            </w:r>
          </w:p>
        </w:tc>
        <w:tc>
          <w:tcPr>
            <w:tcW w:w="1990" w:type="dxa"/>
            <w:tcBorders>
              <w:top w:val="nil"/>
              <w:left w:val="nil"/>
              <w:bottom w:val="nil"/>
              <w:right w:val="nil"/>
            </w:tcBorders>
            <w:shd w:val="clear" w:color="auto" w:fill="auto"/>
            <w:noWrap/>
            <w:vAlign w:val="bottom"/>
            <w:hideMark/>
          </w:tcPr>
          <w:p w14:paraId="727DD0E8"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0.02</w:t>
            </w:r>
          </w:p>
        </w:tc>
        <w:tc>
          <w:tcPr>
            <w:tcW w:w="276" w:type="dxa"/>
            <w:tcBorders>
              <w:top w:val="nil"/>
              <w:left w:val="nil"/>
              <w:bottom w:val="nil"/>
              <w:right w:val="nil"/>
            </w:tcBorders>
            <w:shd w:val="clear" w:color="auto" w:fill="auto"/>
            <w:noWrap/>
            <w:vAlign w:val="bottom"/>
            <w:hideMark/>
          </w:tcPr>
          <w:p w14:paraId="5FC43D8E"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067A525F"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0.01</w:t>
            </w:r>
          </w:p>
        </w:tc>
        <w:tc>
          <w:tcPr>
            <w:tcW w:w="276" w:type="dxa"/>
            <w:tcBorders>
              <w:top w:val="nil"/>
              <w:left w:val="nil"/>
              <w:bottom w:val="nil"/>
              <w:right w:val="nil"/>
            </w:tcBorders>
            <w:shd w:val="clear" w:color="auto" w:fill="auto"/>
            <w:noWrap/>
            <w:vAlign w:val="bottom"/>
            <w:hideMark/>
          </w:tcPr>
          <w:p w14:paraId="1DB6BB90"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06464DDF"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0.02</w:t>
            </w:r>
          </w:p>
        </w:tc>
      </w:tr>
      <w:tr w:rsidR="00066984" w:rsidRPr="00F719E2" w14:paraId="706C2331" w14:textId="77777777" w:rsidTr="00391007">
        <w:trPr>
          <w:trHeight w:val="310"/>
        </w:trPr>
        <w:tc>
          <w:tcPr>
            <w:tcW w:w="3330" w:type="dxa"/>
            <w:tcBorders>
              <w:top w:val="nil"/>
              <w:left w:val="nil"/>
              <w:bottom w:val="nil"/>
              <w:right w:val="nil"/>
            </w:tcBorders>
            <w:shd w:val="clear" w:color="auto" w:fill="auto"/>
            <w:noWrap/>
            <w:vAlign w:val="bottom"/>
            <w:hideMark/>
          </w:tcPr>
          <w:p w14:paraId="18D619CD"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990" w:type="dxa"/>
            <w:tcBorders>
              <w:top w:val="nil"/>
              <w:left w:val="nil"/>
              <w:bottom w:val="nil"/>
              <w:right w:val="nil"/>
            </w:tcBorders>
            <w:shd w:val="clear" w:color="auto" w:fill="auto"/>
            <w:noWrap/>
            <w:vAlign w:val="bottom"/>
            <w:hideMark/>
          </w:tcPr>
          <w:p w14:paraId="68A89BFF" w14:textId="77777777" w:rsidR="00066984" w:rsidRPr="00F719E2" w:rsidRDefault="00066984" w:rsidP="00391007">
            <w:pPr>
              <w:spacing w:after="0" w:line="240" w:lineRule="auto"/>
              <w:rPr>
                <w:rFonts w:ascii="Garamond" w:eastAsia="Times New Roman" w:hAnsi="Garamond" w:cs="Times New Roman"/>
                <w:sz w:val="20"/>
                <w:szCs w:val="20"/>
              </w:rPr>
            </w:pPr>
          </w:p>
        </w:tc>
        <w:tc>
          <w:tcPr>
            <w:tcW w:w="276" w:type="dxa"/>
            <w:tcBorders>
              <w:top w:val="nil"/>
              <w:left w:val="nil"/>
              <w:bottom w:val="nil"/>
              <w:right w:val="nil"/>
            </w:tcBorders>
            <w:shd w:val="clear" w:color="auto" w:fill="auto"/>
            <w:noWrap/>
            <w:vAlign w:val="bottom"/>
            <w:hideMark/>
          </w:tcPr>
          <w:p w14:paraId="27756D44"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5EED8532"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276" w:type="dxa"/>
            <w:tcBorders>
              <w:top w:val="nil"/>
              <w:left w:val="nil"/>
              <w:bottom w:val="nil"/>
              <w:right w:val="nil"/>
            </w:tcBorders>
            <w:shd w:val="clear" w:color="auto" w:fill="auto"/>
            <w:noWrap/>
            <w:vAlign w:val="bottom"/>
            <w:hideMark/>
          </w:tcPr>
          <w:p w14:paraId="591BB18B"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16770E4B" w14:textId="77777777" w:rsidR="00066984" w:rsidRPr="00F719E2" w:rsidRDefault="00066984" w:rsidP="00391007">
            <w:pPr>
              <w:spacing w:after="0" w:line="240" w:lineRule="auto"/>
              <w:jc w:val="center"/>
              <w:rPr>
                <w:rFonts w:ascii="Garamond" w:eastAsia="Times New Roman" w:hAnsi="Garamond" w:cs="Times New Roman"/>
                <w:sz w:val="20"/>
                <w:szCs w:val="20"/>
              </w:rPr>
            </w:pPr>
          </w:p>
        </w:tc>
      </w:tr>
      <w:tr w:rsidR="00066984" w:rsidRPr="00F719E2" w14:paraId="6911DD8A" w14:textId="77777777" w:rsidTr="00391007">
        <w:trPr>
          <w:trHeight w:val="310"/>
        </w:trPr>
        <w:tc>
          <w:tcPr>
            <w:tcW w:w="3330" w:type="dxa"/>
            <w:tcBorders>
              <w:top w:val="nil"/>
              <w:left w:val="nil"/>
              <w:bottom w:val="nil"/>
              <w:right w:val="nil"/>
            </w:tcBorders>
            <w:shd w:val="clear" w:color="auto" w:fill="auto"/>
            <w:noWrap/>
            <w:vAlign w:val="center"/>
            <w:hideMark/>
          </w:tcPr>
          <w:p w14:paraId="7F8F07BB" w14:textId="77777777" w:rsidR="00066984" w:rsidRPr="00F719E2" w:rsidRDefault="00066984" w:rsidP="00391007">
            <w:pPr>
              <w:spacing w:after="0" w:line="240" w:lineRule="auto"/>
              <w:rPr>
                <w:rFonts w:ascii="Garamond" w:eastAsia="Times New Roman" w:hAnsi="Garamond" w:cs="Times New Roman"/>
                <w:i/>
                <w:iCs/>
                <w:color w:val="000000"/>
                <w:sz w:val="24"/>
                <w:szCs w:val="24"/>
              </w:rPr>
            </w:pPr>
            <w:r w:rsidRPr="00F719E2">
              <w:rPr>
                <w:rFonts w:ascii="Garamond" w:eastAsia="Times New Roman" w:hAnsi="Garamond" w:cs="Times New Roman"/>
                <w:i/>
                <w:iCs/>
                <w:color w:val="000000"/>
                <w:sz w:val="24"/>
                <w:szCs w:val="24"/>
              </w:rPr>
              <w:t>Teacher Qualifications</w:t>
            </w:r>
          </w:p>
        </w:tc>
        <w:tc>
          <w:tcPr>
            <w:tcW w:w="1990" w:type="dxa"/>
            <w:tcBorders>
              <w:top w:val="nil"/>
              <w:left w:val="nil"/>
              <w:bottom w:val="nil"/>
              <w:right w:val="nil"/>
            </w:tcBorders>
            <w:shd w:val="clear" w:color="auto" w:fill="auto"/>
            <w:noWrap/>
            <w:vAlign w:val="bottom"/>
            <w:hideMark/>
          </w:tcPr>
          <w:p w14:paraId="2D2897BB" w14:textId="77777777" w:rsidR="00066984" w:rsidRPr="00F719E2" w:rsidRDefault="00066984" w:rsidP="00391007">
            <w:pPr>
              <w:spacing w:after="0" w:line="240" w:lineRule="auto"/>
              <w:rPr>
                <w:rFonts w:ascii="Garamond" w:eastAsia="Times New Roman" w:hAnsi="Garamond" w:cs="Times New Roman"/>
                <w:i/>
                <w:iCs/>
                <w:color w:val="000000"/>
                <w:sz w:val="24"/>
                <w:szCs w:val="24"/>
              </w:rPr>
            </w:pPr>
          </w:p>
        </w:tc>
        <w:tc>
          <w:tcPr>
            <w:tcW w:w="276" w:type="dxa"/>
            <w:tcBorders>
              <w:top w:val="nil"/>
              <w:left w:val="nil"/>
              <w:bottom w:val="nil"/>
              <w:right w:val="nil"/>
            </w:tcBorders>
            <w:shd w:val="clear" w:color="auto" w:fill="auto"/>
            <w:noWrap/>
            <w:vAlign w:val="bottom"/>
            <w:hideMark/>
          </w:tcPr>
          <w:p w14:paraId="0951B216"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1E299E9B"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276" w:type="dxa"/>
            <w:tcBorders>
              <w:top w:val="nil"/>
              <w:left w:val="nil"/>
              <w:bottom w:val="nil"/>
              <w:right w:val="nil"/>
            </w:tcBorders>
            <w:shd w:val="clear" w:color="auto" w:fill="auto"/>
            <w:noWrap/>
            <w:vAlign w:val="bottom"/>
            <w:hideMark/>
          </w:tcPr>
          <w:p w14:paraId="3DB66505"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194E39F3" w14:textId="77777777" w:rsidR="00066984" w:rsidRPr="00F719E2" w:rsidRDefault="00066984" w:rsidP="00391007">
            <w:pPr>
              <w:spacing w:after="0" w:line="240" w:lineRule="auto"/>
              <w:jc w:val="center"/>
              <w:rPr>
                <w:rFonts w:ascii="Garamond" w:eastAsia="Times New Roman" w:hAnsi="Garamond" w:cs="Times New Roman"/>
                <w:sz w:val="20"/>
                <w:szCs w:val="20"/>
              </w:rPr>
            </w:pPr>
          </w:p>
        </w:tc>
      </w:tr>
      <w:tr w:rsidR="00066984" w:rsidRPr="00F719E2" w14:paraId="0162228A" w14:textId="77777777" w:rsidTr="00391007">
        <w:trPr>
          <w:trHeight w:val="310"/>
        </w:trPr>
        <w:tc>
          <w:tcPr>
            <w:tcW w:w="3330" w:type="dxa"/>
            <w:tcBorders>
              <w:top w:val="nil"/>
              <w:left w:val="nil"/>
              <w:bottom w:val="nil"/>
              <w:right w:val="nil"/>
            </w:tcBorders>
            <w:shd w:val="clear" w:color="auto" w:fill="auto"/>
            <w:noWrap/>
            <w:vAlign w:val="center"/>
            <w:hideMark/>
          </w:tcPr>
          <w:p w14:paraId="6D6CF529"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Less Competitive College</w:t>
            </w:r>
          </w:p>
        </w:tc>
        <w:tc>
          <w:tcPr>
            <w:tcW w:w="1990" w:type="dxa"/>
            <w:tcBorders>
              <w:top w:val="nil"/>
              <w:left w:val="nil"/>
              <w:bottom w:val="nil"/>
              <w:right w:val="nil"/>
            </w:tcBorders>
            <w:shd w:val="clear" w:color="auto" w:fill="auto"/>
            <w:noWrap/>
            <w:vAlign w:val="bottom"/>
            <w:hideMark/>
          </w:tcPr>
          <w:p w14:paraId="080613AB"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0.45</w:t>
            </w:r>
          </w:p>
        </w:tc>
        <w:tc>
          <w:tcPr>
            <w:tcW w:w="276" w:type="dxa"/>
            <w:tcBorders>
              <w:top w:val="nil"/>
              <w:left w:val="nil"/>
              <w:bottom w:val="nil"/>
              <w:right w:val="nil"/>
            </w:tcBorders>
            <w:shd w:val="clear" w:color="auto" w:fill="auto"/>
            <w:noWrap/>
            <w:vAlign w:val="bottom"/>
            <w:hideMark/>
          </w:tcPr>
          <w:p w14:paraId="6C2D3EA4"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1EC90A46"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0.38</w:t>
            </w:r>
          </w:p>
        </w:tc>
        <w:tc>
          <w:tcPr>
            <w:tcW w:w="276" w:type="dxa"/>
            <w:tcBorders>
              <w:top w:val="nil"/>
              <w:left w:val="nil"/>
              <w:bottom w:val="nil"/>
              <w:right w:val="nil"/>
            </w:tcBorders>
            <w:shd w:val="clear" w:color="auto" w:fill="auto"/>
            <w:noWrap/>
            <w:vAlign w:val="bottom"/>
            <w:hideMark/>
          </w:tcPr>
          <w:p w14:paraId="219BDA1A"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730AD389"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0.35</w:t>
            </w:r>
          </w:p>
        </w:tc>
      </w:tr>
      <w:tr w:rsidR="00066984" w:rsidRPr="00F719E2" w14:paraId="2AFEC8FF" w14:textId="77777777" w:rsidTr="00391007">
        <w:trPr>
          <w:trHeight w:val="310"/>
        </w:trPr>
        <w:tc>
          <w:tcPr>
            <w:tcW w:w="3330" w:type="dxa"/>
            <w:tcBorders>
              <w:top w:val="nil"/>
              <w:left w:val="nil"/>
              <w:bottom w:val="nil"/>
              <w:right w:val="nil"/>
            </w:tcBorders>
            <w:shd w:val="clear" w:color="auto" w:fill="auto"/>
            <w:noWrap/>
            <w:vAlign w:val="center"/>
            <w:hideMark/>
          </w:tcPr>
          <w:p w14:paraId="2CD3ADAC"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Competitive College</w:t>
            </w:r>
          </w:p>
        </w:tc>
        <w:tc>
          <w:tcPr>
            <w:tcW w:w="1990" w:type="dxa"/>
            <w:tcBorders>
              <w:top w:val="nil"/>
              <w:left w:val="nil"/>
              <w:bottom w:val="nil"/>
              <w:right w:val="nil"/>
            </w:tcBorders>
            <w:shd w:val="clear" w:color="auto" w:fill="auto"/>
            <w:noWrap/>
            <w:vAlign w:val="bottom"/>
            <w:hideMark/>
          </w:tcPr>
          <w:p w14:paraId="4FBA7966"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0.50</w:t>
            </w:r>
          </w:p>
        </w:tc>
        <w:tc>
          <w:tcPr>
            <w:tcW w:w="276" w:type="dxa"/>
            <w:tcBorders>
              <w:top w:val="nil"/>
              <w:left w:val="nil"/>
              <w:bottom w:val="nil"/>
              <w:right w:val="nil"/>
            </w:tcBorders>
            <w:shd w:val="clear" w:color="auto" w:fill="auto"/>
            <w:noWrap/>
            <w:vAlign w:val="bottom"/>
            <w:hideMark/>
          </w:tcPr>
          <w:p w14:paraId="3FD02232"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2EBCBC1F"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0.50</w:t>
            </w:r>
          </w:p>
        </w:tc>
        <w:tc>
          <w:tcPr>
            <w:tcW w:w="276" w:type="dxa"/>
            <w:tcBorders>
              <w:top w:val="nil"/>
              <w:left w:val="nil"/>
              <w:bottom w:val="nil"/>
              <w:right w:val="nil"/>
            </w:tcBorders>
            <w:shd w:val="clear" w:color="auto" w:fill="auto"/>
            <w:noWrap/>
            <w:vAlign w:val="bottom"/>
            <w:hideMark/>
          </w:tcPr>
          <w:p w14:paraId="1989B094"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5247E3E6"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0.48</w:t>
            </w:r>
          </w:p>
        </w:tc>
      </w:tr>
      <w:tr w:rsidR="00066984" w:rsidRPr="00F719E2" w14:paraId="38AB3014" w14:textId="77777777" w:rsidTr="00391007">
        <w:trPr>
          <w:trHeight w:val="310"/>
        </w:trPr>
        <w:tc>
          <w:tcPr>
            <w:tcW w:w="3330" w:type="dxa"/>
            <w:tcBorders>
              <w:top w:val="nil"/>
              <w:left w:val="nil"/>
              <w:bottom w:val="nil"/>
              <w:right w:val="nil"/>
            </w:tcBorders>
            <w:shd w:val="clear" w:color="auto" w:fill="auto"/>
            <w:noWrap/>
            <w:vAlign w:val="center"/>
            <w:hideMark/>
          </w:tcPr>
          <w:p w14:paraId="0B719B55"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More Competitive College</w:t>
            </w:r>
          </w:p>
        </w:tc>
        <w:tc>
          <w:tcPr>
            <w:tcW w:w="1990" w:type="dxa"/>
            <w:tcBorders>
              <w:top w:val="nil"/>
              <w:left w:val="nil"/>
              <w:bottom w:val="nil"/>
              <w:right w:val="nil"/>
            </w:tcBorders>
            <w:shd w:val="clear" w:color="auto" w:fill="auto"/>
            <w:noWrap/>
            <w:vAlign w:val="bottom"/>
            <w:hideMark/>
          </w:tcPr>
          <w:p w14:paraId="2060C44D"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0.05</w:t>
            </w:r>
          </w:p>
        </w:tc>
        <w:tc>
          <w:tcPr>
            <w:tcW w:w="276" w:type="dxa"/>
            <w:tcBorders>
              <w:top w:val="nil"/>
              <w:left w:val="nil"/>
              <w:bottom w:val="nil"/>
              <w:right w:val="nil"/>
            </w:tcBorders>
            <w:shd w:val="clear" w:color="auto" w:fill="auto"/>
            <w:noWrap/>
            <w:vAlign w:val="bottom"/>
            <w:hideMark/>
          </w:tcPr>
          <w:p w14:paraId="3B578F32"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291D471C"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0.13</w:t>
            </w:r>
          </w:p>
        </w:tc>
        <w:tc>
          <w:tcPr>
            <w:tcW w:w="276" w:type="dxa"/>
            <w:tcBorders>
              <w:top w:val="nil"/>
              <w:left w:val="nil"/>
              <w:bottom w:val="nil"/>
              <w:right w:val="nil"/>
            </w:tcBorders>
            <w:shd w:val="clear" w:color="auto" w:fill="auto"/>
            <w:noWrap/>
            <w:vAlign w:val="bottom"/>
            <w:hideMark/>
          </w:tcPr>
          <w:p w14:paraId="633DBDC2"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52A5AB58"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0.16</w:t>
            </w:r>
          </w:p>
        </w:tc>
      </w:tr>
      <w:tr w:rsidR="00066984" w:rsidRPr="00F719E2" w14:paraId="544F3D21" w14:textId="77777777" w:rsidTr="00391007">
        <w:trPr>
          <w:trHeight w:val="310"/>
        </w:trPr>
        <w:tc>
          <w:tcPr>
            <w:tcW w:w="3330" w:type="dxa"/>
            <w:tcBorders>
              <w:top w:val="nil"/>
              <w:left w:val="nil"/>
              <w:bottom w:val="nil"/>
              <w:right w:val="nil"/>
            </w:tcBorders>
            <w:shd w:val="clear" w:color="auto" w:fill="auto"/>
            <w:noWrap/>
            <w:vAlign w:val="center"/>
            <w:hideMark/>
          </w:tcPr>
          <w:p w14:paraId="1A603254"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No Advanced Degree</w:t>
            </w:r>
          </w:p>
        </w:tc>
        <w:tc>
          <w:tcPr>
            <w:tcW w:w="1990" w:type="dxa"/>
            <w:tcBorders>
              <w:top w:val="nil"/>
              <w:left w:val="nil"/>
              <w:bottom w:val="nil"/>
              <w:right w:val="nil"/>
            </w:tcBorders>
            <w:shd w:val="clear" w:color="auto" w:fill="auto"/>
            <w:noWrap/>
            <w:vAlign w:val="bottom"/>
            <w:hideMark/>
          </w:tcPr>
          <w:p w14:paraId="777789CB"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0.58</w:t>
            </w:r>
          </w:p>
        </w:tc>
        <w:tc>
          <w:tcPr>
            <w:tcW w:w="276" w:type="dxa"/>
            <w:tcBorders>
              <w:top w:val="nil"/>
              <w:left w:val="nil"/>
              <w:bottom w:val="nil"/>
              <w:right w:val="nil"/>
            </w:tcBorders>
            <w:shd w:val="clear" w:color="auto" w:fill="auto"/>
            <w:noWrap/>
            <w:vAlign w:val="bottom"/>
            <w:hideMark/>
          </w:tcPr>
          <w:p w14:paraId="3FEE2350"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2DCD8390"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0.68</w:t>
            </w:r>
          </w:p>
        </w:tc>
        <w:tc>
          <w:tcPr>
            <w:tcW w:w="276" w:type="dxa"/>
            <w:tcBorders>
              <w:top w:val="nil"/>
              <w:left w:val="nil"/>
              <w:bottom w:val="nil"/>
              <w:right w:val="nil"/>
            </w:tcBorders>
            <w:shd w:val="clear" w:color="auto" w:fill="auto"/>
            <w:noWrap/>
            <w:vAlign w:val="bottom"/>
            <w:hideMark/>
          </w:tcPr>
          <w:p w14:paraId="403CFA70"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7E606D54"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0.68</w:t>
            </w:r>
          </w:p>
        </w:tc>
      </w:tr>
      <w:tr w:rsidR="00066984" w:rsidRPr="00F719E2" w14:paraId="6416CB90" w14:textId="77777777" w:rsidTr="00391007">
        <w:trPr>
          <w:trHeight w:val="310"/>
        </w:trPr>
        <w:tc>
          <w:tcPr>
            <w:tcW w:w="3330" w:type="dxa"/>
            <w:tcBorders>
              <w:top w:val="nil"/>
              <w:left w:val="nil"/>
              <w:bottom w:val="nil"/>
              <w:right w:val="nil"/>
            </w:tcBorders>
            <w:shd w:val="clear" w:color="auto" w:fill="auto"/>
            <w:noWrap/>
            <w:vAlign w:val="center"/>
            <w:hideMark/>
          </w:tcPr>
          <w:p w14:paraId="7EE90083"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Experience (in the Fall)</w:t>
            </w:r>
          </w:p>
        </w:tc>
        <w:tc>
          <w:tcPr>
            <w:tcW w:w="1990" w:type="dxa"/>
            <w:tcBorders>
              <w:top w:val="nil"/>
              <w:left w:val="nil"/>
              <w:bottom w:val="nil"/>
              <w:right w:val="nil"/>
            </w:tcBorders>
            <w:shd w:val="clear" w:color="auto" w:fill="auto"/>
            <w:noWrap/>
            <w:vAlign w:val="bottom"/>
            <w:hideMark/>
          </w:tcPr>
          <w:p w14:paraId="4BC5A683"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31.42</w:t>
            </w:r>
          </w:p>
        </w:tc>
        <w:tc>
          <w:tcPr>
            <w:tcW w:w="276" w:type="dxa"/>
            <w:tcBorders>
              <w:top w:val="nil"/>
              <w:left w:val="nil"/>
              <w:bottom w:val="nil"/>
              <w:right w:val="nil"/>
            </w:tcBorders>
            <w:shd w:val="clear" w:color="auto" w:fill="auto"/>
            <w:noWrap/>
            <w:vAlign w:val="bottom"/>
            <w:hideMark/>
          </w:tcPr>
          <w:p w14:paraId="7891D26B"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0D42431E"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13.08</w:t>
            </w:r>
          </w:p>
        </w:tc>
        <w:tc>
          <w:tcPr>
            <w:tcW w:w="276" w:type="dxa"/>
            <w:tcBorders>
              <w:top w:val="nil"/>
              <w:left w:val="nil"/>
              <w:bottom w:val="nil"/>
              <w:right w:val="nil"/>
            </w:tcBorders>
            <w:shd w:val="clear" w:color="auto" w:fill="auto"/>
            <w:noWrap/>
            <w:vAlign w:val="bottom"/>
            <w:hideMark/>
          </w:tcPr>
          <w:p w14:paraId="42158D45"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4FD972D2"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12.08</w:t>
            </w:r>
          </w:p>
        </w:tc>
      </w:tr>
      <w:tr w:rsidR="00066984" w:rsidRPr="00F719E2" w14:paraId="5A97516B" w14:textId="77777777" w:rsidTr="00391007">
        <w:trPr>
          <w:trHeight w:val="310"/>
        </w:trPr>
        <w:tc>
          <w:tcPr>
            <w:tcW w:w="3330" w:type="dxa"/>
            <w:tcBorders>
              <w:top w:val="nil"/>
              <w:left w:val="nil"/>
              <w:bottom w:val="nil"/>
              <w:right w:val="nil"/>
            </w:tcBorders>
            <w:shd w:val="clear" w:color="auto" w:fill="auto"/>
            <w:noWrap/>
            <w:vAlign w:val="center"/>
            <w:hideMark/>
          </w:tcPr>
          <w:p w14:paraId="598C3505"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Years Absent Before Returning</w:t>
            </w:r>
          </w:p>
        </w:tc>
        <w:tc>
          <w:tcPr>
            <w:tcW w:w="1990" w:type="dxa"/>
            <w:tcBorders>
              <w:top w:val="nil"/>
              <w:left w:val="nil"/>
              <w:bottom w:val="nil"/>
              <w:right w:val="nil"/>
            </w:tcBorders>
            <w:shd w:val="clear" w:color="auto" w:fill="auto"/>
            <w:noWrap/>
            <w:vAlign w:val="bottom"/>
            <w:hideMark/>
          </w:tcPr>
          <w:p w14:paraId="72DAD542"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1.46</w:t>
            </w:r>
          </w:p>
        </w:tc>
        <w:tc>
          <w:tcPr>
            <w:tcW w:w="276" w:type="dxa"/>
            <w:tcBorders>
              <w:top w:val="nil"/>
              <w:left w:val="nil"/>
              <w:bottom w:val="nil"/>
              <w:right w:val="nil"/>
            </w:tcBorders>
            <w:shd w:val="clear" w:color="auto" w:fill="auto"/>
            <w:noWrap/>
            <w:vAlign w:val="bottom"/>
            <w:hideMark/>
          </w:tcPr>
          <w:p w14:paraId="50343A04"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7EA27ACC"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276" w:type="dxa"/>
            <w:tcBorders>
              <w:top w:val="nil"/>
              <w:left w:val="nil"/>
              <w:bottom w:val="nil"/>
              <w:right w:val="nil"/>
            </w:tcBorders>
            <w:shd w:val="clear" w:color="auto" w:fill="auto"/>
            <w:noWrap/>
            <w:vAlign w:val="bottom"/>
            <w:hideMark/>
          </w:tcPr>
          <w:p w14:paraId="3A4DF206"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5B4AAB37" w14:textId="77777777" w:rsidR="00066984" w:rsidRPr="00F719E2" w:rsidRDefault="00066984" w:rsidP="00391007">
            <w:pPr>
              <w:spacing w:after="0" w:line="240" w:lineRule="auto"/>
              <w:jc w:val="center"/>
              <w:rPr>
                <w:rFonts w:ascii="Garamond" w:eastAsia="Times New Roman" w:hAnsi="Garamond" w:cs="Times New Roman"/>
                <w:sz w:val="20"/>
                <w:szCs w:val="20"/>
              </w:rPr>
            </w:pPr>
          </w:p>
        </w:tc>
      </w:tr>
      <w:tr w:rsidR="00066984" w:rsidRPr="00F719E2" w14:paraId="13FF4656" w14:textId="77777777" w:rsidTr="00391007">
        <w:trPr>
          <w:trHeight w:val="310"/>
        </w:trPr>
        <w:tc>
          <w:tcPr>
            <w:tcW w:w="3330" w:type="dxa"/>
            <w:tcBorders>
              <w:top w:val="nil"/>
              <w:left w:val="nil"/>
              <w:bottom w:val="nil"/>
              <w:right w:val="nil"/>
            </w:tcBorders>
            <w:shd w:val="clear" w:color="auto" w:fill="auto"/>
            <w:noWrap/>
            <w:vAlign w:val="bottom"/>
            <w:hideMark/>
          </w:tcPr>
          <w:p w14:paraId="7A1B5A0C"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1990" w:type="dxa"/>
            <w:tcBorders>
              <w:top w:val="nil"/>
              <w:left w:val="nil"/>
              <w:bottom w:val="nil"/>
              <w:right w:val="nil"/>
            </w:tcBorders>
            <w:shd w:val="clear" w:color="auto" w:fill="auto"/>
            <w:noWrap/>
            <w:vAlign w:val="bottom"/>
            <w:hideMark/>
          </w:tcPr>
          <w:p w14:paraId="065A78F2" w14:textId="77777777" w:rsidR="00066984" w:rsidRPr="00F719E2" w:rsidRDefault="00066984" w:rsidP="00391007">
            <w:pPr>
              <w:spacing w:after="0" w:line="240" w:lineRule="auto"/>
              <w:rPr>
                <w:rFonts w:ascii="Garamond" w:eastAsia="Times New Roman" w:hAnsi="Garamond" w:cs="Times New Roman"/>
                <w:sz w:val="20"/>
                <w:szCs w:val="20"/>
              </w:rPr>
            </w:pPr>
          </w:p>
        </w:tc>
        <w:tc>
          <w:tcPr>
            <w:tcW w:w="276" w:type="dxa"/>
            <w:tcBorders>
              <w:top w:val="nil"/>
              <w:left w:val="nil"/>
              <w:bottom w:val="nil"/>
              <w:right w:val="nil"/>
            </w:tcBorders>
            <w:shd w:val="clear" w:color="auto" w:fill="auto"/>
            <w:noWrap/>
            <w:vAlign w:val="bottom"/>
            <w:hideMark/>
          </w:tcPr>
          <w:p w14:paraId="57DE95AF"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11213624"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276" w:type="dxa"/>
            <w:tcBorders>
              <w:top w:val="nil"/>
              <w:left w:val="nil"/>
              <w:bottom w:val="nil"/>
              <w:right w:val="nil"/>
            </w:tcBorders>
            <w:shd w:val="clear" w:color="auto" w:fill="auto"/>
            <w:noWrap/>
            <w:vAlign w:val="bottom"/>
            <w:hideMark/>
          </w:tcPr>
          <w:p w14:paraId="4226B535"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62027995" w14:textId="77777777" w:rsidR="00066984" w:rsidRPr="00F719E2" w:rsidRDefault="00066984" w:rsidP="00391007">
            <w:pPr>
              <w:spacing w:after="0" w:line="240" w:lineRule="auto"/>
              <w:jc w:val="center"/>
              <w:rPr>
                <w:rFonts w:ascii="Garamond" w:eastAsia="Times New Roman" w:hAnsi="Garamond" w:cs="Times New Roman"/>
                <w:sz w:val="20"/>
                <w:szCs w:val="20"/>
              </w:rPr>
            </w:pPr>
          </w:p>
        </w:tc>
      </w:tr>
      <w:tr w:rsidR="00066984" w:rsidRPr="00F719E2" w14:paraId="52952745" w14:textId="77777777" w:rsidTr="00391007">
        <w:trPr>
          <w:trHeight w:val="310"/>
        </w:trPr>
        <w:tc>
          <w:tcPr>
            <w:tcW w:w="3330" w:type="dxa"/>
            <w:tcBorders>
              <w:top w:val="nil"/>
              <w:left w:val="nil"/>
              <w:bottom w:val="nil"/>
              <w:right w:val="nil"/>
            </w:tcBorders>
            <w:shd w:val="clear" w:color="auto" w:fill="auto"/>
            <w:noWrap/>
            <w:vAlign w:val="center"/>
            <w:hideMark/>
          </w:tcPr>
          <w:p w14:paraId="433A18B9" w14:textId="77777777" w:rsidR="00066984" w:rsidRPr="00F719E2" w:rsidRDefault="00066984" w:rsidP="00391007">
            <w:pPr>
              <w:spacing w:after="0" w:line="240" w:lineRule="auto"/>
              <w:rPr>
                <w:rFonts w:ascii="Garamond" w:eastAsia="Times New Roman" w:hAnsi="Garamond" w:cs="Times New Roman"/>
                <w:i/>
                <w:iCs/>
                <w:color w:val="000000"/>
                <w:sz w:val="24"/>
                <w:szCs w:val="24"/>
              </w:rPr>
            </w:pPr>
            <w:r w:rsidRPr="00F719E2">
              <w:rPr>
                <w:rFonts w:ascii="Garamond" w:eastAsia="Times New Roman" w:hAnsi="Garamond" w:cs="Times New Roman"/>
                <w:i/>
                <w:iCs/>
                <w:color w:val="000000"/>
                <w:sz w:val="24"/>
                <w:szCs w:val="24"/>
              </w:rPr>
              <w:t xml:space="preserve">Teaching Assignment </w:t>
            </w:r>
          </w:p>
        </w:tc>
        <w:tc>
          <w:tcPr>
            <w:tcW w:w="1990" w:type="dxa"/>
            <w:tcBorders>
              <w:top w:val="nil"/>
              <w:left w:val="nil"/>
              <w:bottom w:val="nil"/>
              <w:right w:val="nil"/>
            </w:tcBorders>
            <w:shd w:val="clear" w:color="auto" w:fill="auto"/>
            <w:noWrap/>
            <w:vAlign w:val="bottom"/>
            <w:hideMark/>
          </w:tcPr>
          <w:p w14:paraId="26D355FD" w14:textId="77777777" w:rsidR="00066984" w:rsidRPr="00F719E2" w:rsidRDefault="00066984" w:rsidP="00391007">
            <w:pPr>
              <w:spacing w:after="0" w:line="240" w:lineRule="auto"/>
              <w:rPr>
                <w:rFonts w:ascii="Garamond" w:eastAsia="Times New Roman" w:hAnsi="Garamond" w:cs="Times New Roman"/>
                <w:i/>
                <w:iCs/>
                <w:color w:val="000000"/>
                <w:sz w:val="24"/>
                <w:szCs w:val="24"/>
              </w:rPr>
            </w:pPr>
          </w:p>
        </w:tc>
        <w:tc>
          <w:tcPr>
            <w:tcW w:w="276" w:type="dxa"/>
            <w:tcBorders>
              <w:top w:val="nil"/>
              <w:left w:val="nil"/>
              <w:bottom w:val="nil"/>
              <w:right w:val="nil"/>
            </w:tcBorders>
            <w:shd w:val="clear" w:color="auto" w:fill="auto"/>
            <w:noWrap/>
            <w:vAlign w:val="bottom"/>
            <w:hideMark/>
          </w:tcPr>
          <w:p w14:paraId="14968A27"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6E3EB954"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276" w:type="dxa"/>
            <w:tcBorders>
              <w:top w:val="nil"/>
              <w:left w:val="nil"/>
              <w:bottom w:val="nil"/>
              <w:right w:val="nil"/>
            </w:tcBorders>
            <w:shd w:val="clear" w:color="auto" w:fill="auto"/>
            <w:noWrap/>
            <w:vAlign w:val="bottom"/>
            <w:hideMark/>
          </w:tcPr>
          <w:p w14:paraId="7758D06F" w14:textId="77777777" w:rsidR="00066984" w:rsidRPr="00F719E2" w:rsidRDefault="00066984" w:rsidP="00391007">
            <w:pPr>
              <w:spacing w:after="0" w:line="240" w:lineRule="auto"/>
              <w:jc w:val="center"/>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25413B85" w14:textId="77777777" w:rsidR="00066984" w:rsidRPr="00F719E2" w:rsidRDefault="00066984" w:rsidP="00391007">
            <w:pPr>
              <w:spacing w:after="0" w:line="240" w:lineRule="auto"/>
              <w:jc w:val="center"/>
              <w:rPr>
                <w:rFonts w:ascii="Garamond" w:eastAsia="Times New Roman" w:hAnsi="Garamond" w:cs="Times New Roman"/>
                <w:sz w:val="20"/>
                <w:szCs w:val="20"/>
              </w:rPr>
            </w:pPr>
          </w:p>
        </w:tc>
      </w:tr>
      <w:tr w:rsidR="00066984" w:rsidRPr="00F719E2" w14:paraId="7F37D7FC" w14:textId="77777777" w:rsidTr="00391007">
        <w:trPr>
          <w:trHeight w:val="310"/>
        </w:trPr>
        <w:tc>
          <w:tcPr>
            <w:tcW w:w="3330" w:type="dxa"/>
            <w:tcBorders>
              <w:top w:val="nil"/>
              <w:left w:val="nil"/>
              <w:bottom w:val="nil"/>
              <w:right w:val="nil"/>
            </w:tcBorders>
            <w:shd w:val="clear" w:color="auto" w:fill="auto"/>
            <w:noWrap/>
            <w:vAlign w:val="center"/>
            <w:hideMark/>
          </w:tcPr>
          <w:p w14:paraId="3F10669F"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No Discipline</w:t>
            </w:r>
          </w:p>
        </w:tc>
        <w:tc>
          <w:tcPr>
            <w:tcW w:w="1990" w:type="dxa"/>
            <w:tcBorders>
              <w:top w:val="nil"/>
              <w:left w:val="nil"/>
              <w:bottom w:val="nil"/>
              <w:right w:val="nil"/>
            </w:tcBorders>
            <w:shd w:val="clear" w:color="auto" w:fill="auto"/>
            <w:noWrap/>
            <w:vAlign w:val="bottom"/>
            <w:hideMark/>
          </w:tcPr>
          <w:p w14:paraId="733DB275"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0.30</w:t>
            </w:r>
          </w:p>
        </w:tc>
        <w:tc>
          <w:tcPr>
            <w:tcW w:w="276" w:type="dxa"/>
            <w:tcBorders>
              <w:top w:val="nil"/>
              <w:left w:val="nil"/>
              <w:bottom w:val="nil"/>
              <w:right w:val="nil"/>
            </w:tcBorders>
            <w:shd w:val="clear" w:color="auto" w:fill="auto"/>
            <w:noWrap/>
            <w:vAlign w:val="bottom"/>
            <w:hideMark/>
          </w:tcPr>
          <w:p w14:paraId="20F42466"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51251420"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0.35</w:t>
            </w:r>
          </w:p>
        </w:tc>
        <w:tc>
          <w:tcPr>
            <w:tcW w:w="276" w:type="dxa"/>
            <w:tcBorders>
              <w:top w:val="nil"/>
              <w:left w:val="nil"/>
              <w:bottom w:val="nil"/>
              <w:right w:val="nil"/>
            </w:tcBorders>
            <w:shd w:val="clear" w:color="auto" w:fill="auto"/>
            <w:noWrap/>
            <w:vAlign w:val="bottom"/>
            <w:hideMark/>
          </w:tcPr>
          <w:p w14:paraId="1681FCE0"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13CECA69"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0.30</w:t>
            </w:r>
          </w:p>
        </w:tc>
      </w:tr>
      <w:tr w:rsidR="00066984" w:rsidRPr="00F719E2" w14:paraId="7E4F1DD1" w14:textId="77777777" w:rsidTr="00391007">
        <w:trPr>
          <w:trHeight w:val="310"/>
        </w:trPr>
        <w:tc>
          <w:tcPr>
            <w:tcW w:w="3330" w:type="dxa"/>
            <w:tcBorders>
              <w:top w:val="nil"/>
              <w:left w:val="nil"/>
              <w:bottom w:val="nil"/>
              <w:right w:val="nil"/>
            </w:tcBorders>
            <w:shd w:val="clear" w:color="auto" w:fill="auto"/>
            <w:noWrap/>
            <w:vAlign w:val="center"/>
            <w:hideMark/>
          </w:tcPr>
          <w:p w14:paraId="1C65E772"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Communication</w:t>
            </w:r>
          </w:p>
        </w:tc>
        <w:tc>
          <w:tcPr>
            <w:tcW w:w="1990" w:type="dxa"/>
            <w:tcBorders>
              <w:top w:val="nil"/>
              <w:left w:val="nil"/>
              <w:bottom w:val="nil"/>
              <w:right w:val="nil"/>
            </w:tcBorders>
            <w:shd w:val="clear" w:color="auto" w:fill="auto"/>
            <w:noWrap/>
            <w:vAlign w:val="bottom"/>
            <w:hideMark/>
          </w:tcPr>
          <w:p w14:paraId="0C6CAE80"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0.19</w:t>
            </w:r>
          </w:p>
        </w:tc>
        <w:tc>
          <w:tcPr>
            <w:tcW w:w="276" w:type="dxa"/>
            <w:tcBorders>
              <w:top w:val="nil"/>
              <w:left w:val="nil"/>
              <w:bottom w:val="nil"/>
              <w:right w:val="nil"/>
            </w:tcBorders>
            <w:shd w:val="clear" w:color="auto" w:fill="auto"/>
            <w:noWrap/>
            <w:vAlign w:val="bottom"/>
            <w:hideMark/>
          </w:tcPr>
          <w:p w14:paraId="406F0CD0"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7F4B56C2"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0.17</w:t>
            </w:r>
          </w:p>
        </w:tc>
        <w:tc>
          <w:tcPr>
            <w:tcW w:w="276" w:type="dxa"/>
            <w:tcBorders>
              <w:top w:val="nil"/>
              <w:left w:val="nil"/>
              <w:bottom w:val="nil"/>
              <w:right w:val="nil"/>
            </w:tcBorders>
            <w:shd w:val="clear" w:color="auto" w:fill="auto"/>
            <w:noWrap/>
            <w:vAlign w:val="bottom"/>
            <w:hideMark/>
          </w:tcPr>
          <w:p w14:paraId="084C5075"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72B75545"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0.17</w:t>
            </w:r>
          </w:p>
        </w:tc>
      </w:tr>
      <w:tr w:rsidR="00066984" w:rsidRPr="00F719E2" w14:paraId="163F6781" w14:textId="77777777" w:rsidTr="00391007">
        <w:trPr>
          <w:trHeight w:val="310"/>
        </w:trPr>
        <w:tc>
          <w:tcPr>
            <w:tcW w:w="3330" w:type="dxa"/>
            <w:tcBorders>
              <w:top w:val="nil"/>
              <w:left w:val="nil"/>
              <w:bottom w:val="nil"/>
              <w:right w:val="nil"/>
            </w:tcBorders>
            <w:shd w:val="clear" w:color="auto" w:fill="auto"/>
            <w:noWrap/>
            <w:vAlign w:val="center"/>
            <w:hideMark/>
          </w:tcPr>
          <w:p w14:paraId="3C37CE8A"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Math</w:t>
            </w:r>
          </w:p>
        </w:tc>
        <w:tc>
          <w:tcPr>
            <w:tcW w:w="1990" w:type="dxa"/>
            <w:tcBorders>
              <w:top w:val="nil"/>
              <w:left w:val="nil"/>
              <w:bottom w:val="nil"/>
              <w:right w:val="nil"/>
            </w:tcBorders>
            <w:shd w:val="clear" w:color="auto" w:fill="auto"/>
            <w:noWrap/>
            <w:vAlign w:val="bottom"/>
            <w:hideMark/>
          </w:tcPr>
          <w:p w14:paraId="43FB6876"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0.15</w:t>
            </w:r>
          </w:p>
        </w:tc>
        <w:tc>
          <w:tcPr>
            <w:tcW w:w="276" w:type="dxa"/>
            <w:tcBorders>
              <w:top w:val="nil"/>
              <w:left w:val="nil"/>
              <w:bottom w:val="nil"/>
              <w:right w:val="nil"/>
            </w:tcBorders>
            <w:shd w:val="clear" w:color="auto" w:fill="auto"/>
            <w:noWrap/>
            <w:vAlign w:val="bottom"/>
            <w:hideMark/>
          </w:tcPr>
          <w:p w14:paraId="1EE35907"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12DB1313"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0.10</w:t>
            </w:r>
          </w:p>
        </w:tc>
        <w:tc>
          <w:tcPr>
            <w:tcW w:w="276" w:type="dxa"/>
            <w:tcBorders>
              <w:top w:val="nil"/>
              <w:left w:val="nil"/>
              <w:bottom w:val="nil"/>
              <w:right w:val="nil"/>
            </w:tcBorders>
            <w:shd w:val="clear" w:color="auto" w:fill="auto"/>
            <w:noWrap/>
            <w:vAlign w:val="bottom"/>
            <w:hideMark/>
          </w:tcPr>
          <w:p w14:paraId="797775D9"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76F0FDA4"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0.12</w:t>
            </w:r>
          </w:p>
        </w:tc>
      </w:tr>
      <w:tr w:rsidR="00066984" w:rsidRPr="00F719E2" w14:paraId="66580BCE" w14:textId="77777777" w:rsidTr="00391007">
        <w:trPr>
          <w:trHeight w:val="310"/>
        </w:trPr>
        <w:tc>
          <w:tcPr>
            <w:tcW w:w="3330" w:type="dxa"/>
            <w:tcBorders>
              <w:top w:val="nil"/>
              <w:left w:val="nil"/>
              <w:bottom w:val="nil"/>
              <w:right w:val="nil"/>
            </w:tcBorders>
            <w:shd w:val="clear" w:color="auto" w:fill="auto"/>
            <w:noWrap/>
            <w:vAlign w:val="center"/>
            <w:hideMark/>
          </w:tcPr>
          <w:p w14:paraId="19727B22"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Science</w:t>
            </w:r>
          </w:p>
        </w:tc>
        <w:tc>
          <w:tcPr>
            <w:tcW w:w="1990" w:type="dxa"/>
            <w:tcBorders>
              <w:top w:val="nil"/>
              <w:left w:val="nil"/>
              <w:bottom w:val="nil"/>
              <w:right w:val="nil"/>
            </w:tcBorders>
            <w:shd w:val="clear" w:color="auto" w:fill="auto"/>
            <w:noWrap/>
            <w:vAlign w:val="bottom"/>
            <w:hideMark/>
          </w:tcPr>
          <w:p w14:paraId="57EA94D4"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0.08</w:t>
            </w:r>
          </w:p>
        </w:tc>
        <w:tc>
          <w:tcPr>
            <w:tcW w:w="276" w:type="dxa"/>
            <w:tcBorders>
              <w:top w:val="nil"/>
              <w:left w:val="nil"/>
              <w:bottom w:val="nil"/>
              <w:right w:val="nil"/>
            </w:tcBorders>
            <w:shd w:val="clear" w:color="auto" w:fill="auto"/>
            <w:noWrap/>
            <w:vAlign w:val="bottom"/>
            <w:hideMark/>
          </w:tcPr>
          <w:p w14:paraId="5D5C5BCF"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3B3B0963"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0.07</w:t>
            </w:r>
          </w:p>
        </w:tc>
        <w:tc>
          <w:tcPr>
            <w:tcW w:w="276" w:type="dxa"/>
            <w:tcBorders>
              <w:top w:val="nil"/>
              <w:left w:val="nil"/>
              <w:bottom w:val="nil"/>
              <w:right w:val="nil"/>
            </w:tcBorders>
            <w:shd w:val="clear" w:color="auto" w:fill="auto"/>
            <w:noWrap/>
            <w:vAlign w:val="bottom"/>
            <w:hideMark/>
          </w:tcPr>
          <w:p w14:paraId="62E3F819"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5EB1CED1"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0.09</w:t>
            </w:r>
          </w:p>
        </w:tc>
      </w:tr>
      <w:tr w:rsidR="00066984" w:rsidRPr="00F719E2" w14:paraId="662EBC12" w14:textId="77777777" w:rsidTr="00391007">
        <w:trPr>
          <w:trHeight w:val="310"/>
        </w:trPr>
        <w:tc>
          <w:tcPr>
            <w:tcW w:w="3330" w:type="dxa"/>
            <w:tcBorders>
              <w:top w:val="nil"/>
              <w:left w:val="nil"/>
              <w:bottom w:val="nil"/>
              <w:right w:val="nil"/>
            </w:tcBorders>
            <w:shd w:val="clear" w:color="auto" w:fill="auto"/>
            <w:noWrap/>
            <w:vAlign w:val="center"/>
            <w:hideMark/>
          </w:tcPr>
          <w:p w14:paraId="5AC9BC8B"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Social Studies</w:t>
            </w:r>
          </w:p>
        </w:tc>
        <w:tc>
          <w:tcPr>
            <w:tcW w:w="1990" w:type="dxa"/>
            <w:tcBorders>
              <w:top w:val="nil"/>
              <w:left w:val="nil"/>
              <w:bottom w:val="nil"/>
              <w:right w:val="nil"/>
            </w:tcBorders>
            <w:shd w:val="clear" w:color="auto" w:fill="auto"/>
            <w:noWrap/>
            <w:vAlign w:val="bottom"/>
            <w:hideMark/>
          </w:tcPr>
          <w:p w14:paraId="0853111E"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0.08</w:t>
            </w:r>
          </w:p>
        </w:tc>
        <w:tc>
          <w:tcPr>
            <w:tcW w:w="276" w:type="dxa"/>
            <w:tcBorders>
              <w:top w:val="nil"/>
              <w:left w:val="nil"/>
              <w:bottom w:val="nil"/>
              <w:right w:val="nil"/>
            </w:tcBorders>
            <w:shd w:val="clear" w:color="auto" w:fill="auto"/>
            <w:noWrap/>
            <w:vAlign w:val="bottom"/>
            <w:hideMark/>
          </w:tcPr>
          <w:p w14:paraId="75C45F99"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0994572A"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0.07</w:t>
            </w:r>
          </w:p>
        </w:tc>
        <w:tc>
          <w:tcPr>
            <w:tcW w:w="276" w:type="dxa"/>
            <w:tcBorders>
              <w:top w:val="nil"/>
              <w:left w:val="nil"/>
              <w:bottom w:val="nil"/>
              <w:right w:val="nil"/>
            </w:tcBorders>
            <w:shd w:val="clear" w:color="auto" w:fill="auto"/>
            <w:noWrap/>
            <w:vAlign w:val="bottom"/>
            <w:hideMark/>
          </w:tcPr>
          <w:p w14:paraId="1AE08D00"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338DE8F5"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0.09</w:t>
            </w:r>
          </w:p>
        </w:tc>
      </w:tr>
      <w:tr w:rsidR="00066984" w:rsidRPr="00F719E2" w14:paraId="1D2F3CBB" w14:textId="77777777" w:rsidTr="00391007">
        <w:trPr>
          <w:trHeight w:val="310"/>
        </w:trPr>
        <w:tc>
          <w:tcPr>
            <w:tcW w:w="3330" w:type="dxa"/>
            <w:tcBorders>
              <w:top w:val="nil"/>
              <w:left w:val="nil"/>
              <w:bottom w:val="nil"/>
              <w:right w:val="nil"/>
            </w:tcBorders>
            <w:shd w:val="clear" w:color="auto" w:fill="auto"/>
            <w:noWrap/>
            <w:vAlign w:val="center"/>
            <w:hideMark/>
          </w:tcPr>
          <w:p w14:paraId="29F1D9CE"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Arts</w:t>
            </w:r>
          </w:p>
        </w:tc>
        <w:tc>
          <w:tcPr>
            <w:tcW w:w="1990" w:type="dxa"/>
            <w:tcBorders>
              <w:top w:val="nil"/>
              <w:left w:val="nil"/>
              <w:bottom w:val="nil"/>
              <w:right w:val="nil"/>
            </w:tcBorders>
            <w:shd w:val="clear" w:color="auto" w:fill="auto"/>
            <w:noWrap/>
            <w:vAlign w:val="bottom"/>
            <w:hideMark/>
          </w:tcPr>
          <w:p w14:paraId="3E3D7074"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0.03</w:t>
            </w:r>
          </w:p>
        </w:tc>
        <w:tc>
          <w:tcPr>
            <w:tcW w:w="276" w:type="dxa"/>
            <w:tcBorders>
              <w:top w:val="nil"/>
              <w:left w:val="nil"/>
              <w:bottom w:val="nil"/>
              <w:right w:val="nil"/>
            </w:tcBorders>
            <w:shd w:val="clear" w:color="auto" w:fill="auto"/>
            <w:noWrap/>
            <w:vAlign w:val="bottom"/>
            <w:hideMark/>
          </w:tcPr>
          <w:p w14:paraId="560FE9F5"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3B8F3159"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0.05</w:t>
            </w:r>
          </w:p>
        </w:tc>
        <w:tc>
          <w:tcPr>
            <w:tcW w:w="276" w:type="dxa"/>
            <w:tcBorders>
              <w:top w:val="nil"/>
              <w:left w:val="nil"/>
              <w:bottom w:val="nil"/>
              <w:right w:val="nil"/>
            </w:tcBorders>
            <w:shd w:val="clear" w:color="auto" w:fill="auto"/>
            <w:noWrap/>
            <w:vAlign w:val="bottom"/>
            <w:hideMark/>
          </w:tcPr>
          <w:p w14:paraId="7F64F8E6"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5FAD7A07"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0.06</w:t>
            </w:r>
          </w:p>
        </w:tc>
      </w:tr>
      <w:tr w:rsidR="00066984" w:rsidRPr="00F719E2" w14:paraId="35C338FC" w14:textId="77777777" w:rsidTr="00391007">
        <w:trPr>
          <w:trHeight w:val="310"/>
        </w:trPr>
        <w:tc>
          <w:tcPr>
            <w:tcW w:w="3330" w:type="dxa"/>
            <w:tcBorders>
              <w:top w:val="nil"/>
              <w:left w:val="nil"/>
              <w:bottom w:val="nil"/>
              <w:right w:val="nil"/>
            </w:tcBorders>
            <w:shd w:val="clear" w:color="auto" w:fill="auto"/>
            <w:noWrap/>
            <w:vAlign w:val="center"/>
            <w:hideMark/>
          </w:tcPr>
          <w:p w14:paraId="383991C6"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Vocation</w:t>
            </w:r>
          </w:p>
        </w:tc>
        <w:tc>
          <w:tcPr>
            <w:tcW w:w="1990" w:type="dxa"/>
            <w:tcBorders>
              <w:top w:val="nil"/>
              <w:left w:val="nil"/>
              <w:bottom w:val="nil"/>
              <w:right w:val="nil"/>
            </w:tcBorders>
            <w:shd w:val="clear" w:color="auto" w:fill="auto"/>
            <w:noWrap/>
            <w:vAlign w:val="bottom"/>
            <w:hideMark/>
          </w:tcPr>
          <w:p w14:paraId="139A297B"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0.06</w:t>
            </w:r>
          </w:p>
        </w:tc>
        <w:tc>
          <w:tcPr>
            <w:tcW w:w="276" w:type="dxa"/>
            <w:tcBorders>
              <w:top w:val="nil"/>
              <w:left w:val="nil"/>
              <w:bottom w:val="nil"/>
              <w:right w:val="nil"/>
            </w:tcBorders>
            <w:shd w:val="clear" w:color="auto" w:fill="auto"/>
            <w:noWrap/>
            <w:vAlign w:val="bottom"/>
            <w:hideMark/>
          </w:tcPr>
          <w:p w14:paraId="1C361147"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6141901B"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0.06</w:t>
            </w:r>
          </w:p>
        </w:tc>
        <w:tc>
          <w:tcPr>
            <w:tcW w:w="276" w:type="dxa"/>
            <w:tcBorders>
              <w:top w:val="nil"/>
              <w:left w:val="nil"/>
              <w:bottom w:val="nil"/>
              <w:right w:val="nil"/>
            </w:tcBorders>
            <w:shd w:val="clear" w:color="auto" w:fill="auto"/>
            <w:noWrap/>
            <w:vAlign w:val="bottom"/>
            <w:hideMark/>
          </w:tcPr>
          <w:p w14:paraId="2B42484E"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28DCB2C7"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0.05</w:t>
            </w:r>
          </w:p>
        </w:tc>
      </w:tr>
      <w:tr w:rsidR="00066984" w:rsidRPr="00F719E2" w14:paraId="7EB8F91B" w14:textId="77777777" w:rsidTr="00391007">
        <w:trPr>
          <w:trHeight w:val="310"/>
        </w:trPr>
        <w:tc>
          <w:tcPr>
            <w:tcW w:w="3330" w:type="dxa"/>
            <w:tcBorders>
              <w:top w:val="nil"/>
              <w:left w:val="nil"/>
              <w:bottom w:val="nil"/>
              <w:right w:val="nil"/>
            </w:tcBorders>
            <w:shd w:val="clear" w:color="auto" w:fill="auto"/>
            <w:noWrap/>
            <w:vAlign w:val="center"/>
            <w:hideMark/>
          </w:tcPr>
          <w:p w14:paraId="1D6DFA55" w14:textId="77777777" w:rsidR="00066984" w:rsidRPr="00F719E2" w:rsidRDefault="00066984"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Other</w:t>
            </w:r>
          </w:p>
        </w:tc>
        <w:tc>
          <w:tcPr>
            <w:tcW w:w="1990" w:type="dxa"/>
            <w:tcBorders>
              <w:top w:val="nil"/>
              <w:left w:val="nil"/>
              <w:bottom w:val="nil"/>
              <w:right w:val="nil"/>
            </w:tcBorders>
            <w:shd w:val="clear" w:color="auto" w:fill="auto"/>
            <w:noWrap/>
            <w:vAlign w:val="bottom"/>
            <w:hideMark/>
          </w:tcPr>
          <w:p w14:paraId="1F29601A"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0.11</w:t>
            </w:r>
          </w:p>
        </w:tc>
        <w:tc>
          <w:tcPr>
            <w:tcW w:w="276" w:type="dxa"/>
            <w:tcBorders>
              <w:top w:val="nil"/>
              <w:left w:val="nil"/>
              <w:bottom w:val="nil"/>
              <w:right w:val="nil"/>
            </w:tcBorders>
            <w:shd w:val="clear" w:color="auto" w:fill="auto"/>
            <w:noWrap/>
            <w:vAlign w:val="bottom"/>
            <w:hideMark/>
          </w:tcPr>
          <w:p w14:paraId="11589B64"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0F4E0BEB"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0.13</w:t>
            </w:r>
          </w:p>
        </w:tc>
        <w:tc>
          <w:tcPr>
            <w:tcW w:w="276" w:type="dxa"/>
            <w:tcBorders>
              <w:top w:val="nil"/>
              <w:left w:val="nil"/>
              <w:bottom w:val="nil"/>
              <w:right w:val="nil"/>
            </w:tcBorders>
            <w:shd w:val="clear" w:color="auto" w:fill="auto"/>
            <w:noWrap/>
            <w:vAlign w:val="bottom"/>
            <w:hideMark/>
          </w:tcPr>
          <w:p w14:paraId="402BFFE0"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7304157B"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0.12</w:t>
            </w:r>
          </w:p>
        </w:tc>
      </w:tr>
      <w:tr w:rsidR="00066984" w:rsidRPr="00F719E2" w14:paraId="48633277" w14:textId="77777777" w:rsidTr="00391007">
        <w:trPr>
          <w:trHeight w:val="310"/>
        </w:trPr>
        <w:tc>
          <w:tcPr>
            <w:tcW w:w="3330" w:type="dxa"/>
            <w:tcBorders>
              <w:top w:val="nil"/>
              <w:left w:val="nil"/>
              <w:bottom w:val="nil"/>
              <w:right w:val="nil"/>
            </w:tcBorders>
            <w:shd w:val="clear" w:color="auto" w:fill="auto"/>
            <w:noWrap/>
            <w:vAlign w:val="bottom"/>
            <w:hideMark/>
          </w:tcPr>
          <w:p w14:paraId="19397088"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p>
        </w:tc>
        <w:tc>
          <w:tcPr>
            <w:tcW w:w="1990" w:type="dxa"/>
            <w:tcBorders>
              <w:top w:val="nil"/>
              <w:left w:val="nil"/>
              <w:bottom w:val="nil"/>
              <w:right w:val="nil"/>
            </w:tcBorders>
            <w:shd w:val="clear" w:color="auto" w:fill="auto"/>
            <w:noWrap/>
            <w:vAlign w:val="bottom"/>
            <w:hideMark/>
          </w:tcPr>
          <w:p w14:paraId="4B9EBE4A" w14:textId="77777777" w:rsidR="00066984" w:rsidRPr="00F719E2" w:rsidRDefault="00066984" w:rsidP="00391007">
            <w:pPr>
              <w:spacing w:after="0" w:line="240" w:lineRule="auto"/>
              <w:rPr>
                <w:rFonts w:ascii="Garamond" w:eastAsia="Times New Roman" w:hAnsi="Garamond" w:cs="Times New Roman"/>
                <w:sz w:val="20"/>
                <w:szCs w:val="20"/>
              </w:rPr>
            </w:pPr>
          </w:p>
        </w:tc>
        <w:tc>
          <w:tcPr>
            <w:tcW w:w="276" w:type="dxa"/>
            <w:tcBorders>
              <w:top w:val="nil"/>
              <w:left w:val="nil"/>
              <w:bottom w:val="nil"/>
              <w:right w:val="nil"/>
            </w:tcBorders>
            <w:shd w:val="clear" w:color="auto" w:fill="auto"/>
            <w:noWrap/>
            <w:vAlign w:val="bottom"/>
            <w:hideMark/>
          </w:tcPr>
          <w:p w14:paraId="23F6EF28" w14:textId="77777777" w:rsidR="00066984" w:rsidRPr="00F719E2" w:rsidRDefault="00066984" w:rsidP="00391007">
            <w:pPr>
              <w:spacing w:after="0" w:line="240" w:lineRule="auto"/>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534195F1" w14:textId="77777777" w:rsidR="00066984" w:rsidRPr="00F719E2" w:rsidRDefault="00066984" w:rsidP="00391007">
            <w:pPr>
              <w:spacing w:after="0" w:line="240" w:lineRule="auto"/>
              <w:rPr>
                <w:rFonts w:ascii="Garamond" w:eastAsia="Times New Roman" w:hAnsi="Garamond" w:cs="Times New Roman"/>
                <w:sz w:val="20"/>
                <w:szCs w:val="20"/>
              </w:rPr>
            </w:pPr>
          </w:p>
        </w:tc>
        <w:tc>
          <w:tcPr>
            <w:tcW w:w="276" w:type="dxa"/>
            <w:tcBorders>
              <w:top w:val="nil"/>
              <w:left w:val="nil"/>
              <w:bottom w:val="nil"/>
              <w:right w:val="nil"/>
            </w:tcBorders>
            <w:shd w:val="clear" w:color="auto" w:fill="auto"/>
            <w:noWrap/>
            <w:vAlign w:val="bottom"/>
            <w:hideMark/>
          </w:tcPr>
          <w:p w14:paraId="1622122C" w14:textId="77777777" w:rsidR="00066984" w:rsidRPr="00F719E2" w:rsidRDefault="00066984" w:rsidP="00391007">
            <w:pPr>
              <w:spacing w:after="0" w:line="240" w:lineRule="auto"/>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341FF0BC" w14:textId="77777777" w:rsidR="00066984" w:rsidRPr="00F719E2" w:rsidRDefault="00066984" w:rsidP="00391007">
            <w:pPr>
              <w:spacing w:after="0" w:line="240" w:lineRule="auto"/>
              <w:rPr>
                <w:rFonts w:ascii="Garamond" w:eastAsia="Times New Roman" w:hAnsi="Garamond" w:cs="Times New Roman"/>
                <w:sz w:val="20"/>
                <w:szCs w:val="20"/>
              </w:rPr>
            </w:pPr>
          </w:p>
        </w:tc>
      </w:tr>
      <w:tr w:rsidR="00066984" w:rsidRPr="00F719E2" w14:paraId="364B31EB" w14:textId="77777777" w:rsidTr="00391007">
        <w:trPr>
          <w:trHeight w:val="310"/>
        </w:trPr>
        <w:tc>
          <w:tcPr>
            <w:tcW w:w="3330" w:type="dxa"/>
            <w:tcBorders>
              <w:top w:val="nil"/>
              <w:left w:val="nil"/>
              <w:bottom w:val="single" w:sz="4" w:space="0" w:color="auto"/>
              <w:right w:val="nil"/>
            </w:tcBorders>
            <w:shd w:val="clear" w:color="auto" w:fill="auto"/>
            <w:noWrap/>
            <w:vAlign w:val="center"/>
            <w:hideMark/>
          </w:tcPr>
          <w:p w14:paraId="2093D4BA" w14:textId="77777777" w:rsidR="00066984" w:rsidRPr="00F719E2" w:rsidRDefault="00066984" w:rsidP="00391007">
            <w:pPr>
              <w:spacing w:after="0" w:line="240" w:lineRule="auto"/>
              <w:rPr>
                <w:rFonts w:ascii="Garamond" w:eastAsia="Times New Roman" w:hAnsi="Garamond" w:cs="Times New Roman"/>
                <w:i/>
                <w:iCs/>
                <w:color w:val="000000"/>
                <w:sz w:val="24"/>
                <w:szCs w:val="24"/>
              </w:rPr>
            </w:pPr>
            <w:r w:rsidRPr="00F719E2">
              <w:rPr>
                <w:rFonts w:ascii="Garamond" w:eastAsia="Times New Roman" w:hAnsi="Garamond" w:cs="Times New Roman"/>
                <w:i/>
                <w:iCs/>
                <w:color w:val="000000"/>
                <w:sz w:val="24"/>
                <w:szCs w:val="24"/>
              </w:rPr>
              <w:t>Number of Teachers</w:t>
            </w:r>
          </w:p>
        </w:tc>
        <w:tc>
          <w:tcPr>
            <w:tcW w:w="1990" w:type="dxa"/>
            <w:tcBorders>
              <w:top w:val="nil"/>
              <w:left w:val="nil"/>
              <w:bottom w:val="single" w:sz="4" w:space="0" w:color="auto"/>
              <w:right w:val="nil"/>
            </w:tcBorders>
            <w:shd w:val="clear" w:color="auto" w:fill="auto"/>
            <w:noWrap/>
            <w:vAlign w:val="bottom"/>
            <w:hideMark/>
          </w:tcPr>
          <w:p w14:paraId="6254A0B6"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2,694</w:t>
            </w:r>
          </w:p>
        </w:tc>
        <w:tc>
          <w:tcPr>
            <w:tcW w:w="276" w:type="dxa"/>
            <w:tcBorders>
              <w:top w:val="nil"/>
              <w:left w:val="nil"/>
              <w:bottom w:val="single" w:sz="4" w:space="0" w:color="auto"/>
              <w:right w:val="nil"/>
            </w:tcBorders>
            <w:shd w:val="clear" w:color="auto" w:fill="auto"/>
            <w:noWrap/>
            <w:vAlign w:val="bottom"/>
            <w:hideMark/>
          </w:tcPr>
          <w:p w14:paraId="63A64859"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1300" w:type="dxa"/>
            <w:tcBorders>
              <w:top w:val="nil"/>
              <w:left w:val="nil"/>
              <w:bottom w:val="single" w:sz="4" w:space="0" w:color="auto"/>
              <w:right w:val="nil"/>
            </w:tcBorders>
            <w:shd w:val="clear" w:color="auto" w:fill="auto"/>
            <w:noWrap/>
            <w:vAlign w:val="bottom"/>
            <w:hideMark/>
          </w:tcPr>
          <w:p w14:paraId="7D325D30"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65,423</w:t>
            </w:r>
          </w:p>
        </w:tc>
        <w:tc>
          <w:tcPr>
            <w:tcW w:w="276" w:type="dxa"/>
            <w:tcBorders>
              <w:top w:val="nil"/>
              <w:left w:val="nil"/>
              <w:bottom w:val="single" w:sz="4" w:space="0" w:color="auto"/>
              <w:right w:val="nil"/>
            </w:tcBorders>
            <w:shd w:val="clear" w:color="auto" w:fill="auto"/>
            <w:noWrap/>
            <w:vAlign w:val="bottom"/>
            <w:hideMark/>
          </w:tcPr>
          <w:p w14:paraId="102DF8FF"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1300" w:type="dxa"/>
            <w:tcBorders>
              <w:top w:val="nil"/>
              <w:left w:val="nil"/>
              <w:bottom w:val="single" w:sz="4" w:space="0" w:color="auto"/>
              <w:right w:val="nil"/>
            </w:tcBorders>
            <w:shd w:val="clear" w:color="auto" w:fill="auto"/>
            <w:noWrap/>
            <w:vAlign w:val="bottom"/>
            <w:hideMark/>
          </w:tcPr>
          <w:p w14:paraId="4EB5FA2B" w14:textId="77777777" w:rsidR="00066984" w:rsidRPr="00F719E2" w:rsidRDefault="00066984"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77,463</w:t>
            </w:r>
          </w:p>
        </w:tc>
      </w:tr>
      <w:tr w:rsidR="00066984" w:rsidRPr="00F719E2" w14:paraId="4DAFB8AC" w14:textId="77777777" w:rsidTr="00391007">
        <w:trPr>
          <w:trHeight w:val="310"/>
        </w:trPr>
        <w:tc>
          <w:tcPr>
            <w:tcW w:w="8472" w:type="dxa"/>
            <w:gridSpan w:val="6"/>
            <w:tcBorders>
              <w:top w:val="nil"/>
              <w:left w:val="nil"/>
              <w:bottom w:val="nil"/>
              <w:right w:val="nil"/>
            </w:tcBorders>
            <w:shd w:val="clear" w:color="auto" w:fill="auto"/>
            <w:noWrap/>
            <w:vAlign w:val="bottom"/>
            <w:hideMark/>
          </w:tcPr>
          <w:p w14:paraId="7DC6C63B" w14:textId="77777777" w:rsidR="00066984" w:rsidRPr="00F719E2" w:rsidRDefault="00066984" w:rsidP="00391007">
            <w:pPr>
              <w:spacing w:after="0" w:line="240" w:lineRule="auto"/>
              <w:jc w:val="both"/>
              <w:rPr>
                <w:rFonts w:ascii="Garamond" w:eastAsia="Times New Roman" w:hAnsi="Garamond" w:cs="Times New Roman"/>
                <w:sz w:val="20"/>
                <w:szCs w:val="20"/>
              </w:rPr>
            </w:pPr>
            <w:r w:rsidRPr="00F719E2">
              <w:rPr>
                <w:rFonts w:ascii="Garamond" w:eastAsia="Times New Roman" w:hAnsi="Garamond" w:cs="Times New Roman"/>
                <w:i/>
                <w:iCs/>
                <w:sz w:val="20"/>
                <w:szCs w:val="20"/>
              </w:rPr>
              <w:t>Notes</w:t>
            </w:r>
            <w:r w:rsidRPr="00F719E2">
              <w:rPr>
                <w:rFonts w:ascii="Garamond" w:eastAsia="Times New Roman" w:hAnsi="Garamond" w:cs="Times New Roman"/>
                <w:sz w:val="20"/>
                <w:szCs w:val="20"/>
              </w:rPr>
              <w:t xml:space="preserve">: This table shows average characteristics of RTW teachers in their first year back to work in column (1), average characteristics of all teachers in 1999 in column (2), and average characteristics of all teachers in </w:t>
            </w:r>
            <w:r w:rsidRPr="00F719E2">
              <w:rPr>
                <w:rFonts w:ascii="Garamond" w:eastAsia="Times New Roman" w:hAnsi="Garamond" w:cs="Times New Roman"/>
                <w:sz w:val="20"/>
                <w:szCs w:val="20"/>
              </w:rPr>
              <w:lastRenderedPageBreak/>
              <w:t>2009 in column (3). All numbers in the table are average proportions of teachers with each characteristic, aside from experience and years absent before returning, which are in years. All numbers are teacher-level averages.</w:t>
            </w:r>
          </w:p>
        </w:tc>
      </w:tr>
    </w:tbl>
    <w:p w14:paraId="700CE2EE" w14:textId="77777777" w:rsidR="00BD7836" w:rsidRDefault="00BD7836" w:rsidP="00C6646B">
      <w:pPr>
        <w:spacing w:after="0" w:line="480" w:lineRule="auto"/>
        <w:ind w:firstLine="720"/>
        <w:rPr>
          <w:rFonts w:ascii="Garamond" w:hAnsi="Garamond" w:cs="Times New Roman"/>
          <w:sz w:val="24"/>
          <w:szCs w:val="24"/>
        </w:rPr>
      </w:pPr>
    </w:p>
    <w:p w14:paraId="42B57994" w14:textId="59997AE7" w:rsidR="008F06B1" w:rsidRPr="00F719E2" w:rsidRDefault="00683C70"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There are 2,</w:t>
      </w:r>
      <w:r w:rsidR="00D0460F" w:rsidRPr="00F719E2">
        <w:rPr>
          <w:rFonts w:ascii="Garamond" w:hAnsi="Garamond" w:cs="Times New Roman"/>
          <w:sz w:val="24"/>
          <w:szCs w:val="24"/>
        </w:rPr>
        <w:t>6</w:t>
      </w:r>
      <w:r w:rsidR="00A36C4D" w:rsidRPr="00F719E2">
        <w:rPr>
          <w:rFonts w:ascii="Garamond" w:hAnsi="Garamond" w:cs="Times New Roman"/>
          <w:sz w:val="24"/>
          <w:szCs w:val="24"/>
        </w:rPr>
        <w:t>94</w:t>
      </w:r>
      <w:r w:rsidRPr="00F719E2">
        <w:rPr>
          <w:rFonts w:ascii="Garamond" w:hAnsi="Garamond" w:cs="Times New Roman"/>
          <w:sz w:val="24"/>
          <w:szCs w:val="24"/>
        </w:rPr>
        <w:t xml:space="preserve"> RTW teachers in our sample. </w:t>
      </w:r>
      <w:r w:rsidR="00FA6E95" w:rsidRPr="00F719E2">
        <w:rPr>
          <w:rFonts w:ascii="Garamond" w:hAnsi="Garamond" w:cs="Times New Roman"/>
          <w:sz w:val="24"/>
          <w:szCs w:val="24"/>
        </w:rPr>
        <w:t xml:space="preserve">81% of these teachers are female, </w:t>
      </w:r>
      <w:r w:rsidR="005A1BAC">
        <w:rPr>
          <w:rFonts w:ascii="Garamond" w:hAnsi="Garamond" w:cs="Times New Roman"/>
          <w:sz w:val="24"/>
          <w:szCs w:val="24"/>
        </w:rPr>
        <w:t xml:space="preserve">in line with the broader teacher workforce. </w:t>
      </w:r>
      <w:r w:rsidR="00365172" w:rsidRPr="00F719E2">
        <w:rPr>
          <w:rFonts w:ascii="Garamond" w:hAnsi="Garamond" w:cs="Times New Roman"/>
          <w:sz w:val="24"/>
          <w:szCs w:val="24"/>
        </w:rPr>
        <w:t>Notably, relative</w:t>
      </w:r>
      <w:r w:rsidR="00387561" w:rsidRPr="00F719E2">
        <w:rPr>
          <w:rFonts w:ascii="Garamond" w:hAnsi="Garamond" w:cs="Times New Roman"/>
          <w:sz w:val="24"/>
          <w:szCs w:val="24"/>
        </w:rPr>
        <w:t xml:space="preserve"> to </w:t>
      </w:r>
      <w:r w:rsidR="004C7837" w:rsidRPr="00F719E2">
        <w:rPr>
          <w:rFonts w:ascii="Garamond" w:hAnsi="Garamond" w:cs="Times New Roman"/>
          <w:sz w:val="24"/>
          <w:szCs w:val="24"/>
        </w:rPr>
        <w:t>all teachers in 1999 and 2009, RTW teachers are more likely to be Black</w:t>
      </w:r>
      <w:r w:rsidR="007E45D9" w:rsidRPr="00F719E2">
        <w:rPr>
          <w:rFonts w:ascii="Garamond" w:hAnsi="Garamond" w:cs="Times New Roman"/>
          <w:sz w:val="24"/>
          <w:szCs w:val="24"/>
        </w:rPr>
        <w:t xml:space="preserve">. Less than 15% of all teachers </w:t>
      </w:r>
      <w:r w:rsidR="00365172" w:rsidRPr="00F719E2">
        <w:rPr>
          <w:rFonts w:ascii="Garamond" w:hAnsi="Garamond" w:cs="Times New Roman"/>
          <w:sz w:val="24"/>
          <w:szCs w:val="24"/>
        </w:rPr>
        <w:t xml:space="preserve">are Black in each of these years whereas </w:t>
      </w:r>
      <w:r w:rsidR="00013A02" w:rsidRPr="00F719E2">
        <w:rPr>
          <w:rFonts w:ascii="Garamond" w:hAnsi="Garamond" w:cs="Times New Roman"/>
          <w:sz w:val="24"/>
          <w:szCs w:val="24"/>
        </w:rPr>
        <w:t>22% of RTW teachers are Black.</w:t>
      </w:r>
    </w:p>
    <w:p w14:paraId="161C4880" w14:textId="77777777" w:rsidR="008F56B2" w:rsidRDefault="00AB79F3" w:rsidP="008F56B2">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Looking at teacher qualifications, </w:t>
      </w:r>
      <w:r w:rsidR="00CA2A08" w:rsidRPr="00F719E2">
        <w:rPr>
          <w:rFonts w:ascii="Garamond" w:hAnsi="Garamond" w:cs="Times New Roman"/>
          <w:sz w:val="24"/>
          <w:szCs w:val="24"/>
        </w:rPr>
        <w:t xml:space="preserve">if we just consider where they went to school, </w:t>
      </w:r>
      <w:r w:rsidR="00B44EDE" w:rsidRPr="00F719E2">
        <w:rPr>
          <w:rFonts w:ascii="Garamond" w:hAnsi="Garamond" w:cs="Times New Roman"/>
          <w:sz w:val="24"/>
          <w:szCs w:val="24"/>
        </w:rPr>
        <w:t>it appears that, on average, RTW teachers are not the most qualified teachers</w:t>
      </w:r>
      <w:r w:rsidR="005533D1" w:rsidRPr="00F719E2">
        <w:rPr>
          <w:rFonts w:ascii="Garamond" w:hAnsi="Garamond" w:cs="Times New Roman"/>
          <w:sz w:val="24"/>
          <w:szCs w:val="24"/>
        </w:rPr>
        <w:t xml:space="preserve">. </w:t>
      </w:r>
      <w:r w:rsidR="0083108A" w:rsidRPr="00F719E2">
        <w:rPr>
          <w:rFonts w:ascii="Garamond" w:hAnsi="Garamond" w:cs="Times New Roman"/>
          <w:sz w:val="24"/>
          <w:szCs w:val="24"/>
        </w:rPr>
        <w:t xml:space="preserve">While </w:t>
      </w:r>
      <w:r w:rsidR="000530CE" w:rsidRPr="00F719E2">
        <w:rPr>
          <w:rFonts w:ascii="Garamond" w:hAnsi="Garamond" w:cs="Times New Roman"/>
          <w:sz w:val="24"/>
          <w:szCs w:val="24"/>
        </w:rPr>
        <w:t>13-16% of all teachers in 1999 and 2009</w:t>
      </w:r>
      <w:r w:rsidR="0083108A" w:rsidRPr="00F719E2">
        <w:rPr>
          <w:rFonts w:ascii="Garamond" w:hAnsi="Garamond" w:cs="Times New Roman"/>
          <w:sz w:val="24"/>
          <w:szCs w:val="24"/>
        </w:rPr>
        <w:t xml:space="preserve"> attended a highly competitive college</w:t>
      </w:r>
      <w:r w:rsidR="004C5FED" w:rsidRPr="00F719E2">
        <w:rPr>
          <w:rFonts w:ascii="Garamond" w:hAnsi="Garamond" w:cs="Times New Roman"/>
          <w:sz w:val="24"/>
          <w:szCs w:val="24"/>
        </w:rPr>
        <w:t xml:space="preserve"> according to the Barron’s Admissions Competitiveness Index</w:t>
      </w:r>
      <w:r w:rsidR="000530CE" w:rsidRPr="00F719E2">
        <w:rPr>
          <w:rFonts w:ascii="Garamond" w:hAnsi="Garamond" w:cs="Times New Roman"/>
          <w:sz w:val="24"/>
          <w:szCs w:val="24"/>
        </w:rPr>
        <w:t>, o</w:t>
      </w:r>
      <w:r w:rsidR="004B7381" w:rsidRPr="00F719E2">
        <w:rPr>
          <w:rFonts w:ascii="Garamond" w:hAnsi="Garamond" w:cs="Times New Roman"/>
          <w:sz w:val="24"/>
          <w:szCs w:val="24"/>
        </w:rPr>
        <w:t xml:space="preserve">nly 5% </w:t>
      </w:r>
      <w:r w:rsidR="0083108A" w:rsidRPr="00F719E2">
        <w:rPr>
          <w:rFonts w:ascii="Garamond" w:hAnsi="Garamond" w:cs="Times New Roman"/>
          <w:sz w:val="24"/>
          <w:szCs w:val="24"/>
        </w:rPr>
        <w:t xml:space="preserve">of RTW teachers </w:t>
      </w:r>
      <w:r w:rsidR="004C5FED" w:rsidRPr="00F719E2">
        <w:rPr>
          <w:rFonts w:ascii="Garamond" w:hAnsi="Garamond" w:cs="Times New Roman"/>
          <w:sz w:val="24"/>
          <w:szCs w:val="24"/>
        </w:rPr>
        <w:t>did so.</w:t>
      </w:r>
      <w:r w:rsidR="00E02A35" w:rsidRPr="00F719E2">
        <w:rPr>
          <w:rFonts w:ascii="Garamond" w:hAnsi="Garamond" w:cs="Times New Roman"/>
          <w:sz w:val="24"/>
          <w:szCs w:val="24"/>
        </w:rPr>
        <w:t xml:space="preserve"> </w:t>
      </w:r>
      <w:r w:rsidR="00581873" w:rsidRPr="00F719E2">
        <w:rPr>
          <w:rFonts w:ascii="Garamond" w:hAnsi="Garamond" w:cs="Times New Roman"/>
          <w:sz w:val="24"/>
          <w:szCs w:val="24"/>
        </w:rPr>
        <w:t xml:space="preserve">In contrast, </w:t>
      </w:r>
      <w:r w:rsidR="0085407B" w:rsidRPr="00F719E2">
        <w:rPr>
          <w:rFonts w:ascii="Garamond" w:hAnsi="Garamond" w:cs="Times New Roman"/>
          <w:sz w:val="24"/>
          <w:szCs w:val="24"/>
        </w:rPr>
        <w:t xml:space="preserve">if we consider </w:t>
      </w:r>
      <w:r w:rsidR="005A1BAC">
        <w:rPr>
          <w:rFonts w:ascii="Garamond" w:hAnsi="Garamond" w:cs="Times New Roman"/>
          <w:sz w:val="24"/>
          <w:szCs w:val="24"/>
        </w:rPr>
        <w:t xml:space="preserve">advanced </w:t>
      </w:r>
      <w:r w:rsidR="0085407B" w:rsidRPr="00F719E2">
        <w:rPr>
          <w:rFonts w:ascii="Garamond" w:hAnsi="Garamond" w:cs="Times New Roman"/>
          <w:sz w:val="24"/>
          <w:szCs w:val="24"/>
        </w:rPr>
        <w:t xml:space="preserve">degree </w:t>
      </w:r>
      <w:r w:rsidR="005A1BAC">
        <w:rPr>
          <w:rFonts w:ascii="Garamond" w:hAnsi="Garamond" w:cs="Times New Roman"/>
          <w:sz w:val="24"/>
          <w:szCs w:val="24"/>
        </w:rPr>
        <w:t>attainment</w:t>
      </w:r>
      <w:r w:rsidR="0085407B" w:rsidRPr="00F719E2">
        <w:rPr>
          <w:rFonts w:ascii="Garamond" w:hAnsi="Garamond" w:cs="Times New Roman"/>
          <w:sz w:val="24"/>
          <w:szCs w:val="24"/>
        </w:rPr>
        <w:t xml:space="preserve">, it appears that RTW teachers are more </w:t>
      </w:r>
      <w:r w:rsidR="00A63514" w:rsidRPr="00F719E2">
        <w:rPr>
          <w:rFonts w:ascii="Garamond" w:hAnsi="Garamond" w:cs="Times New Roman"/>
          <w:sz w:val="24"/>
          <w:szCs w:val="24"/>
        </w:rPr>
        <w:t xml:space="preserve">qualified </w:t>
      </w:r>
      <w:r w:rsidR="0092121C" w:rsidRPr="00F719E2">
        <w:rPr>
          <w:rFonts w:ascii="Garamond" w:hAnsi="Garamond" w:cs="Times New Roman"/>
          <w:sz w:val="24"/>
          <w:szCs w:val="24"/>
        </w:rPr>
        <w:t>than</w:t>
      </w:r>
      <w:r w:rsidR="005D732F" w:rsidRPr="00F719E2">
        <w:rPr>
          <w:rFonts w:ascii="Garamond" w:hAnsi="Garamond" w:cs="Times New Roman"/>
          <w:sz w:val="24"/>
          <w:szCs w:val="24"/>
        </w:rPr>
        <w:t xml:space="preserve"> the average teacher in 1999 and 2009</w:t>
      </w:r>
      <w:r w:rsidR="005A1BAC">
        <w:rPr>
          <w:rFonts w:ascii="Garamond" w:hAnsi="Garamond" w:cs="Times New Roman"/>
          <w:sz w:val="24"/>
          <w:szCs w:val="24"/>
        </w:rPr>
        <w:t>;</w:t>
      </w:r>
      <w:r w:rsidR="005D732F" w:rsidRPr="00F719E2">
        <w:rPr>
          <w:rFonts w:ascii="Garamond" w:hAnsi="Garamond" w:cs="Times New Roman"/>
          <w:sz w:val="24"/>
          <w:szCs w:val="24"/>
        </w:rPr>
        <w:t xml:space="preserve"> 42% of RTW teachers</w:t>
      </w:r>
      <w:r w:rsidR="00447963" w:rsidRPr="00F719E2">
        <w:rPr>
          <w:rFonts w:ascii="Garamond" w:hAnsi="Garamond" w:cs="Times New Roman"/>
          <w:sz w:val="24"/>
          <w:szCs w:val="24"/>
        </w:rPr>
        <w:t xml:space="preserve"> compared to 32% of all teachers have </w:t>
      </w:r>
      <w:r w:rsidR="005A1BAC">
        <w:rPr>
          <w:rFonts w:ascii="Garamond" w:hAnsi="Garamond" w:cs="Times New Roman"/>
          <w:sz w:val="24"/>
          <w:szCs w:val="24"/>
        </w:rPr>
        <w:t>education past</w:t>
      </w:r>
      <w:r w:rsidR="00447963" w:rsidRPr="00F719E2">
        <w:rPr>
          <w:rFonts w:ascii="Garamond" w:hAnsi="Garamond" w:cs="Times New Roman"/>
          <w:sz w:val="24"/>
          <w:szCs w:val="24"/>
        </w:rPr>
        <w:t xml:space="preserve"> a bachelor’s degree. </w:t>
      </w:r>
      <w:r w:rsidR="00E232D4" w:rsidRPr="00F719E2">
        <w:rPr>
          <w:rFonts w:ascii="Garamond" w:hAnsi="Garamond" w:cs="Times New Roman"/>
          <w:sz w:val="24"/>
          <w:szCs w:val="24"/>
        </w:rPr>
        <w:t xml:space="preserve">In addition, </w:t>
      </w:r>
      <w:r w:rsidR="00F940A2" w:rsidRPr="00F719E2">
        <w:rPr>
          <w:rFonts w:ascii="Garamond" w:hAnsi="Garamond" w:cs="Times New Roman"/>
          <w:sz w:val="24"/>
          <w:szCs w:val="24"/>
        </w:rPr>
        <w:t>RTW teachers have more experience than the average teacher</w:t>
      </w:r>
      <w:r w:rsidR="003A598C" w:rsidRPr="00F719E2">
        <w:rPr>
          <w:rFonts w:ascii="Garamond" w:hAnsi="Garamond" w:cs="Times New Roman"/>
          <w:sz w:val="24"/>
          <w:szCs w:val="24"/>
        </w:rPr>
        <w:t xml:space="preserve">, perhaps not surprising given they had to retire before they could qualify to return during the policy. </w:t>
      </w:r>
      <w:r w:rsidR="00003204" w:rsidRPr="00F719E2">
        <w:rPr>
          <w:rFonts w:ascii="Garamond" w:hAnsi="Garamond" w:cs="Times New Roman"/>
          <w:sz w:val="24"/>
          <w:szCs w:val="24"/>
        </w:rPr>
        <w:t xml:space="preserve">On average, RTW teachers have 31 years of experience </w:t>
      </w:r>
      <w:r w:rsidR="00E46F6C" w:rsidRPr="00F719E2">
        <w:rPr>
          <w:rFonts w:ascii="Garamond" w:hAnsi="Garamond" w:cs="Times New Roman"/>
          <w:sz w:val="24"/>
          <w:szCs w:val="24"/>
        </w:rPr>
        <w:t xml:space="preserve">and the average teacher in 1999 and 2009 has </w:t>
      </w:r>
      <w:r w:rsidR="009D553C" w:rsidRPr="00F719E2">
        <w:rPr>
          <w:rFonts w:ascii="Garamond" w:hAnsi="Garamond" w:cs="Times New Roman"/>
          <w:sz w:val="24"/>
          <w:szCs w:val="24"/>
        </w:rPr>
        <w:t>12-13</w:t>
      </w:r>
      <w:r w:rsidR="00E0203D" w:rsidRPr="00F719E2">
        <w:rPr>
          <w:rFonts w:ascii="Garamond" w:hAnsi="Garamond" w:cs="Times New Roman"/>
          <w:sz w:val="24"/>
          <w:szCs w:val="24"/>
        </w:rPr>
        <w:t>.</w:t>
      </w:r>
      <w:r w:rsidR="0060091A" w:rsidRPr="00F719E2">
        <w:rPr>
          <w:rFonts w:ascii="Garamond" w:hAnsi="Garamond" w:cs="Times New Roman"/>
          <w:sz w:val="24"/>
          <w:szCs w:val="24"/>
        </w:rPr>
        <w:t xml:space="preserve"> </w:t>
      </w:r>
      <w:r w:rsidR="005A1BAC">
        <w:rPr>
          <w:rFonts w:ascii="Garamond" w:hAnsi="Garamond" w:cs="Times New Roman"/>
          <w:sz w:val="24"/>
          <w:szCs w:val="24"/>
        </w:rPr>
        <w:t>Taken together, we cannot draw sweeping conclusions about RTW teachers’ quality, but these metrics suggest they are, apart from their experience, not terribly different from the</w:t>
      </w:r>
      <w:r w:rsidR="008F56B2">
        <w:rPr>
          <w:rFonts w:ascii="Garamond" w:hAnsi="Garamond" w:cs="Times New Roman"/>
          <w:sz w:val="24"/>
          <w:szCs w:val="24"/>
        </w:rPr>
        <w:t xml:space="preserve"> teaching workforce overall. </w:t>
      </w:r>
    </w:p>
    <w:p w14:paraId="5F28ABCC" w14:textId="2A1581AB" w:rsidR="002F340B" w:rsidRPr="00F719E2" w:rsidRDefault="008F56B2" w:rsidP="008F56B2">
      <w:pPr>
        <w:spacing w:after="0" w:line="480" w:lineRule="auto"/>
        <w:ind w:firstLine="720"/>
        <w:rPr>
          <w:rFonts w:ascii="Garamond" w:hAnsi="Garamond" w:cs="Times New Roman"/>
          <w:sz w:val="24"/>
          <w:szCs w:val="24"/>
        </w:rPr>
      </w:pPr>
      <w:r>
        <w:rPr>
          <w:rFonts w:ascii="Garamond" w:hAnsi="Garamond" w:cs="Times New Roman"/>
          <w:sz w:val="24"/>
          <w:szCs w:val="24"/>
        </w:rPr>
        <w:t>I</w:t>
      </w:r>
      <w:r w:rsidR="00DB3B4B" w:rsidRPr="00F719E2">
        <w:rPr>
          <w:rFonts w:ascii="Garamond" w:hAnsi="Garamond" w:cs="Times New Roman"/>
          <w:sz w:val="24"/>
          <w:szCs w:val="24"/>
        </w:rPr>
        <w:t xml:space="preserve">n addition to </w:t>
      </w:r>
      <w:r w:rsidR="00067D26" w:rsidRPr="00F719E2">
        <w:rPr>
          <w:rFonts w:ascii="Garamond" w:hAnsi="Garamond" w:cs="Times New Roman"/>
          <w:sz w:val="24"/>
          <w:szCs w:val="24"/>
        </w:rPr>
        <w:t xml:space="preserve">their demographics and qualifications, we also </w:t>
      </w:r>
      <w:r w:rsidR="006601D0" w:rsidRPr="00F719E2">
        <w:rPr>
          <w:rFonts w:ascii="Garamond" w:hAnsi="Garamond" w:cs="Times New Roman"/>
          <w:sz w:val="24"/>
          <w:szCs w:val="24"/>
        </w:rPr>
        <w:t xml:space="preserve">observe their teaching assignments. </w:t>
      </w:r>
      <w:r w:rsidR="00790186" w:rsidRPr="00F719E2">
        <w:rPr>
          <w:rFonts w:ascii="Garamond" w:hAnsi="Garamond" w:cs="Times New Roman"/>
          <w:sz w:val="24"/>
          <w:szCs w:val="24"/>
        </w:rPr>
        <w:t xml:space="preserve">On average, </w:t>
      </w:r>
      <w:r w:rsidR="004238F1" w:rsidRPr="00F719E2">
        <w:rPr>
          <w:rFonts w:ascii="Garamond" w:hAnsi="Garamond" w:cs="Times New Roman"/>
          <w:sz w:val="24"/>
          <w:szCs w:val="24"/>
        </w:rPr>
        <w:t>RTW teachers are most likely to teach courses with no specific discipline</w:t>
      </w:r>
      <w:r w:rsidR="00671F45" w:rsidRPr="00F719E2">
        <w:rPr>
          <w:rFonts w:ascii="Garamond" w:hAnsi="Garamond" w:cs="Times New Roman"/>
          <w:sz w:val="24"/>
          <w:szCs w:val="24"/>
        </w:rPr>
        <w:t xml:space="preserve">, which are primarily elementary school classes that </w:t>
      </w:r>
      <w:r w:rsidR="00AC37CA" w:rsidRPr="00F719E2">
        <w:rPr>
          <w:rFonts w:ascii="Garamond" w:hAnsi="Garamond" w:cs="Times New Roman"/>
          <w:sz w:val="24"/>
          <w:szCs w:val="24"/>
        </w:rPr>
        <w:t xml:space="preserve">include all subjects, communication classes, and math classes. </w:t>
      </w:r>
      <w:r w:rsidR="005F3496" w:rsidRPr="00F719E2">
        <w:rPr>
          <w:rFonts w:ascii="Garamond" w:hAnsi="Garamond" w:cs="Times New Roman"/>
          <w:sz w:val="24"/>
          <w:szCs w:val="24"/>
        </w:rPr>
        <w:t>3</w:t>
      </w:r>
      <w:r w:rsidR="00A570C7" w:rsidRPr="00F719E2">
        <w:rPr>
          <w:rFonts w:ascii="Garamond" w:hAnsi="Garamond" w:cs="Times New Roman"/>
          <w:sz w:val="24"/>
          <w:szCs w:val="24"/>
        </w:rPr>
        <w:t>0</w:t>
      </w:r>
      <w:r w:rsidR="005F3496" w:rsidRPr="00F719E2">
        <w:rPr>
          <w:rFonts w:ascii="Garamond" w:hAnsi="Garamond" w:cs="Times New Roman"/>
          <w:sz w:val="24"/>
          <w:szCs w:val="24"/>
        </w:rPr>
        <w:t>% teach classes with no discipline, 19% teach communication, and 15% teach math. The remainder teach science, social studies</w:t>
      </w:r>
      <w:r w:rsidR="002B50F3" w:rsidRPr="00F719E2">
        <w:rPr>
          <w:rFonts w:ascii="Garamond" w:hAnsi="Garamond" w:cs="Times New Roman"/>
          <w:sz w:val="24"/>
          <w:szCs w:val="24"/>
        </w:rPr>
        <w:t xml:space="preserve">, arts, vocational, and other classes. </w:t>
      </w:r>
      <w:r w:rsidR="00445437" w:rsidRPr="00F719E2">
        <w:rPr>
          <w:rFonts w:ascii="Garamond" w:hAnsi="Garamond" w:cs="Times New Roman"/>
          <w:sz w:val="24"/>
          <w:szCs w:val="24"/>
        </w:rPr>
        <w:t xml:space="preserve">There are </w:t>
      </w:r>
      <w:r w:rsidR="00187C1E" w:rsidRPr="00F719E2">
        <w:rPr>
          <w:rFonts w:ascii="Garamond" w:hAnsi="Garamond" w:cs="Times New Roman"/>
          <w:sz w:val="24"/>
          <w:szCs w:val="24"/>
        </w:rPr>
        <w:t xml:space="preserve">only a few minor </w:t>
      </w:r>
      <w:r w:rsidR="002F7D4A" w:rsidRPr="00F719E2">
        <w:rPr>
          <w:rFonts w:ascii="Garamond" w:hAnsi="Garamond" w:cs="Times New Roman"/>
          <w:sz w:val="24"/>
          <w:szCs w:val="24"/>
        </w:rPr>
        <w:t xml:space="preserve">differences </w:t>
      </w:r>
      <w:r w:rsidR="007B7291" w:rsidRPr="00F719E2">
        <w:rPr>
          <w:rFonts w:ascii="Garamond" w:hAnsi="Garamond" w:cs="Times New Roman"/>
          <w:sz w:val="24"/>
          <w:szCs w:val="24"/>
        </w:rPr>
        <w:t>between</w:t>
      </w:r>
      <w:r w:rsidR="002F7D4A" w:rsidRPr="00F719E2">
        <w:rPr>
          <w:rFonts w:ascii="Garamond" w:hAnsi="Garamond" w:cs="Times New Roman"/>
          <w:sz w:val="24"/>
          <w:szCs w:val="24"/>
        </w:rPr>
        <w:t xml:space="preserve"> the subjects taught by RTW teachers </w:t>
      </w:r>
      <w:r w:rsidR="00187C1E" w:rsidRPr="00F719E2">
        <w:rPr>
          <w:rFonts w:ascii="Garamond" w:hAnsi="Garamond" w:cs="Times New Roman"/>
          <w:sz w:val="24"/>
          <w:szCs w:val="24"/>
        </w:rPr>
        <w:t>and</w:t>
      </w:r>
      <w:r w:rsidR="002F7D4A" w:rsidRPr="00F719E2">
        <w:rPr>
          <w:rFonts w:ascii="Garamond" w:hAnsi="Garamond" w:cs="Times New Roman"/>
          <w:sz w:val="24"/>
          <w:szCs w:val="24"/>
        </w:rPr>
        <w:t xml:space="preserve"> the average teac</w:t>
      </w:r>
      <w:r w:rsidR="00187C1E" w:rsidRPr="00F719E2">
        <w:rPr>
          <w:rFonts w:ascii="Garamond" w:hAnsi="Garamond" w:cs="Times New Roman"/>
          <w:sz w:val="24"/>
          <w:szCs w:val="24"/>
        </w:rPr>
        <w:t xml:space="preserve">her. </w:t>
      </w:r>
      <w:r w:rsidR="009B3758" w:rsidRPr="00F719E2">
        <w:rPr>
          <w:rFonts w:ascii="Garamond" w:hAnsi="Garamond" w:cs="Times New Roman"/>
          <w:sz w:val="24"/>
          <w:szCs w:val="24"/>
        </w:rPr>
        <w:t xml:space="preserve">RTW </w:t>
      </w:r>
      <w:r w:rsidR="009B3758" w:rsidRPr="00F719E2">
        <w:rPr>
          <w:rFonts w:ascii="Garamond" w:hAnsi="Garamond" w:cs="Times New Roman"/>
          <w:sz w:val="24"/>
          <w:szCs w:val="24"/>
        </w:rPr>
        <w:lastRenderedPageBreak/>
        <w:t xml:space="preserve">teachers are a bit more likely to teach communication and math classes and less likely to teach art classes compared to all teachers in 1999 and 2009. </w:t>
      </w:r>
    </w:p>
    <w:p w14:paraId="2E5E4DB5" w14:textId="77777777" w:rsidR="00301EF3" w:rsidRDefault="00B50B61"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Like the </w:t>
      </w:r>
      <w:r w:rsidR="00E637EA" w:rsidRPr="00F719E2">
        <w:rPr>
          <w:rFonts w:ascii="Garamond" w:hAnsi="Garamond" w:cs="Times New Roman"/>
          <w:sz w:val="24"/>
          <w:szCs w:val="24"/>
        </w:rPr>
        <w:t>teaching assignment</w:t>
      </w:r>
      <w:r w:rsidR="004452D9" w:rsidRPr="00F719E2">
        <w:rPr>
          <w:rFonts w:ascii="Garamond" w:hAnsi="Garamond" w:cs="Times New Roman"/>
          <w:sz w:val="24"/>
          <w:szCs w:val="24"/>
        </w:rPr>
        <w:t>s</w:t>
      </w:r>
      <w:r w:rsidR="00E637EA" w:rsidRPr="00F719E2">
        <w:rPr>
          <w:rFonts w:ascii="Garamond" w:hAnsi="Garamond" w:cs="Times New Roman"/>
          <w:sz w:val="24"/>
          <w:szCs w:val="24"/>
        </w:rPr>
        <w:t xml:space="preserve"> </w:t>
      </w:r>
      <w:r w:rsidR="003A3A62" w:rsidRPr="00F719E2">
        <w:rPr>
          <w:rFonts w:ascii="Garamond" w:hAnsi="Garamond" w:cs="Times New Roman"/>
          <w:sz w:val="24"/>
          <w:szCs w:val="24"/>
        </w:rPr>
        <w:t xml:space="preserve">suggest, </w:t>
      </w:r>
      <w:r w:rsidR="00B71C56" w:rsidRPr="00F719E2">
        <w:rPr>
          <w:rFonts w:ascii="Garamond" w:hAnsi="Garamond" w:cs="Times New Roman"/>
          <w:sz w:val="24"/>
          <w:szCs w:val="24"/>
        </w:rPr>
        <w:t>m</w:t>
      </w:r>
      <w:r w:rsidR="009511FE" w:rsidRPr="00F719E2">
        <w:rPr>
          <w:rFonts w:ascii="Garamond" w:hAnsi="Garamond" w:cs="Times New Roman"/>
          <w:sz w:val="24"/>
          <w:szCs w:val="24"/>
        </w:rPr>
        <w:t>any</w:t>
      </w:r>
      <w:r w:rsidR="00B71C56" w:rsidRPr="00F719E2">
        <w:rPr>
          <w:rFonts w:ascii="Garamond" w:hAnsi="Garamond" w:cs="Times New Roman"/>
          <w:sz w:val="24"/>
          <w:szCs w:val="24"/>
        </w:rPr>
        <w:t xml:space="preserve"> RTW teachers </w:t>
      </w:r>
      <w:r w:rsidR="00645429" w:rsidRPr="00F719E2">
        <w:rPr>
          <w:rFonts w:ascii="Garamond" w:hAnsi="Garamond" w:cs="Times New Roman"/>
          <w:sz w:val="24"/>
          <w:szCs w:val="24"/>
        </w:rPr>
        <w:t>are</w:t>
      </w:r>
      <w:r w:rsidR="00BA2292" w:rsidRPr="00F719E2">
        <w:rPr>
          <w:rFonts w:ascii="Garamond" w:hAnsi="Garamond" w:cs="Times New Roman"/>
          <w:sz w:val="24"/>
          <w:szCs w:val="24"/>
        </w:rPr>
        <w:t xml:space="preserve"> elementary school teachers. Specifically,</w:t>
      </w:r>
      <w:r w:rsidR="00146C42" w:rsidRPr="00F719E2">
        <w:rPr>
          <w:rFonts w:ascii="Garamond" w:hAnsi="Garamond" w:cs="Times New Roman"/>
          <w:sz w:val="24"/>
          <w:szCs w:val="24"/>
        </w:rPr>
        <w:t xml:space="preserve"> 44% of RTW teachers work in elementary schools while 24% work in middle and 32% work in high schools</w:t>
      </w:r>
      <w:r w:rsidR="009636FD" w:rsidRPr="00F719E2">
        <w:rPr>
          <w:rFonts w:ascii="Garamond" w:hAnsi="Garamond" w:cs="Times New Roman"/>
          <w:sz w:val="24"/>
          <w:szCs w:val="24"/>
        </w:rPr>
        <w:t>, as shown in Table 2</w:t>
      </w:r>
      <w:r w:rsidR="00146C42" w:rsidRPr="00F719E2">
        <w:rPr>
          <w:rFonts w:ascii="Garamond" w:hAnsi="Garamond" w:cs="Times New Roman"/>
          <w:sz w:val="24"/>
          <w:szCs w:val="24"/>
        </w:rPr>
        <w:t xml:space="preserve">. </w:t>
      </w:r>
    </w:p>
    <w:p w14:paraId="2FD097E7" w14:textId="77777777" w:rsidR="00301EF3" w:rsidRPr="00A855E0" w:rsidRDefault="00301EF3" w:rsidP="00301EF3">
      <w:pPr>
        <w:rPr>
          <w:rFonts w:ascii="Garamond" w:hAnsi="Garamond" w:cs="Times New Roman"/>
          <w:b/>
          <w:bCs/>
          <w:sz w:val="24"/>
          <w:szCs w:val="24"/>
        </w:rPr>
      </w:pPr>
      <w:r w:rsidRPr="00A855E0">
        <w:rPr>
          <w:rFonts w:ascii="Garamond" w:hAnsi="Garamond" w:cs="Times New Roman"/>
          <w:b/>
          <w:bCs/>
          <w:sz w:val="24"/>
          <w:szCs w:val="24"/>
        </w:rPr>
        <w:t xml:space="preserve">Table 2 </w:t>
      </w:r>
    </w:p>
    <w:p w14:paraId="706041BF" w14:textId="77777777" w:rsidR="00301EF3" w:rsidRPr="00A855E0" w:rsidRDefault="00301EF3" w:rsidP="00301EF3">
      <w:pPr>
        <w:rPr>
          <w:rFonts w:ascii="Garamond" w:hAnsi="Garamond" w:cs="Times New Roman"/>
          <w:i/>
          <w:iCs/>
          <w:sz w:val="24"/>
          <w:szCs w:val="24"/>
        </w:rPr>
      </w:pPr>
      <w:r w:rsidRPr="00A855E0">
        <w:rPr>
          <w:rFonts w:ascii="Garamond" w:hAnsi="Garamond" w:cs="Times New Roman"/>
          <w:i/>
          <w:iCs/>
          <w:sz w:val="24"/>
          <w:szCs w:val="24"/>
        </w:rPr>
        <w:t>Average School Characteristics</w:t>
      </w:r>
    </w:p>
    <w:tbl>
      <w:tblPr>
        <w:tblW w:w="8712" w:type="dxa"/>
        <w:tblLook w:val="04A0" w:firstRow="1" w:lastRow="0" w:firstColumn="1" w:lastColumn="0" w:noHBand="0" w:noVBand="1"/>
      </w:tblPr>
      <w:tblGrid>
        <w:gridCol w:w="3870"/>
        <w:gridCol w:w="1690"/>
        <w:gridCol w:w="276"/>
        <w:gridCol w:w="1300"/>
        <w:gridCol w:w="276"/>
        <w:gridCol w:w="1300"/>
      </w:tblGrid>
      <w:tr w:rsidR="00301EF3" w:rsidRPr="00F719E2" w14:paraId="7E796329" w14:textId="77777777" w:rsidTr="00391007">
        <w:trPr>
          <w:trHeight w:val="320"/>
        </w:trPr>
        <w:tc>
          <w:tcPr>
            <w:tcW w:w="3870" w:type="dxa"/>
            <w:tcBorders>
              <w:top w:val="nil"/>
              <w:left w:val="nil"/>
              <w:bottom w:val="double" w:sz="6" w:space="0" w:color="auto"/>
              <w:right w:val="nil"/>
            </w:tcBorders>
            <w:shd w:val="clear" w:color="auto" w:fill="auto"/>
            <w:noWrap/>
            <w:vAlign w:val="bottom"/>
            <w:hideMark/>
          </w:tcPr>
          <w:p w14:paraId="37C72B82" w14:textId="77777777" w:rsidR="00301EF3" w:rsidRPr="00F719E2" w:rsidRDefault="00301EF3" w:rsidP="00391007">
            <w:pPr>
              <w:spacing w:after="0" w:line="240" w:lineRule="auto"/>
              <w:rPr>
                <w:rFonts w:ascii="Garamond" w:eastAsia="Times New Roman" w:hAnsi="Garamond" w:cs="Calibri"/>
                <w:color w:val="000000"/>
              </w:rPr>
            </w:pPr>
            <w:r w:rsidRPr="00F719E2">
              <w:rPr>
                <w:rFonts w:ascii="Garamond" w:eastAsia="Times New Roman" w:hAnsi="Garamond" w:cs="Calibri"/>
                <w:color w:val="000000"/>
              </w:rPr>
              <w:t> </w:t>
            </w:r>
          </w:p>
        </w:tc>
        <w:tc>
          <w:tcPr>
            <w:tcW w:w="1690" w:type="dxa"/>
            <w:tcBorders>
              <w:top w:val="nil"/>
              <w:left w:val="nil"/>
              <w:bottom w:val="double" w:sz="6" w:space="0" w:color="auto"/>
              <w:right w:val="nil"/>
            </w:tcBorders>
            <w:shd w:val="clear" w:color="auto" w:fill="auto"/>
            <w:noWrap/>
            <w:vAlign w:val="bottom"/>
            <w:hideMark/>
          </w:tcPr>
          <w:p w14:paraId="6EDCDC16" w14:textId="77777777" w:rsidR="00301EF3" w:rsidRPr="00F719E2" w:rsidRDefault="00301EF3" w:rsidP="00391007">
            <w:pPr>
              <w:spacing w:after="0" w:line="240" w:lineRule="auto"/>
              <w:rPr>
                <w:rFonts w:ascii="Garamond" w:eastAsia="Times New Roman" w:hAnsi="Garamond" w:cs="Calibri"/>
                <w:color w:val="000000"/>
              </w:rPr>
            </w:pPr>
            <w:r w:rsidRPr="00F719E2">
              <w:rPr>
                <w:rFonts w:ascii="Garamond" w:eastAsia="Times New Roman" w:hAnsi="Garamond" w:cs="Calibri"/>
                <w:color w:val="000000"/>
              </w:rPr>
              <w:t> </w:t>
            </w:r>
          </w:p>
        </w:tc>
        <w:tc>
          <w:tcPr>
            <w:tcW w:w="276" w:type="dxa"/>
            <w:tcBorders>
              <w:top w:val="nil"/>
              <w:left w:val="nil"/>
              <w:bottom w:val="double" w:sz="6" w:space="0" w:color="auto"/>
              <w:right w:val="nil"/>
            </w:tcBorders>
            <w:shd w:val="clear" w:color="auto" w:fill="auto"/>
            <w:noWrap/>
            <w:vAlign w:val="bottom"/>
            <w:hideMark/>
          </w:tcPr>
          <w:p w14:paraId="29F42B3C" w14:textId="77777777" w:rsidR="00301EF3" w:rsidRPr="00F719E2" w:rsidRDefault="00301EF3" w:rsidP="00391007">
            <w:pPr>
              <w:spacing w:after="0" w:line="240" w:lineRule="auto"/>
              <w:rPr>
                <w:rFonts w:ascii="Garamond" w:eastAsia="Times New Roman" w:hAnsi="Garamond" w:cs="Calibri"/>
                <w:color w:val="000000"/>
              </w:rPr>
            </w:pPr>
            <w:r w:rsidRPr="00F719E2">
              <w:rPr>
                <w:rFonts w:ascii="Garamond" w:eastAsia="Times New Roman" w:hAnsi="Garamond" w:cs="Calibri"/>
                <w:color w:val="000000"/>
              </w:rPr>
              <w:t> </w:t>
            </w:r>
          </w:p>
        </w:tc>
        <w:tc>
          <w:tcPr>
            <w:tcW w:w="1300" w:type="dxa"/>
            <w:tcBorders>
              <w:top w:val="nil"/>
              <w:left w:val="nil"/>
              <w:bottom w:val="double" w:sz="6" w:space="0" w:color="auto"/>
              <w:right w:val="nil"/>
            </w:tcBorders>
            <w:shd w:val="clear" w:color="auto" w:fill="auto"/>
            <w:noWrap/>
            <w:vAlign w:val="bottom"/>
            <w:hideMark/>
          </w:tcPr>
          <w:p w14:paraId="172B5E5D" w14:textId="77777777" w:rsidR="00301EF3" w:rsidRPr="00F719E2" w:rsidRDefault="00301EF3" w:rsidP="00391007">
            <w:pPr>
              <w:spacing w:after="0" w:line="240" w:lineRule="auto"/>
              <w:rPr>
                <w:rFonts w:ascii="Garamond" w:eastAsia="Times New Roman" w:hAnsi="Garamond" w:cs="Calibri"/>
                <w:color w:val="000000"/>
              </w:rPr>
            </w:pPr>
            <w:r w:rsidRPr="00F719E2">
              <w:rPr>
                <w:rFonts w:ascii="Garamond" w:eastAsia="Times New Roman" w:hAnsi="Garamond" w:cs="Calibri"/>
                <w:color w:val="000000"/>
              </w:rPr>
              <w:t> </w:t>
            </w:r>
          </w:p>
        </w:tc>
        <w:tc>
          <w:tcPr>
            <w:tcW w:w="276" w:type="dxa"/>
            <w:tcBorders>
              <w:top w:val="nil"/>
              <w:left w:val="nil"/>
              <w:bottom w:val="double" w:sz="6" w:space="0" w:color="auto"/>
              <w:right w:val="nil"/>
            </w:tcBorders>
            <w:shd w:val="clear" w:color="auto" w:fill="auto"/>
            <w:noWrap/>
            <w:vAlign w:val="bottom"/>
            <w:hideMark/>
          </w:tcPr>
          <w:p w14:paraId="75CFC6C9" w14:textId="77777777" w:rsidR="00301EF3" w:rsidRPr="00F719E2" w:rsidRDefault="00301EF3" w:rsidP="00391007">
            <w:pPr>
              <w:spacing w:after="0" w:line="240" w:lineRule="auto"/>
              <w:rPr>
                <w:rFonts w:ascii="Garamond" w:eastAsia="Times New Roman" w:hAnsi="Garamond" w:cs="Calibri"/>
                <w:color w:val="000000"/>
              </w:rPr>
            </w:pPr>
            <w:r w:rsidRPr="00F719E2">
              <w:rPr>
                <w:rFonts w:ascii="Garamond" w:eastAsia="Times New Roman" w:hAnsi="Garamond" w:cs="Calibri"/>
                <w:color w:val="000000"/>
              </w:rPr>
              <w:t> </w:t>
            </w:r>
          </w:p>
        </w:tc>
        <w:tc>
          <w:tcPr>
            <w:tcW w:w="1300" w:type="dxa"/>
            <w:tcBorders>
              <w:top w:val="nil"/>
              <w:left w:val="nil"/>
              <w:bottom w:val="double" w:sz="6" w:space="0" w:color="auto"/>
              <w:right w:val="nil"/>
            </w:tcBorders>
            <w:shd w:val="clear" w:color="auto" w:fill="auto"/>
            <w:noWrap/>
            <w:vAlign w:val="bottom"/>
            <w:hideMark/>
          </w:tcPr>
          <w:p w14:paraId="3F0A0548" w14:textId="77777777" w:rsidR="00301EF3" w:rsidRPr="00F719E2" w:rsidRDefault="00301EF3" w:rsidP="00391007">
            <w:pPr>
              <w:spacing w:after="0" w:line="240" w:lineRule="auto"/>
              <w:rPr>
                <w:rFonts w:ascii="Garamond" w:eastAsia="Times New Roman" w:hAnsi="Garamond" w:cs="Calibri"/>
                <w:color w:val="000000"/>
              </w:rPr>
            </w:pPr>
            <w:r w:rsidRPr="00F719E2">
              <w:rPr>
                <w:rFonts w:ascii="Garamond" w:eastAsia="Times New Roman" w:hAnsi="Garamond" w:cs="Calibri"/>
                <w:color w:val="000000"/>
              </w:rPr>
              <w:t> </w:t>
            </w:r>
          </w:p>
        </w:tc>
      </w:tr>
      <w:tr w:rsidR="00301EF3" w:rsidRPr="00F719E2" w14:paraId="46612BEC" w14:textId="77777777" w:rsidTr="00391007">
        <w:trPr>
          <w:trHeight w:val="940"/>
        </w:trPr>
        <w:tc>
          <w:tcPr>
            <w:tcW w:w="3870" w:type="dxa"/>
            <w:tcBorders>
              <w:top w:val="nil"/>
              <w:left w:val="nil"/>
              <w:bottom w:val="nil"/>
              <w:right w:val="nil"/>
            </w:tcBorders>
            <w:shd w:val="clear" w:color="auto" w:fill="auto"/>
            <w:noWrap/>
            <w:vAlign w:val="bottom"/>
            <w:hideMark/>
          </w:tcPr>
          <w:p w14:paraId="11DE0B17" w14:textId="77777777" w:rsidR="00301EF3" w:rsidRPr="00F719E2" w:rsidRDefault="00301EF3" w:rsidP="00391007">
            <w:pPr>
              <w:spacing w:after="0" w:line="240" w:lineRule="auto"/>
              <w:rPr>
                <w:rFonts w:ascii="Garamond" w:eastAsia="Times New Roman" w:hAnsi="Garamond" w:cs="Calibri"/>
                <w:color w:val="000000"/>
              </w:rPr>
            </w:pPr>
          </w:p>
        </w:tc>
        <w:tc>
          <w:tcPr>
            <w:tcW w:w="1690" w:type="dxa"/>
            <w:tcBorders>
              <w:top w:val="nil"/>
              <w:left w:val="nil"/>
              <w:bottom w:val="single" w:sz="4" w:space="0" w:color="auto"/>
              <w:right w:val="nil"/>
            </w:tcBorders>
            <w:shd w:val="clear" w:color="auto" w:fill="auto"/>
            <w:vAlign w:val="center"/>
            <w:hideMark/>
          </w:tcPr>
          <w:p w14:paraId="0E5C3A1D"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RTW Teachers, First Year Back After Retirement</w:t>
            </w:r>
          </w:p>
        </w:tc>
        <w:tc>
          <w:tcPr>
            <w:tcW w:w="276" w:type="dxa"/>
            <w:tcBorders>
              <w:top w:val="nil"/>
              <w:left w:val="nil"/>
              <w:bottom w:val="nil"/>
              <w:right w:val="nil"/>
            </w:tcBorders>
            <w:shd w:val="clear" w:color="auto" w:fill="auto"/>
            <w:vAlign w:val="center"/>
            <w:hideMark/>
          </w:tcPr>
          <w:p w14:paraId="032E2C54"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single" w:sz="4" w:space="0" w:color="auto"/>
              <w:right w:val="nil"/>
            </w:tcBorders>
            <w:shd w:val="clear" w:color="auto" w:fill="auto"/>
            <w:vAlign w:val="center"/>
            <w:hideMark/>
          </w:tcPr>
          <w:p w14:paraId="1D673210"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All Teachers in 1999</w:t>
            </w:r>
          </w:p>
        </w:tc>
        <w:tc>
          <w:tcPr>
            <w:tcW w:w="276" w:type="dxa"/>
            <w:tcBorders>
              <w:top w:val="nil"/>
              <w:left w:val="nil"/>
              <w:bottom w:val="nil"/>
              <w:right w:val="nil"/>
            </w:tcBorders>
            <w:shd w:val="clear" w:color="auto" w:fill="auto"/>
            <w:vAlign w:val="center"/>
            <w:hideMark/>
          </w:tcPr>
          <w:p w14:paraId="1AF8555A"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single" w:sz="4" w:space="0" w:color="auto"/>
              <w:right w:val="nil"/>
            </w:tcBorders>
            <w:shd w:val="clear" w:color="auto" w:fill="auto"/>
            <w:vAlign w:val="center"/>
            <w:hideMark/>
          </w:tcPr>
          <w:p w14:paraId="43EF1764"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All Teachers in 2009</w:t>
            </w:r>
          </w:p>
        </w:tc>
      </w:tr>
      <w:tr w:rsidR="00301EF3" w:rsidRPr="00F719E2" w14:paraId="104C3265" w14:textId="77777777" w:rsidTr="00391007">
        <w:trPr>
          <w:trHeight w:val="310"/>
        </w:trPr>
        <w:tc>
          <w:tcPr>
            <w:tcW w:w="3870" w:type="dxa"/>
            <w:tcBorders>
              <w:top w:val="nil"/>
              <w:left w:val="nil"/>
              <w:bottom w:val="single" w:sz="4" w:space="0" w:color="auto"/>
              <w:right w:val="nil"/>
            </w:tcBorders>
            <w:shd w:val="clear" w:color="auto" w:fill="auto"/>
            <w:noWrap/>
            <w:vAlign w:val="bottom"/>
            <w:hideMark/>
          </w:tcPr>
          <w:p w14:paraId="18DED959" w14:textId="77777777" w:rsidR="00301EF3" w:rsidRPr="00F719E2" w:rsidRDefault="00301EF3"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1690" w:type="dxa"/>
            <w:tcBorders>
              <w:top w:val="nil"/>
              <w:left w:val="nil"/>
              <w:bottom w:val="single" w:sz="4" w:space="0" w:color="auto"/>
              <w:right w:val="nil"/>
            </w:tcBorders>
            <w:shd w:val="clear" w:color="auto" w:fill="auto"/>
            <w:noWrap/>
            <w:vAlign w:val="center"/>
            <w:hideMark/>
          </w:tcPr>
          <w:p w14:paraId="3844F24A"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(1)</w:t>
            </w:r>
          </w:p>
        </w:tc>
        <w:tc>
          <w:tcPr>
            <w:tcW w:w="276" w:type="dxa"/>
            <w:tcBorders>
              <w:top w:val="nil"/>
              <w:left w:val="nil"/>
              <w:bottom w:val="single" w:sz="4" w:space="0" w:color="auto"/>
              <w:right w:val="nil"/>
            </w:tcBorders>
            <w:shd w:val="clear" w:color="auto" w:fill="auto"/>
            <w:noWrap/>
            <w:vAlign w:val="center"/>
            <w:hideMark/>
          </w:tcPr>
          <w:p w14:paraId="480FDB3F"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1300" w:type="dxa"/>
            <w:tcBorders>
              <w:top w:val="nil"/>
              <w:left w:val="nil"/>
              <w:bottom w:val="single" w:sz="4" w:space="0" w:color="auto"/>
              <w:right w:val="nil"/>
            </w:tcBorders>
            <w:shd w:val="clear" w:color="auto" w:fill="auto"/>
            <w:noWrap/>
            <w:vAlign w:val="center"/>
            <w:hideMark/>
          </w:tcPr>
          <w:p w14:paraId="235ADBFA"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(2)</w:t>
            </w:r>
          </w:p>
        </w:tc>
        <w:tc>
          <w:tcPr>
            <w:tcW w:w="276" w:type="dxa"/>
            <w:tcBorders>
              <w:top w:val="nil"/>
              <w:left w:val="nil"/>
              <w:bottom w:val="single" w:sz="4" w:space="0" w:color="auto"/>
              <w:right w:val="nil"/>
            </w:tcBorders>
            <w:shd w:val="clear" w:color="auto" w:fill="auto"/>
            <w:noWrap/>
            <w:vAlign w:val="center"/>
            <w:hideMark/>
          </w:tcPr>
          <w:p w14:paraId="6FB5C25C"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1300" w:type="dxa"/>
            <w:tcBorders>
              <w:top w:val="nil"/>
              <w:left w:val="nil"/>
              <w:bottom w:val="single" w:sz="4" w:space="0" w:color="auto"/>
              <w:right w:val="nil"/>
            </w:tcBorders>
            <w:shd w:val="clear" w:color="auto" w:fill="auto"/>
            <w:noWrap/>
            <w:vAlign w:val="center"/>
            <w:hideMark/>
          </w:tcPr>
          <w:p w14:paraId="2AEE3AA2"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(3)</w:t>
            </w:r>
          </w:p>
        </w:tc>
      </w:tr>
      <w:tr w:rsidR="00301EF3" w:rsidRPr="00F719E2" w14:paraId="25D1668D" w14:textId="77777777" w:rsidTr="00391007">
        <w:trPr>
          <w:trHeight w:val="310"/>
        </w:trPr>
        <w:tc>
          <w:tcPr>
            <w:tcW w:w="3870" w:type="dxa"/>
            <w:tcBorders>
              <w:top w:val="nil"/>
              <w:left w:val="nil"/>
              <w:bottom w:val="nil"/>
              <w:right w:val="nil"/>
            </w:tcBorders>
            <w:shd w:val="clear" w:color="auto" w:fill="auto"/>
            <w:noWrap/>
            <w:vAlign w:val="bottom"/>
            <w:hideMark/>
          </w:tcPr>
          <w:p w14:paraId="5636027D" w14:textId="77777777" w:rsidR="00301EF3" w:rsidRPr="009D69F3" w:rsidRDefault="00301EF3" w:rsidP="00391007">
            <w:pPr>
              <w:spacing w:after="0" w:line="240" w:lineRule="auto"/>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School Level</w:t>
            </w:r>
          </w:p>
          <w:p w14:paraId="710A5F48" w14:textId="77777777" w:rsidR="00301EF3" w:rsidRPr="00F719E2" w:rsidRDefault="00301EF3"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Elementary</w:t>
            </w:r>
          </w:p>
        </w:tc>
        <w:tc>
          <w:tcPr>
            <w:tcW w:w="1690" w:type="dxa"/>
            <w:tcBorders>
              <w:top w:val="nil"/>
              <w:left w:val="nil"/>
              <w:bottom w:val="nil"/>
              <w:right w:val="nil"/>
            </w:tcBorders>
            <w:shd w:val="clear" w:color="auto" w:fill="auto"/>
            <w:noWrap/>
            <w:vAlign w:val="bottom"/>
            <w:hideMark/>
          </w:tcPr>
          <w:p w14:paraId="35F6403F"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0.44</w:t>
            </w:r>
          </w:p>
        </w:tc>
        <w:tc>
          <w:tcPr>
            <w:tcW w:w="276" w:type="dxa"/>
            <w:tcBorders>
              <w:top w:val="nil"/>
              <w:left w:val="nil"/>
              <w:bottom w:val="nil"/>
              <w:right w:val="nil"/>
            </w:tcBorders>
            <w:shd w:val="clear" w:color="auto" w:fill="auto"/>
            <w:noWrap/>
            <w:vAlign w:val="bottom"/>
            <w:hideMark/>
          </w:tcPr>
          <w:p w14:paraId="430B8ABA"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2CD5D33E"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0.48</w:t>
            </w:r>
          </w:p>
        </w:tc>
        <w:tc>
          <w:tcPr>
            <w:tcW w:w="276" w:type="dxa"/>
            <w:tcBorders>
              <w:top w:val="nil"/>
              <w:left w:val="nil"/>
              <w:bottom w:val="nil"/>
              <w:right w:val="nil"/>
            </w:tcBorders>
            <w:shd w:val="clear" w:color="auto" w:fill="auto"/>
            <w:noWrap/>
            <w:vAlign w:val="bottom"/>
            <w:hideMark/>
          </w:tcPr>
          <w:p w14:paraId="2215CAEA"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3916413C"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0.47</w:t>
            </w:r>
          </w:p>
        </w:tc>
      </w:tr>
      <w:tr w:rsidR="00301EF3" w:rsidRPr="00F719E2" w14:paraId="6ABAE59A" w14:textId="77777777" w:rsidTr="00391007">
        <w:trPr>
          <w:trHeight w:val="310"/>
        </w:trPr>
        <w:tc>
          <w:tcPr>
            <w:tcW w:w="3870" w:type="dxa"/>
            <w:tcBorders>
              <w:top w:val="nil"/>
              <w:left w:val="nil"/>
              <w:bottom w:val="nil"/>
              <w:right w:val="nil"/>
            </w:tcBorders>
            <w:shd w:val="clear" w:color="auto" w:fill="auto"/>
            <w:noWrap/>
            <w:vAlign w:val="bottom"/>
            <w:hideMark/>
          </w:tcPr>
          <w:p w14:paraId="6D57FB33" w14:textId="77777777" w:rsidR="00301EF3" w:rsidRPr="00F719E2" w:rsidRDefault="00301EF3"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Middle</w:t>
            </w:r>
          </w:p>
        </w:tc>
        <w:tc>
          <w:tcPr>
            <w:tcW w:w="1690" w:type="dxa"/>
            <w:tcBorders>
              <w:top w:val="nil"/>
              <w:left w:val="nil"/>
              <w:bottom w:val="nil"/>
              <w:right w:val="nil"/>
            </w:tcBorders>
            <w:shd w:val="clear" w:color="auto" w:fill="auto"/>
            <w:noWrap/>
            <w:vAlign w:val="bottom"/>
            <w:hideMark/>
          </w:tcPr>
          <w:p w14:paraId="634CB468"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0.24</w:t>
            </w:r>
          </w:p>
        </w:tc>
        <w:tc>
          <w:tcPr>
            <w:tcW w:w="276" w:type="dxa"/>
            <w:tcBorders>
              <w:top w:val="nil"/>
              <w:left w:val="nil"/>
              <w:bottom w:val="nil"/>
              <w:right w:val="nil"/>
            </w:tcBorders>
            <w:shd w:val="clear" w:color="auto" w:fill="auto"/>
            <w:noWrap/>
            <w:vAlign w:val="bottom"/>
            <w:hideMark/>
          </w:tcPr>
          <w:p w14:paraId="10B1F4BE"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1606D346"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0.24</w:t>
            </w:r>
          </w:p>
        </w:tc>
        <w:tc>
          <w:tcPr>
            <w:tcW w:w="276" w:type="dxa"/>
            <w:tcBorders>
              <w:top w:val="nil"/>
              <w:left w:val="nil"/>
              <w:bottom w:val="nil"/>
              <w:right w:val="nil"/>
            </w:tcBorders>
            <w:shd w:val="clear" w:color="auto" w:fill="auto"/>
            <w:noWrap/>
            <w:vAlign w:val="bottom"/>
            <w:hideMark/>
          </w:tcPr>
          <w:p w14:paraId="1EE3EB64"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28CA0F55"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0.23</w:t>
            </w:r>
          </w:p>
        </w:tc>
      </w:tr>
      <w:tr w:rsidR="00301EF3" w:rsidRPr="00F719E2" w14:paraId="48A336DC" w14:textId="77777777" w:rsidTr="00391007">
        <w:trPr>
          <w:trHeight w:val="310"/>
        </w:trPr>
        <w:tc>
          <w:tcPr>
            <w:tcW w:w="3870" w:type="dxa"/>
            <w:tcBorders>
              <w:top w:val="nil"/>
              <w:left w:val="nil"/>
              <w:bottom w:val="nil"/>
              <w:right w:val="nil"/>
            </w:tcBorders>
            <w:shd w:val="clear" w:color="auto" w:fill="auto"/>
            <w:noWrap/>
            <w:vAlign w:val="bottom"/>
            <w:hideMark/>
          </w:tcPr>
          <w:p w14:paraId="1F0727DA" w14:textId="77777777" w:rsidR="00301EF3" w:rsidRPr="00F719E2" w:rsidRDefault="00301EF3"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High</w:t>
            </w:r>
          </w:p>
        </w:tc>
        <w:tc>
          <w:tcPr>
            <w:tcW w:w="1690" w:type="dxa"/>
            <w:tcBorders>
              <w:top w:val="nil"/>
              <w:left w:val="nil"/>
              <w:bottom w:val="nil"/>
              <w:right w:val="nil"/>
            </w:tcBorders>
            <w:shd w:val="clear" w:color="auto" w:fill="auto"/>
            <w:noWrap/>
            <w:vAlign w:val="bottom"/>
            <w:hideMark/>
          </w:tcPr>
          <w:p w14:paraId="7090A70A"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0.32</w:t>
            </w:r>
          </w:p>
        </w:tc>
        <w:tc>
          <w:tcPr>
            <w:tcW w:w="276" w:type="dxa"/>
            <w:tcBorders>
              <w:top w:val="nil"/>
              <w:left w:val="nil"/>
              <w:bottom w:val="nil"/>
              <w:right w:val="nil"/>
            </w:tcBorders>
            <w:shd w:val="clear" w:color="auto" w:fill="auto"/>
            <w:noWrap/>
            <w:vAlign w:val="bottom"/>
            <w:hideMark/>
          </w:tcPr>
          <w:p w14:paraId="78652A75"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5C1AC636"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0.28</w:t>
            </w:r>
          </w:p>
        </w:tc>
        <w:tc>
          <w:tcPr>
            <w:tcW w:w="276" w:type="dxa"/>
            <w:tcBorders>
              <w:top w:val="nil"/>
              <w:left w:val="nil"/>
              <w:bottom w:val="nil"/>
              <w:right w:val="nil"/>
            </w:tcBorders>
            <w:shd w:val="clear" w:color="auto" w:fill="auto"/>
            <w:noWrap/>
            <w:vAlign w:val="bottom"/>
            <w:hideMark/>
          </w:tcPr>
          <w:p w14:paraId="0A32DB44"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5C12646B"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0.30</w:t>
            </w:r>
          </w:p>
        </w:tc>
      </w:tr>
      <w:tr w:rsidR="00301EF3" w:rsidRPr="00F719E2" w14:paraId="2C9C1E63" w14:textId="77777777" w:rsidTr="00391007">
        <w:trPr>
          <w:trHeight w:val="310"/>
        </w:trPr>
        <w:tc>
          <w:tcPr>
            <w:tcW w:w="3870" w:type="dxa"/>
            <w:tcBorders>
              <w:top w:val="nil"/>
              <w:left w:val="nil"/>
              <w:bottom w:val="nil"/>
              <w:right w:val="nil"/>
            </w:tcBorders>
            <w:shd w:val="clear" w:color="auto" w:fill="auto"/>
            <w:noWrap/>
            <w:vAlign w:val="bottom"/>
            <w:hideMark/>
          </w:tcPr>
          <w:p w14:paraId="387C7588" w14:textId="77777777" w:rsidR="00301EF3" w:rsidRDefault="00301EF3" w:rsidP="00391007">
            <w:pPr>
              <w:spacing w:after="0" w:line="240" w:lineRule="auto"/>
              <w:rPr>
                <w:rFonts w:ascii="Garamond" w:eastAsia="Times New Roman" w:hAnsi="Garamond" w:cs="Times New Roman"/>
                <w:color w:val="000000"/>
                <w:sz w:val="24"/>
                <w:szCs w:val="24"/>
              </w:rPr>
            </w:pPr>
          </w:p>
          <w:p w14:paraId="19B5B38E" w14:textId="77777777" w:rsidR="00301EF3" w:rsidRPr="009D69F3" w:rsidRDefault="00301EF3" w:rsidP="00391007">
            <w:pPr>
              <w:spacing w:after="0" w:line="240" w:lineRule="auto"/>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Urbanicity</w:t>
            </w:r>
          </w:p>
          <w:p w14:paraId="6AB61D8F" w14:textId="77777777" w:rsidR="00301EF3" w:rsidRPr="00F719E2" w:rsidRDefault="00301EF3"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Rural</w:t>
            </w:r>
          </w:p>
        </w:tc>
        <w:tc>
          <w:tcPr>
            <w:tcW w:w="1690" w:type="dxa"/>
            <w:tcBorders>
              <w:top w:val="nil"/>
              <w:left w:val="nil"/>
              <w:bottom w:val="nil"/>
              <w:right w:val="nil"/>
            </w:tcBorders>
            <w:shd w:val="clear" w:color="auto" w:fill="auto"/>
            <w:noWrap/>
            <w:vAlign w:val="bottom"/>
            <w:hideMark/>
          </w:tcPr>
          <w:p w14:paraId="6798E205"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0.49</w:t>
            </w:r>
          </w:p>
        </w:tc>
        <w:tc>
          <w:tcPr>
            <w:tcW w:w="276" w:type="dxa"/>
            <w:tcBorders>
              <w:top w:val="nil"/>
              <w:left w:val="nil"/>
              <w:bottom w:val="nil"/>
              <w:right w:val="nil"/>
            </w:tcBorders>
            <w:shd w:val="clear" w:color="auto" w:fill="auto"/>
            <w:noWrap/>
            <w:vAlign w:val="bottom"/>
            <w:hideMark/>
          </w:tcPr>
          <w:p w14:paraId="6F23C94F"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4AEEC054"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0.39</w:t>
            </w:r>
          </w:p>
        </w:tc>
        <w:tc>
          <w:tcPr>
            <w:tcW w:w="276" w:type="dxa"/>
            <w:tcBorders>
              <w:top w:val="nil"/>
              <w:left w:val="nil"/>
              <w:bottom w:val="nil"/>
              <w:right w:val="nil"/>
            </w:tcBorders>
            <w:shd w:val="clear" w:color="auto" w:fill="auto"/>
            <w:noWrap/>
            <w:vAlign w:val="bottom"/>
            <w:hideMark/>
          </w:tcPr>
          <w:p w14:paraId="44552E42"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12DC685B"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0.46</w:t>
            </w:r>
          </w:p>
        </w:tc>
      </w:tr>
      <w:tr w:rsidR="00301EF3" w:rsidRPr="00F719E2" w14:paraId="562C732A" w14:textId="77777777" w:rsidTr="00391007">
        <w:trPr>
          <w:trHeight w:val="310"/>
        </w:trPr>
        <w:tc>
          <w:tcPr>
            <w:tcW w:w="3870" w:type="dxa"/>
            <w:tcBorders>
              <w:top w:val="nil"/>
              <w:left w:val="nil"/>
              <w:bottom w:val="nil"/>
              <w:right w:val="nil"/>
            </w:tcBorders>
            <w:shd w:val="clear" w:color="auto" w:fill="auto"/>
            <w:noWrap/>
            <w:vAlign w:val="bottom"/>
            <w:hideMark/>
          </w:tcPr>
          <w:p w14:paraId="7C467FB2" w14:textId="77777777" w:rsidR="00301EF3" w:rsidRPr="00F719E2" w:rsidRDefault="00301EF3"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Town/Suburb</w:t>
            </w:r>
          </w:p>
        </w:tc>
        <w:tc>
          <w:tcPr>
            <w:tcW w:w="1690" w:type="dxa"/>
            <w:tcBorders>
              <w:top w:val="nil"/>
              <w:left w:val="nil"/>
              <w:bottom w:val="nil"/>
              <w:right w:val="nil"/>
            </w:tcBorders>
            <w:shd w:val="clear" w:color="auto" w:fill="auto"/>
            <w:noWrap/>
            <w:vAlign w:val="bottom"/>
            <w:hideMark/>
          </w:tcPr>
          <w:p w14:paraId="379DD7A9"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0.32</w:t>
            </w:r>
          </w:p>
        </w:tc>
        <w:tc>
          <w:tcPr>
            <w:tcW w:w="276" w:type="dxa"/>
            <w:tcBorders>
              <w:top w:val="nil"/>
              <w:left w:val="nil"/>
              <w:bottom w:val="nil"/>
              <w:right w:val="nil"/>
            </w:tcBorders>
            <w:shd w:val="clear" w:color="auto" w:fill="auto"/>
            <w:noWrap/>
            <w:vAlign w:val="bottom"/>
            <w:hideMark/>
          </w:tcPr>
          <w:p w14:paraId="3D673BF2"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3C738CAE"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0.33</w:t>
            </w:r>
          </w:p>
        </w:tc>
        <w:tc>
          <w:tcPr>
            <w:tcW w:w="276" w:type="dxa"/>
            <w:tcBorders>
              <w:top w:val="nil"/>
              <w:left w:val="nil"/>
              <w:bottom w:val="nil"/>
              <w:right w:val="nil"/>
            </w:tcBorders>
            <w:shd w:val="clear" w:color="auto" w:fill="auto"/>
            <w:noWrap/>
            <w:vAlign w:val="bottom"/>
            <w:hideMark/>
          </w:tcPr>
          <w:p w14:paraId="37E8B9EA"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76312384"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0.28</w:t>
            </w:r>
          </w:p>
        </w:tc>
      </w:tr>
      <w:tr w:rsidR="00301EF3" w:rsidRPr="00F719E2" w14:paraId="28A68E23" w14:textId="77777777" w:rsidTr="00391007">
        <w:trPr>
          <w:trHeight w:val="310"/>
        </w:trPr>
        <w:tc>
          <w:tcPr>
            <w:tcW w:w="3870" w:type="dxa"/>
            <w:tcBorders>
              <w:top w:val="nil"/>
              <w:left w:val="nil"/>
              <w:bottom w:val="nil"/>
              <w:right w:val="nil"/>
            </w:tcBorders>
            <w:shd w:val="clear" w:color="auto" w:fill="auto"/>
            <w:noWrap/>
            <w:vAlign w:val="bottom"/>
            <w:hideMark/>
          </w:tcPr>
          <w:p w14:paraId="024B07F9" w14:textId="77777777" w:rsidR="00301EF3" w:rsidRPr="00F719E2" w:rsidRDefault="00301EF3"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City</w:t>
            </w:r>
          </w:p>
        </w:tc>
        <w:tc>
          <w:tcPr>
            <w:tcW w:w="1690" w:type="dxa"/>
            <w:tcBorders>
              <w:top w:val="nil"/>
              <w:left w:val="nil"/>
              <w:bottom w:val="nil"/>
              <w:right w:val="nil"/>
            </w:tcBorders>
            <w:shd w:val="clear" w:color="auto" w:fill="auto"/>
            <w:noWrap/>
            <w:vAlign w:val="bottom"/>
            <w:hideMark/>
          </w:tcPr>
          <w:p w14:paraId="137D9CA6"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0.19</w:t>
            </w:r>
          </w:p>
        </w:tc>
        <w:tc>
          <w:tcPr>
            <w:tcW w:w="276" w:type="dxa"/>
            <w:tcBorders>
              <w:top w:val="nil"/>
              <w:left w:val="nil"/>
              <w:bottom w:val="nil"/>
              <w:right w:val="nil"/>
            </w:tcBorders>
            <w:shd w:val="clear" w:color="auto" w:fill="auto"/>
            <w:noWrap/>
            <w:vAlign w:val="bottom"/>
            <w:hideMark/>
          </w:tcPr>
          <w:p w14:paraId="54EF40D5"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79970284"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0.28</w:t>
            </w:r>
          </w:p>
        </w:tc>
        <w:tc>
          <w:tcPr>
            <w:tcW w:w="276" w:type="dxa"/>
            <w:tcBorders>
              <w:top w:val="nil"/>
              <w:left w:val="nil"/>
              <w:bottom w:val="nil"/>
              <w:right w:val="nil"/>
            </w:tcBorders>
            <w:shd w:val="clear" w:color="auto" w:fill="auto"/>
            <w:noWrap/>
            <w:vAlign w:val="bottom"/>
            <w:hideMark/>
          </w:tcPr>
          <w:p w14:paraId="31488BAC"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p>
        </w:tc>
        <w:tc>
          <w:tcPr>
            <w:tcW w:w="1300" w:type="dxa"/>
            <w:tcBorders>
              <w:top w:val="nil"/>
              <w:left w:val="nil"/>
              <w:bottom w:val="nil"/>
              <w:right w:val="nil"/>
            </w:tcBorders>
            <w:shd w:val="clear" w:color="auto" w:fill="auto"/>
            <w:noWrap/>
            <w:vAlign w:val="bottom"/>
            <w:hideMark/>
          </w:tcPr>
          <w:p w14:paraId="472319EE"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0.26</w:t>
            </w:r>
          </w:p>
        </w:tc>
      </w:tr>
      <w:tr w:rsidR="00301EF3" w:rsidRPr="00F719E2" w14:paraId="7F4A913B" w14:textId="77777777" w:rsidTr="00391007">
        <w:trPr>
          <w:trHeight w:val="310"/>
        </w:trPr>
        <w:tc>
          <w:tcPr>
            <w:tcW w:w="3870" w:type="dxa"/>
            <w:tcBorders>
              <w:top w:val="nil"/>
              <w:left w:val="nil"/>
              <w:bottom w:val="nil"/>
              <w:right w:val="nil"/>
            </w:tcBorders>
            <w:shd w:val="clear" w:color="auto" w:fill="auto"/>
            <w:noWrap/>
            <w:vAlign w:val="bottom"/>
            <w:hideMark/>
          </w:tcPr>
          <w:p w14:paraId="18A7A3EB" w14:textId="77777777" w:rsidR="00301EF3" w:rsidRDefault="00301EF3" w:rsidP="00391007">
            <w:pPr>
              <w:spacing w:after="0" w:line="240" w:lineRule="auto"/>
              <w:rPr>
                <w:rFonts w:ascii="Garamond" w:eastAsia="Times New Roman" w:hAnsi="Garamond" w:cs="Times New Roman"/>
                <w:color w:val="000000"/>
                <w:sz w:val="24"/>
                <w:szCs w:val="24"/>
              </w:rPr>
            </w:pPr>
          </w:p>
          <w:p w14:paraId="7248219F" w14:textId="77777777" w:rsidR="00301EF3" w:rsidRPr="009D69F3" w:rsidRDefault="00301EF3" w:rsidP="00391007">
            <w:pPr>
              <w:spacing w:after="0" w:line="240" w:lineRule="auto"/>
              <w:rPr>
                <w:rFonts w:ascii="Garamond" w:eastAsia="Times New Roman" w:hAnsi="Garamond" w:cs="Times New Roman"/>
                <w:i/>
                <w:iCs/>
                <w:color w:val="000000"/>
                <w:sz w:val="24"/>
                <w:szCs w:val="24"/>
              </w:rPr>
            </w:pPr>
            <w:r>
              <w:rPr>
                <w:rFonts w:ascii="Garamond" w:eastAsia="Times New Roman" w:hAnsi="Garamond" w:cs="Times New Roman"/>
                <w:i/>
                <w:iCs/>
                <w:color w:val="000000"/>
                <w:sz w:val="24"/>
                <w:szCs w:val="24"/>
              </w:rPr>
              <w:t>Student Demographics</w:t>
            </w:r>
          </w:p>
          <w:p w14:paraId="543EB3E4" w14:textId="77777777" w:rsidR="00301EF3" w:rsidRPr="00F719E2" w:rsidRDefault="00301EF3"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Percent Economically Disadvantaged</w:t>
            </w:r>
          </w:p>
        </w:tc>
        <w:tc>
          <w:tcPr>
            <w:tcW w:w="1690" w:type="dxa"/>
            <w:tcBorders>
              <w:top w:val="nil"/>
              <w:left w:val="nil"/>
              <w:bottom w:val="nil"/>
              <w:right w:val="nil"/>
            </w:tcBorders>
            <w:shd w:val="clear" w:color="auto" w:fill="auto"/>
            <w:noWrap/>
            <w:vAlign w:val="bottom"/>
            <w:hideMark/>
          </w:tcPr>
          <w:p w14:paraId="048817A9" w14:textId="77777777" w:rsidR="00301EF3" w:rsidRPr="00F719E2" w:rsidRDefault="00301EF3" w:rsidP="00391007">
            <w:pPr>
              <w:spacing w:after="0" w:line="240" w:lineRule="auto"/>
              <w:jc w:val="center"/>
              <w:rPr>
                <w:rFonts w:ascii="Garamond" w:eastAsia="Times New Roman" w:hAnsi="Garamond" w:cs="Times New Roman"/>
                <w:color w:val="222222"/>
                <w:sz w:val="24"/>
                <w:szCs w:val="24"/>
              </w:rPr>
            </w:pPr>
            <w:r w:rsidRPr="00F719E2">
              <w:rPr>
                <w:rFonts w:ascii="Garamond" w:eastAsia="Times New Roman" w:hAnsi="Garamond" w:cs="Times New Roman"/>
                <w:color w:val="222222"/>
                <w:sz w:val="24"/>
                <w:szCs w:val="24"/>
              </w:rPr>
              <w:t>40.54</w:t>
            </w:r>
          </w:p>
        </w:tc>
        <w:tc>
          <w:tcPr>
            <w:tcW w:w="276" w:type="dxa"/>
            <w:tcBorders>
              <w:top w:val="nil"/>
              <w:left w:val="nil"/>
              <w:bottom w:val="nil"/>
              <w:right w:val="nil"/>
            </w:tcBorders>
            <w:shd w:val="clear" w:color="auto" w:fill="auto"/>
            <w:noWrap/>
            <w:vAlign w:val="bottom"/>
            <w:hideMark/>
          </w:tcPr>
          <w:p w14:paraId="74005C19" w14:textId="77777777" w:rsidR="00301EF3" w:rsidRPr="00F719E2" w:rsidRDefault="00301EF3" w:rsidP="00391007">
            <w:pPr>
              <w:spacing w:after="0" w:line="240" w:lineRule="auto"/>
              <w:jc w:val="center"/>
              <w:rPr>
                <w:rFonts w:ascii="Garamond" w:eastAsia="Times New Roman" w:hAnsi="Garamond" w:cs="Times New Roman"/>
                <w:color w:val="222222"/>
                <w:sz w:val="24"/>
                <w:szCs w:val="24"/>
              </w:rPr>
            </w:pPr>
          </w:p>
        </w:tc>
        <w:tc>
          <w:tcPr>
            <w:tcW w:w="1300" w:type="dxa"/>
            <w:tcBorders>
              <w:top w:val="nil"/>
              <w:left w:val="nil"/>
              <w:bottom w:val="nil"/>
              <w:right w:val="nil"/>
            </w:tcBorders>
            <w:shd w:val="clear" w:color="auto" w:fill="auto"/>
            <w:noWrap/>
            <w:vAlign w:val="bottom"/>
            <w:hideMark/>
          </w:tcPr>
          <w:p w14:paraId="4CDA23A4" w14:textId="77777777" w:rsidR="00301EF3" w:rsidRPr="00F719E2" w:rsidRDefault="00301EF3" w:rsidP="00391007">
            <w:pPr>
              <w:spacing w:after="0" w:line="240" w:lineRule="auto"/>
              <w:jc w:val="center"/>
              <w:rPr>
                <w:rFonts w:ascii="Garamond" w:eastAsia="Times New Roman" w:hAnsi="Garamond" w:cs="Times New Roman"/>
                <w:color w:val="222222"/>
                <w:sz w:val="24"/>
                <w:szCs w:val="24"/>
              </w:rPr>
            </w:pPr>
            <w:r w:rsidRPr="00F719E2">
              <w:rPr>
                <w:rFonts w:ascii="Garamond" w:eastAsia="Times New Roman" w:hAnsi="Garamond" w:cs="Times New Roman"/>
                <w:color w:val="222222"/>
                <w:sz w:val="24"/>
                <w:szCs w:val="24"/>
              </w:rPr>
              <w:t>31.89</w:t>
            </w:r>
          </w:p>
        </w:tc>
        <w:tc>
          <w:tcPr>
            <w:tcW w:w="276" w:type="dxa"/>
            <w:tcBorders>
              <w:top w:val="nil"/>
              <w:left w:val="nil"/>
              <w:bottom w:val="nil"/>
              <w:right w:val="nil"/>
            </w:tcBorders>
            <w:shd w:val="clear" w:color="auto" w:fill="auto"/>
            <w:noWrap/>
            <w:vAlign w:val="bottom"/>
            <w:hideMark/>
          </w:tcPr>
          <w:p w14:paraId="67962E75" w14:textId="77777777" w:rsidR="00301EF3" w:rsidRPr="00F719E2" w:rsidRDefault="00301EF3" w:rsidP="00391007">
            <w:pPr>
              <w:spacing w:after="0" w:line="240" w:lineRule="auto"/>
              <w:jc w:val="center"/>
              <w:rPr>
                <w:rFonts w:ascii="Garamond" w:eastAsia="Times New Roman" w:hAnsi="Garamond" w:cs="Times New Roman"/>
                <w:color w:val="222222"/>
                <w:sz w:val="24"/>
                <w:szCs w:val="24"/>
              </w:rPr>
            </w:pPr>
          </w:p>
        </w:tc>
        <w:tc>
          <w:tcPr>
            <w:tcW w:w="1300" w:type="dxa"/>
            <w:tcBorders>
              <w:top w:val="nil"/>
              <w:left w:val="nil"/>
              <w:bottom w:val="nil"/>
              <w:right w:val="nil"/>
            </w:tcBorders>
            <w:shd w:val="clear" w:color="auto" w:fill="auto"/>
            <w:noWrap/>
            <w:vAlign w:val="bottom"/>
            <w:hideMark/>
          </w:tcPr>
          <w:p w14:paraId="07811D38" w14:textId="77777777" w:rsidR="00301EF3" w:rsidRPr="00F719E2" w:rsidRDefault="00301EF3" w:rsidP="00391007">
            <w:pPr>
              <w:spacing w:after="0" w:line="240" w:lineRule="auto"/>
              <w:jc w:val="center"/>
              <w:rPr>
                <w:rFonts w:ascii="Garamond" w:eastAsia="Times New Roman" w:hAnsi="Garamond" w:cs="Times New Roman"/>
                <w:color w:val="222222"/>
                <w:sz w:val="24"/>
                <w:szCs w:val="24"/>
              </w:rPr>
            </w:pPr>
            <w:r w:rsidRPr="00F719E2">
              <w:rPr>
                <w:rFonts w:ascii="Garamond" w:eastAsia="Times New Roman" w:hAnsi="Garamond" w:cs="Times New Roman"/>
                <w:color w:val="222222"/>
                <w:sz w:val="24"/>
                <w:szCs w:val="24"/>
              </w:rPr>
              <w:t>38.31</w:t>
            </w:r>
          </w:p>
        </w:tc>
      </w:tr>
      <w:tr w:rsidR="00301EF3" w:rsidRPr="00F719E2" w14:paraId="71C03270" w14:textId="77777777" w:rsidTr="00391007">
        <w:trPr>
          <w:trHeight w:val="310"/>
        </w:trPr>
        <w:tc>
          <w:tcPr>
            <w:tcW w:w="3870" w:type="dxa"/>
            <w:tcBorders>
              <w:top w:val="nil"/>
              <w:left w:val="nil"/>
              <w:bottom w:val="nil"/>
              <w:right w:val="nil"/>
            </w:tcBorders>
            <w:shd w:val="clear" w:color="auto" w:fill="auto"/>
            <w:noWrap/>
            <w:vAlign w:val="bottom"/>
            <w:hideMark/>
          </w:tcPr>
          <w:p w14:paraId="6AB284DC" w14:textId="77777777" w:rsidR="00301EF3" w:rsidRPr="00F719E2" w:rsidRDefault="00301EF3" w:rsidP="00391007">
            <w:pPr>
              <w:spacing w:after="0" w:line="240" w:lineRule="auto"/>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Percent Black</w:t>
            </w:r>
          </w:p>
        </w:tc>
        <w:tc>
          <w:tcPr>
            <w:tcW w:w="1690" w:type="dxa"/>
            <w:tcBorders>
              <w:top w:val="nil"/>
              <w:left w:val="nil"/>
              <w:bottom w:val="nil"/>
              <w:right w:val="nil"/>
            </w:tcBorders>
            <w:shd w:val="clear" w:color="auto" w:fill="auto"/>
            <w:noWrap/>
            <w:vAlign w:val="bottom"/>
            <w:hideMark/>
          </w:tcPr>
          <w:p w14:paraId="5D9FD2A6" w14:textId="77777777" w:rsidR="00301EF3" w:rsidRPr="00F719E2" w:rsidRDefault="00301EF3" w:rsidP="00391007">
            <w:pPr>
              <w:spacing w:after="0" w:line="240" w:lineRule="auto"/>
              <w:jc w:val="center"/>
              <w:rPr>
                <w:rFonts w:ascii="Garamond" w:eastAsia="Times New Roman" w:hAnsi="Garamond" w:cs="Times New Roman"/>
                <w:color w:val="222222"/>
                <w:sz w:val="24"/>
                <w:szCs w:val="24"/>
              </w:rPr>
            </w:pPr>
            <w:r w:rsidRPr="00F719E2">
              <w:rPr>
                <w:rFonts w:ascii="Garamond" w:eastAsia="Times New Roman" w:hAnsi="Garamond" w:cs="Times New Roman"/>
                <w:color w:val="222222"/>
                <w:sz w:val="24"/>
                <w:szCs w:val="24"/>
              </w:rPr>
              <w:t>35.61</w:t>
            </w:r>
          </w:p>
        </w:tc>
        <w:tc>
          <w:tcPr>
            <w:tcW w:w="276" w:type="dxa"/>
            <w:tcBorders>
              <w:top w:val="nil"/>
              <w:left w:val="nil"/>
              <w:bottom w:val="nil"/>
              <w:right w:val="nil"/>
            </w:tcBorders>
            <w:shd w:val="clear" w:color="auto" w:fill="auto"/>
            <w:noWrap/>
            <w:vAlign w:val="bottom"/>
            <w:hideMark/>
          </w:tcPr>
          <w:p w14:paraId="57610544" w14:textId="77777777" w:rsidR="00301EF3" w:rsidRPr="00F719E2" w:rsidRDefault="00301EF3" w:rsidP="00391007">
            <w:pPr>
              <w:spacing w:after="0" w:line="240" w:lineRule="auto"/>
              <w:jc w:val="center"/>
              <w:rPr>
                <w:rFonts w:ascii="Garamond" w:eastAsia="Times New Roman" w:hAnsi="Garamond" w:cs="Times New Roman"/>
                <w:color w:val="222222"/>
                <w:sz w:val="24"/>
                <w:szCs w:val="24"/>
              </w:rPr>
            </w:pPr>
          </w:p>
        </w:tc>
        <w:tc>
          <w:tcPr>
            <w:tcW w:w="1300" w:type="dxa"/>
            <w:tcBorders>
              <w:top w:val="nil"/>
              <w:left w:val="nil"/>
              <w:bottom w:val="nil"/>
              <w:right w:val="nil"/>
            </w:tcBorders>
            <w:shd w:val="clear" w:color="auto" w:fill="auto"/>
            <w:noWrap/>
            <w:vAlign w:val="bottom"/>
            <w:hideMark/>
          </w:tcPr>
          <w:p w14:paraId="4013EF2C" w14:textId="77777777" w:rsidR="00301EF3" w:rsidRPr="00F719E2" w:rsidRDefault="00301EF3" w:rsidP="00391007">
            <w:pPr>
              <w:spacing w:after="0" w:line="240" w:lineRule="auto"/>
              <w:jc w:val="center"/>
              <w:rPr>
                <w:rFonts w:ascii="Garamond" w:eastAsia="Times New Roman" w:hAnsi="Garamond" w:cs="Times New Roman"/>
                <w:color w:val="222222"/>
                <w:sz w:val="24"/>
                <w:szCs w:val="24"/>
              </w:rPr>
            </w:pPr>
            <w:r w:rsidRPr="00F719E2">
              <w:rPr>
                <w:rFonts w:ascii="Garamond" w:eastAsia="Times New Roman" w:hAnsi="Garamond" w:cs="Times New Roman"/>
                <w:color w:val="222222"/>
                <w:sz w:val="24"/>
                <w:szCs w:val="24"/>
              </w:rPr>
              <w:t>31.32</w:t>
            </w:r>
          </w:p>
        </w:tc>
        <w:tc>
          <w:tcPr>
            <w:tcW w:w="276" w:type="dxa"/>
            <w:tcBorders>
              <w:top w:val="nil"/>
              <w:left w:val="nil"/>
              <w:bottom w:val="nil"/>
              <w:right w:val="nil"/>
            </w:tcBorders>
            <w:shd w:val="clear" w:color="auto" w:fill="auto"/>
            <w:noWrap/>
            <w:vAlign w:val="bottom"/>
            <w:hideMark/>
          </w:tcPr>
          <w:p w14:paraId="57CB5349" w14:textId="77777777" w:rsidR="00301EF3" w:rsidRPr="00F719E2" w:rsidRDefault="00301EF3" w:rsidP="00391007">
            <w:pPr>
              <w:spacing w:after="0" w:line="240" w:lineRule="auto"/>
              <w:jc w:val="center"/>
              <w:rPr>
                <w:rFonts w:ascii="Garamond" w:eastAsia="Times New Roman" w:hAnsi="Garamond" w:cs="Times New Roman"/>
                <w:color w:val="222222"/>
                <w:sz w:val="24"/>
                <w:szCs w:val="24"/>
              </w:rPr>
            </w:pPr>
          </w:p>
        </w:tc>
        <w:tc>
          <w:tcPr>
            <w:tcW w:w="1300" w:type="dxa"/>
            <w:tcBorders>
              <w:top w:val="nil"/>
              <w:left w:val="nil"/>
              <w:bottom w:val="nil"/>
              <w:right w:val="nil"/>
            </w:tcBorders>
            <w:shd w:val="clear" w:color="auto" w:fill="auto"/>
            <w:noWrap/>
            <w:vAlign w:val="bottom"/>
            <w:hideMark/>
          </w:tcPr>
          <w:p w14:paraId="2E46EB5E" w14:textId="77777777" w:rsidR="00301EF3" w:rsidRPr="00F719E2" w:rsidRDefault="00301EF3" w:rsidP="00391007">
            <w:pPr>
              <w:spacing w:after="0" w:line="240" w:lineRule="auto"/>
              <w:jc w:val="center"/>
              <w:rPr>
                <w:rFonts w:ascii="Garamond" w:eastAsia="Times New Roman" w:hAnsi="Garamond" w:cs="Times New Roman"/>
                <w:color w:val="222222"/>
                <w:sz w:val="24"/>
                <w:szCs w:val="24"/>
              </w:rPr>
            </w:pPr>
            <w:r w:rsidRPr="00F719E2">
              <w:rPr>
                <w:rFonts w:ascii="Garamond" w:eastAsia="Times New Roman" w:hAnsi="Garamond" w:cs="Times New Roman"/>
                <w:color w:val="222222"/>
                <w:sz w:val="24"/>
                <w:szCs w:val="24"/>
              </w:rPr>
              <w:t>31.73</w:t>
            </w:r>
          </w:p>
        </w:tc>
      </w:tr>
      <w:tr w:rsidR="00301EF3" w:rsidRPr="00F719E2" w14:paraId="234979BC" w14:textId="77777777" w:rsidTr="00391007">
        <w:trPr>
          <w:trHeight w:val="310"/>
        </w:trPr>
        <w:tc>
          <w:tcPr>
            <w:tcW w:w="3870" w:type="dxa"/>
            <w:tcBorders>
              <w:top w:val="nil"/>
              <w:left w:val="nil"/>
              <w:bottom w:val="nil"/>
              <w:right w:val="nil"/>
            </w:tcBorders>
            <w:shd w:val="clear" w:color="auto" w:fill="auto"/>
            <w:noWrap/>
            <w:vAlign w:val="bottom"/>
            <w:hideMark/>
          </w:tcPr>
          <w:p w14:paraId="755BE2DA" w14:textId="77777777" w:rsidR="00301EF3" w:rsidRPr="00F719E2" w:rsidRDefault="00301EF3" w:rsidP="00391007">
            <w:pPr>
              <w:spacing w:after="0" w:line="240" w:lineRule="auto"/>
              <w:jc w:val="center"/>
              <w:rPr>
                <w:rFonts w:ascii="Garamond" w:eastAsia="Times New Roman" w:hAnsi="Garamond" w:cs="Times New Roman"/>
                <w:color w:val="222222"/>
                <w:sz w:val="24"/>
                <w:szCs w:val="24"/>
              </w:rPr>
            </w:pPr>
          </w:p>
        </w:tc>
        <w:tc>
          <w:tcPr>
            <w:tcW w:w="1690" w:type="dxa"/>
            <w:tcBorders>
              <w:top w:val="nil"/>
              <w:left w:val="nil"/>
              <w:bottom w:val="nil"/>
              <w:right w:val="nil"/>
            </w:tcBorders>
            <w:shd w:val="clear" w:color="auto" w:fill="auto"/>
            <w:noWrap/>
            <w:vAlign w:val="bottom"/>
            <w:hideMark/>
          </w:tcPr>
          <w:p w14:paraId="611AC240" w14:textId="77777777" w:rsidR="00301EF3" w:rsidRPr="00F719E2" w:rsidRDefault="00301EF3" w:rsidP="00391007">
            <w:pPr>
              <w:spacing w:after="0" w:line="240" w:lineRule="auto"/>
              <w:rPr>
                <w:rFonts w:ascii="Garamond" w:eastAsia="Times New Roman" w:hAnsi="Garamond" w:cs="Times New Roman"/>
                <w:sz w:val="20"/>
                <w:szCs w:val="20"/>
              </w:rPr>
            </w:pPr>
          </w:p>
        </w:tc>
        <w:tc>
          <w:tcPr>
            <w:tcW w:w="276" w:type="dxa"/>
            <w:tcBorders>
              <w:top w:val="nil"/>
              <w:left w:val="nil"/>
              <w:bottom w:val="nil"/>
              <w:right w:val="nil"/>
            </w:tcBorders>
            <w:shd w:val="clear" w:color="auto" w:fill="auto"/>
            <w:noWrap/>
            <w:vAlign w:val="bottom"/>
            <w:hideMark/>
          </w:tcPr>
          <w:p w14:paraId="5A9AF13B" w14:textId="77777777" w:rsidR="00301EF3" w:rsidRPr="00F719E2" w:rsidRDefault="00301EF3" w:rsidP="00391007">
            <w:pPr>
              <w:spacing w:after="0" w:line="240" w:lineRule="auto"/>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0525586D" w14:textId="77777777" w:rsidR="00301EF3" w:rsidRPr="00F719E2" w:rsidRDefault="00301EF3" w:rsidP="00391007">
            <w:pPr>
              <w:spacing w:after="0" w:line="240" w:lineRule="auto"/>
              <w:rPr>
                <w:rFonts w:ascii="Garamond" w:eastAsia="Times New Roman" w:hAnsi="Garamond" w:cs="Times New Roman"/>
                <w:sz w:val="20"/>
                <w:szCs w:val="20"/>
              </w:rPr>
            </w:pPr>
          </w:p>
        </w:tc>
        <w:tc>
          <w:tcPr>
            <w:tcW w:w="276" w:type="dxa"/>
            <w:tcBorders>
              <w:top w:val="nil"/>
              <w:left w:val="nil"/>
              <w:bottom w:val="nil"/>
              <w:right w:val="nil"/>
            </w:tcBorders>
            <w:shd w:val="clear" w:color="auto" w:fill="auto"/>
            <w:noWrap/>
            <w:vAlign w:val="bottom"/>
            <w:hideMark/>
          </w:tcPr>
          <w:p w14:paraId="04BE07F9" w14:textId="77777777" w:rsidR="00301EF3" w:rsidRPr="00F719E2" w:rsidRDefault="00301EF3" w:rsidP="00391007">
            <w:pPr>
              <w:spacing w:after="0" w:line="240" w:lineRule="auto"/>
              <w:rPr>
                <w:rFonts w:ascii="Garamond" w:eastAsia="Times New Roman" w:hAnsi="Garamond" w:cs="Times New Roman"/>
                <w:sz w:val="20"/>
                <w:szCs w:val="20"/>
              </w:rPr>
            </w:pPr>
          </w:p>
        </w:tc>
        <w:tc>
          <w:tcPr>
            <w:tcW w:w="1300" w:type="dxa"/>
            <w:tcBorders>
              <w:top w:val="nil"/>
              <w:left w:val="nil"/>
              <w:bottom w:val="nil"/>
              <w:right w:val="nil"/>
            </w:tcBorders>
            <w:shd w:val="clear" w:color="auto" w:fill="auto"/>
            <w:noWrap/>
            <w:vAlign w:val="bottom"/>
            <w:hideMark/>
          </w:tcPr>
          <w:p w14:paraId="09447BAE" w14:textId="77777777" w:rsidR="00301EF3" w:rsidRPr="00F719E2" w:rsidRDefault="00301EF3" w:rsidP="00391007">
            <w:pPr>
              <w:spacing w:after="0" w:line="240" w:lineRule="auto"/>
              <w:rPr>
                <w:rFonts w:ascii="Garamond" w:eastAsia="Times New Roman" w:hAnsi="Garamond" w:cs="Times New Roman"/>
                <w:sz w:val="20"/>
                <w:szCs w:val="20"/>
              </w:rPr>
            </w:pPr>
          </w:p>
        </w:tc>
      </w:tr>
      <w:tr w:rsidR="00301EF3" w:rsidRPr="00F719E2" w14:paraId="47969EC4" w14:textId="77777777" w:rsidTr="00391007">
        <w:trPr>
          <w:trHeight w:val="310"/>
        </w:trPr>
        <w:tc>
          <w:tcPr>
            <w:tcW w:w="3870" w:type="dxa"/>
            <w:tcBorders>
              <w:top w:val="nil"/>
              <w:left w:val="nil"/>
              <w:bottom w:val="single" w:sz="4" w:space="0" w:color="auto"/>
              <w:right w:val="nil"/>
            </w:tcBorders>
            <w:shd w:val="clear" w:color="auto" w:fill="auto"/>
            <w:noWrap/>
            <w:vAlign w:val="bottom"/>
            <w:hideMark/>
          </w:tcPr>
          <w:p w14:paraId="54CFEBA0" w14:textId="77777777" w:rsidR="00301EF3" w:rsidRPr="00F719E2" w:rsidRDefault="00301EF3" w:rsidP="00391007">
            <w:pPr>
              <w:spacing w:after="0" w:line="240" w:lineRule="auto"/>
              <w:rPr>
                <w:rFonts w:ascii="Garamond" w:eastAsia="Times New Roman" w:hAnsi="Garamond" w:cs="Times New Roman"/>
                <w:i/>
                <w:iCs/>
                <w:color w:val="000000"/>
                <w:sz w:val="24"/>
                <w:szCs w:val="24"/>
              </w:rPr>
            </w:pPr>
            <w:r w:rsidRPr="00F719E2">
              <w:rPr>
                <w:rFonts w:ascii="Garamond" w:eastAsia="Times New Roman" w:hAnsi="Garamond" w:cs="Times New Roman"/>
                <w:i/>
                <w:iCs/>
                <w:color w:val="000000"/>
                <w:sz w:val="24"/>
                <w:szCs w:val="24"/>
              </w:rPr>
              <w:t>Number of Teachers</w:t>
            </w:r>
          </w:p>
        </w:tc>
        <w:tc>
          <w:tcPr>
            <w:tcW w:w="1690" w:type="dxa"/>
            <w:tcBorders>
              <w:top w:val="nil"/>
              <w:left w:val="nil"/>
              <w:bottom w:val="single" w:sz="4" w:space="0" w:color="auto"/>
              <w:right w:val="nil"/>
            </w:tcBorders>
            <w:shd w:val="clear" w:color="auto" w:fill="auto"/>
            <w:noWrap/>
            <w:vAlign w:val="bottom"/>
            <w:hideMark/>
          </w:tcPr>
          <w:p w14:paraId="478F3A28"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2,694</w:t>
            </w:r>
          </w:p>
        </w:tc>
        <w:tc>
          <w:tcPr>
            <w:tcW w:w="276" w:type="dxa"/>
            <w:tcBorders>
              <w:top w:val="nil"/>
              <w:left w:val="nil"/>
              <w:bottom w:val="single" w:sz="4" w:space="0" w:color="auto"/>
              <w:right w:val="nil"/>
            </w:tcBorders>
            <w:shd w:val="clear" w:color="auto" w:fill="auto"/>
            <w:noWrap/>
            <w:vAlign w:val="bottom"/>
            <w:hideMark/>
          </w:tcPr>
          <w:p w14:paraId="5CB6F2FC"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1300" w:type="dxa"/>
            <w:tcBorders>
              <w:top w:val="nil"/>
              <w:left w:val="nil"/>
              <w:bottom w:val="single" w:sz="4" w:space="0" w:color="auto"/>
              <w:right w:val="nil"/>
            </w:tcBorders>
            <w:shd w:val="clear" w:color="auto" w:fill="auto"/>
            <w:noWrap/>
            <w:vAlign w:val="bottom"/>
            <w:hideMark/>
          </w:tcPr>
          <w:p w14:paraId="7194A14F"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65,423</w:t>
            </w:r>
          </w:p>
        </w:tc>
        <w:tc>
          <w:tcPr>
            <w:tcW w:w="276" w:type="dxa"/>
            <w:tcBorders>
              <w:top w:val="nil"/>
              <w:left w:val="nil"/>
              <w:bottom w:val="single" w:sz="4" w:space="0" w:color="auto"/>
              <w:right w:val="nil"/>
            </w:tcBorders>
            <w:shd w:val="clear" w:color="auto" w:fill="auto"/>
            <w:noWrap/>
            <w:vAlign w:val="bottom"/>
            <w:hideMark/>
          </w:tcPr>
          <w:p w14:paraId="6DFD45E3"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 </w:t>
            </w:r>
          </w:p>
        </w:tc>
        <w:tc>
          <w:tcPr>
            <w:tcW w:w="1300" w:type="dxa"/>
            <w:tcBorders>
              <w:top w:val="nil"/>
              <w:left w:val="nil"/>
              <w:bottom w:val="single" w:sz="4" w:space="0" w:color="auto"/>
              <w:right w:val="nil"/>
            </w:tcBorders>
            <w:shd w:val="clear" w:color="auto" w:fill="auto"/>
            <w:noWrap/>
            <w:vAlign w:val="bottom"/>
            <w:hideMark/>
          </w:tcPr>
          <w:p w14:paraId="286F0EC7" w14:textId="77777777" w:rsidR="00301EF3" w:rsidRPr="00F719E2" w:rsidRDefault="00301EF3" w:rsidP="00391007">
            <w:pPr>
              <w:spacing w:after="0" w:line="240" w:lineRule="auto"/>
              <w:jc w:val="center"/>
              <w:rPr>
                <w:rFonts w:ascii="Garamond" w:eastAsia="Times New Roman" w:hAnsi="Garamond" w:cs="Times New Roman"/>
                <w:color w:val="000000"/>
                <w:sz w:val="24"/>
                <w:szCs w:val="24"/>
              </w:rPr>
            </w:pPr>
            <w:r w:rsidRPr="00F719E2">
              <w:rPr>
                <w:rFonts w:ascii="Garamond" w:eastAsia="Times New Roman" w:hAnsi="Garamond" w:cs="Times New Roman"/>
                <w:color w:val="000000"/>
                <w:sz w:val="24"/>
                <w:szCs w:val="24"/>
              </w:rPr>
              <w:t>77,463</w:t>
            </w:r>
          </w:p>
        </w:tc>
      </w:tr>
      <w:tr w:rsidR="00301EF3" w:rsidRPr="00F719E2" w14:paraId="0810D72E" w14:textId="77777777" w:rsidTr="00391007">
        <w:trPr>
          <w:trHeight w:val="310"/>
        </w:trPr>
        <w:tc>
          <w:tcPr>
            <w:tcW w:w="8712" w:type="dxa"/>
            <w:gridSpan w:val="6"/>
            <w:tcBorders>
              <w:top w:val="nil"/>
              <w:left w:val="nil"/>
              <w:bottom w:val="nil"/>
              <w:right w:val="nil"/>
            </w:tcBorders>
            <w:shd w:val="clear" w:color="auto" w:fill="auto"/>
            <w:noWrap/>
            <w:vAlign w:val="bottom"/>
            <w:hideMark/>
          </w:tcPr>
          <w:p w14:paraId="7855A110" w14:textId="77777777" w:rsidR="00301EF3" w:rsidRPr="00F719E2" w:rsidRDefault="00301EF3" w:rsidP="00391007">
            <w:pPr>
              <w:spacing w:after="0" w:line="240" w:lineRule="auto"/>
              <w:jc w:val="both"/>
              <w:rPr>
                <w:rFonts w:ascii="Garamond" w:eastAsia="Times New Roman" w:hAnsi="Garamond" w:cs="Times New Roman"/>
                <w:sz w:val="20"/>
                <w:szCs w:val="20"/>
              </w:rPr>
            </w:pPr>
            <w:r w:rsidRPr="00F719E2">
              <w:rPr>
                <w:rFonts w:ascii="Garamond" w:eastAsia="Times New Roman" w:hAnsi="Garamond" w:cs="Times New Roman"/>
                <w:i/>
                <w:iCs/>
                <w:sz w:val="20"/>
                <w:szCs w:val="20"/>
              </w:rPr>
              <w:t>Notes</w:t>
            </w:r>
            <w:r w:rsidRPr="00F719E2">
              <w:rPr>
                <w:rFonts w:ascii="Garamond" w:eastAsia="Times New Roman" w:hAnsi="Garamond" w:cs="Times New Roman"/>
                <w:sz w:val="20"/>
                <w:szCs w:val="20"/>
              </w:rPr>
              <w:t>: This table shows average characteristics of RTW teachers in their first year back to work in column (1), average characteristics of all teachers in 1999 in column (2), and average characteristics of all teachers in 2009 in column (3). The numbers in the table are average proportions of teachers with each characteristic; even though these are school characteristics, the numbers are teacher-level averages (e.g., 44% of RTW teachers taught in elementary schools). There are two exceptions to this, Percent Economically Disadvantaged and Percent Black, which are the percentages of students in the average school with those characteristics. The sample size for Percent Economically Disadvantaged and Percent Black differs slightly from the number of teachers listed above because some schools having missing data on these characteristics.</w:t>
            </w:r>
          </w:p>
        </w:tc>
      </w:tr>
    </w:tbl>
    <w:p w14:paraId="67582BE0" w14:textId="77777777" w:rsidR="00F1749C" w:rsidRDefault="00F1749C" w:rsidP="00F1749C">
      <w:pPr>
        <w:spacing w:after="0" w:line="240" w:lineRule="auto"/>
        <w:ind w:firstLine="720"/>
        <w:rPr>
          <w:rFonts w:ascii="Garamond" w:hAnsi="Garamond" w:cs="Times New Roman"/>
          <w:sz w:val="24"/>
          <w:szCs w:val="24"/>
        </w:rPr>
      </w:pPr>
    </w:p>
    <w:p w14:paraId="35A6DC28" w14:textId="0D0080C1" w:rsidR="007174E2" w:rsidRPr="00F719E2" w:rsidRDefault="00BF25B0"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Compared to </w:t>
      </w:r>
      <w:r w:rsidR="00AF66BC" w:rsidRPr="00F719E2">
        <w:rPr>
          <w:rFonts w:ascii="Garamond" w:hAnsi="Garamond" w:cs="Times New Roman"/>
          <w:sz w:val="24"/>
          <w:szCs w:val="24"/>
        </w:rPr>
        <w:t xml:space="preserve">all teachers in 1999 and 2009, </w:t>
      </w:r>
      <w:r w:rsidR="00F47CAF" w:rsidRPr="00F719E2">
        <w:rPr>
          <w:rFonts w:ascii="Garamond" w:hAnsi="Garamond" w:cs="Times New Roman"/>
          <w:sz w:val="24"/>
          <w:szCs w:val="24"/>
        </w:rPr>
        <w:t xml:space="preserve">RTW teachers are </w:t>
      </w:r>
      <w:r w:rsidR="00C005CC" w:rsidRPr="00F719E2">
        <w:rPr>
          <w:rFonts w:ascii="Garamond" w:hAnsi="Garamond" w:cs="Times New Roman"/>
          <w:sz w:val="24"/>
          <w:szCs w:val="24"/>
        </w:rPr>
        <w:t xml:space="preserve">more likely to teach in high schools and less likely to teach in </w:t>
      </w:r>
      <w:r w:rsidR="00B672D5" w:rsidRPr="00F719E2">
        <w:rPr>
          <w:rFonts w:ascii="Garamond" w:hAnsi="Garamond" w:cs="Times New Roman"/>
          <w:sz w:val="24"/>
          <w:szCs w:val="24"/>
        </w:rPr>
        <w:t>elementary schools</w:t>
      </w:r>
      <w:r w:rsidR="00D257D1" w:rsidRPr="00F719E2">
        <w:rPr>
          <w:rFonts w:ascii="Garamond" w:hAnsi="Garamond" w:cs="Times New Roman"/>
          <w:sz w:val="24"/>
          <w:szCs w:val="24"/>
        </w:rPr>
        <w:t>.</w:t>
      </w:r>
      <w:r w:rsidR="00CC18AB" w:rsidRPr="00F719E2">
        <w:rPr>
          <w:rFonts w:ascii="Garamond" w:hAnsi="Garamond" w:cs="Times New Roman"/>
          <w:sz w:val="24"/>
          <w:szCs w:val="24"/>
        </w:rPr>
        <w:t xml:space="preserve"> </w:t>
      </w:r>
      <w:r w:rsidR="005A21A9" w:rsidRPr="00F719E2">
        <w:rPr>
          <w:rFonts w:ascii="Garamond" w:hAnsi="Garamond" w:cs="Times New Roman"/>
          <w:sz w:val="24"/>
          <w:szCs w:val="24"/>
        </w:rPr>
        <w:t xml:space="preserve">We also observe that </w:t>
      </w:r>
      <w:r w:rsidR="005B57BB" w:rsidRPr="00F719E2">
        <w:rPr>
          <w:rFonts w:ascii="Garamond" w:hAnsi="Garamond" w:cs="Times New Roman"/>
          <w:sz w:val="24"/>
          <w:szCs w:val="24"/>
        </w:rPr>
        <w:t xml:space="preserve">RTW teachers </w:t>
      </w:r>
      <w:r w:rsidR="0065561E" w:rsidRPr="00F719E2">
        <w:rPr>
          <w:rFonts w:ascii="Garamond" w:hAnsi="Garamond" w:cs="Times New Roman"/>
          <w:sz w:val="24"/>
          <w:szCs w:val="24"/>
        </w:rPr>
        <w:t>are</w:t>
      </w:r>
      <w:r w:rsidR="0045495E" w:rsidRPr="00F719E2">
        <w:rPr>
          <w:rFonts w:ascii="Garamond" w:hAnsi="Garamond" w:cs="Times New Roman"/>
          <w:sz w:val="24"/>
          <w:szCs w:val="24"/>
        </w:rPr>
        <w:t xml:space="preserve"> more </w:t>
      </w:r>
      <w:r w:rsidR="0045495E" w:rsidRPr="00F719E2">
        <w:rPr>
          <w:rFonts w:ascii="Garamond" w:hAnsi="Garamond" w:cs="Times New Roman"/>
          <w:sz w:val="24"/>
          <w:szCs w:val="24"/>
        </w:rPr>
        <w:lastRenderedPageBreak/>
        <w:t>likely to teach in rural schools</w:t>
      </w:r>
      <w:r w:rsidR="00C5790E" w:rsidRPr="00F719E2">
        <w:rPr>
          <w:rFonts w:ascii="Garamond" w:hAnsi="Garamond" w:cs="Times New Roman"/>
          <w:sz w:val="24"/>
          <w:szCs w:val="24"/>
        </w:rPr>
        <w:t>, both relative to town/suburban and city schools</w:t>
      </w:r>
      <w:r w:rsidR="0065561E" w:rsidRPr="00F719E2">
        <w:rPr>
          <w:rFonts w:ascii="Garamond" w:hAnsi="Garamond" w:cs="Times New Roman"/>
          <w:sz w:val="24"/>
          <w:szCs w:val="24"/>
        </w:rPr>
        <w:t xml:space="preserve"> and relative to all teachers in 1999 and 2009</w:t>
      </w:r>
      <w:r w:rsidR="004F28DF" w:rsidRPr="00F719E2">
        <w:rPr>
          <w:rFonts w:ascii="Garamond" w:hAnsi="Garamond" w:cs="Times New Roman"/>
          <w:sz w:val="24"/>
          <w:szCs w:val="24"/>
        </w:rPr>
        <w:t>.</w:t>
      </w:r>
      <w:r w:rsidR="0045495E" w:rsidRPr="00F719E2">
        <w:rPr>
          <w:rFonts w:ascii="Garamond" w:hAnsi="Garamond" w:cs="Times New Roman"/>
          <w:sz w:val="24"/>
          <w:szCs w:val="24"/>
        </w:rPr>
        <w:t xml:space="preserve"> </w:t>
      </w:r>
      <w:r w:rsidR="00E751A4" w:rsidRPr="00F719E2">
        <w:rPr>
          <w:rFonts w:ascii="Garamond" w:hAnsi="Garamond" w:cs="Times New Roman"/>
          <w:sz w:val="24"/>
          <w:szCs w:val="24"/>
        </w:rPr>
        <w:t>49% of RTW teachers</w:t>
      </w:r>
      <w:r w:rsidR="00660ABA" w:rsidRPr="00F719E2">
        <w:rPr>
          <w:rFonts w:ascii="Garamond" w:hAnsi="Garamond" w:cs="Times New Roman"/>
          <w:sz w:val="24"/>
          <w:szCs w:val="24"/>
        </w:rPr>
        <w:t xml:space="preserve"> work in rural schools</w:t>
      </w:r>
      <w:r w:rsidR="00E751A4" w:rsidRPr="00F719E2">
        <w:rPr>
          <w:rFonts w:ascii="Garamond" w:hAnsi="Garamond" w:cs="Times New Roman"/>
          <w:sz w:val="24"/>
          <w:szCs w:val="24"/>
        </w:rPr>
        <w:t xml:space="preserve"> while </w:t>
      </w:r>
      <w:r w:rsidR="00871DAE" w:rsidRPr="00F719E2">
        <w:rPr>
          <w:rFonts w:ascii="Garamond" w:hAnsi="Garamond" w:cs="Times New Roman"/>
          <w:sz w:val="24"/>
          <w:szCs w:val="24"/>
        </w:rPr>
        <w:t>39-46% of all teachers d</w:t>
      </w:r>
      <w:r w:rsidR="00BE6AA4" w:rsidRPr="00F719E2">
        <w:rPr>
          <w:rFonts w:ascii="Garamond" w:hAnsi="Garamond" w:cs="Times New Roman"/>
          <w:sz w:val="24"/>
          <w:szCs w:val="24"/>
        </w:rPr>
        <w:t>o.</w:t>
      </w:r>
      <w:r w:rsidR="00AA3426" w:rsidRPr="00F719E2">
        <w:rPr>
          <w:rFonts w:ascii="Garamond" w:hAnsi="Garamond" w:cs="Times New Roman"/>
          <w:sz w:val="24"/>
          <w:szCs w:val="24"/>
        </w:rPr>
        <w:t xml:space="preserve"> </w:t>
      </w:r>
      <w:r w:rsidR="009D3EB5" w:rsidRPr="00F719E2">
        <w:rPr>
          <w:rFonts w:ascii="Garamond" w:hAnsi="Garamond" w:cs="Times New Roman"/>
          <w:sz w:val="24"/>
          <w:szCs w:val="24"/>
        </w:rPr>
        <w:t>Additionally</w:t>
      </w:r>
      <w:r w:rsidR="00910A8B" w:rsidRPr="00F719E2">
        <w:rPr>
          <w:rFonts w:ascii="Garamond" w:hAnsi="Garamond" w:cs="Times New Roman"/>
          <w:sz w:val="24"/>
          <w:szCs w:val="24"/>
        </w:rPr>
        <w:t xml:space="preserve">, </w:t>
      </w:r>
      <w:r w:rsidR="00B101E8" w:rsidRPr="00F719E2">
        <w:rPr>
          <w:rFonts w:ascii="Garamond" w:hAnsi="Garamond" w:cs="Times New Roman"/>
          <w:sz w:val="24"/>
          <w:szCs w:val="24"/>
        </w:rPr>
        <w:t>58</w:t>
      </w:r>
      <w:r w:rsidR="00910A8B" w:rsidRPr="00F719E2">
        <w:rPr>
          <w:rFonts w:ascii="Garamond" w:hAnsi="Garamond" w:cs="Times New Roman"/>
          <w:sz w:val="24"/>
          <w:szCs w:val="24"/>
        </w:rPr>
        <w:t xml:space="preserve">% of RTW teachers went back to teach at the </w:t>
      </w:r>
      <w:r w:rsidR="00811DB5" w:rsidRPr="00F719E2">
        <w:rPr>
          <w:rFonts w:ascii="Garamond" w:hAnsi="Garamond" w:cs="Times New Roman"/>
          <w:sz w:val="24"/>
          <w:szCs w:val="24"/>
        </w:rPr>
        <w:t>same school where they taught</w:t>
      </w:r>
      <w:r w:rsidR="00E43F0C">
        <w:rPr>
          <w:rFonts w:ascii="Garamond" w:hAnsi="Garamond" w:cs="Times New Roman"/>
          <w:sz w:val="24"/>
          <w:szCs w:val="24"/>
        </w:rPr>
        <w:t xml:space="preserve"> just</w:t>
      </w:r>
      <w:r w:rsidR="00811DB5" w:rsidRPr="00F719E2">
        <w:rPr>
          <w:rFonts w:ascii="Garamond" w:hAnsi="Garamond" w:cs="Times New Roman"/>
          <w:sz w:val="24"/>
          <w:szCs w:val="24"/>
        </w:rPr>
        <w:t xml:space="preserve"> prior to retirement</w:t>
      </w:r>
      <w:r w:rsidR="00E43F0C">
        <w:rPr>
          <w:rFonts w:ascii="Garamond" w:hAnsi="Garamond" w:cs="Times New Roman"/>
          <w:sz w:val="24"/>
          <w:szCs w:val="24"/>
        </w:rPr>
        <w:t>.</w:t>
      </w:r>
      <w:r w:rsidR="00811DB5" w:rsidRPr="00F719E2">
        <w:rPr>
          <w:rFonts w:ascii="Garamond" w:hAnsi="Garamond" w:cs="Times New Roman"/>
          <w:sz w:val="24"/>
          <w:szCs w:val="24"/>
        </w:rPr>
        <w:t xml:space="preserve"> </w:t>
      </w:r>
    </w:p>
    <w:p w14:paraId="2AC1A5D8" w14:textId="7EDA4614" w:rsidR="00306BEC" w:rsidRPr="00F719E2" w:rsidRDefault="00BF5C13"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We also find that RTW teachers</w:t>
      </w:r>
      <w:r w:rsidR="00327F21" w:rsidRPr="00F719E2">
        <w:rPr>
          <w:rFonts w:ascii="Garamond" w:hAnsi="Garamond" w:cs="Times New Roman"/>
          <w:sz w:val="24"/>
          <w:szCs w:val="24"/>
        </w:rPr>
        <w:t xml:space="preserve"> work </w:t>
      </w:r>
      <w:r w:rsidR="00E43F0C">
        <w:rPr>
          <w:rFonts w:ascii="Garamond" w:hAnsi="Garamond" w:cs="Times New Roman"/>
          <w:sz w:val="24"/>
          <w:szCs w:val="24"/>
        </w:rPr>
        <w:t xml:space="preserve">in schools who serve </w:t>
      </w:r>
      <w:r w:rsidR="00327F21" w:rsidRPr="00F719E2">
        <w:rPr>
          <w:rFonts w:ascii="Garamond" w:hAnsi="Garamond" w:cs="Times New Roman"/>
          <w:sz w:val="24"/>
          <w:szCs w:val="24"/>
        </w:rPr>
        <w:t xml:space="preserve">more </w:t>
      </w:r>
      <w:proofErr w:type="gramStart"/>
      <w:r w:rsidR="007F06D0" w:rsidRPr="00F719E2">
        <w:rPr>
          <w:rFonts w:ascii="Garamond" w:hAnsi="Garamond" w:cs="Times New Roman"/>
          <w:sz w:val="24"/>
          <w:szCs w:val="24"/>
        </w:rPr>
        <w:t>economically disadvantaged</w:t>
      </w:r>
      <w:proofErr w:type="gramEnd"/>
      <w:r w:rsidR="007F06D0" w:rsidRPr="00F719E2">
        <w:rPr>
          <w:rFonts w:ascii="Garamond" w:hAnsi="Garamond" w:cs="Times New Roman"/>
          <w:sz w:val="24"/>
          <w:szCs w:val="24"/>
        </w:rPr>
        <w:t xml:space="preserve"> and Black students </w:t>
      </w:r>
      <w:r w:rsidR="00327F21" w:rsidRPr="00F719E2">
        <w:rPr>
          <w:rFonts w:ascii="Garamond" w:hAnsi="Garamond" w:cs="Times New Roman"/>
          <w:sz w:val="24"/>
          <w:szCs w:val="24"/>
        </w:rPr>
        <w:t>than the</w:t>
      </w:r>
      <w:r w:rsidR="007F06D0" w:rsidRPr="00F719E2">
        <w:rPr>
          <w:rFonts w:ascii="Garamond" w:hAnsi="Garamond" w:cs="Times New Roman"/>
          <w:sz w:val="24"/>
          <w:szCs w:val="24"/>
        </w:rPr>
        <w:t xml:space="preserve"> average teacher. </w:t>
      </w:r>
      <w:r w:rsidR="000576AF" w:rsidRPr="00F719E2">
        <w:rPr>
          <w:rFonts w:ascii="Garamond" w:hAnsi="Garamond" w:cs="Times New Roman"/>
          <w:sz w:val="24"/>
          <w:szCs w:val="24"/>
        </w:rPr>
        <w:t xml:space="preserve">RTW teachers return to schools where 41% of students </w:t>
      </w:r>
      <w:r w:rsidR="00181678" w:rsidRPr="00F719E2">
        <w:rPr>
          <w:rFonts w:ascii="Garamond" w:hAnsi="Garamond" w:cs="Times New Roman"/>
          <w:sz w:val="24"/>
          <w:szCs w:val="24"/>
        </w:rPr>
        <w:t xml:space="preserve">are </w:t>
      </w:r>
      <w:proofErr w:type="gramStart"/>
      <w:r w:rsidR="00181678" w:rsidRPr="00F719E2">
        <w:rPr>
          <w:rFonts w:ascii="Garamond" w:hAnsi="Garamond" w:cs="Times New Roman"/>
          <w:sz w:val="24"/>
          <w:szCs w:val="24"/>
        </w:rPr>
        <w:t>economically disadvantaged</w:t>
      </w:r>
      <w:proofErr w:type="gramEnd"/>
      <w:r w:rsidR="00181678" w:rsidRPr="00F719E2">
        <w:rPr>
          <w:rFonts w:ascii="Garamond" w:hAnsi="Garamond" w:cs="Times New Roman"/>
          <w:sz w:val="24"/>
          <w:szCs w:val="24"/>
        </w:rPr>
        <w:t xml:space="preserve">, whereas the average teacher </w:t>
      </w:r>
      <w:r w:rsidR="004C01DC" w:rsidRPr="00F719E2">
        <w:rPr>
          <w:rFonts w:ascii="Garamond" w:hAnsi="Garamond" w:cs="Times New Roman"/>
          <w:sz w:val="24"/>
          <w:szCs w:val="24"/>
        </w:rPr>
        <w:t>works</w:t>
      </w:r>
      <w:r w:rsidR="00181678" w:rsidRPr="00F719E2">
        <w:rPr>
          <w:rFonts w:ascii="Garamond" w:hAnsi="Garamond" w:cs="Times New Roman"/>
          <w:sz w:val="24"/>
          <w:szCs w:val="24"/>
        </w:rPr>
        <w:t xml:space="preserve"> in schools </w:t>
      </w:r>
      <w:r w:rsidR="00FD6962" w:rsidRPr="00F719E2">
        <w:rPr>
          <w:rFonts w:ascii="Garamond" w:hAnsi="Garamond" w:cs="Times New Roman"/>
          <w:sz w:val="24"/>
          <w:szCs w:val="24"/>
        </w:rPr>
        <w:t>where</w:t>
      </w:r>
      <w:r w:rsidR="00181678" w:rsidRPr="00F719E2">
        <w:rPr>
          <w:rFonts w:ascii="Garamond" w:hAnsi="Garamond" w:cs="Times New Roman"/>
          <w:sz w:val="24"/>
          <w:szCs w:val="24"/>
        </w:rPr>
        <w:t xml:space="preserve"> </w:t>
      </w:r>
      <w:r w:rsidR="00FD6962" w:rsidRPr="00F719E2">
        <w:rPr>
          <w:rFonts w:ascii="Garamond" w:hAnsi="Garamond" w:cs="Times New Roman"/>
          <w:sz w:val="24"/>
          <w:szCs w:val="24"/>
        </w:rPr>
        <w:t>32</w:t>
      </w:r>
      <w:r w:rsidR="00ED6B2E" w:rsidRPr="00F719E2">
        <w:rPr>
          <w:rFonts w:ascii="Garamond" w:hAnsi="Garamond" w:cs="Times New Roman"/>
          <w:sz w:val="24"/>
          <w:szCs w:val="24"/>
        </w:rPr>
        <w:t>-</w:t>
      </w:r>
      <w:r w:rsidR="00FD6962" w:rsidRPr="00F719E2">
        <w:rPr>
          <w:rFonts w:ascii="Garamond" w:hAnsi="Garamond" w:cs="Times New Roman"/>
          <w:sz w:val="24"/>
          <w:szCs w:val="24"/>
        </w:rPr>
        <w:t xml:space="preserve">38% </w:t>
      </w:r>
      <w:r w:rsidR="00CA7ACF" w:rsidRPr="00F719E2">
        <w:rPr>
          <w:rFonts w:ascii="Garamond" w:hAnsi="Garamond" w:cs="Times New Roman"/>
          <w:sz w:val="24"/>
          <w:szCs w:val="24"/>
        </w:rPr>
        <w:t xml:space="preserve">are </w:t>
      </w:r>
      <w:r w:rsidR="00FD6962" w:rsidRPr="00F719E2">
        <w:rPr>
          <w:rFonts w:ascii="Garamond" w:hAnsi="Garamond" w:cs="Times New Roman"/>
          <w:sz w:val="24"/>
          <w:szCs w:val="24"/>
        </w:rPr>
        <w:t>economically disadvantaged</w:t>
      </w:r>
      <w:r w:rsidR="00ED6B2E" w:rsidRPr="00F719E2">
        <w:rPr>
          <w:rFonts w:ascii="Garamond" w:hAnsi="Garamond" w:cs="Times New Roman"/>
          <w:sz w:val="24"/>
          <w:szCs w:val="24"/>
        </w:rPr>
        <w:t>.</w:t>
      </w:r>
      <w:r w:rsidR="00FD6962" w:rsidRPr="00F719E2">
        <w:rPr>
          <w:rFonts w:ascii="Garamond" w:hAnsi="Garamond" w:cs="Times New Roman"/>
          <w:sz w:val="24"/>
          <w:szCs w:val="24"/>
        </w:rPr>
        <w:t xml:space="preserve"> </w:t>
      </w:r>
      <w:r w:rsidR="00D627E1" w:rsidRPr="00F719E2">
        <w:rPr>
          <w:rFonts w:ascii="Garamond" w:hAnsi="Garamond" w:cs="Times New Roman"/>
          <w:sz w:val="24"/>
          <w:szCs w:val="24"/>
        </w:rPr>
        <w:t>Similarly, RTW</w:t>
      </w:r>
      <w:r w:rsidR="00ED6B2E" w:rsidRPr="00F719E2">
        <w:rPr>
          <w:rFonts w:ascii="Garamond" w:hAnsi="Garamond" w:cs="Times New Roman"/>
          <w:sz w:val="24"/>
          <w:szCs w:val="24"/>
        </w:rPr>
        <w:t xml:space="preserve"> teachers</w:t>
      </w:r>
      <w:r w:rsidR="00D627E1" w:rsidRPr="00F719E2">
        <w:rPr>
          <w:rFonts w:ascii="Garamond" w:hAnsi="Garamond" w:cs="Times New Roman"/>
          <w:sz w:val="24"/>
          <w:szCs w:val="24"/>
        </w:rPr>
        <w:t xml:space="preserve"> </w:t>
      </w:r>
      <w:r w:rsidR="00EE570A" w:rsidRPr="00F719E2">
        <w:rPr>
          <w:rFonts w:ascii="Garamond" w:hAnsi="Garamond" w:cs="Times New Roman"/>
          <w:sz w:val="24"/>
          <w:szCs w:val="24"/>
        </w:rPr>
        <w:t>return</w:t>
      </w:r>
      <w:r w:rsidR="00D627E1" w:rsidRPr="00F719E2">
        <w:rPr>
          <w:rFonts w:ascii="Garamond" w:hAnsi="Garamond" w:cs="Times New Roman"/>
          <w:sz w:val="24"/>
          <w:szCs w:val="24"/>
        </w:rPr>
        <w:t xml:space="preserve"> to schools where 36% of students </w:t>
      </w:r>
      <w:r w:rsidR="00EE570A" w:rsidRPr="00F719E2">
        <w:rPr>
          <w:rFonts w:ascii="Garamond" w:hAnsi="Garamond" w:cs="Times New Roman"/>
          <w:sz w:val="24"/>
          <w:szCs w:val="24"/>
        </w:rPr>
        <w:t>are Black while the average teacher</w:t>
      </w:r>
      <w:r w:rsidR="006A277B" w:rsidRPr="00F719E2">
        <w:rPr>
          <w:rFonts w:ascii="Garamond" w:hAnsi="Garamond" w:cs="Times New Roman"/>
          <w:sz w:val="24"/>
          <w:szCs w:val="24"/>
        </w:rPr>
        <w:t xml:space="preserve"> works in schools w</w:t>
      </w:r>
      <w:r w:rsidR="00CA7ACF" w:rsidRPr="00F719E2">
        <w:rPr>
          <w:rFonts w:ascii="Garamond" w:hAnsi="Garamond" w:cs="Times New Roman"/>
          <w:sz w:val="24"/>
          <w:szCs w:val="24"/>
        </w:rPr>
        <w:t>here 31-32% of students</w:t>
      </w:r>
      <w:r w:rsidR="006A277B" w:rsidRPr="00F719E2">
        <w:rPr>
          <w:rFonts w:ascii="Garamond" w:hAnsi="Garamond" w:cs="Times New Roman"/>
          <w:sz w:val="24"/>
          <w:szCs w:val="24"/>
        </w:rPr>
        <w:t xml:space="preserve"> are Black. Given these </w:t>
      </w:r>
      <w:r w:rsidR="0008329C" w:rsidRPr="00F719E2">
        <w:rPr>
          <w:rFonts w:ascii="Garamond" w:hAnsi="Garamond" w:cs="Times New Roman"/>
          <w:sz w:val="24"/>
          <w:szCs w:val="24"/>
        </w:rPr>
        <w:t>average differences, and that the literature suggests that</w:t>
      </w:r>
      <w:r w:rsidR="00CB66B2" w:rsidRPr="00F719E2">
        <w:rPr>
          <w:rFonts w:ascii="Garamond" w:hAnsi="Garamond" w:cs="Times New Roman"/>
          <w:sz w:val="24"/>
          <w:szCs w:val="24"/>
        </w:rPr>
        <w:t xml:space="preserve"> schools at the upper end of the poverty and minority distribution</w:t>
      </w:r>
      <w:r w:rsidR="00D57FB2" w:rsidRPr="00F719E2">
        <w:rPr>
          <w:rFonts w:ascii="Garamond" w:hAnsi="Garamond" w:cs="Times New Roman"/>
          <w:sz w:val="24"/>
          <w:szCs w:val="24"/>
        </w:rPr>
        <w:t>s</w:t>
      </w:r>
      <w:r w:rsidR="00CB66B2" w:rsidRPr="00F719E2">
        <w:rPr>
          <w:rFonts w:ascii="Garamond" w:hAnsi="Garamond" w:cs="Times New Roman"/>
          <w:sz w:val="24"/>
          <w:szCs w:val="24"/>
        </w:rPr>
        <w:t xml:space="preserve"> suffer most from teacher shortages, we delve deeper into </w:t>
      </w:r>
      <w:r w:rsidR="00306BEC" w:rsidRPr="00F719E2">
        <w:rPr>
          <w:rFonts w:ascii="Garamond" w:hAnsi="Garamond" w:cs="Times New Roman"/>
          <w:sz w:val="24"/>
          <w:szCs w:val="24"/>
        </w:rPr>
        <w:t>how RTW teachers sort across schools.</w:t>
      </w:r>
    </w:p>
    <w:p w14:paraId="6E4D276D" w14:textId="77777777" w:rsidR="00BB1A78" w:rsidRDefault="00C45A2F"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Figure 2 </w:t>
      </w:r>
      <w:r w:rsidR="00F23DE6" w:rsidRPr="00F719E2">
        <w:rPr>
          <w:rFonts w:ascii="Garamond" w:hAnsi="Garamond" w:cs="Times New Roman"/>
          <w:sz w:val="24"/>
          <w:szCs w:val="24"/>
        </w:rPr>
        <w:t xml:space="preserve">shows the distribution of RTW teachers across </w:t>
      </w:r>
      <w:r w:rsidR="00E964BD" w:rsidRPr="00F719E2">
        <w:rPr>
          <w:rFonts w:ascii="Garamond" w:hAnsi="Garamond" w:cs="Times New Roman"/>
          <w:sz w:val="24"/>
          <w:szCs w:val="24"/>
        </w:rPr>
        <w:t xml:space="preserve">schools with different levels of </w:t>
      </w:r>
      <w:proofErr w:type="gramStart"/>
      <w:r w:rsidR="007A6159" w:rsidRPr="00F719E2">
        <w:rPr>
          <w:rFonts w:ascii="Garamond" w:hAnsi="Garamond" w:cs="Times New Roman"/>
          <w:sz w:val="24"/>
          <w:szCs w:val="24"/>
        </w:rPr>
        <w:t>economic</w:t>
      </w:r>
      <w:r w:rsidR="00FC5FF2" w:rsidRPr="00F719E2">
        <w:rPr>
          <w:rFonts w:ascii="Garamond" w:hAnsi="Garamond" w:cs="Times New Roman"/>
          <w:sz w:val="24"/>
          <w:szCs w:val="24"/>
        </w:rPr>
        <w:t>ally</w:t>
      </w:r>
      <w:r w:rsidR="007A6159" w:rsidRPr="00F719E2">
        <w:rPr>
          <w:rFonts w:ascii="Garamond" w:hAnsi="Garamond" w:cs="Times New Roman"/>
          <w:sz w:val="24"/>
          <w:szCs w:val="24"/>
        </w:rPr>
        <w:t xml:space="preserve"> disadvantage</w:t>
      </w:r>
      <w:r w:rsidR="00FC5FF2" w:rsidRPr="00F719E2">
        <w:rPr>
          <w:rFonts w:ascii="Garamond" w:hAnsi="Garamond" w:cs="Times New Roman"/>
          <w:sz w:val="24"/>
          <w:szCs w:val="24"/>
        </w:rPr>
        <w:t>d</w:t>
      </w:r>
      <w:proofErr w:type="gramEnd"/>
      <w:r w:rsidR="00FC5FF2" w:rsidRPr="00F719E2">
        <w:rPr>
          <w:rFonts w:ascii="Garamond" w:hAnsi="Garamond" w:cs="Times New Roman"/>
          <w:sz w:val="24"/>
          <w:szCs w:val="24"/>
        </w:rPr>
        <w:t xml:space="preserve"> students</w:t>
      </w:r>
      <w:r w:rsidR="007A6159" w:rsidRPr="00F719E2">
        <w:rPr>
          <w:rFonts w:ascii="Garamond" w:hAnsi="Garamond" w:cs="Times New Roman"/>
          <w:sz w:val="24"/>
          <w:szCs w:val="24"/>
        </w:rPr>
        <w:t xml:space="preserve"> (panel (a))</w:t>
      </w:r>
      <w:r w:rsidR="001F0240" w:rsidRPr="00F719E2">
        <w:rPr>
          <w:rFonts w:ascii="Garamond" w:hAnsi="Garamond" w:cs="Times New Roman"/>
          <w:sz w:val="24"/>
          <w:szCs w:val="24"/>
        </w:rPr>
        <w:t xml:space="preserve"> and </w:t>
      </w:r>
      <w:r w:rsidR="00C26D49" w:rsidRPr="00F719E2">
        <w:rPr>
          <w:rFonts w:ascii="Garamond" w:hAnsi="Garamond" w:cs="Times New Roman"/>
          <w:sz w:val="24"/>
          <w:szCs w:val="24"/>
        </w:rPr>
        <w:t xml:space="preserve">Black students (panel (b)). </w:t>
      </w:r>
    </w:p>
    <w:p w14:paraId="3BBC23CB" w14:textId="77777777" w:rsidR="00BB1A78" w:rsidRPr="00A855E0" w:rsidRDefault="00BB1A78" w:rsidP="00BB1A78">
      <w:pPr>
        <w:spacing w:after="0" w:line="240" w:lineRule="auto"/>
        <w:rPr>
          <w:rFonts w:ascii="Garamond" w:hAnsi="Garamond" w:cs="Times New Roman"/>
          <w:b/>
          <w:bCs/>
          <w:sz w:val="24"/>
          <w:szCs w:val="24"/>
        </w:rPr>
      </w:pPr>
      <w:r w:rsidRPr="00A855E0">
        <w:rPr>
          <w:rFonts w:ascii="Garamond" w:hAnsi="Garamond" w:cs="Times New Roman"/>
          <w:b/>
          <w:bCs/>
          <w:sz w:val="24"/>
          <w:szCs w:val="24"/>
        </w:rPr>
        <w:t>Figure 2</w:t>
      </w:r>
    </w:p>
    <w:p w14:paraId="3BB5F0E6" w14:textId="77777777" w:rsidR="00BB1A78" w:rsidRDefault="00BB1A78" w:rsidP="00BB1A78">
      <w:pPr>
        <w:spacing w:after="0" w:line="240" w:lineRule="auto"/>
        <w:rPr>
          <w:rFonts w:ascii="Garamond" w:hAnsi="Garamond" w:cs="Times New Roman"/>
          <w:sz w:val="24"/>
          <w:szCs w:val="24"/>
        </w:rPr>
      </w:pPr>
    </w:p>
    <w:p w14:paraId="4DE76C57" w14:textId="77777777" w:rsidR="00BB1A78" w:rsidRDefault="00BB1A78" w:rsidP="00BB1A78">
      <w:pPr>
        <w:spacing w:after="0" w:line="240" w:lineRule="auto"/>
        <w:rPr>
          <w:rFonts w:ascii="Garamond" w:hAnsi="Garamond" w:cs="Times New Roman"/>
          <w:i/>
          <w:iCs/>
          <w:sz w:val="24"/>
          <w:szCs w:val="24"/>
        </w:rPr>
      </w:pPr>
      <w:r>
        <w:rPr>
          <w:rFonts w:ascii="Garamond" w:hAnsi="Garamond" w:cs="Times New Roman"/>
          <w:i/>
          <w:iCs/>
          <w:sz w:val="24"/>
          <w:szCs w:val="24"/>
        </w:rPr>
        <w:t>Percent of RTW Teachers by Quartile of School Percent Economically Disadvantaged Students (a) and Black Students (b)</w:t>
      </w:r>
    </w:p>
    <w:p w14:paraId="423415B4" w14:textId="77777777" w:rsidR="00BB1A78" w:rsidRPr="00A855E0" w:rsidRDefault="00BB1A78" w:rsidP="00BB1A78">
      <w:pPr>
        <w:spacing w:after="0" w:line="240" w:lineRule="auto"/>
        <w:rPr>
          <w:rFonts w:ascii="Garamond" w:hAnsi="Garamond" w:cs="Times New Roman"/>
          <w:i/>
          <w:iCs/>
          <w:sz w:val="24"/>
          <w:szCs w:val="24"/>
        </w:rPr>
      </w:pPr>
    </w:p>
    <w:p w14:paraId="63317AE5" w14:textId="61D9E3F7" w:rsidR="00BB1A78" w:rsidRDefault="00BB1A78" w:rsidP="00BB1A78">
      <w:pPr>
        <w:spacing w:after="0" w:line="240" w:lineRule="auto"/>
        <w:rPr>
          <w:rFonts w:ascii="Garamond" w:hAnsi="Garamond" w:cs="Times New Roman"/>
          <w:sz w:val="20"/>
          <w:szCs w:val="20"/>
        </w:rPr>
      </w:pPr>
      <w:r w:rsidRPr="00B9689E">
        <w:rPr>
          <w:rFonts w:ascii="Garamond" w:hAnsi="Garamond" w:cs="Times New Roman"/>
          <w:sz w:val="20"/>
          <w:szCs w:val="20"/>
        </w:rPr>
        <w:t>Panel (a)</w:t>
      </w:r>
      <w:r w:rsidR="00034657">
        <w:rPr>
          <w:rFonts w:ascii="Garamond" w:hAnsi="Garamond" w:cs="Times New Roman"/>
          <w:sz w:val="20"/>
          <w:szCs w:val="20"/>
        </w:rPr>
        <w:tab/>
      </w:r>
      <w:r w:rsidR="00034657">
        <w:rPr>
          <w:rFonts w:ascii="Garamond" w:hAnsi="Garamond" w:cs="Times New Roman"/>
          <w:sz w:val="20"/>
          <w:szCs w:val="20"/>
        </w:rPr>
        <w:tab/>
      </w:r>
      <w:r w:rsidR="00034657">
        <w:rPr>
          <w:rFonts w:ascii="Garamond" w:hAnsi="Garamond" w:cs="Times New Roman"/>
          <w:sz w:val="20"/>
          <w:szCs w:val="20"/>
        </w:rPr>
        <w:tab/>
      </w:r>
      <w:r w:rsidR="00034657">
        <w:rPr>
          <w:rFonts w:ascii="Garamond" w:hAnsi="Garamond" w:cs="Times New Roman"/>
          <w:sz w:val="20"/>
          <w:szCs w:val="20"/>
        </w:rPr>
        <w:tab/>
      </w:r>
      <w:r w:rsidR="00034657">
        <w:rPr>
          <w:rFonts w:ascii="Garamond" w:hAnsi="Garamond" w:cs="Times New Roman"/>
          <w:sz w:val="20"/>
          <w:szCs w:val="20"/>
        </w:rPr>
        <w:tab/>
      </w:r>
      <w:r w:rsidR="00034657">
        <w:rPr>
          <w:rFonts w:ascii="Garamond" w:hAnsi="Garamond" w:cs="Times New Roman"/>
          <w:sz w:val="20"/>
          <w:szCs w:val="20"/>
        </w:rPr>
        <w:tab/>
        <w:t xml:space="preserve">      Panel (b)</w:t>
      </w:r>
    </w:p>
    <w:p w14:paraId="3E774275" w14:textId="3B8B2689" w:rsidR="00BB1A78" w:rsidRDefault="00BB1A78" w:rsidP="00BB1A78">
      <w:pPr>
        <w:spacing w:after="0" w:line="240" w:lineRule="auto"/>
        <w:rPr>
          <w:rFonts w:ascii="Garamond" w:hAnsi="Garamond" w:cs="Times New Roman"/>
          <w:sz w:val="20"/>
          <w:szCs w:val="20"/>
        </w:rPr>
      </w:pPr>
    </w:p>
    <w:p w14:paraId="6452257E" w14:textId="34AB9FEA" w:rsidR="00BB1A78" w:rsidRDefault="00BB1A78" w:rsidP="00BB1A78">
      <w:pPr>
        <w:spacing w:after="0" w:line="240" w:lineRule="auto"/>
        <w:rPr>
          <w:rFonts w:ascii="Garamond" w:hAnsi="Garamond" w:cs="Times New Roman"/>
          <w:sz w:val="20"/>
          <w:szCs w:val="20"/>
        </w:rPr>
      </w:pPr>
      <w:r w:rsidRPr="00F719E2">
        <w:rPr>
          <w:rFonts w:ascii="Garamond" w:hAnsi="Garamond"/>
          <w:noProof/>
        </w:rPr>
        <w:drawing>
          <wp:inline distT="0" distB="0" distL="0" distR="0" wp14:anchorId="7B435E3D" wp14:editId="7FBF155C">
            <wp:extent cx="2889250" cy="1846580"/>
            <wp:effectExtent l="0" t="0" r="6350" b="1270"/>
            <wp:docPr id="1" name="Chart 1">
              <a:extLst xmlns:a="http://schemas.openxmlformats.org/drawingml/2006/main">
                <a:ext uri="{FF2B5EF4-FFF2-40B4-BE49-F238E27FC236}">
                  <a16:creationId xmlns:a16="http://schemas.microsoft.com/office/drawing/2014/main" id="{F716F04C-44A1-9488-FD4C-46F61819A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BB1A78">
        <w:rPr>
          <w:rFonts w:ascii="Garamond" w:hAnsi="Garamond"/>
          <w:noProof/>
        </w:rPr>
        <w:t xml:space="preserve"> </w:t>
      </w:r>
      <w:r w:rsidRPr="00F719E2">
        <w:rPr>
          <w:rFonts w:ascii="Garamond" w:hAnsi="Garamond"/>
          <w:noProof/>
        </w:rPr>
        <w:drawing>
          <wp:inline distT="0" distB="0" distL="0" distR="0" wp14:anchorId="669CC530" wp14:editId="1831DDCD">
            <wp:extent cx="2933700" cy="1778000"/>
            <wp:effectExtent l="0" t="0" r="0" b="0"/>
            <wp:docPr id="2" name="Chart 2">
              <a:extLst xmlns:a="http://schemas.openxmlformats.org/drawingml/2006/main">
                <a:ext uri="{FF2B5EF4-FFF2-40B4-BE49-F238E27FC236}">
                  <a16:creationId xmlns:a16="http://schemas.microsoft.com/office/drawing/2014/main" id="{9535BC37-D350-6F69-9782-8883AAB88D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F59BDF3" w14:textId="77777777" w:rsidR="000565A3" w:rsidRPr="00205AB0" w:rsidRDefault="000565A3" w:rsidP="000565A3">
      <w:pPr>
        <w:jc w:val="both"/>
        <w:rPr>
          <w:rFonts w:ascii="Garamond" w:hAnsi="Garamond" w:cs="Times New Roman"/>
          <w:sz w:val="20"/>
          <w:szCs w:val="20"/>
        </w:rPr>
      </w:pPr>
      <w:r w:rsidRPr="00F719E2">
        <w:rPr>
          <w:rFonts w:ascii="Garamond" w:hAnsi="Garamond" w:cs="Times New Roman"/>
          <w:i/>
          <w:iCs/>
          <w:sz w:val="20"/>
          <w:szCs w:val="20"/>
        </w:rPr>
        <w:t>Notes</w:t>
      </w:r>
      <w:r w:rsidRPr="00F719E2">
        <w:rPr>
          <w:rFonts w:ascii="Garamond" w:hAnsi="Garamond" w:cs="Times New Roman"/>
          <w:sz w:val="20"/>
          <w:szCs w:val="20"/>
        </w:rPr>
        <w:t xml:space="preserve">: This figure shows the percentage of RTW teachers in each quartile of the percentage of </w:t>
      </w:r>
      <w:proofErr w:type="gramStart"/>
      <w:r w:rsidRPr="00F719E2">
        <w:rPr>
          <w:rFonts w:ascii="Garamond" w:hAnsi="Garamond" w:cs="Times New Roman"/>
          <w:sz w:val="20"/>
          <w:szCs w:val="20"/>
        </w:rPr>
        <w:t>economically disadvantaged</w:t>
      </w:r>
      <w:proofErr w:type="gramEnd"/>
      <w:r w:rsidRPr="00F719E2">
        <w:rPr>
          <w:rFonts w:ascii="Garamond" w:hAnsi="Garamond" w:cs="Times New Roman"/>
          <w:sz w:val="20"/>
          <w:szCs w:val="20"/>
        </w:rPr>
        <w:t xml:space="preserve"> (panel (a)) or Black (panel (b)) students in schools. Quartiles are calculated in a school-by-year level dataset that includes </w:t>
      </w:r>
      <w:r w:rsidRPr="00F719E2">
        <w:rPr>
          <w:rFonts w:ascii="Garamond" w:hAnsi="Garamond" w:cs="Times New Roman"/>
          <w:sz w:val="20"/>
          <w:szCs w:val="20"/>
        </w:rPr>
        <w:lastRenderedPageBreak/>
        <w:t xml:space="preserve">1999-2009. Only the first year a RTW teacher comes back to work is used to group her into a quartile. The percentages across quartiles may sum to just shy of 100% due to some schools missing data on the percentage of </w:t>
      </w:r>
      <w:proofErr w:type="gramStart"/>
      <w:r w:rsidRPr="00F719E2">
        <w:rPr>
          <w:rFonts w:ascii="Garamond" w:hAnsi="Garamond" w:cs="Times New Roman"/>
          <w:sz w:val="20"/>
          <w:szCs w:val="20"/>
        </w:rPr>
        <w:t>economically disadvantaged</w:t>
      </w:r>
      <w:proofErr w:type="gramEnd"/>
      <w:r w:rsidRPr="00F719E2">
        <w:rPr>
          <w:rFonts w:ascii="Garamond" w:hAnsi="Garamond" w:cs="Times New Roman"/>
          <w:sz w:val="20"/>
          <w:szCs w:val="20"/>
        </w:rPr>
        <w:t xml:space="preserve"> or Black students</w:t>
      </w:r>
      <w:r>
        <w:rPr>
          <w:rFonts w:ascii="Garamond" w:hAnsi="Garamond" w:cs="Times New Roman"/>
          <w:sz w:val="20"/>
          <w:szCs w:val="20"/>
        </w:rPr>
        <w:t>.</w:t>
      </w:r>
    </w:p>
    <w:p w14:paraId="5A17E1B2" w14:textId="1C38EFF1" w:rsidR="008C6DC6" w:rsidRPr="00F719E2" w:rsidRDefault="00FC5FF2" w:rsidP="000565A3">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Each column </w:t>
      </w:r>
      <w:r w:rsidR="0004104C" w:rsidRPr="00F719E2">
        <w:rPr>
          <w:rFonts w:ascii="Garamond" w:hAnsi="Garamond" w:cs="Times New Roman"/>
          <w:sz w:val="24"/>
          <w:szCs w:val="24"/>
        </w:rPr>
        <w:t xml:space="preserve">in these graphs represents </w:t>
      </w:r>
      <w:r w:rsidR="00BD1800" w:rsidRPr="00F719E2">
        <w:rPr>
          <w:rFonts w:ascii="Garamond" w:hAnsi="Garamond" w:cs="Times New Roman"/>
          <w:sz w:val="24"/>
          <w:szCs w:val="24"/>
        </w:rPr>
        <w:t xml:space="preserve">the percentage of RTW teachers who </w:t>
      </w:r>
      <w:r w:rsidR="00E4276E" w:rsidRPr="00F719E2">
        <w:rPr>
          <w:rFonts w:ascii="Garamond" w:hAnsi="Garamond" w:cs="Times New Roman"/>
          <w:sz w:val="24"/>
          <w:szCs w:val="24"/>
        </w:rPr>
        <w:t xml:space="preserve">taught </w:t>
      </w:r>
      <w:r w:rsidR="00C33C6A" w:rsidRPr="00F719E2">
        <w:rPr>
          <w:rFonts w:ascii="Garamond" w:hAnsi="Garamond" w:cs="Times New Roman"/>
          <w:sz w:val="24"/>
          <w:szCs w:val="24"/>
        </w:rPr>
        <w:t xml:space="preserve">in </w:t>
      </w:r>
      <w:r w:rsidR="00345D2B" w:rsidRPr="00F719E2">
        <w:rPr>
          <w:rFonts w:ascii="Garamond" w:hAnsi="Garamond" w:cs="Times New Roman"/>
          <w:sz w:val="24"/>
          <w:szCs w:val="24"/>
        </w:rPr>
        <w:t xml:space="preserve">schools in </w:t>
      </w:r>
      <w:r w:rsidR="0043623A" w:rsidRPr="00F719E2">
        <w:rPr>
          <w:rFonts w:ascii="Garamond" w:hAnsi="Garamond" w:cs="Times New Roman"/>
          <w:sz w:val="24"/>
          <w:szCs w:val="24"/>
        </w:rPr>
        <w:t xml:space="preserve">the given </w:t>
      </w:r>
      <w:r w:rsidR="00345D2B" w:rsidRPr="00F719E2">
        <w:rPr>
          <w:rFonts w:ascii="Garamond" w:hAnsi="Garamond" w:cs="Times New Roman"/>
          <w:sz w:val="24"/>
          <w:szCs w:val="24"/>
        </w:rPr>
        <w:t>quartile</w:t>
      </w:r>
      <w:r w:rsidR="002F4B62" w:rsidRPr="00F719E2">
        <w:rPr>
          <w:rFonts w:ascii="Garamond" w:hAnsi="Garamond" w:cs="Times New Roman"/>
          <w:sz w:val="24"/>
          <w:szCs w:val="24"/>
        </w:rPr>
        <w:t xml:space="preserve">. </w:t>
      </w:r>
      <w:r w:rsidR="000C6D64" w:rsidRPr="00F719E2">
        <w:rPr>
          <w:rFonts w:ascii="Garamond" w:hAnsi="Garamond" w:cs="Times New Roman"/>
          <w:sz w:val="24"/>
          <w:szCs w:val="24"/>
        </w:rPr>
        <w:t xml:space="preserve">Quartile 1 includes schools with the fewest </w:t>
      </w:r>
      <w:proofErr w:type="gramStart"/>
      <w:r w:rsidR="00653866" w:rsidRPr="00F719E2">
        <w:rPr>
          <w:rFonts w:ascii="Garamond" w:hAnsi="Garamond" w:cs="Times New Roman"/>
          <w:sz w:val="24"/>
          <w:szCs w:val="24"/>
        </w:rPr>
        <w:t>economically disadvantaged</w:t>
      </w:r>
      <w:proofErr w:type="gramEnd"/>
      <w:r w:rsidR="00653866" w:rsidRPr="00F719E2">
        <w:rPr>
          <w:rFonts w:ascii="Garamond" w:hAnsi="Garamond" w:cs="Times New Roman"/>
          <w:sz w:val="24"/>
          <w:szCs w:val="24"/>
        </w:rPr>
        <w:t xml:space="preserve"> or Black students while quartile 4 includes schools with the most.</w:t>
      </w:r>
      <w:r w:rsidR="00BD1800" w:rsidRPr="00F719E2">
        <w:rPr>
          <w:rFonts w:ascii="Garamond" w:hAnsi="Garamond" w:cs="Times New Roman"/>
          <w:sz w:val="24"/>
          <w:szCs w:val="24"/>
        </w:rPr>
        <w:t xml:space="preserve"> </w:t>
      </w:r>
      <w:r w:rsidR="000D4CD6">
        <w:rPr>
          <w:rFonts w:ascii="Garamond" w:hAnsi="Garamond" w:cs="Times New Roman"/>
          <w:sz w:val="24"/>
          <w:szCs w:val="24"/>
        </w:rPr>
        <w:t xml:space="preserve">If RTW teachers were distributed equally across quartiles, </w:t>
      </w:r>
      <w:r w:rsidR="00391FAD">
        <w:rPr>
          <w:rFonts w:ascii="Garamond" w:hAnsi="Garamond" w:cs="Times New Roman"/>
          <w:sz w:val="24"/>
          <w:szCs w:val="24"/>
        </w:rPr>
        <w:t>there would be 25% of them in each quartile. However, p</w:t>
      </w:r>
      <w:r w:rsidR="00BE3FC7" w:rsidRPr="00F719E2">
        <w:rPr>
          <w:rFonts w:ascii="Garamond" w:hAnsi="Garamond" w:cs="Times New Roman"/>
          <w:sz w:val="24"/>
          <w:szCs w:val="24"/>
        </w:rPr>
        <w:t xml:space="preserve">anel (a) shows that 30% of RTW teachers taught in schools </w:t>
      </w:r>
      <w:r w:rsidR="002B3001" w:rsidRPr="00F719E2">
        <w:rPr>
          <w:rFonts w:ascii="Garamond" w:hAnsi="Garamond" w:cs="Times New Roman"/>
          <w:sz w:val="24"/>
          <w:szCs w:val="24"/>
        </w:rPr>
        <w:t xml:space="preserve">in the top quartile of the </w:t>
      </w:r>
      <w:r w:rsidR="0055342F" w:rsidRPr="00F719E2">
        <w:rPr>
          <w:rFonts w:ascii="Garamond" w:hAnsi="Garamond" w:cs="Times New Roman"/>
          <w:sz w:val="24"/>
          <w:szCs w:val="24"/>
        </w:rPr>
        <w:t xml:space="preserve">percent of </w:t>
      </w:r>
      <w:proofErr w:type="gramStart"/>
      <w:r w:rsidR="0055342F" w:rsidRPr="00F719E2">
        <w:rPr>
          <w:rFonts w:ascii="Garamond" w:hAnsi="Garamond" w:cs="Times New Roman"/>
          <w:sz w:val="24"/>
          <w:szCs w:val="24"/>
        </w:rPr>
        <w:t>economically disadvantaged</w:t>
      </w:r>
      <w:proofErr w:type="gramEnd"/>
      <w:r w:rsidR="0055342F" w:rsidRPr="00F719E2">
        <w:rPr>
          <w:rFonts w:ascii="Garamond" w:hAnsi="Garamond" w:cs="Times New Roman"/>
          <w:sz w:val="24"/>
          <w:szCs w:val="24"/>
        </w:rPr>
        <w:t xml:space="preserve"> students</w:t>
      </w:r>
      <w:r w:rsidR="00FE3CC0" w:rsidRPr="00F719E2">
        <w:rPr>
          <w:rFonts w:ascii="Garamond" w:hAnsi="Garamond" w:cs="Times New Roman"/>
          <w:sz w:val="24"/>
          <w:szCs w:val="24"/>
        </w:rPr>
        <w:t>, while 21% taught in schools in the bottom quartile.</w:t>
      </w:r>
      <w:r w:rsidR="00BE3FC7" w:rsidRPr="00F719E2">
        <w:rPr>
          <w:rFonts w:ascii="Garamond" w:hAnsi="Garamond" w:cs="Times New Roman"/>
          <w:sz w:val="24"/>
          <w:szCs w:val="24"/>
        </w:rPr>
        <w:t xml:space="preserve"> </w:t>
      </w:r>
      <w:r w:rsidR="00120F8D" w:rsidRPr="00F719E2">
        <w:rPr>
          <w:rFonts w:ascii="Garamond" w:hAnsi="Garamond" w:cs="Times New Roman"/>
          <w:sz w:val="24"/>
          <w:szCs w:val="24"/>
        </w:rPr>
        <w:t>T</w:t>
      </w:r>
      <w:r w:rsidR="00513C75" w:rsidRPr="00F719E2">
        <w:rPr>
          <w:rFonts w:ascii="Garamond" w:hAnsi="Garamond" w:cs="Times New Roman"/>
          <w:sz w:val="24"/>
          <w:szCs w:val="24"/>
        </w:rPr>
        <w:t xml:space="preserve">his difference is statistically significant at the 1% level. </w:t>
      </w:r>
      <w:r w:rsidR="00BA6559" w:rsidRPr="00F719E2">
        <w:rPr>
          <w:rFonts w:ascii="Garamond" w:hAnsi="Garamond" w:cs="Times New Roman"/>
          <w:sz w:val="24"/>
          <w:szCs w:val="24"/>
        </w:rPr>
        <w:t xml:space="preserve">Similarly, panel (b) shows that 30% of RTW teachers taught in schools in the </w:t>
      </w:r>
      <w:r w:rsidR="00AC1B95" w:rsidRPr="00F719E2">
        <w:rPr>
          <w:rFonts w:ascii="Garamond" w:hAnsi="Garamond" w:cs="Times New Roman"/>
          <w:sz w:val="24"/>
          <w:szCs w:val="24"/>
        </w:rPr>
        <w:t>fourth</w:t>
      </w:r>
      <w:r w:rsidR="00BA6559" w:rsidRPr="00F719E2">
        <w:rPr>
          <w:rFonts w:ascii="Garamond" w:hAnsi="Garamond" w:cs="Times New Roman"/>
          <w:sz w:val="24"/>
          <w:szCs w:val="24"/>
        </w:rPr>
        <w:t xml:space="preserve"> quartile of the percent of Black students</w:t>
      </w:r>
      <w:r w:rsidR="00AC1B95" w:rsidRPr="00F719E2">
        <w:rPr>
          <w:rFonts w:ascii="Garamond" w:hAnsi="Garamond" w:cs="Times New Roman"/>
          <w:sz w:val="24"/>
          <w:szCs w:val="24"/>
        </w:rPr>
        <w:t>, while just 18% taught in schools in the first quartile.</w:t>
      </w:r>
      <w:r w:rsidR="00802A9E" w:rsidRPr="00F719E2">
        <w:rPr>
          <w:rFonts w:ascii="Garamond" w:hAnsi="Garamond" w:cs="Times New Roman"/>
          <w:sz w:val="24"/>
          <w:szCs w:val="24"/>
        </w:rPr>
        <w:t xml:space="preserve"> T</w:t>
      </w:r>
      <w:r w:rsidR="00513C75" w:rsidRPr="00F719E2">
        <w:rPr>
          <w:rFonts w:ascii="Garamond" w:hAnsi="Garamond" w:cs="Times New Roman"/>
          <w:sz w:val="24"/>
          <w:szCs w:val="24"/>
        </w:rPr>
        <w:t>his difference i</w:t>
      </w:r>
      <w:r w:rsidR="003B2020" w:rsidRPr="00F719E2">
        <w:rPr>
          <w:rFonts w:ascii="Garamond" w:hAnsi="Garamond" w:cs="Times New Roman"/>
          <w:sz w:val="24"/>
          <w:szCs w:val="24"/>
        </w:rPr>
        <w:t>s</w:t>
      </w:r>
      <w:r w:rsidR="00513C75" w:rsidRPr="00F719E2">
        <w:rPr>
          <w:rFonts w:ascii="Garamond" w:hAnsi="Garamond" w:cs="Times New Roman"/>
          <w:sz w:val="24"/>
          <w:szCs w:val="24"/>
        </w:rPr>
        <w:t xml:space="preserve"> </w:t>
      </w:r>
      <w:r w:rsidR="00802A9E" w:rsidRPr="00F719E2">
        <w:rPr>
          <w:rFonts w:ascii="Garamond" w:hAnsi="Garamond" w:cs="Times New Roman"/>
          <w:sz w:val="24"/>
          <w:szCs w:val="24"/>
        </w:rPr>
        <w:t xml:space="preserve">also </w:t>
      </w:r>
      <w:r w:rsidR="00513C75" w:rsidRPr="00F719E2">
        <w:rPr>
          <w:rFonts w:ascii="Garamond" w:hAnsi="Garamond" w:cs="Times New Roman"/>
          <w:sz w:val="24"/>
          <w:szCs w:val="24"/>
        </w:rPr>
        <w:t xml:space="preserve">statistically significant. To put these findings another way, </w:t>
      </w:r>
      <w:r w:rsidR="00490F18" w:rsidRPr="00F719E2">
        <w:rPr>
          <w:rFonts w:ascii="Garamond" w:hAnsi="Garamond" w:cs="Times New Roman"/>
          <w:sz w:val="24"/>
          <w:szCs w:val="24"/>
        </w:rPr>
        <w:t xml:space="preserve">RTW teachers are disproportionately hired by schools with more </w:t>
      </w:r>
      <w:r w:rsidR="009E0A16" w:rsidRPr="00F719E2">
        <w:rPr>
          <w:rFonts w:ascii="Garamond" w:hAnsi="Garamond" w:cs="Times New Roman"/>
          <w:sz w:val="24"/>
          <w:szCs w:val="24"/>
        </w:rPr>
        <w:t xml:space="preserve">traditionally </w:t>
      </w:r>
      <w:r w:rsidR="00BA6559" w:rsidRPr="00F719E2">
        <w:rPr>
          <w:rFonts w:ascii="Garamond" w:hAnsi="Garamond" w:cs="Times New Roman"/>
          <w:sz w:val="24"/>
          <w:szCs w:val="24"/>
        </w:rPr>
        <w:t>high-need students</w:t>
      </w:r>
      <w:r w:rsidR="005B7F73" w:rsidRPr="00F719E2">
        <w:rPr>
          <w:rFonts w:ascii="Garamond" w:hAnsi="Garamond" w:cs="Times New Roman"/>
          <w:sz w:val="24"/>
          <w:szCs w:val="24"/>
        </w:rPr>
        <w:t xml:space="preserve">, schools where there are generally more teacher shortages. </w:t>
      </w:r>
    </w:p>
    <w:p w14:paraId="51CC2574" w14:textId="35741B0B" w:rsidR="00537156" w:rsidRPr="00F719E2" w:rsidRDefault="00AC01D4"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 xml:space="preserve">We check the robustness of our results </w:t>
      </w:r>
      <w:r w:rsidR="00E43F0C">
        <w:rPr>
          <w:rFonts w:ascii="Garamond" w:hAnsi="Garamond" w:cs="Times New Roman"/>
          <w:sz w:val="24"/>
          <w:szCs w:val="24"/>
        </w:rPr>
        <w:t xml:space="preserve">relative </w:t>
      </w:r>
      <w:r w:rsidRPr="00F719E2">
        <w:rPr>
          <w:rFonts w:ascii="Garamond" w:hAnsi="Garamond" w:cs="Times New Roman"/>
          <w:sz w:val="24"/>
          <w:szCs w:val="24"/>
        </w:rPr>
        <w:t xml:space="preserve">to a couple different things. First, </w:t>
      </w:r>
      <w:r w:rsidR="00BA6DCB" w:rsidRPr="00F719E2">
        <w:rPr>
          <w:rFonts w:ascii="Garamond" w:hAnsi="Garamond" w:cs="Times New Roman"/>
          <w:sz w:val="24"/>
          <w:szCs w:val="24"/>
        </w:rPr>
        <w:t xml:space="preserve">given how we calculate quartiles, it is possible for schools to </w:t>
      </w:r>
      <w:r w:rsidR="003A674F" w:rsidRPr="00F719E2">
        <w:rPr>
          <w:rFonts w:ascii="Garamond" w:hAnsi="Garamond" w:cs="Times New Roman"/>
          <w:sz w:val="24"/>
          <w:szCs w:val="24"/>
        </w:rPr>
        <w:t>fall</w:t>
      </w:r>
      <w:r w:rsidR="00BA6DCB" w:rsidRPr="00F719E2">
        <w:rPr>
          <w:rFonts w:ascii="Garamond" w:hAnsi="Garamond" w:cs="Times New Roman"/>
          <w:sz w:val="24"/>
          <w:szCs w:val="24"/>
        </w:rPr>
        <w:t xml:space="preserve"> in different</w:t>
      </w:r>
      <w:r w:rsidR="008D7F7C" w:rsidRPr="00F719E2">
        <w:rPr>
          <w:rFonts w:ascii="Garamond" w:hAnsi="Garamond" w:cs="Times New Roman"/>
          <w:sz w:val="24"/>
          <w:szCs w:val="24"/>
        </w:rPr>
        <w:t xml:space="preserve"> quartiles over time. To make sure</w:t>
      </w:r>
      <w:r w:rsidR="00E43F0C">
        <w:rPr>
          <w:rFonts w:ascii="Garamond" w:hAnsi="Garamond" w:cs="Times New Roman"/>
          <w:sz w:val="24"/>
          <w:szCs w:val="24"/>
        </w:rPr>
        <w:t xml:space="preserve"> </w:t>
      </w:r>
      <w:r w:rsidR="008D7F7C" w:rsidRPr="00F719E2">
        <w:rPr>
          <w:rFonts w:ascii="Garamond" w:hAnsi="Garamond" w:cs="Times New Roman"/>
          <w:sz w:val="24"/>
          <w:szCs w:val="24"/>
        </w:rPr>
        <w:t>the differences</w:t>
      </w:r>
      <w:r w:rsidR="004316F0" w:rsidRPr="00F719E2">
        <w:rPr>
          <w:rFonts w:ascii="Garamond" w:hAnsi="Garamond" w:cs="Times New Roman"/>
          <w:sz w:val="24"/>
          <w:szCs w:val="24"/>
        </w:rPr>
        <w:t xml:space="preserve"> in </w:t>
      </w:r>
      <w:r w:rsidR="009973B2" w:rsidRPr="00F719E2">
        <w:rPr>
          <w:rFonts w:ascii="Garamond" w:hAnsi="Garamond" w:cs="Times New Roman"/>
          <w:sz w:val="24"/>
          <w:szCs w:val="24"/>
        </w:rPr>
        <w:t xml:space="preserve">the number of </w:t>
      </w:r>
      <w:r w:rsidR="004316F0" w:rsidRPr="00F719E2">
        <w:rPr>
          <w:rFonts w:ascii="Garamond" w:hAnsi="Garamond" w:cs="Times New Roman"/>
          <w:sz w:val="24"/>
          <w:szCs w:val="24"/>
        </w:rPr>
        <w:t xml:space="preserve">RTW teachers across quartiles is not </w:t>
      </w:r>
      <w:r w:rsidR="0084428D" w:rsidRPr="00F719E2">
        <w:rPr>
          <w:rFonts w:ascii="Garamond" w:hAnsi="Garamond" w:cs="Times New Roman"/>
          <w:sz w:val="24"/>
          <w:szCs w:val="24"/>
        </w:rPr>
        <w:t xml:space="preserve">being </w:t>
      </w:r>
      <w:r w:rsidR="004316F0" w:rsidRPr="00F719E2">
        <w:rPr>
          <w:rFonts w:ascii="Garamond" w:hAnsi="Garamond" w:cs="Times New Roman"/>
          <w:sz w:val="24"/>
          <w:szCs w:val="24"/>
        </w:rPr>
        <w:t xml:space="preserve">driven by schools changing </w:t>
      </w:r>
      <w:r w:rsidR="009973B2" w:rsidRPr="00F719E2">
        <w:rPr>
          <w:rFonts w:ascii="Garamond" w:hAnsi="Garamond" w:cs="Times New Roman"/>
          <w:sz w:val="24"/>
          <w:szCs w:val="24"/>
        </w:rPr>
        <w:t>quartiles</w:t>
      </w:r>
      <w:r w:rsidR="004316F0" w:rsidRPr="00F719E2">
        <w:rPr>
          <w:rFonts w:ascii="Garamond" w:hAnsi="Garamond" w:cs="Times New Roman"/>
          <w:sz w:val="24"/>
          <w:szCs w:val="24"/>
        </w:rPr>
        <w:t xml:space="preserve">, we hold </w:t>
      </w:r>
      <w:r w:rsidR="00C76AC9" w:rsidRPr="00F719E2">
        <w:rPr>
          <w:rFonts w:ascii="Garamond" w:hAnsi="Garamond" w:cs="Times New Roman"/>
          <w:sz w:val="24"/>
          <w:szCs w:val="24"/>
        </w:rPr>
        <w:t xml:space="preserve">constant </w:t>
      </w:r>
      <w:r w:rsidR="00461393" w:rsidRPr="00F719E2">
        <w:rPr>
          <w:rFonts w:ascii="Garamond" w:hAnsi="Garamond" w:cs="Times New Roman"/>
          <w:sz w:val="24"/>
          <w:szCs w:val="24"/>
        </w:rPr>
        <w:t xml:space="preserve">the school’s percentage of </w:t>
      </w:r>
      <w:proofErr w:type="gramStart"/>
      <w:r w:rsidR="00461393" w:rsidRPr="00F719E2">
        <w:rPr>
          <w:rFonts w:ascii="Garamond" w:hAnsi="Garamond" w:cs="Times New Roman"/>
          <w:sz w:val="24"/>
          <w:szCs w:val="24"/>
        </w:rPr>
        <w:t>economically disadvantaged</w:t>
      </w:r>
      <w:proofErr w:type="gramEnd"/>
      <w:r w:rsidR="00461393" w:rsidRPr="00F719E2">
        <w:rPr>
          <w:rFonts w:ascii="Garamond" w:hAnsi="Garamond" w:cs="Times New Roman"/>
          <w:sz w:val="24"/>
          <w:szCs w:val="24"/>
        </w:rPr>
        <w:t xml:space="preserve"> or Black students at the 1999 level </w:t>
      </w:r>
      <w:r w:rsidR="00A27BAB" w:rsidRPr="00F719E2">
        <w:rPr>
          <w:rFonts w:ascii="Garamond" w:hAnsi="Garamond" w:cs="Times New Roman"/>
          <w:sz w:val="24"/>
          <w:szCs w:val="24"/>
        </w:rPr>
        <w:t xml:space="preserve">and repeat our analysis. </w:t>
      </w:r>
      <w:r w:rsidR="00D3545E" w:rsidRPr="00F719E2">
        <w:rPr>
          <w:rFonts w:ascii="Garamond" w:hAnsi="Garamond" w:cs="Times New Roman"/>
          <w:sz w:val="24"/>
          <w:szCs w:val="24"/>
        </w:rPr>
        <w:t>The numbers change</w:t>
      </w:r>
      <w:r w:rsidR="001D3135" w:rsidRPr="00F719E2">
        <w:rPr>
          <w:rFonts w:ascii="Garamond" w:hAnsi="Garamond" w:cs="Times New Roman"/>
          <w:sz w:val="24"/>
          <w:szCs w:val="24"/>
        </w:rPr>
        <w:t xml:space="preserve"> somewhat</w:t>
      </w:r>
      <w:r w:rsidR="00D3545E" w:rsidRPr="00F719E2">
        <w:rPr>
          <w:rFonts w:ascii="Garamond" w:hAnsi="Garamond" w:cs="Times New Roman"/>
          <w:sz w:val="24"/>
          <w:szCs w:val="24"/>
        </w:rPr>
        <w:t xml:space="preserve"> in magnitude, but the takeaway </w:t>
      </w:r>
      <w:r w:rsidR="0023414A" w:rsidRPr="00F719E2">
        <w:rPr>
          <w:rFonts w:ascii="Garamond" w:hAnsi="Garamond" w:cs="Times New Roman"/>
          <w:sz w:val="24"/>
          <w:szCs w:val="24"/>
        </w:rPr>
        <w:t>stays</w:t>
      </w:r>
      <w:r w:rsidR="00D3545E" w:rsidRPr="00F719E2">
        <w:rPr>
          <w:rFonts w:ascii="Garamond" w:hAnsi="Garamond" w:cs="Times New Roman"/>
          <w:sz w:val="24"/>
          <w:szCs w:val="24"/>
        </w:rPr>
        <w:t xml:space="preserve"> the same. </w:t>
      </w:r>
      <w:r w:rsidR="00A201C6" w:rsidRPr="00F719E2">
        <w:rPr>
          <w:rFonts w:ascii="Garamond" w:hAnsi="Garamond" w:cs="Times New Roman"/>
          <w:sz w:val="24"/>
          <w:szCs w:val="24"/>
        </w:rPr>
        <w:t xml:space="preserve">Second, </w:t>
      </w:r>
      <w:r w:rsidR="009E4E7B" w:rsidRPr="00F719E2">
        <w:rPr>
          <w:rFonts w:ascii="Garamond" w:hAnsi="Garamond" w:cs="Times New Roman"/>
          <w:sz w:val="24"/>
          <w:szCs w:val="24"/>
        </w:rPr>
        <w:t xml:space="preserve">we know that the number of teachers becoming eligible for retirement is increasing over time in our sample </w:t>
      </w:r>
      <w:r w:rsidR="00C13E1B" w:rsidRPr="00F719E2">
        <w:rPr>
          <w:rFonts w:ascii="Garamond" w:hAnsi="Garamond" w:cs="Times New Roman"/>
          <w:sz w:val="24"/>
          <w:szCs w:val="24"/>
        </w:rPr>
        <w:t xml:space="preserve">as more Baby Boomers reach retirement age. </w:t>
      </w:r>
      <w:r w:rsidR="00B461FE" w:rsidRPr="00F719E2">
        <w:rPr>
          <w:rFonts w:ascii="Garamond" w:hAnsi="Garamond" w:cs="Times New Roman"/>
          <w:sz w:val="24"/>
          <w:szCs w:val="24"/>
        </w:rPr>
        <w:t>It could be the case t</w:t>
      </w:r>
      <w:r w:rsidR="00C615E1" w:rsidRPr="00F719E2">
        <w:rPr>
          <w:rFonts w:ascii="Garamond" w:hAnsi="Garamond" w:cs="Times New Roman"/>
          <w:sz w:val="24"/>
          <w:szCs w:val="24"/>
        </w:rPr>
        <w:t xml:space="preserve">hat the schools in the top quartiles just have a lot of teachers close to retirement and that is why there are more RTW teachers </w:t>
      </w:r>
      <w:r w:rsidR="00192005" w:rsidRPr="00F719E2">
        <w:rPr>
          <w:rFonts w:ascii="Garamond" w:hAnsi="Garamond" w:cs="Times New Roman"/>
          <w:sz w:val="24"/>
          <w:szCs w:val="24"/>
        </w:rPr>
        <w:t>in those schools. We test for this by</w:t>
      </w:r>
      <w:r w:rsidR="00E43F0C">
        <w:rPr>
          <w:rFonts w:ascii="Garamond" w:hAnsi="Garamond" w:cs="Times New Roman"/>
          <w:sz w:val="24"/>
          <w:szCs w:val="24"/>
        </w:rPr>
        <w:t xml:space="preserve"> testing whether </w:t>
      </w:r>
      <w:r w:rsidR="00192005" w:rsidRPr="00F719E2">
        <w:rPr>
          <w:rFonts w:ascii="Garamond" w:hAnsi="Garamond" w:cs="Times New Roman"/>
          <w:sz w:val="24"/>
          <w:szCs w:val="24"/>
        </w:rPr>
        <w:t>the percentage of teachers eli</w:t>
      </w:r>
      <w:r w:rsidR="00A56AD4" w:rsidRPr="00F719E2">
        <w:rPr>
          <w:rFonts w:ascii="Garamond" w:hAnsi="Garamond" w:cs="Times New Roman"/>
          <w:sz w:val="24"/>
          <w:szCs w:val="24"/>
        </w:rPr>
        <w:t xml:space="preserve">gible for retirement </w:t>
      </w:r>
      <w:r w:rsidR="00E43F0C">
        <w:rPr>
          <w:rFonts w:ascii="Garamond" w:hAnsi="Garamond" w:cs="Times New Roman"/>
          <w:sz w:val="24"/>
          <w:szCs w:val="24"/>
        </w:rPr>
        <w:t xml:space="preserve">is different across </w:t>
      </w:r>
      <w:r w:rsidR="000A7C58" w:rsidRPr="00F719E2">
        <w:rPr>
          <w:rFonts w:ascii="Garamond" w:hAnsi="Garamond" w:cs="Times New Roman"/>
          <w:sz w:val="24"/>
          <w:szCs w:val="24"/>
        </w:rPr>
        <w:t xml:space="preserve">quartiles. </w:t>
      </w:r>
      <w:r w:rsidR="00C52A0B" w:rsidRPr="00F719E2">
        <w:rPr>
          <w:rFonts w:ascii="Garamond" w:hAnsi="Garamond" w:cs="Times New Roman"/>
          <w:sz w:val="24"/>
          <w:szCs w:val="24"/>
        </w:rPr>
        <w:t xml:space="preserve">We find that </w:t>
      </w:r>
      <w:r w:rsidR="00E43F0C">
        <w:rPr>
          <w:rFonts w:ascii="Garamond" w:hAnsi="Garamond" w:cs="Times New Roman"/>
          <w:sz w:val="24"/>
          <w:szCs w:val="24"/>
        </w:rPr>
        <w:t xml:space="preserve">consistently </w:t>
      </w:r>
      <w:r w:rsidR="006A0AC1" w:rsidRPr="00F719E2">
        <w:rPr>
          <w:rFonts w:ascii="Garamond" w:hAnsi="Garamond" w:cs="Times New Roman"/>
          <w:sz w:val="24"/>
          <w:szCs w:val="24"/>
        </w:rPr>
        <w:t>5-</w:t>
      </w:r>
      <w:r w:rsidR="000764A3" w:rsidRPr="00F719E2">
        <w:rPr>
          <w:rFonts w:ascii="Garamond" w:hAnsi="Garamond" w:cs="Times New Roman"/>
          <w:sz w:val="24"/>
          <w:szCs w:val="24"/>
        </w:rPr>
        <w:t>6</w:t>
      </w:r>
      <w:r w:rsidR="00D71E38" w:rsidRPr="00F719E2">
        <w:rPr>
          <w:rFonts w:ascii="Garamond" w:hAnsi="Garamond" w:cs="Times New Roman"/>
          <w:sz w:val="24"/>
          <w:szCs w:val="24"/>
        </w:rPr>
        <w:t xml:space="preserve">% </w:t>
      </w:r>
      <w:r w:rsidR="000764A3" w:rsidRPr="00F719E2">
        <w:rPr>
          <w:rFonts w:ascii="Garamond" w:hAnsi="Garamond" w:cs="Times New Roman"/>
          <w:sz w:val="24"/>
          <w:szCs w:val="24"/>
        </w:rPr>
        <w:t xml:space="preserve">of teachers in each quartile of </w:t>
      </w:r>
      <w:r w:rsidR="00D71E38" w:rsidRPr="00F719E2">
        <w:rPr>
          <w:rFonts w:ascii="Garamond" w:hAnsi="Garamond" w:cs="Times New Roman"/>
          <w:sz w:val="24"/>
          <w:szCs w:val="24"/>
        </w:rPr>
        <w:t xml:space="preserve">either the percentage of </w:t>
      </w:r>
      <w:proofErr w:type="gramStart"/>
      <w:r w:rsidR="00D71E38" w:rsidRPr="00F719E2">
        <w:rPr>
          <w:rFonts w:ascii="Garamond" w:hAnsi="Garamond" w:cs="Times New Roman"/>
          <w:sz w:val="24"/>
          <w:szCs w:val="24"/>
        </w:rPr>
        <w:t>economically disadvantaged</w:t>
      </w:r>
      <w:proofErr w:type="gramEnd"/>
      <w:r w:rsidR="00D71E38" w:rsidRPr="00F719E2">
        <w:rPr>
          <w:rFonts w:ascii="Garamond" w:hAnsi="Garamond" w:cs="Times New Roman"/>
          <w:sz w:val="24"/>
          <w:szCs w:val="24"/>
        </w:rPr>
        <w:t xml:space="preserve"> </w:t>
      </w:r>
      <w:r w:rsidR="00D71E38" w:rsidRPr="00F719E2">
        <w:rPr>
          <w:rFonts w:ascii="Garamond" w:hAnsi="Garamond" w:cs="Times New Roman"/>
          <w:sz w:val="24"/>
          <w:szCs w:val="24"/>
        </w:rPr>
        <w:lastRenderedPageBreak/>
        <w:t>or the percentage of Black student</w:t>
      </w:r>
      <w:r w:rsidR="00362557" w:rsidRPr="00F719E2">
        <w:rPr>
          <w:rFonts w:ascii="Garamond" w:hAnsi="Garamond" w:cs="Times New Roman"/>
          <w:sz w:val="24"/>
          <w:szCs w:val="24"/>
        </w:rPr>
        <w:t>s are eligible for retirement</w:t>
      </w:r>
      <w:r w:rsidR="00C52A0B" w:rsidRPr="00F719E2">
        <w:rPr>
          <w:rFonts w:ascii="Garamond" w:hAnsi="Garamond" w:cs="Times New Roman"/>
          <w:sz w:val="24"/>
          <w:szCs w:val="24"/>
        </w:rPr>
        <w:t xml:space="preserve">, leading us to conclude that </w:t>
      </w:r>
      <w:r w:rsidR="00362557" w:rsidRPr="00F719E2">
        <w:rPr>
          <w:rFonts w:ascii="Garamond" w:hAnsi="Garamond" w:cs="Times New Roman"/>
          <w:sz w:val="24"/>
          <w:szCs w:val="24"/>
        </w:rPr>
        <w:t xml:space="preserve">our results are not being driven by differences in </w:t>
      </w:r>
      <w:r w:rsidR="0018270A" w:rsidRPr="00F719E2">
        <w:rPr>
          <w:rFonts w:ascii="Garamond" w:hAnsi="Garamond" w:cs="Times New Roman"/>
          <w:sz w:val="24"/>
          <w:szCs w:val="24"/>
        </w:rPr>
        <w:t xml:space="preserve">the number of retirement-eligible teachers across schools. </w:t>
      </w:r>
      <w:r w:rsidR="00D71E38" w:rsidRPr="00F719E2">
        <w:rPr>
          <w:rFonts w:ascii="Garamond" w:hAnsi="Garamond" w:cs="Times New Roman"/>
          <w:sz w:val="24"/>
          <w:szCs w:val="24"/>
        </w:rPr>
        <w:t xml:space="preserve"> </w:t>
      </w:r>
    </w:p>
    <w:p w14:paraId="29F205AE" w14:textId="3D4718D3" w:rsidR="006C418C" w:rsidRPr="00673826" w:rsidRDefault="00E0721E" w:rsidP="00673826">
      <w:pPr>
        <w:spacing w:after="0" w:line="480" w:lineRule="auto"/>
        <w:jc w:val="center"/>
        <w:rPr>
          <w:rFonts w:ascii="Garamond" w:hAnsi="Garamond" w:cs="Times New Roman"/>
          <w:b/>
          <w:bCs/>
          <w:sz w:val="24"/>
          <w:szCs w:val="24"/>
        </w:rPr>
      </w:pPr>
      <w:r>
        <w:rPr>
          <w:rFonts w:ascii="Garamond" w:hAnsi="Garamond" w:cs="Times New Roman"/>
          <w:b/>
          <w:bCs/>
          <w:sz w:val="24"/>
          <w:szCs w:val="24"/>
        </w:rPr>
        <w:t>Discussion of Limitations and Unintended Consequences</w:t>
      </w:r>
    </w:p>
    <w:p w14:paraId="7ED3E737" w14:textId="5DBEB081" w:rsidR="003F01B2" w:rsidRPr="00F719E2" w:rsidRDefault="00C143C9"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The key takeaway from our analysis is that the North Carolina RTW policy incentivized teachers to come back to work and the schools that hired them were high-need school</w:t>
      </w:r>
      <w:r>
        <w:rPr>
          <w:rFonts w:ascii="Garamond" w:hAnsi="Garamond" w:cs="Times New Roman"/>
          <w:sz w:val="24"/>
          <w:szCs w:val="24"/>
        </w:rPr>
        <w:t xml:space="preserve">s. </w:t>
      </w:r>
      <w:r w:rsidR="009F7713" w:rsidRPr="00F719E2">
        <w:rPr>
          <w:rFonts w:ascii="Garamond" w:hAnsi="Garamond" w:cs="Times New Roman"/>
          <w:sz w:val="24"/>
          <w:szCs w:val="24"/>
        </w:rPr>
        <w:t xml:space="preserve">There are a few things </w:t>
      </w:r>
      <w:r w:rsidR="001D3131" w:rsidRPr="00F719E2">
        <w:rPr>
          <w:rFonts w:ascii="Garamond" w:hAnsi="Garamond" w:cs="Times New Roman"/>
          <w:sz w:val="24"/>
          <w:szCs w:val="24"/>
        </w:rPr>
        <w:t>policymakers ma</w:t>
      </w:r>
      <w:r w:rsidR="00773D6F" w:rsidRPr="00F719E2">
        <w:rPr>
          <w:rFonts w:ascii="Garamond" w:hAnsi="Garamond" w:cs="Times New Roman"/>
          <w:sz w:val="24"/>
          <w:szCs w:val="24"/>
        </w:rPr>
        <w:t>y</w:t>
      </w:r>
      <w:r w:rsidR="001D3131" w:rsidRPr="00F719E2">
        <w:rPr>
          <w:rFonts w:ascii="Garamond" w:hAnsi="Garamond" w:cs="Times New Roman"/>
          <w:sz w:val="24"/>
          <w:szCs w:val="24"/>
        </w:rPr>
        <w:t xml:space="preserve"> be interested in or should keep in mind when </w:t>
      </w:r>
      <w:r w:rsidR="0071765D" w:rsidRPr="00F719E2">
        <w:rPr>
          <w:rFonts w:ascii="Garamond" w:hAnsi="Garamond" w:cs="Times New Roman"/>
          <w:sz w:val="24"/>
          <w:szCs w:val="24"/>
        </w:rPr>
        <w:t xml:space="preserve">interpreting </w:t>
      </w:r>
      <w:r w:rsidR="00605C4E">
        <w:rPr>
          <w:rFonts w:ascii="Garamond" w:hAnsi="Garamond" w:cs="Times New Roman"/>
          <w:sz w:val="24"/>
          <w:szCs w:val="24"/>
        </w:rPr>
        <w:t>this</w:t>
      </w:r>
      <w:r w:rsidR="0071765D" w:rsidRPr="00F719E2">
        <w:rPr>
          <w:rFonts w:ascii="Garamond" w:hAnsi="Garamond" w:cs="Times New Roman"/>
          <w:sz w:val="24"/>
          <w:szCs w:val="24"/>
        </w:rPr>
        <w:t xml:space="preserve"> result. </w:t>
      </w:r>
      <w:r w:rsidR="00756E93" w:rsidRPr="00F719E2">
        <w:rPr>
          <w:rFonts w:ascii="Garamond" w:hAnsi="Garamond" w:cs="Times New Roman"/>
          <w:sz w:val="24"/>
          <w:szCs w:val="24"/>
        </w:rPr>
        <w:t xml:space="preserve">First, </w:t>
      </w:r>
      <w:r w:rsidR="00ED4B6E" w:rsidRPr="00F719E2">
        <w:rPr>
          <w:rFonts w:ascii="Garamond" w:hAnsi="Garamond" w:cs="Times New Roman"/>
          <w:sz w:val="24"/>
          <w:szCs w:val="24"/>
        </w:rPr>
        <w:t xml:space="preserve">data limitations prevent us from answering certain questions. </w:t>
      </w:r>
      <w:r w:rsidR="000D140D" w:rsidRPr="00F719E2">
        <w:rPr>
          <w:rFonts w:ascii="Garamond" w:hAnsi="Garamond" w:cs="Times New Roman"/>
          <w:sz w:val="24"/>
          <w:szCs w:val="24"/>
        </w:rPr>
        <w:t xml:space="preserve">For instance, </w:t>
      </w:r>
      <w:r w:rsidR="0071765D" w:rsidRPr="00F719E2">
        <w:rPr>
          <w:rFonts w:ascii="Garamond" w:hAnsi="Garamond" w:cs="Times New Roman"/>
          <w:sz w:val="24"/>
          <w:szCs w:val="24"/>
        </w:rPr>
        <w:t xml:space="preserve">we </w:t>
      </w:r>
      <w:r w:rsidR="002B30C4" w:rsidRPr="00F719E2">
        <w:rPr>
          <w:rFonts w:ascii="Garamond" w:hAnsi="Garamond" w:cs="Times New Roman"/>
          <w:sz w:val="24"/>
          <w:szCs w:val="24"/>
        </w:rPr>
        <w:t>can</w:t>
      </w:r>
      <w:r w:rsidR="0071765D" w:rsidRPr="00F719E2">
        <w:rPr>
          <w:rFonts w:ascii="Garamond" w:hAnsi="Garamond" w:cs="Times New Roman"/>
          <w:sz w:val="24"/>
          <w:szCs w:val="24"/>
        </w:rPr>
        <w:t xml:space="preserve">not </w:t>
      </w:r>
      <w:r w:rsidR="00FF257F" w:rsidRPr="00F719E2">
        <w:rPr>
          <w:rFonts w:ascii="Garamond" w:hAnsi="Garamond" w:cs="Times New Roman"/>
          <w:sz w:val="24"/>
          <w:szCs w:val="24"/>
        </w:rPr>
        <w:t>estimate the size of the teacher shortage in North Carolina</w:t>
      </w:r>
      <w:r w:rsidR="002B30C4" w:rsidRPr="00F719E2">
        <w:rPr>
          <w:rFonts w:ascii="Garamond" w:hAnsi="Garamond" w:cs="Times New Roman"/>
          <w:sz w:val="24"/>
          <w:szCs w:val="24"/>
        </w:rPr>
        <w:t xml:space="preserve"> because </w:t>
      </w:r>
      <w:r w:rsidR="000519A2" w:rsidRPr="00F719E2">
        <w:rPr>
          <w:rFonts w:ascii="Garamond" w:hAnsi="Garamond" w:cs="Times New Roman"/>
          <w:sz w:val="24"/>
          <w:szCs w:val="24"/>
        </w:rPr>
        <w:t>we do not have data on vacancies.</w:t>
      </w:r>
      <w:r w:rsidR="00340916" w:rsidRPr="00F719E2">
        <w:rPr>
          <w:rStyle w:val="FootnoteReference"/>
          <w:rFonts w:ascii="Garamond" w:hAnsi="Garamond" w:cs="Times New Roman"/>
          <w:sz w:val="24"/>
          <w:szCs w:val="24"/>
        </w:rPr>
        <w:footnoteReference w:id="7"/>
      </w:r>
      <w:r w:rsidR="00FF257F" w:rsidRPr="00F719E2">
        <w:rPr>
          <w:rFonts w:ascii="Garamond" w:hAnsi="Garamond" w:cs="Times New Roman"/>
          <w:sz w:val="24"/>
          <w:szCs w:val="24"/>
        </w:rPr>
        <w:t xml:space="preserve"> </w:t>
      </w:r>
      <w:r w:rsidR="000D140D" w:rsidRPr="00F719E2">
        <w:rPr>
          <w:rFonts w:ascii="Garamond" w:hAnsi="Garamond" w:cs="Times New Roman"/>
          <w:sz w:val="24"/>
          <w:szCs w:val="24"/>
        </w:rPr>
        <w:t xml:space="preserve">Thus, </w:t>
      </w:r>
      <w:r w:rsidR="00A01240" w:rsidRPr="00F719E2">
        <w:rPr>
          <w:rFonts w:ascii="Garamond" w:hAnsi="Garamond" w:cs="Times New Roman"/>
          <w:sz w:val="24"/>
          <w:szCs w:val="24"/>
        </w:rPr>
        <w:t>we</w:t>
      </w:r>
      <w:r w:rsidR="00FF6429" w:rsidRPr="00F719E2">
        <w:rPr>
          <w:rFonts w:ascii="Garamond" w:hAnsi="Garamond" w:cs="Times New Roman"/>
          <w:sz w:val="24"/>
          <w:szCs w:val="24"/>
        </w:rPr>
        <w:t xml:space="preserve"> </w:t>
      </w:r>
      <w:r w:rsidR="00A01240" w:rsidRPr="00F719E2">
        <w:rPr>
          <w:rFonts w:ascii="Garamond" w:hAnsi="Garamond" w:cs="Times New Roman"/>
          <w:sz w:val="24"/>
          <w:szCs w:val="24"/>
        </w:rPr>
        <w:t>do not know</w:t>
      </w:r>
      <w:r w:rsidR="00190142" w:rsidRPr="00F719E2">
        <w:rPr>
          <w:rFonts w:ascii="Garamond" w:hAnsi="Garamond" w:cs="Times New Roman"/>
          <w:sz w:val="24"/>
          <w:szCs w:val="24"/>
        </w:rPr>
        <w:t xml:space="preserve"> the degree to which </w:t>
      </w:r>
      <w:r w:rsidR="0069006B" w:rsidRPr="00F719E2">
        <w:rPr>
          <w:rFonts w:ascii="Garamond" w:hAnsi="Garamond" w:cs="Times New Roman"/>
          <w:sz w:val="24"/>
          <w:szCs w:val="24"/>
        </w:rPr>
        <w:t xml:space="preserve">the RTW policy offset </w:t>
      </w:r>
      <w:r w:rsidR="00A01240" w:rsidRPr="00F719E2">
        <w:rPr>
          <w:rFonts w:ascii="Garamond" w:hAnsi="Garamond" w:cs="Times New Roman"/>
          <w:sz w:val="24"/>
          <w:szCs w:val="24"/>
        </w:rPr>
        <w:t>the teacher sh</w:t>
      </w:r>
      <w:r w:rsidR="0069006B" w:rsidRPr="00F719E2">
        <w:rPr>
          <w:rFonts w:ascii="Garamond" w:hAnsi="Garamond" w:cs="Times New Roman"/>
          <w:sz w:val="24"/>
          <w:szCs w:val="24"/>
        </w:rPr>
        <w:t>ortage.</w:t>
      </w:r>
      <w:r w:rsidR="00B65C53" w:rsidRPr="00F719E2">
        <w:rPr>
          <w:rFonts w:ascii="Garamond" w:hAnsi="Garamond" w:cs="Times New Roman"/>
          <w:sz w:val="24"/>
          <w:szCs w:val="24"/>
        </w:rPr>
        <w:t xml:space="preserve"> We only know that many Baby Boomer teachers were </w:t>
      </w:r>
      <w:r w:rsidR="00190142" w:rsidRPr="00F719E2">
        <w:rPr>
          <w:rFonts w:ascii="Garamond" w:hAnsi="Garamond" w:cs="Times New Roman"/>
          <w:sz w:val="24"/>
          <w:szCs w:val="24"/>
        </w:rPr>
        <w:t>retiring</w:t>
      </w:r>
      <w:r w:rsidR="00F448A4" w:rsidRPr="00F719E2">
        <w:rPr>
          <w:rFonts w:ascii="Garamond" w:hAnsi="Garamond" w:cs="Times New Roman"/>
          <w:sz w:val="24"/>
          <w:szCs w:val="24"/>
        </w:rPr>
        <w:t xml:space="preserve"> </w:t>
      </w:r>
      <w:proofErr w:type="gramStart"/>
      <w:r w:rsidR="00F448A4" w:rsidRPr="00F719E2">
        <w:rPr>
          <w:rFonts w:ascii="Garamond" w:hAnsi="Garamond" w:cs="Times New Roman"/>
          <w:sz w:val="24"/>
          <w:szCs w:val="24"/>
        </w:rPr>
        <w:t>at this time</w:t>
      </w:r>
      <w:proofErr w:type="gramEnd"/>
      <w:r w:rsidR="00744918" w:rsidRPr="00F719E2">
        <w:rPr>
          <w:rFonts w:ascii="Garamond" w:hAnsi="Garamond" w:cs="Times New Roman"/>
          <w:sz w:val="24"/>
          <w:szCs w:val="24"/>
        </w:rPr>
        <w:t xml:space="preserve">, </w:t>
      </w:r>
      <w:r w:rsidR="00190142" w:rsidRPr="00F719E2">
        <w:rPr>
          <w:rFonts w:ascii="Garamond" w:hAnsi="Garamond" w:cs="Times New Roman"/>
          <w:sz w:val="24"/>
          <w:szCs w:val="24"/>
        </w:rPr>
        <w:t xml:space="preserve">and </w:t>
      </w:r>
      <w:r w:rsidR="00C53AB2" w:rsidRPr="00F719E2">
        <w:rPr>
          <w:rFonts w:ascii="Garamond" w:hAnsi="Garamond" w:cs="Times New Roman"/>
          <w:sz w:val="24"/>
          <w:szCs w:val="24"/>
        </w:rPr>
        <w:t xml:space="preserve">that </w:t>
      </w:r>
      <w:r w:rsidR="00190142" w:rsidRPr="00F719E2">
        <w:rPr>
          <w:rFonts w:ascii="Garamond" w:hAnsi="Garamond" w:cs="Times New Roman"/>
          <w:sz w:val="24"/>
          <w:szCs w:val="24"/>
        </w:rPr>
        <w:t>th</w:t>
      </w:r>
      <w:r w:rsidR="00F448A4" w:rsidRPr="00F719E2">
        <w:rPr>
          <w:rFonts w:ascii="Garamond" w:hAnsi="Garamond" w:cs="Times New Roman"/>
          <w:sz w:val="24"/>
          <w:szCs w:val="24"/>
        </w:rPr>
        <w:t xml:space="preserve">e </w:t>
      </w:r>
      <w:r w:rsidR="00190142" w:rsidRPr="00F719E2">
        <w:rPr>
          <w:rFonts w:ascii="Garamond" w:hAnsi="Garamond" w:cs="Times New Roman"/>
          <w:sz w:val="24"/>
          <w:szCs w:val="24"/>
        </w:rPr>
        <w:t>policy was able to bring some of them back.</w:t>
      </w:r>
      <w:r w:rsidR="000D140D" w:rsidRPr="00F719E2">
        <w:rPr>
          <w:rFonts w:ascii="Garamond" w:hAnsi="Garamond" w:cs="Times New Roman"/>
          <w:sz w:val="24"/>
          <w:szCs w:val="24"/>
        </w:rPr>
        <w:t xml:space="preserve"> </w:t>
      </w:r>
    </w:p>
    <w:p w14:paraId="3EFB0387" w14:textId="77777777" w:rsidR="00745890" w:rsidRDefault="003F55D5"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t>Another</w:t>
      </w:r>
      <w:r w:rsidR="00154C1A" w:rsidRPr="00F719E2">
        <w:rPr>
          <w:rFonts w:ascii="Garamond" w:hAnsi="Garamond" w:cs="Times New Roman"/>
          <w:sz w:val="24"/>
          <w:szCs w:val="24"/>
        </w:rPr>
        <w:t xml:space="preserve"> data</w:t>
      </w:r>
      <w:r w:rsidRPr="00F719E2">
        <w:rPr>
          <w:rFonts w:ascii="Garamond" w:hAnsi="Garamond" w:cs="Times New Roman"/>
          <w:sz w:val="24"/>
          <w:szCs w:val="24"/>
        </w:rPr>
        <w:t xml:space="preserve"> </w:t>
      </w:r>
      <w:r w:rsidR="00C6333E" w:rsidRPr="00F719E2">
        <w:rPr>
          <w:rFonts w:ascii="Garamond" w:hAnsi="Garamond" w:cs="Times New Roman"/>
          <w:sz w:val="24"/>
          <w:szCs w:val="24"/>
        </w:rPr>
        <w:t>limitation</w:t>
      </w:r>
      <w:r w:rsidR="000B64F4" w:rsidRPr="00F719E2">
        <w:rPr>
          <w:rFonts w:ascii="Garamond" w:hAnsi="Garamond" w:cs="Times New Roman"/>
          <w:sz w:val="24"/>
          <w:szCs w:val="24"/>
        </w:rPr>
        <w:t xml:space="preserve"> is that we </w:t>
      </w:r>
      <w:r w:rsidR="001337DC" w:rsidRPr="00F719E2">
        <w:rPr>
          <w:rFonts w:ascii="Garamond" w:hAnsi="Garamond" w:cs="Times New Roman"/>
          <w:sz w:val="24"/>
          <w:szCs w:val="24"/>
        </w:rPr>
        <w:t xml:space="preserve">do not know </w:t>
      </w:r>
      <w:r w:rsidR="00415350" w:rsidRPr="00F719E2">
        <w:rPr>
          <w:rFonts w:ascii="Garamond" w:hAnsi="Garamond" w:cs="Times New Roman"/>
          <w:sz w:val="24"/>
          <w:szCs w:val="24"/>
        </w:rPr>
        <w:t xml:space="preserve">who </w:t>
      </w:r>
      <w:r w:rsidR="005F14C6" w:rsidRPr="00F719E2">
        <w:rPr>
          <w:rFonts w:ascii="Garamond" w:hAnsi="Garamond" w:cs="Times New Roman"/>
          <w:sz w:val="24"/>
          <w:szCs w:val="24"/>
        </w:rPr>
        <w:t xml:space="preserve">would have taught in place of RTW teachers </w:t>
      </w:r>
      <w:r w:rsidR="00706F08" w:rsidRPr="00F719E2">
        <w:rPr>
          <w:rFonts w:ascii="Garamond" w:hAnsi="Garamond" w:cs="Times New Roman"/>
          <w:sz w:val="24"/>
          <w:szCs w:val="24"/>
        </w:rPr>
        <w:t>absent</w:t>
      </w:r>
      <w:r w:rsidR="005F14C6" w:rsidRPr="00F719E2">
        <w:rPr>
          <w:rFonts w:ascii="Garamond" w:hAnsi="Garamond" w:cs="Times New Roman"/>
          <w:sz w:val="24"/>
          <w:szCs w:val="24"/>
        </w:rPr>
        <w:t xml:space="preserve"> the policy</w:t>
      </w:r>
      <w:r w:rsidR="00415350" w:rsidRPr="00F719E2">
        <w:rPr>
          <w:rFonts w:ascii="Garamond" w:hAnsi="Garamond" w:cs="Times New Roman"/>
          <w:sz w:val="24"/>
          <w:szCs w:val="24"/>
        </w:rPr>
        <w:t xml:space="preserve">. </w:t>
      </w:r>
      <w:r w:rsidR="00FC6FF0" w:rsidRPr="00F719E2">
        <w:rPr>
          <w:rFonts w:ascii="Garamond" w:hAnsi="Garamond" w:cs="Times New Roman"/>
          <w:sz w:val="24"/>
          <w:szCs w:val="24"/>
        </w:rPr>
        <w:t>We</w:t>
      </w:r>
      <w:r w:rsidR="00415350" w:rsidRPr="00F719E2">
        <w:rPr>
          <w:rFonts w:ascii="Garamond" w:hAnsi="Garamond" w:cs="Times New Roman"/>
          <w:sz w:val="24"/>
          <w:szCs w:val="24"/>
        </w:rPr>
        <w:t xml:space="preserve"> </w:t>
      </w:r>
      <w:r w:rsidR="001337DC" w:rsidRPr="00F719E2">
        <w:rPr>
          <w:rFonts w:ascii="Garamond" w:hAnsi="Garamond" w:cs="Times New Roman"/>
          <w:sz w:val="24"/>
          <w:szCs w:val="24"/>
        </w:rPr>
        <w:t xml:space="preserve">cannot </w:t>
      </w:r>
      <w:r w:rsidR="00121E7A" w:rsidRPr="00F719E2">
        <w:rPr>
          <w:rFonts w:ascii="Garamond" w:hAnsi="Garamond" w:cs="Times New Roman"/>
          <w:sz w:val="24"/>
          <w:szCs w:val="24"/>
        </w:rPr>
        <w:t xml:space="preserve">easily </w:t>
      </w:r>
      <w:r w:rsidR="001337DC" w:rsidRPr="00F719E2">
        <w:rPr>
          <w:rFonts w:ascii="Garamond" w:hAnsi="Garamond" w:cs="Times New Roman"/>
          <w:sz w:val="24"/>
          <w:szCs w:val="24"/>
        </w:rPr>
        <w:t xml:space="preserve">infer a counterfactual </w:t>
      </w:r>
      <w:r w:rsidR="00FC6FF0" w:rsidRPr="00F719E2">
        <w:rPr>
          <w:rFonts w:ascii="Garamond" w:hAnsi="Garamond" w:cs="Times New Roman"/>
          <w:sz w:val="24"/>
          <w:szCs w:val="24"/>
        </w:rPr>
        <w:t xml:space="preserve">because RTW teachers </w:t>
      </w:r>
      <w:r w:rsidR="00B66B94" w:rsidRPr="00F719E2">
        <w:rPr>
          <w:rFonts w:ascii="Garamond" w:hAnsi="Garamond" w:cs="Times New Roman"/>
          <w:sz w:val="24"/>
          <w:szCs w:val="24"/>
        </w:rPr>
        <w:t xml:space="preserve">were not randomly assigned to classrooms and the </w:t>
      </w:r>
      <w:r w:rsidR="00DF6313" w:rsidRPr="00F719E2">
        <w:rPr>
          <w:rFonts w:ascii="Garamond" w:hAnsi="Garamond" w:cs="Times New Roman"/>
          <w:sz w:val="24"/>
          <w:szCs w:val="24"/>
        </w:rPr>
        <w:t xml:space="preserve">structure of the policy does </w:t>
      </w:r>
      <w:r w:rsidR="0084354A" w:rsidRPr="00F719E2">
        <w:rPr>
          <w:rFonts w:ascii="Garamond" w:hAnsi="Garamond" w:cs="Times New Roman"/>
          <w:sz w:val="24"/>
          <w:szCs w:val="24"/>
        </w:rPr>
        <w:t>not provide a natural experiment</w:t>
      </w:r>
      <w:r w:rsidR="00A54D3B" w:rsidRPr="00F719E2">
        <w:rPr>
          <w:rFonts w:ascii="Garamond" w:hAnsi="Garamond" w:cs="Times New Roman"/>
          <w:sz w:val="24"/>
          <w:szCs w:val="24"/>
        </w:rPr>
        <w:t xml:space="preserve"> for us to exploit</w:t>
      </w:r>
      <w:r w:rsidR="0084354A" w:rsidRPr="00F719E2">
        <w:rPr>
          <w:rFonts w:ascii="Garamond" w:hAnsi="Garamond" w:cs="Times New Roman"/>
          <w:sz w:val="24"/>
          <w:szCs w:val="24"/>
        </w:rPr>
        <w:t xml:space="preserve">. </w:t>
      </w:r>
      <w:r w:rsidR="004B59CF" w:rsidRPr="00F719E2">
        <w:rPr>
          <w:rFonts w:ascii="Garamond" w:hAnsi="Garamond" w:cs="Times New Roman"/>
          <w:sz w:val="24"/>
          <w:szCs w:val="24"/>
        </w:rPr>
        <w:t xml:space="preserve">This makes it difficult for us to </w:t>
      </w:r>
      <w:r w:rsidR="00FD116F" w:rsidRPr="00F719E2">
        <w:rPr>
          <w:rFonts w:ascii="Garamond" w:hAnsi="Garamond" w:cs="Times New Roman"/>
          <w:sz w:val="24"/>
          <w:szCs w:val="24"/>
        </w:rPr>
        <w:t>get an estimate of the potential benefits of the policy (e.g.,</w:t>
      </w:r>
      <w:r w:rsidR="00F20779" w:rsidRPr="00F719E2">
        <w:rPr>
          <w:rFonts w:ascii="Garamond" w:hAnsi="Garamond" w:cs="Times New Roman"/>
          <w:sz w:val="24"/>
          <w:szCs w:val="24"/>
        </w:rPr>
        <w:t xml:space="preserve"> </w:t>
      </w:r>
      <w:r w:rsidR="00FD116F" w:rsidRPr="00F719E2">
        <w:rPr>
          <w:rFonts w:ascii="Garamond" w:hAnsi="Garamond" w:cs="Times New Roman"/>
          <w:sz w:val="24"/>
          <w:szCs w:val="24"/>
        </w:rPr>
        <w:t>the effect of RTW teachers on student achievement)</w:t>
      </w:r>
      <w:r w:rsidR="00244DAA" w:rsidRPr="00F719E2">
        <w:rPr>
          <w:rFonts w:ascii="Garamond" w:hAnsi="Garamond" w:cs="Times New Roman"/>
          <w:sz w:val="24"/>
          <w:szCs w:val="24"/>
        </w:rPr>
        <w:t xml:space="preserve"> and </w:t>
      </w:r>
      <w:r w:rsidR="005C387F" w:rsidRPr="00F719E2">
        <w:rPr>
          <w:rFonts w:ascii="Garamond" w:hAnsi="Garamond" w:cs="Times New Roman"/>
          <w:sz w:val="24"/>
          <w:szCs w:val="24"/>
        </w:rPr>
        <w:t xml:space="preserve">conduct a cost-benefit analysis. </w:t>
      </w:r>
      <w:r w:rsidR="00A33B97" w:rsidRPr="00F719E2">
        <w:rPr>
          <w:rFonts w:ascii="Garamond" w:hAnsi="Garamond" w:cs="Times New Roman"/>
          <w:sz w:val="24"/>
          <w:szCs w:val="24"/>
        </w:rPr>
        <w:t xml:space="preserve">As an exercise, we </w:t>
      </w:r>
      <w:r w:rsidR="0035217D" w:rsidRPr="00F719E2">
        <w:rPr>
          <w:rFonts w:ascii="Garamond" w:hAnsi="Garamond" w:cs="Times New Roman"/>
          <w:sz w:val="24"/>
          <w:szCs w:val="24"/>
        </w:rPr>
        <w:t>think about the cost differential</w:t>
      </w:r>
      <w:r w:rsidR="00B945AC" w:rsidRPr="00F719E2">
        <w:rPr>
          <w:rFonts w:ascii="Garamond" w:hAnsi="Garamond" w:cs="Times New Roman"/>
          <w:sz w:val="24"/>
          <w:szCs w:val="24"/>
        </w:rPr>
        <w:t>s</w:t>
      </w:r>
      <w:r w:rsidR="0035217D" w:rsidRPr="00F719E2">
        <w:rPr>
          <w:rFonts w:ascii="Garamond" w:hAnsi="Garamond" w:cs="Times New Roman"/>
          <w:sz w:val="24"/>
          <w:szCs w:val="24"/>
        </w:rPr>
        <w:t xml:space="preserve"> if a novice teacher </w:t>
      </w:r>
      <w:r w:rsidR="00B945AC" w:rsidRPr="00F719E2">
        <w:rPr>
          <w:rFonts w:ascii="Garamond" w:hAnsi="Garamond" w:cs="Times New Roman"/>
          <w:sz w:val="24"/>
          <w:szCs w:val="24"/>
        </w:rPr>
        <w:t xml:space="preserve">or another highly experienced teacher </w:t>
      </w:r>
      <w:r w:rsidR="0035217D" w:rsidRPr="00F719E2">
        <w:rPr>
          <w:rFonts w:ascii="Garamond" w:hAnsi="Garamond" w:cs="Times New Roman"/>
          <w:sz w:val="24"/>
          <w:szCs w:val="24"/>
        </w:rPr>
        <w:t>w</w:t>
      </w:r>
      <w:r w:rsidR="001C1F95" w:rsidRPr="00F719E2">
        <w:rPr>
          <w:rFonts w:ascii="Garamond" w:hAnsi="Garamond" w:cs="Times New Roman"/>
          <w:sz w:val="24"/>
          <w:szCs w:val="24"/>
        </w:rPr>
        <w:t>as</w:t>
      </w:r>
      <w:r w:rsidR="0035217D" w:rsidRPr="00F719E2">
        <w:rPr>
          <w:rFonts w:ascii="Garamond" w:hAnsi="Garamond" w:cs="Times New Roman"/>
          <w:sz w:val="24"/>
          <w:szCs w:val="24"/>
        </w:rPr>
        <w:t xml:space="preserve"> hired instead of a RTW teacher.</w:t>
      </w:r>
      <w:r w:rsidR="001C1F95" w:rsidRPr="00F719E2">
        <w:rPr>
          <w:rFonts w:ascii="Garamond" w:hAnsi="Garamond" w:cs="Times New Roman"/>
          <w:sz w:val="24"/>
          <w:szCs w:val="24"/>
        </w:rPr>
        <w:t xml:space="preserve"> </w:t>
      </w:r>
      <w:r w:rsidR="00CE4E62" w:rsidRPr="00F719E2">
        <w:rPr>
          <w:rFonts w:ascii="Garamond" w:hAnsi="Garamond" w:cs="Times New Roman"/>
          <w:sz w:val="24"/>
          <w:szCs w:val="24"/>
        </w:rPr>
        <w:t>If a novice teacher was hired instead</w:t>
      </w:r>
      <w:r w:rsidR="0035217D" w:rsidRPr="00F719E2">
        <w:rPr>
          <w:rFonts w:ascii="Garamond" w:hAnsi="Garamond" w:cs="Times New Roman"/>
          <w:sz w:val="24"/>
          <w:szCs w:val="24"/>
        </w:rPr>
        <w:t xml:space="preserve">, </w:t>
      </w:r>
      <w:r w:rsidR="00CE4E62" w:rsidRPr="00F719E2">
        <w:rPr>
          <w:rFonts w:ascii="Garamond" w:hAnsi="Garamond" w:cs="Times New Roman"/>
          <w:sz w:val="24"/>
          <w:szCs w:val="24"/>
        </w:rPr>
        <w:t xml:space="preserve">the school district would pay out a lower salary plus health benefits, </w:t>
      </w:r>
      <w:r w:rsidR="00BF0AAF">
        <w:rPr>
          <w:rFonts w:ascii="Garamond" w:hAnsi="Garamond" w:cs="Times New Roman"/>
          <w:sz w:val="24"/>
          <w:szCs w:val="24"/>
        </w:rPr>
        <w:t>b</w:t>
      </w:r>
      <w:r w:rsidR="002F6D95">
        <w:rPr>
          <w:rFonts w:ascii="Garamond" w:hAnsi="Garamond" w:cs="Times New Roman"/>
          <w:sz w:val="24"/>
          <w:szCs w:val="24"/>
        </w:rPr>
        <w:t xml:space="preserve">ut </w:t>
      </w:r>
      <w:r w:rsidR="00CE4E62" w:rsidRPr="00F719E2">
        <w:rPr>
          <w:rFonts w:ascii="Garamond" w:hAnsi="Garamond" w:cs="Times New Roman"/>
          <w:sz w:val="24"/>
          <w:szCs w:val="24"/>
        </w:rPr>
        <w:t>the RTW teacher</w:t>
      </w:r>
      <w:r w:rsidR="002F6D95">
        <w:rPr>
          <w:rFonts w:ascii="Garamond" w:hAnsi="Garamond" w:cs="Times New Roman"/>
          <w:sz w:val="24"/>
          <w:szCs w:val="24"/>
        </w:rPr>
        <w:t xml:space="preserve"> would still get an</w:t>
      </w:r>
      <w:r w:rsidR="00CE4E62" w:rsidRPr="00F719E2">
        <w:rPr>
          <w:rFonts w:ascii="Garamond" w:hAnsi="Garamond" w:cs="Times New Roman"/>
          <w:sz w:val="24"/>
          <w:szCs w:val="24"/>
        </w:rPr>
        <w:t xml:space="preserve"> annuity and health benefits. If the district hired the RTW teacher, </w:t>
      </w:r>
      <w:r w:rsidR="002501CD">
        <w:rPr>
          <w:rFonts w:ascii="Garamond" w:hAnsi="Garamond" w:cs="Times New Roman"/>
          <w:sz w:val="24"/>
          <w:szCs w:val="24"/>
        </w:rPr>
        <w:t xml:space="preserve">the district </w:t>
      </w:r>
      <w:r w:rsidR="00CE4E62" w:rsidRPr="00F719E2">
        <w:rPr>
          <w:rFonts w:ascii="Garamond" w:hAnsi="Garamond" w:cs="Times New Roman"/>
          <w:sz w:val="24"/>
          <w:szCs w:val="24"/>
        </w:rPr>
        <w:t>would pay a higher salary plus her annuity and health benefits. Thus, the cost of hiring a RTW teacher rather than a novice teacher is</w:t>
      </w:r>
      <w:r w:rsidR="002501CD">
        <w:rPr>
          <w:rFonts w:ascii="Garamond" w:hAnsi="Garamond" w:cs="Times New Roman"/>
          <w:sz w:val="24"/>
          <w:szCs w:val="24"/>
        </w:rPr>
        <w:t xml:space="preserve"> not the annuity</w:t>
      </w:r>
      <w:r w:rsidR="00C1688D">
        <w:rPr>
          <w:rFonts w:ascii="Garamond" w:hAnsi="Garamond" w:cs="Times New Roman"/>
          <w:sz w:val="24"/>
          <w:szCs w:val="24"/>
        </w:rPr>
        <w:t xml:space="preserve"> – because this would be paid regardless. Instead, it is</w:t>
      </w:r>
      <w:r w:rsidR="00CE4E62" w:rsidRPr="00F719E2">
        <w:rPr>
          <w:rFonts w:ascii="Garamond" w:hAnsi="Garamond" w:cs="Times New Roman"/>
          <w:sz w:val="24"/>
          <w:szCs w:val="24"/>
        </w:rPr>
        <w:t xml:space="preserve"> the difference </w:t>
      </w:r>
      <w:r w:rsidR="00CE4E62" w:rsidRPr="00F719E2">
        <w:rPr>
          <w:rFonts w:ascii="Garamond" w:hAnsi="Garamond" w:cs="Times New Roman"/>
          <w:sz w:val="24"/>
          <w:szCs w:val="24"/>
        </w:rPr>
        <w:lastRenderedPageBreak/>
        <w:t>between the two teachers’ salaries minus the amount that would have been paid for the novice’s health benefits</w:t>
      </w:r>
      <w:r w:rsidR="00C1688D">
        <w:rPr>
          <w:rFonts w:ascii="Garamond" w:hAnsi="Garamond" w:cs="Times New Roman"/>
          <w:sz w:val="24"/>
          <w:szCs w:val="24"/>
        </w:rPr>
        <w:t>.</w:t>
      </w:r>
      <w:r w:rsidR="00CE4E62" w:rsidRPr="00F719E2">
        <w:rPr>
          <w:rFonts w:ascii="Garamond" w:hAnsi="Garamond" w:cs="Times New Roman"/>
          <w:sz w:val="24"/>
          <w:szCs w:val="24"/>
        </w:rPr>
        <w:t xml:space="preserve"> To some degree, this </w:t>
      </w:r>
      <w:r w:rsidR="00C1688D">
        <w:rPr>
          <w:rFonts w:ascii="Garamond" w:hAnsi="Garamond" w:cs="Times New Roman"/>
          <w:sz w:val="24"/>
          <w:szCs w:val="24"/>
        </w:rPr>
        <w:t>additional</w:t>
      </w:r>
      <w:r w:rsidR="00CE4E62" w:rsidRPr="00F719E2">
        <w:rPr>
          <w:rFonts w:ascii="Garamond" w:hAnsi="Garamond" w:cs="Times New Roman"/>
          <w:sz w:val="24"/>
          <w:szCs w:val="24"/>
        </w:rPr>
        <w:t xml:space="preserve"> cost is likely mitigated by the fact that more experienced teachers are generally more effective than novices.</w:t>
      </w:r>
      <w:r w:rsidR="00CE4E62" w:rsidRPr="00F719E2">
        <w:rPr>
          <w:rStyle w:val="FootnoteReference"/>
          <w:rFonts w:ascii="Garamond" w:hAnsi="Garamond" w:cs="Times New Roman"/>
          <w:sz w:val="24"/>
          <w:szCs w:val="24"/>
        </w:rPr>
        <w:footnoteReference w:id="8"/>
      </w:r>
      <w:r w:rsidR="00CE4E62" w:rsidRPr="00F719E2">
        <w:rPr>
          <w:rFonts w:ascii="Garamond" w:hAnsi="Garamond" w:cs="Times New Roman"/>
          <w:sz w:val="24"/>
          <w:szCs w:val="24"/>
        </w:rPr>
        <w:t xml:space="preserve"> Additionally, the cost differential may decline over time as the novice teacher gains experience and is paid a higher salary. An alternative scenario </w:t>
      </w:r>
      <w:r w:rsidR="00C1688D">
        <w:rPr>
          <w:rFonts w:ascii="Garamond" w:hAnsi="Garamond" w:cs="Times New Roman"/>
          <w:sz w:val="24"/>
          <w:szCs w:val="24"/>
        </w:rPr>
        <w:t xml:space="preserve">is </w:t>
      </w:r>
      <w:r w:rsidR="00CE4E62" w:rsidRPr="00F719E2">
        <w:rPr>
          <w:rFonts w:ascii="Garamond" w:hAnsi="Garamond" w:cs="Times New Roman"/>
          <w:sz w:val="24"/>
          <w:szCs w:val="24"/>
        </w:rPr>
        <w:t>that the school district hires another highly experienced, non-retired teacher instead of the RTW teacher. In this case, their salaries are likely similar</w:t>
      </w:r>
      <w:r w:rsidR="00880543">
        <w:rPr>
          <w:rFonts w:ascii="Garamond" w:hAnsi="Garamond" w:cs="Times New Roman"/>
          <w:sz w:val="24"/>
          <w:szCs w:val="24"/>
        </w:rPr>
        <w:t xml:space="preserve"> and wh</w:t>
      </w:r>
      <w:r w:rsidR="009C79F7">
        <w:rPr>
          <w:rFonts w:ascii="Garamond" w:hAnsi="Garamond" w:cs="Times New Roman"/>
          <w:sz w:val="24"/>
          <w:szCs w:val="24"/>
        </w:rPr>
        <w:t xml:space="preserve">ich teacher would be the better hire </w:t>
      </w:r>
      <w:r w:rsidR="00392802">
        <w:rPr>
          <w:rFonts w:ascii="Garamond" w:hAnsi="Garamond" w:cs="Times New Roman"/>
          <w:sz w:val="24"/>
          <w:szCs w:val="24"/>
        </w:rPr>
        <w:t xml:space="preserve">depends on their </w:t>
      </w:r>
      <w:r w:rsidR="00745890">
        <w:rPr>
          <w:rFonts w:ascii="Garamond" w:hAnsi="Garamond" w:cs="Times New Roman"/>
          <w:sz w:val="24"/>
          <w:szCs w:val="24"/>
        </w:rPr>
        <w:t>relative quality.</w:t>
      </w:r>
    </w:p>
    <w:p w14:paraId="4FC08FC5" w14:textId="608E4DBD" w:rsidR="0075734A" w:rsidRDefault="00745890" w:rsidP="00C6646B">
      <w:pPr>
        <w:spacing w:after="0" w:line="480" w:lineRule="auto"/>
        <w:ind w:firstLine="720"/>
        <w:rPr>
          <w:rFonts w:ascii="Garamond" w:hAnsi="Garamond" w:cs="Times New Roman"/>
          <w:sz w:val="24"/>
          <w:szCs w:val="24"/>
        </w:rPr>
      </w:pPr>
      <w:r>
        <w:rPr>
          <w:rFonts w:ascii="Garamond" w:hAnsi="Garamond" w:cs="Times New Roman"/>
          <w:sz w:val="24"/>
          <w:szCs w:val="24"/>
        </w:rPr>
        <w:t>Se</w:t>
      </w:r>
      <w:r w:rsidR="00983FCE" w:rsidRPr="00F719E2">
        <w:rPr>
          <w:rFonts w:ascii="Garamond" w:hAnsi="Garamond" w:cs="Times New Roman"/>
          <w:sz w:val="24"/>
          <w:szCs w:val="24"/>
        </w:rPr>
        <w:t>cond</w:t>
      </w:r>
      <w:r w:rsidR="00FA6250" w:rsidRPr="00F719E2">
        <w:rPr>
          <w:rFonts w:ascii="Garamond" w:hAnsi="Garamond" w:cs="Times New Roman"/>
          <w:sz w:val="24"/>
          <w:szCs w:val="24"/>
        </w:rPr>
        <w:t xml:space="preserve">, </w:t>
      </w:r>
      <w:r w:rsidR="00B06C0E" w:rsidRPr="00F719E2">
        <w:rPr>
          <w:rFonts w:ascii="Garamond" w:hAnsi="Garamond" w:cs="Times New Roman"/>
          <w:sz w:val="24"/>
          <w:szCs w:val="24"/>
        </w:rPr>
        <w:t xml:space="preserve">the policy may have </w:t>
      </w:r>
      <w:r w:rsidR="002770D8" w:rsidRPr="00F719E2">
        <w:rPr>
          <w:rFonts w:ascii="Garamond" w:hAnsi="Garamond" w:cs="Times New Roman"/>
          <w:sz w:val="24"/>
          <w:szCs w:val="24"/>
        </w:rPr>
        <w:t>un</w:t>
      </w:r>
      <w:r w:rsidR="00FE0B51" w:rsidRPr="00F719E2">
        <w:rPr>
          <w:rFonts w:ascii="Garamond" w:hAnsi="Garamond" w:cs="Times New Roman"/>
          <w:sz w:val="24"/>
          <w:szCs w:val="24"/>
        </w:rPr>
        <w:t>intended consequences</w:t>
      </w:r>
      <w:r w:rsidR="00CD7839" w:rsidRPr="00F719E2">
        <w:rPr>
          <w:rFonts w:ascii="Garamond" w:hAnsi="Garamond" w:cs="Times New Roman"/>
          <w:sz w:val="24"/>
          <w:szCs w:val="24"/>
        </w:rPr>
        <w:t xml:space="preserve">. We </w:t>
      </w:r>
      <w:r w:rsidR="009E68ED">
        <w:rPr>
          <w:rFonts w:ascii="Garamond" w:hAnsi="Garamond" w:cs="Times New Roman"/>
          <w:sz w:val="24"/>
          <w:szCs w:val="24"/>
        </w:rPr>
        <w:t xml:space="preserve">need to </w:t>
      </w:r>
      <w:r w:rsidR="00CD7839" w:rsidRPr="00F719E2">
        <w:rPr>
          <w:rFonts w:ascii="Garamond" w:hAnsi="Garamond" w:cs="Times New Roman"/>
          <w:sz w:val="24"/>
          <w:szCs w:val="24"/>
        </w:rPr>
        <w:t xml:space="preserve">think carefully about </w:t>
      </w:r>
      <w:r w:rsidR="00270068" w:rsidRPr="00F719E2">
        <w:rPr>
          <w:rFonts w:ascii="Garamond" w:hAnsi="Garamond" w:cs="Times New Roman"/>
          <w:sz w:val="24"/>
          <w:szCs w:val="24"/>
        </w:rPr>
        <w:t>potential incentives embedded in the policy</w:t>
      </w:r>
      <w:r w:rsidR="00FE0B51" w:rsidRPr="00F719E2">
        <w:rPr>
          <w:rFonts w:ascii="Garamond" w:hAnsi="Garamond" w:cs="Times New Roman"/>
          <w:sz w:val="24"/>
          <w:szCs w:val="24"/>
        </w:rPr>
        <w:t>, one of which is that</w:t>
      </w:r>
      <w:r w:rsidR="002C01A8" w:rsidRPr="00F719E2">
        <w:rPr>
          <w:rFonts w:ascii="Garamond" w:hAnsi="Garamond" w:cs="Times New Roman"/>
          <w:sz w:val="24"/>
          <w:szCs w:val="24"/>
        </w:rPr>
        <w:t xml:space="preserve"> </w:t>
      </w:r>
      <w:r w:rsidR="008B36DC" w:rsidRPr="00F719E2">
        <w:rPr>
          <w:rFonts w:ascii="Garamond" w:hAnsi="Garamond" w:cs="Times New Roman"/>
          <w:sz w:val="24"/>
          <w:szCs w:val="24"/>
        </w:rPr>
        <w:t>it</w:t>
      </w:r>
      <w:r w:rsidR="00270068" w:rsidRPr="00F719E2">
        <w:rPr>
          <w:rFonts w:ascii="Garamond" w:hAnsi="Garamond" w:cs="Times New Roman"/>
          <w:sz w:val="24"/>
          <w:szCs w:val="24"/>
        </w:rPr>
        <w:t xml:space="preserve"> </w:t>
      </w:r>
      <w:r w:rsidR="005D5898" w:rsidRPr="00F719E2">
        <w:rPr>
          <w:rFonts w:ascii="Garamond" w:hAnsi="Garamond" w:cs="Times New Roman"/>
          <w:sz w:val="24"/>
          <w:szCs w:val="24"/>
        </w:rPr>
        <w:t xml:space="preserve">may induce teachers to </w:t>
      </w:r>
      <w:r w:rsidR="002C01A8" w:rsidRPr="00F719E2">
        <w:rPr>
          <w:rFonts w:ascii="Garamond" w:hAnsi="Garamond" w:cs="Times New Roman"/>
          <w:sz w:val="24"/>
          <w:szCs w:val="24"/>
        </w:rPr>
        <w:t xml:space="preserve">retire earlier than they would have otherwise just to return </w:t>
      </w:r>
      <w:r w:rsidR="00570B08" w:rsidRPr="00F719E2">
        <w:rPr>
          <w:rFonts w:ascii="Garamond" w:hAnsi="Garamond" w:cs="Times New Roman"/>
          <w:sz w:val="24"/>
          <w:szCs w:val="24"/>
        </w:rPr>
        <w:t>and</w:t>
      </w:r>
      <w:r w:rsidR="00AD6767" w:rsidRPr="00F719E2">
        <w:rPr>
          <w:rFonts w:ascii="Garamond" w:hAnsi="Garamond" w:cs="Times New Roman"/>
          <w:sz w:val="24"/>
          <w:szCs w:val="24"/>
        </w:rPr>
        <w:t xml:space="preserve"> reap the</w:t>
      </w:r>
      <w:r w:rsidR="00A74CDA" w:rsidRPr="00F719E2">
        <w:rPr>
          <w:rFonts w:ascii="Garamond" w:hAnsi="Garamond" w:cs="Times New Roman"/>
          <w:sz w:val="24"/>
          <w:szCs w:val="24"/>
        </w:rPr>
        <w:t xml:space="preserve"> policy’s</w:t>
      </w:r>
      <w:r w:rsidR="00AD6767" w:rsidRPr="00F719E2">
        <w:rPr>
          <w:rFonts w:ascii="Garamond" w:hAnsi="Garamond" w:cs="Times New Roman"/>
          <w:sz w:val="24"/>
          <w:szCs w:val="24"/>
        </w:rPr>
        <w:t xml:space="preserve"> benefits. </w:t>
      </w:r>
      <w:r w:rsidR="001D0753" w:rsidRPr="00F719E2">
        <w:rPr>
          <w:rFonts w:ascii="Garamond" w:hAnsi="Garamond" w:cs="Times New Roman"/>
          <w:sz w:val="24"/>
          <w:szCs w:val="24"/>
        </w:rPr>
        <w:t>We do not formally test whether this</w:t>
      </w:r>
      <w:r w:rsidR="00C16A51" w:rsidRPr="00F719E2">
        <w:rPr>
          <w:rFonts w:ascii="Garamond" w:hAnsi="Garamond" w:cs="Times New Roman"/>
          <w:sz w:val="24"/>
          <w:szCs w:val="24"/>
        </w:rPr>
        <w:t xml:space="preserve"> occurred</w:t>
      </w:r>
      <w:r w:rsidR="0075734A">
        <w:rPr>
          <w:rFonts w:ascii="Garamond" w:hAnsi="Garamond" w:cs="Times New Roman"/>
          <w:sz w:val="24"/>
          <w:szCs w:val="24"/>
        </w:rPr>
        <w:t xml:space="preserve"> </w:t>
      </w:r>
      <w:r w:rsidR="001D0753" w:rsidRPr="00F719E2">
        <w:rPr>
          <w:rFonts w:ascii="Garamond" w:hAnsi="Garamond" w:cs="Times New Roman"/>
          <w:sz w:val="24"/>
          <w:szCs w:val="24"/>
        </w:rPr>
        <w:t>but</w:t>
      </w:r>
      <w:r w:rsidR="004B6764" w:rsidRPr="00F719E2">
        <w:rPr>
          <w:rFonts w:ascii="Garamond" w:hAnsi="Garamond" w:cs="Times New Roman"/>
          <w:sz w:val="24"/>
          <w:szCs w:val="24"/>
        </w:rPr>
        <w:t xml:space="preserve"> based on how teacher pension plans work in North Carolina, we think this kind of behavior was unlikely.</w:t>
      </w:r>
      <w:r w:rsidR="00C333ED" w:rsidRPr="00F719E2">
        <w:rPr>
          <w:rFonts w:ascii="Garamond" w:hAnsi="Garamond" w:cs="Times New Roman"/>
          <w:sz w:val="24"/>
          <w:szCs w:val="24"/>
        </w:rPr>
        <w:t xml:space="preserve"> North Carolina teachers are incentivized to retire at a relatively young age because of the state’s defined-benefit (DB) retirement plan. Like we described before, those who are 65 years old with five years of membership service (i.e.</w:t>
      </w:r>
      <w:r w:rsidR="00AC14DA" w:rsidRPr="00F719E2">
        <w:rPr>
          <w:rFonts w:ascii="Garamond" w:hAnsi="Garamond" w:cs="Times New Roman"/>
          <w:sz w:val="24"/>
          <w:szCs w:val="24"/>
        </w:rPr>
        <w:t>,</w:t>
      </w:r>
      <w:r w:rsidR="00C333ED" w:rsidRPr="00F719E2">
        <w:rPr>
          <w:rFonts w:ascii="Garamond" w:hAnsi="Garamond" w:cs="Times New Roman"/>
          <w:sz w:val="24"/>
          <w:szCs w:val="24"/>
        </w:rPr>
        <w:t xml:space="preserve"> five years with the Teachers’ and State Employees’ Retirement System), 60 years old with 25 years of service, or those with 30 years of service (at any age) could receive their full pension benefits immediately upon retirement (</w:t>
      </w:r>
      <w:proofErr w:type="spellStart"/>
      <w:r w:rsidR="00C333ED" w:rsidRPr="00F719E2">
        <w:rPr>
          <w:rFonts w:ascii="Garamond" w:hAnsi="Garamond" w:cs="Times New Roman"/>
          <w:sz w:val="24"/>
          <w:szCs w:val="24"/>
        </w:rPr>
        <w:t>Folwell</w:t>
      </w:r>
      <w:proofErr w:type="spellEnd"/>
      <w:r w:rsidR="00C333ED" w:rsidRPr="00F719E2">
        <w:rPr>
          <w:rFonts w:ascii="Garamond" w:hAnsi="Garamond" w:cs="Times New Roman"/>
          <w:sz w:val="24"/>
          <w:szCs w:val="24"/>
        </w:rPr>
        <w:t xml:space="preserve"> &amp; Toole, 2017). If they retire</w:t>
      </w:r>
      <w:r w:rsidR="001960EB" w:rsidRPr="00F719E2">
        <w:rPr>
          <w:rFonts w:ascii="Garamond" w:hAnsi="Garamond" w:cs="Times New Roman"/>
          <w:sz w:val="24"/>
          <w:szCs w:val="24"/>
        </w:rPr>
        <w:t>d</w:t>
      </w:r>
      <w:r w:rsidR="00C333ED" w:rsidRPr="00F719E2">
        <w:rPr>
          <w:rFonts w:ascii="Garamond" w:hAnsi="Garamond" w:cs="Times New Roman"/>
          <w:sz w:val="24"/>
          <w:szCs w:val="24"/>
        </w:rPr>
        <w:t xml:space="preserve"> without meeting these requirements, they would receive a reduced pension or </w:t>
      </w:r>
      <w:proofErr w:type="gramStart"/>
      <w:r w:rsidR="00C333ED" w:rsidRPr="00F719E2">
        <w:rPr>
          <w:rFonts w:ascii="Garamond" w:hAnsi="Garamond" w:cs="Times New Roman"/>
          <w:sz w:val="24"/>
          <w:szCs w:val="24"/>
        </w:rPr>
        <w:t>have to</w:t>
      </w:r>
      <w:proofErr w:type="gramEnd"/>
      <w:r w:rsidR="00C333ED" w:rsidRPr="00F719E2">
        <w:rPr>
          <w:rFonts w:ascii="Garamond" w:hAnsi="Garamond" w:cs="Times New Roman"/>
          <w:sz w:val="24"/>
          <w:szCs w:val="24"/>
        </w:rPr>
        <w:t xml:space="preserve"> wait before payments start, decreasing the incentive to retire. Once eligible for full benefits, the opportunity cost of working increase</w:t>
      </w:r>
      <w:r w:rsidR="0048513B" w:rsidRPr="00F719E2">
        <w:rPr>
          <w:rFonts w:ascii="Garamond" w:hAnsi="Garamond" w:cs="Times New Roman"/>
          <w:sz w:val="24"/>
          <w:szCs w:val="24"/>
        </w:rPr>
        <w:t>s</w:t>
      </w:r>
      <w:r w:rsidR="00C333ED" w:rsidRPr="00F719E2">
        <w:rPr>
          <w:rFonts w:ascii="Garamond" w:hAnsi="Garamond" w:cs="Times New Roman"/>
          <w:sz w:val="24"/>
          <w:szCs w:val="24"/>
        </w:rPr>
        <w:t xml:space="preserve"> due to forgoing pension benefits, increasing the incentive to retire (</w:t>
      </w:r>
      <w:proofErr w:type="spellStart"/>
      <w:r w:rsidR="00C333ED" w:rsidRPr="00F719E2">
        <w:rPr>
          <w:rFonts w:ascii="Garamond" w:hAnsi="Garamond" w:cs="Times New Roman"/>
          <w:sz w:val="24"/>
          <w:szCs w:val="24"/>
        </w:rPr>
        <w:t>Costrell</w:t>
      </w:r>
      <w:proofErr w:type="spellEnd"/>
      <w:r w:rsidR="00C333ED" w:rsidRPr="00F719E2">
        <w:rPr>
          <w:rFonts w:ascii="Garamond" w:hAnsi="Garamond" w:cs="Times New Roman"/>
          <w:sz w:val="24"/>
          <w:szCs w:val="24"/>
        </w:rPr>
        <w:t xml:space="preserve"> &amp; </w:t>
      </w:r>
      <w:proofErr w:type="spellStart"/>
      <w:r w:rsidR="00C333ED" w:rsidRPr="00F719E2">
        <w:rPr>
          <w:rFonts w:ascii="Garamond" w:hAnsi="Garamond" w:cs="Times New Roman"/>
          <w:sz w:val="24"/>
          <w:szCs w:val="24"/>
        </w:rPr>
        <w:t>Podgursky</w:t>
      </w:r>
      <w:proofErr w:type="spellEnd"/>
      <w:r w:rsidR="00C333ED" w:rsidRPr="00F719E2">
        <w:rPr>
          <w:rFonts w:ascii="Garamond" w:hAnsi="Garamond" w:cs="Times New Roman"/>
          <w:sz w:val="24"/>
          <w:szCs w:val="24"/>
        </w:rPr>
        <w:t>, 2009). This structure both compels teachers to stay until they are eligible for full benefits and pushes them to leave after they become eligible (</w:t>
      </w:r>
      <w:proofErr w:type="spellStart"/>
      <w:r w:rsidR="00C333ED" w:rsidRPr="00F719E2">
        <w:rPr>
          <w:rFonts w:ascii="Garamond" w:hAnsi="Garamond" w:cs="Times New Roman"/>
          <w:sz w:val="24"/>
          <w:szCs w:val="24"/>
        </w:rPr>
        <w:t>Costrell</w:t>
      </w:r>
      <w:proofErr w:type="spellEnd"/>
      <w:r w:rsidR="00C333ED" w:rsidRPr="00F719E2">
        <w:rPr>
          <w:rFonts w:ascii="Garamond" w:hAnsi="Garamond" w:cs="Times New Roman"/>
          <w:sz w:val="24"/>
          <w:szCs w:val="24"/>
        </w:rPr>
        <w:t xml:space="preserve"> &amp; McGee, 2010). </w:t>
      </w:r>
    </w:p>
    <w:p w14:paraId="1B4F3286" w14:textId="77777777" w:rsidR="007B17FB" w:rsidRDefault="004D3331" w:rsidP="00C6646B">
      <w:pPr>
        <w:spacing w:after="0" w:line="480" w:lineRule="auto"/>
        <w:ind w:firstLine="720"/>
        <w:rPr>
          <w:rFonts w:ascii="Garamond" w:hAnsi="Garamond" w:cs="Times New Roman"/>
          <w:sz w:val="24"/>
          <w:szCs w:val="24"/>
        </w:rPr>
      </w:pPr>
      <w:r w:rsidRPr="00F719E2">
        <w:rPr>
          <w:rFonts w:ascii="Garamond" w:hAnsi="Garamond" w:cs="Times New Roman"/>
          <w:sz w:val="24"/>
          <w:szCs w:val="24"/>
        </w:rPr>
        <w:lastRenderedPageBreak/>
        <w:t xml:space="preserve">Figure </w:t>
      </w:r>
      <w:r w:rsidR="00333083" w:rsidRPr="00F719E2">
        <w:rPr>
          <w:rFonts w:ascii="Garamond" w:hAnsi="Garamond" w:cs="Times New Roman"/>
          <w:sz w:val="24"/>
          <w:szCs w:val="24"/>
        </w:rPr>
        <w:t>3 shows the distribution of teacher experience for all full-time teachers</w:t>
      </w:r>
      <w:r w:rsidR="001C3946">
        <w:rPr>
          <w:rFonts w:ascii="Garamond" w:hAnsi="Garamond" w:cs="Times New Roman"/>
          <w:sz w:val="24"/>
          <w:szCs w:val="24"/>
        </w:rPr>
        <w:t xml:space="preserve"> before the RTW policy</w:t>
      </w:r>
      <w:r w:rsidR="004D4D88" w:rsidRPr="00F719E2">
        <w:rPr>
          <w:rFonts w:ascii="Garamond" w:hAnsi="Garamond" w:cs="Times New Roman"/>
          <w:sz w:val="24"/>
          <w:szCs w:val="24"/>
        </w:rPr>
        <w:t xml:space="preserve"> in panel (a). </w:t>
      </w:r>
      <w:r w:rsidR="00384B5B" w:rsidRPr="00F719E2">
        <w:rPr>
          <w:rFonts w:ascii="Garamond" w:hAnsi="Garamond" w:cs="Times New Roman"/>
          <w:sz w:val="24"/>
          <w:szCs w:val="24"/>
        </w:rPr>
        <w:t>Because of the pension plan structure, a</w:t>
      </w:r>
      <w:r w:rsidR="00D01F26" w:rsidRPr="00F719E2">
        <w:rPr>
          <w:rFonts w:ascii="Garamond" w:hAnsi="Garamond" w:cs="Times New Roman"/>
          <w:sz w:val="24"/>
          <w:szCs w:val="24"/>
        </w:rPr>
        <w:t>fter about 30 years of experience, the number of teachers in the workforce declines dramatically</w:t>
      </w:r>
      <w:r w:rsidR="00384B5B" w:rsidRPr="00F719E2">
        <w:rPr>
          <w:rFonts w:ascii="Garamond" w:hAnsi="Garamond" w:cs="Times New Roman"/>
          <w:sz w:val="24"/>
          <w:szCs w:val="24"/>
        </w:rPr>
        <w:t>.</w:t>
      </w:r>
      <w:r w:rsidR="001338D4" w:rsidRPr="00F719E2">
        <w:rPr>
          <w:rFonts w:ascii="Garamond" w:hAnsi="Garamond" w:cs="Times New Roman"/>
          <w:sz w:val="24"/>
          <w:szCs w:val="24"/>
        </w:rPr>
        <w:t xml:space="preserve"> </w:t>
      </w:r>
      <w:r w:rsidR="00D32238">
        <w:rPr>
          <w:rFonts w:ascii="Garamond" w:hAnsi="Garamond" w:cs="Times New Roman"/>
          <w:sz w:val="24"/>
          <w:szCs w:val="24"/>
        </w:rPr>
        <w:t>This pattern is not affected by the RTW policy</w:t>
      </w:r>
      <w:r w:rsidR="007B5BBD">
        <w:rPr>
          <w:rFonts w:ascii="Garamond" w:hAnsi="Garamond" w:cs="Times New Roman"/>
          <w:sz w:val="24"/>
          <w:szCs w:val="24"/>
        </w:rPr>
        <w:t>. Panel (b) shows that</w:t>
      </w:r>
      <w:r w:rsidR="000C6D6E">
        <w:rPr>
          <w:rFonts w:ascii="Garamond" w:hAnsi="Garamond" w:cs="Times New Roman"/>
          <w:sz w:val="24"/>
          <w:szCs w:val="24"/>
        </w:rPr>
        <w:t xml:space="preserve"> during the policy</w:t>
      </w:r>
      <w:r w:rsidR="007B5BBD">
        <w:rPr>
          <w:rFonts w:ascii="Garamond" w:hAnsi="Garamond" w:cs="Times New Roman"/>
          <w:sz w:val="24"/>
          <w:szCs w:val="24"/>
        </w:rPr>
        <w:t xml:space="preserve"> </w:t>
      </w:r>
      <w:r w:rsidR="00D2043A">
        <w:rPr>
          <w:rFonts w:ascii="Garamond" w:hAnsi="Garamond" w:cs="Times New Roman"/>
          <w:sz w:val="24"/>
          <w:szCs w:val="24"/>
        </w:rPr>
        <w:t>most teachers</w:t>
      </w:r>
      <w:r w:rsidR="000C6D6E">
        <w:rPr>
          <w:rFonts w:ascii="Garamond" w:hAnsi="Garamond" w:cs="Times New Roman"/>
          <w:sz w:val="24"/>
          <w:szCs w:val="24"/>
        </w:rPr>
        <w:t xml:space="preserve"> still</w:t>
      </w:r>
      <w:r w:rsidR="00D2043A">
        <w:rPr>
          <w:rFonts w:ascii="Garamond" w:hAnsi="Garamond" w:cs="Times New Roman"/>
          <w:sz w:val="24"/>
          <w:szCs w:val="24"/>
        </w:rPr>
        <w:t xml:space="preserve"> leave after reaching retirement age</w:t>
      </w:r>
      <w:r w:rsidR="00474662">
        <w:rPr>
          <w:rFonts w:ascii="Garamond" w:hAnsi="Garamond" w:cs="Times New Roman"/>
          <w:sz w:val="24"/>
          <w:szCs w:val="24"/>
        </w:rPr>
        <w:t xml:space="preserve">. </w:t>
      </w:r>
      <w:r w:rsidR="00490840">
        <w:rPr>
          <w:rFonts w:ascii="Garamond" w:hAnsi="Garamond" w:cs="Times New Roman"/>
          <w:sz w:val="24"/>
          <w:szCs w:val="24"/>
        </w:rPr>
        <w:t>Finally, p</w:t>
      </w:r>
      <w:r w:rsidR="001338D4" w:rsidRPr="00F719E2">
        <w:rPr>
          <w:rFonts w:ascii="Garamond" w:hAnsi="Garamond" w:cs="Times New Roman"/>
          <w:sz w:val="24"/>
          <w:szCs w:val="24"/>
        </w:rPr>
        <w:t>anel (</w:t>
      </w:r>
      <w:r w:rsidR="00D32238">
        <w:rPr>
          <w:rFonts w:ascii="Garamond" w:hAnsi="Garamond" w:cs="Times New Roman"/>
          <w:sz w:val="24"/>
          <w:szCs w:val="24"/>
        </w:rPr>
        <w:t>c</w:t>
      </w:r>
      <w:r w:rsidR="001338D4" w:rsidRPr="00F719E2">
        <w:rPr>
          <w:rFonts w:ascii="Garamond" w:hAnsi="Garamond" w:cs="Times New Roman"/>
          <w:sz w:val="24"/>
          <w:szCs w:val="24"/>
        </w:rPr>
        <w:t xml:space="preserve">) shows the experience distribution of RTW teachers. While there are some </w:t>
      </w:r>
      <w:r w:rsidR="0069604C" w:rsidRPr="00F719E2">
        <w:rPr>
          <w:rFonts w:ascii="Garamond" w:hAnsi="Garamond" w:cs="Times New Roman"/>
          <w:sz w:val="24"/>
          <w:szCs w:val="24"/>
        </w:rPr>
        <w:t xml:space="preserve">RTW teachers with less than 30 years of experience, the majority </w:t>
      </w:r>
      <w:r w:rsidR="007B2DAC" w:rsidRPr="00F719E2">
        <w:rPr>
          <w:rFonts w:ascii="Garamond" w:hAnsi="Garamond" w:cs="Times New Roman"/>
          <w:sz w:val="24"/>
          <w:szCs w:val="24"/>
        </w:rPr>
        <w:t>have 30-40 years of experience.</w:t>
      </w:r>
      <w:r w:rsidR="00B0470D" w:rsidRPr="00F719E2">
        <w:rPr>
          <w:rFonts w:ascii="Garamond" w:hAnsi="Garamond" w:cs="Times New Roman"/>
          <w:sz w:val="24"/>
          <w:szCs w:val="24"/>
        </w:rPr>
        <w:t xml:space="preserve"> This suggests that RTW teachers are not retiring early to take advantage of the policy.</w:t>
      </w:r>
    </w:p>
    <w:p w14:paraId="4851FB12" w14:textId="77777777" w:rsidR="007B17FB" w:rsidRPr="00A855E0" w:rsidRDefault="007B17FB" w:rsidP="007B17FB">
      <w:pPr>
        <w:rPr>
          <w:rFonts w:ascii="Garamond" w:hAnsi="Garamond" w:cs="Times New Roman"/>
          <w:b/>
          <w:bCs/>
          <w:sz w:val="24"/>
          <w:szCs w:val="24"/>
        </w:rPr>
      </w:pPr>
      <w:r w:rsidRPr="00A855E0">
        <w:rPr>
          <w:rFonts w:ascii="Garamond" w:hAnsi="Garamond" w:cs="Times New Roman"/>
          <w:b/>
          <w:bCs/>
          <w:sz w:val="24"/>
          <w:szCs w:val="24"/>
        </w:rPr>
        <w:t>Figure 3</w:t>
      </w:r>
    </w:p>
    <w:p w14:paraId="0C19CAD1" w14:textId="77777777" w:rsidR="007B17FB" w:rsidRDefault="007B17FB" w:rsidP="007B17FB">
      <w:pPr>
        <w:rPr>
          <w:rFonts w:ascii="Garamond" w:hAnsi="Garamond" w:cs="Times New Roman"/>
          <w:i/>
          <w:iCs/>
          <w:sz w:val="24"/>
          <w:szCs w:val="24"/>
        </w:rPr>
      </w:pPr>
      <w:r w:rsidRPr="00A855E0">
        <w:rPr>
          <w:rFonts w:ascii="Garamond" w:hAnsi="Garamond" w:cs="Times New Roman"/>
          <w:i/>
          <w:iCs/>
          <w:sz w:val="24"/>
          <w:szCs w:val="24"/>
        </w:rPr>
        <w:t>Histograms of Teacher Experience for All Teachers Before the RTW Policy (a), All Teachers During the RTW Policy (b), and RTW Teachers (c)</w:t>
      </w:r>
    </w:p>
    <w:p w14:paraId="54866F45" w14:textId="38C989EC" w:rsidR="007B17FB" w:rsidRPr="00F1749C" w:rsidRDefault="007B17FB" w:rsidP="007B17FB">
      <w:pPr>
        <w:rPr>
          <w:rFonts w:ascii="Garamond" w:hAnsi="Garamond" w:cs="Times New Roman"/>
          <w:sz w:val="20"/>
          <w:szCs w:val="20"/>
        </w:rPr>
      </w:pPr>
      <w:r w:rsidRPr="00F1749C">
        <w:rPr>
          <w:rFonts w:ascii="Garamond" w:hAnsi="Garamond" w:cs="Times New Roman"/>
          <w:sz w:val="20"/>
          <w:szCs w:val="20"/>
        </w:rPr>
        <w:t>Panel (a)</w:t>
      </w:r>
      <w:r w:rsidR="00B11701">
        <w:rPr>
          <w:rFonts w:ascii="Garamond" w:hAnsi="Garamond" w:cs="Times New Roman"/>
          <w:sz w:val="20"/>
          <w:szCs w:val="20"/>
        </w:rPr>
        <w:tab/>
      </w:r>
      <w:r w:rsidR="00B11701">
        <w:rPr>
          <w:rFonts w:ascii="Garamond" w:hAnsi="Garamond" w:cs="Times New Roman"/>
          <w:sz w:val="20"/>
          <w:szCs w:val="20"/>
        </w:rPr>
        <w:tab/>
      </w:r>
      <w:r w:rsidR="00B11701">
        <w:rPr>
          <w:rFonts w:ascii="Garamond" w:hAnsi="Garamond" w:cs="Times New Roman"/>
          <w:sz w:val="20"/>
          <w:szCs w:val="20"/>
        </w:rPr>
        <w:tab/>
      </w:r>
      <w:r w:rsidR="00B11701">
        <w:rPr>
          <w:rFonts w:ascii="Garamond" w:hAnsi="Garamond" w:cs="Times New Roman"/>
          <w:sz w:val="20"/>
          <w:szCs w:val="20"/>
        </w:rPr>
        <w:tab/>
      </w:r>
      <w:r w:rsidR="00B11701">
        <w:rPr>
          <w:rFonts w:ascii="Garamond" w:hAnsi="Garamond" w:cs="Times New Roman"/>
          <w:sz w:val="20"/>
          <w:szCs w:val="20"/>
        </w:rPr>
        <w:tab/>
      </w:r>
      <w:r w:rsidR="00B11701">
        <w:rPr>
          <w:rFonts w:ascii="Garamond" w:hAnsi="Garamond" w:cs="Times New Roman"/>
          <w:sz w:val="20"/>
          <w:szCs w:val="20"/>
        </w:rPr>
        <w:tab/>
      </w:r>
      <w:r w:rsidR="00210DD4">
        <w:rPr>
          <w:rFonts w:ascii="Garamond" w:hAnsi="Garamond" w:cs="Times New Roman"/>
          <w:sz w:val="20"/>
          <w:szCs w:val="20"/>
        </w:rPr>
        <w:t xml:space="preserve">      </w:t>
      </w:r>
      <w:r w:rsidR="00B11701">
        <w:rPr>
          <w:rFonts w:ascii="Garamond" w:hAnsi="Garamond" w:cs="Times New Roman"/>
          <w:sz w:val="20"/>
          <w:szCs w:val="20"/>
        </w:rPr>
        <w:t>Panel (b)</w:t>
      </w:r>
      <w:r w:rsidR="00B11701">
        <w:rPr>
          <w:rFonts w:ascii="Garamond" w:hAnsi="Garamond" w:cs="Times New Roman"/>
          <w:sz w:val="20"/>
          <w:szCs w:val="20"/>
        </w:rPr>
        <w:tab/>
      </w:r>
    </w:p>
    <w:p w14:paraId="44677E83" w14:textId="762933D7" w:rsidR="007B17FB" w:rsidRDefault="007B17FB" w:rsidP="007B17FB">
      <w:pPr>
        <w:rPr>
          <w:rFonts w:ascii="Garamond" w:hAnsi="Garamond" w:cs="Times New Roman"/>
          <w:sz w:val="24"/>
          <w:szCs w:val="24"/>
        </w:rPr>
      </w:pPr>
      <w:r w:rsidRPr="008F515F">
        <w:rPr>
          <w:rFonts w:ascii="Garamond" w:hAnsi="Garamond" w:cs="Times New Roman"/>
          <w:noProof/>
          <w:sz w:val="24"/>
          <w:szCs w:val="24"/>
        </w:rPr>
        <w:drawing>
          <wp:inline distT="0" distB="0" distL="0" distR="0" wp14:anchorId="3ECD5EEE" wp14:editId="3E3FDCED">
            <wp:extent cx="2771335" cy="201238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2878" cy="2057071"/>
                    </a:xfrm>
                    <a:prstGeom prst="rect">
                      <a:avLst/>
                    </a:prstGeom>
                  </pic:spPr>
                </pic:pic>
              </a:graphicData>
            </a:graphic>
          </wp:inline>
        </w:drawing>
      </w:r>
      <w:r w:rsidR="00B11701">
        <w:rPr>
          <w:rFonts w:ascii="Garamond" w:hAnsi="Garamond" w:cs="Times New Roman"/>
          <w:sz w:val="24"/>
          <w:szCs w:val="24"/>
        </w:rPr>
        <w:t xml:space="preserve">    </w:t>
      </w:r>
      <w:r w:rsidR="00B11701" w:rsidRPr="00F719E2">
        <w:rPr>
          <w:rFonts w:ascii="Garamond" w:hAnsi="Garamond"/>
          <w:noProof/>
        </w:rPr>
        <w:drawing>
          <wp:inline distT="0" distB="0" distL="0" distR="0" wp14:anchorId="1B507706" wp14:editId="1EEEA116">
            <wp:extent cx="2803126" cy="2047191"/>
            <wp:effectExtent l="0" t="0" r="0" b="0"/>
            <wp:docPr id="4" name="Picture 4">
              <a:extLst xmlns:a="http://schemas.openxmlformats.org/drawingml/2006/main">
                <a:ext uri="{FF2B5EF4-FFF2-40B4-BE49-F238E27FC236}">
                  <a16:creationId xmlns:a16="http://schemas.microsoft.com/office/drawing/2014/main" id="{FE07DDD5-E41C-73D8-4AF8-C9926B32B6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E07DDD5-E41C-73D8-4AF8-C9926B32B659}"/>
                        </a:ext>
                      </a:extLst>
                    </pic:cNvPr>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03126" cy="2047191"/>
                    </a:xfrm>
                    <a:prstGeom prst="rect">
                      <a:avLst/>
                    </a:prstGeom>
                    <a:noFill/>
                    <a:ln>
                      <a:noFill/>
                    </a:ln>
                  </pic:spPr>
                </pic:pic>
              </a:graphicData>
            </a:graphic>
          </wp:inline>
        </w:drawing>
      </w:r>
    </w:p>
    <w:p w14:paraId="36018088" w14:textId="6CA0EED4" w:rsidR="007B17FB" w:rsidRPr="00F719E2" w:rsidRDefault="007B17FB" w:rsidP="007B17FB">
      <w:pPr>
        <w:rPr>
          <w:rFonts w:ascii="Garamond" w:hAnsi="Garamond" w:cs="Times New Roman"/>
          <w:sz w:val="20"/>
          <w:szCs w:val="20"/>
        </w:rPr>
      </w:pPr>
      <w:r>
        <w:rPr>
          <w:rFonts w:ascii="Garamond" w:hAnsi="Garamond" w:cs="Times New Roman"/>
          <w:sz w:val="20"/>
          <w:szCs w:val="20"/>
        </w:rPr>
        <w:t>Panel (c)</w:t>
      </w:r>
    </w:p>
    <w:p w14:paraId="72ACC489" w14:textId="77777777" w:rsidR="007B17FB" w:rsidRPr="00F719E2" w:rsidRDefault="007B17FB" w:rsidP="007B17FB">
      <w:pPr>
        <w:rPr>
          <w:rFonts w:ascii="Garamond" w:hAnsi="Garamond" w:cs="Times New Roman"/>
          <w:sz w:val="20"/>
          <w:szCs w:val="20"/>
        </w:rPr>
      </w:pPr>
      <w:r w:rsidRPr="00F719E2">
        <w:rPr>
          <w:rFonts w:ascii="Garamond" w:hAnsi="Garamond"/>
          <w:noProof/>
        </w:rPr>
        <w:drawing>
          <wp:inline distT="0" distB="0" distL="0" distR="0" wp14:anchorId="5DDE4349" wp14:editId="32C842DA">
            <wp:extent cx="2661719" cy="1943917"/>
            <wp:effectExtent l="0" t="0" r="5715" b="0"/>
            <wp:docPr id="5" name="Picture 5">
              <a:extLst xmlns:a="http://schemas.openxmlformats.org/drawingml/2006/main">
                <a:ext uri="{FF2B5EF4-FFF2-40B4-BE49-F238E27FC236}">
                  <a16:creationId xmlns:a16="http://schemas.microsoft.com/office/drawing/2014/main" id="{5B38637E-D7CC-002C-AF39-3C927CC19B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B38637E-D7CC-002C-AF39-3C927CC19B02}"/>
                        </a:ext>
                      </a:extLst>
                    </pic:cNvPr>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7432" cy="1999212"/>
                    </a:xfrm>
                    <a:prstGeom prst="rect">
                      <a:avLst/>
                    </a:prstGeom>
                    <a:noFill/>
                    <a:ln>
                      <a:noFill/>
                    </a:ln>
                  </pic:spPr>
                </pic:pic>
              </a:graphicData>
            </a:graphic>
          </wp:inline>
        </w:drawing>
      </w:r>
    </w:p>
    <w:p w14:paraId="26DFF239" w14:textId="3F39CD09" w:rsidR="001D3911" w:rsidRPr="00F719E2" w:rsidRDefault="007B17FB" w:rsidP="007B17FB">
      <w:pPr>
        <w:jc w:val="both"/>
        <w:rPr>
          <w:rFonts w:ascii="Garamond" w:hAnsi="Garamond" w:cs="Times New Roman"/>
          <w:sz w:val="24"/>
          <w:szCs w:val="24"/>
        </w:rPr>
      </w:pPr>
      <w:r w:rsidRPr="00F719E2">
        <w:rPr>
          <w:rFonts w:ascii="Garamond" w:hAnsi="Garamond" w:cs="Times New Roman"/>
          <w:i/>
          <w:iCs/>
          <w:sz w:val="20"/>
          <w:szCs w:val="20"/>
        </w:rPr>
        <w:lastRenderedPageBreak/>
        <w:t>Notes:</w:t>
      </w:r>
      <w:r w:rsidRPr="00F719E2">
        <w:rPr>
          <w:rFonts w:ascii="Garamond" w:hAnsi="Garamond" w:cs="Times New Roman"/>
          <w:sz w:val="20"/>
          <w:szCs w:val="20"/>
        </w:rPr>
        <w:t xml:space="preserve"> This figure shows histograms of teacher experience, i.e., the percentage of all</w:t>
      </w:r>
      <w:r>
        <w:rPr>
          <w:rFonts w:ascii="Garamond" w:hAnsi="Garamond" w:cs="Times New Roman"/>
          <w:sz w:val="20"/>
          <w:szCs w:val="20"/>
        </w:rPr>
        <w:t xml:space="preserve"> fulltime</w:t>
      </w:r>
      <w:r w:rsidRPr="00F719E2">
        <w:rPr>
          <w:rFonts w:ascii="Garamond" w:hAnsi="Garamond" w:cs="Times New Roman"/>
          <w:sz w:val="20"/>
          <w:szCs w:val="20"/>
        </w:rPr>
        <w:t xml:space="preserve"> teachers </w:t>
      </w:r>
      <w:r>
        <w:rPr>
          <w:rFonts w:ascii="Garamond" w:hAnsi="Garamond" w:cs="Times New Roman"/>
          <w:sz w:val="20"/>
          <w:szCs w:val="20"/>
        </w:rPr>
        <w:t xml:space="preserve">between 1995 and 1998 </w:t>
      </w:r>
      <w:r w:rsidRPr="00F719E2">
        <w:rPr>
          <w:rFonts w:ascii="Garamond" w:hAnsi="Garamond" w:cs="Times New Roman"/>
          <w:sz w:val="20"/>
          <w:szCs w:val="20"/>
        </w:rPr>
        <w:t>(panel (a))</w:t>
      </w:r>
      <w:r>
        <w:rPr>
          <w:rFonts w:ascii="Garamond" w:hAnsi="Garamond" w:cs="Times New Roman"/>
          <w:sz w:val="20"/>
          <w:szCs w:val="20"/>
        </w:rPr>
        <w:t xml:space="preserve">, all fulltime teachers between 1999 and 2009 (panel (b)), </w:t>
      </w:r>
      <w:r w:rsidRPr="00F719E2">
        <w:rPr>
          <w:rFonts w:ascii="Garamond" w:hAnsi="Garamond" w:cs="Times New Roman"/>
          <w:sz w:val="20"/>
          <w:szCs w:val="20"/>
        </w:rPr>
        <w:t xml:space="preserve">and RTW teachers </w:t>
      </w:r>
      <w:r>
        <w:rPr>
          <w:rFonts w:ascii="Garamond" w:hAnsi="Garamond" w:cs="Times New Roman"/>
          <w:sz w:val="20"/>
          <w:szCs w:val="20"/>
        </w:rPr>
        <w:t xml:space="preserve">between 1999 and 2009 </w:t>
      </w:r>
      <w:r w:rsidRPr="00F719E2">
        <w:rPr>
          <w:rFonts w:ascii="Garamond" w:hAnsi="Garamond" w:cs="Times New Roman"/>
          <w:sz w:val="20"/>
          <w:szCs w:val="20"/>
        </w:rPr>
        <w:t>(panel (</w:t>
      </w:r>
      <w:r>
        <w:rPr>
          <w:rFonts w:ascii="Garamond" w:hAnsi="Garamond" w:cs="Times New Roman"/>
          <w:sz w:val="20"/>
          <w:szCs w:val="20"/>
        </w:rPr>
        <w:t>c</w:t>
      </w:r>
      <w:r w:rsidRPr="00F719E2">
        <w:rPr>
          <w:rFonts w:ascii="Garamond" w:hAnsi="Garamond" w:cs="Times New Roman"/>
          <w:sz w:val="20"/>
          <w:szCs w:val="20"/>
        </w:rPr>
        <w:t xml:space="preserve">)) with different years of experience. </w:t>
      </w:r>
      <w:r w:rsidR="00B0470D" w:rsidRPr="00F719E2">
        <w:rPr>
          <w:rFonts w:ascii="Garamond" w:hAnsi="Garamond" w:cs="Times New Roman"/>
          <w:sz w:val="24"/>
          <w:szCs w:val="24"/>
        </w:rPr>
        <w:t xml:space="preserve"> </w:t>
      </w:r>
    </w:p>
    <w:p w14:paraId="17FB1B6E" w14:textId="48FE82F9" w:rsidR="00D213AC" w:rsidRPr="00D213AC" w:rsidRDefault="00D213AC" w:rsidP="00D213AC">
      <w:pPr>
        <w:spacing w:after="0" w:line="480" w:lineRule="auto"/>
        <w:ind w:firstLine="720"/>
        <w:contextualSpacing/>
        <w:jc w:val="center"/>
        <w:rPr>
          <w:rFonts w:ascii="Garamond" w:hAnsi="Garamond" w:cs="Times New Roman"/>
          <w:b/>
          <w:bCs/>
          <w:sz w:val="24"/>
          <w:szCs w:val="24"/>
        </w:rPr>
      </w:pPr>
      <w:r w:rsidRPr="00D213AC">
        <w:rPr>
          <w:rFonts w:ascii="Garamond" w:hAnsi="Garamond" w:cs="Times New Roman"/>
          <w:b/>
          <w:bCs/>
          <w:sz w:val="24"/>
          <w:szCs w:val="24"/>
        </w:rPr>
        <w:t>Policy Implications</w:t>
      </w:r>
    </w:p>
    <w:p w14:paraId="3A18C9C0" w14:textId="61E99CF6" w:rsidR="00D213AC" w:rsidRDefault="00E0721E" w:rsidP="00D213AC">
      <w:pPr>
        <w:spacing w:after="0" w:line="480" w:lineRule="auto"/>
        <w:ind w:firstLine="720"/>
        <w:contextualSpacing/>
        <w:rPr>
          <w:rFonts w:ascii="Garamond" w:hAnsi="Garamond" w:cs="Times New Roman"/>
          <w:sz w:val="24"/>
          <w:szCs w:val="24"/>
        </w:rPr>
      </w:pPr>
      <w:r>
        <w:rPr>
          <w:rFonts w:ascii="Garamond" w:hAnsi="Garamond" w:cs="Times New Roman"/>
          <w:sz w:val="24"/>
          <w:szCs w:val="24"/>
        </w:rPr>
        <w:t>W</w:t>
      </w:r>
      <w:r w:rsidR="00C77AD5" w:rsidRPr="00F719E2">
        <w:rPr>
          <w:rFonts w:ascii="Garamond" w:hAnsi="Garamond" w:cs="Times New Roman"/>
          <w:sz w:val="24"/>
          <w:szCs w:val="24"/>
        </w:rPr>
        <w:t xml:space="preserve">hile </w:t>
      </w:r>
      <w:r w:rsidR="00A74784" w:rsidRPr="00F719E2">
        <w:rPr>
          <w:rFonts w:ascii="Garamond" w:hAnsi="Garamond" w:cs="Times New Roman"/>
          <w:sz w:val="24"/>
          <w:szCs w:val="24"/>
        </w:rPr>
        <w:t>w</w:t>
      </w:r>
      <w:r w:rsidR="00F47D87" w:rsidRPr="00F719E2">
        <w:rPr>
          <w:rFonts w:ascii="Garamond" w:hAnsi="Garamond" w:cs="Times New Roman"/>
          <w:sz w:val="24"/>
          <w:szCs w:val="24"/>
        </w:rPr>
        <w:t>e do not directly address the RTW policy adopted by North Carolina from July 2019 through June 2021</w:t>
      </w:r>
      <w:r w:rsidR="00C77AD5" w:rsidRPr="00F719E2">
        <w:rPr>
          <w:rFonts w:ascii="Garamond" w:hAnsi="Garamond" w:cs="Times New Roman"/>
          <w:sz w:val="24"/>
          <w:szCs w:val="24"/>
        </w:rPr>
        <w:t>, or the one proposed by lawmakers in March 2023,</w:t>
      </w:r>
      <w:r w:rsidR="005375FF" w:rsidRPr="00F719E2">
        <w:rPr>
          <w:rStyle w:val="FootnoteReference"/>
          <w:rFonts w:ascii="Garamond" w:hAnsi="Garamond" w:cs="Times New Roman"/>
          <w:sz w:val="24"/>
          <w:szCs w:val="24"/>
        </w:rPr>
        <w:footnoteReference w:id="9"/>
      </w:r>
      <w:r w:rsidR="00C77AD5" w:rsidRPr="00F719E2">
        <w:rPr>
          <w:rFonts w:ascii="Garamond" w:hAnsi="Garamond" w:cs="Times New Roman"/>
          <w:sz w:val="24"/>
          <w:szCs w:val="24"/>
        </w:rPr>
        <w:t xml:space="preserve"> our results can shed some light on </w:t>
      </w:r>
      <w:r w:rsidR="00A0173E" w:rsidRPr="00F719E2">
        <w:rPr>
          <w:rFonts w:ascii="Garamond" w:hAnsi="Garamond" w:cs="Times New Roman"/>
          <w:sz w:val="24"/>
          <w:szCs w:val="24"/>
        </w:rPr>
        <w:t xml:space="preserve">the </w:t>
      </w:r>
      <w:r w:rsidR="000A5BF5" w:rsidRPr="00F719E2">
        <w:rPr>
          <w:rFonts w:ascii="Garamond" w:hAnsi="Garamond" w:cs="Times New Roman"/>
          <w:sz w:val="24"/>
          <w:szCs w:val="24"/>
        </w:rPr>
        <w:t xml:space="preserve">potential effects of these </w:t>
      </w:r>
      <w:r w:rsidR="0075734A">
        <w:rPr>
          <w:rFonts w:ascii="Garamond" w:hAnsi="Garamond" w:cs="Times New Roman"/>
          <w:sz w:val="24"/>
          <w:szCs w:val="24"/>
        </w:rPr>
        <w:t xml:space="preserve">recent </w:t>
      </w:r>
      <w:r w:rsidR="000A5BF5" w:rsidRPr="00F719E2">
        <w:rPr>
          <w:rFonts w:ascii="Garamond" w:hAnsi="Garamond" w:cs="Times New Roman"/>
          <w:sz w:val="24"/>
          <w:szCs w:val="24"/>
        </w:rPr>
        <w:t>policies given the</w:t>
      </w:r>
      <w:r w:rsidR="00112ECE" w:rsidRPr="00F719E2">
        <w:rPr>
          <w:rFonts w:ascii="Garamond" w:hAnsi="Garamond" w:cs="Times New Roman"/>
          <w:sz w:val="24"/>
          <w:szCs w:val="24"/>
        </w:rPr>
        <w:t xml:space="preserve">ir similarities to the </w:t>
      </w:r>
      <w:r w:rsidR="000A5BF5" w:rsidRPr="00F719E2">
        <w:rPr>
          <w:rFonts w:ascii="Garamond" w:hAnsi="Garamond" w:cs="Times New Roman"/>
          <w:sz w:val="24"/>
          <w:szCs w:val="24"/>
        </w:rPr>
        <w:t>one we study</w:t>
      </w:r>
      <w:r w:rsidR="00BE37FD" w:rsidRPr="00F719E2">
        <w:rPr>
          <w:rFonts w:ascii="Garamond" w:hAnsi="Garamond" w:cs="Times New Roman"/>
          <w:sz w:val="24"/>
          <w:szCs w:val="24"/>
        </w:rPr>
        <w:t>.</w:t>
      </w:r>
      <w:r w:rsidR="00F47D87" w:rsidRPr="00F719E2">
        <w:rPr>
          <w:rFonts w:ascii="Garamond" w:hAnsi="Garamond" w:cs="Times New Roman"/>
          <w:sz w:val="24"/>
          <w:szCs w:val="24"/>
        </w:rPr>
        <w:t xml:space="preserve"> </w:t>
      </w:r>
      <w:r w:rsidR="00112ECE" w:rsidRPr="00F719E2">
        <w:rPr>
          <w:rFonts w:ascii="Garamond" w:hAnsi="Garamond" w:cs="Times New Roman"/>
          <w:sz w:val="24"/>
          <w:szCs w:val="24"/>
        </w:rPr>
        <w:t xml:space="preserve">Like the </w:t>
      </w:r>
      <w:r w:rsidR="00214B80" w:rsidRPr="00F719E2">
        <w:rPr>
          <w:rFonts w:ascii="Garamond" w:hAnsi="Garamond" w:cs="Times New Roman"/>
          <w:sz w:val="24"/>
          <w:szCs w:val="24"/>
        </w:rPr>
        <w:t xml:space="preserve">one </w:t>
      </w:r>
      <w:r w:rsidR="00112ECE" w:rsidRPr="00F719E2">
        <w:rPr>
          <w:rFonts w:ascii="Garamond" w:hAnsi="Garamond" w:cs="Times New Roman"/>
          <w:sz w:val="24"/>
          <w:szCs w:val="24"/>
        </w:rPr>
        <w:t xml:space="preserve">we examine, the recent versions </w:t>
      </w:r>
      <w:r w:rsidR="00F47D87" w:rsidRPr="00F719E2">
        <w:rPr>
          <w:rFonts w:ascii="Garamond" w:hAnsi="Garamond" w:cs="Times New Roman"/>
          <w:sz w:val="24"/>
          <w:szCs w:val="24"/>
        </w:rPr>
        <w:t>allow</w:t>
      </w:r>
      <w:r w:rsidR="00112ECE" w:rsidRPr="00F719E2">
        <w:rPr>
          <w:rFonts w:ascii="Garamond" w:hAnsi="Garamond" w:cs="Times New Roman"/>
          <w:sz w:val="24"/>
          <w:szCs w:val="24"/>
        </w:rPr>
        <w:t xml:space="preserve"> </w:t>
      </w:r>
      <w:r w:rsidR="00F47D87" w:rsidRPr="00F719E2">
        <w:rPr>
          <w:rFonts w:ascii="Garamond" w:hAnsi="Garamond" w:cs="Times New Roman"/>
          <w:sz w:val="24"/>
          <w:szCs w:val="24"/>
        </w:rPr>
        <w:t xml:space="preserve">retired teachers to return to work full-time and collect both retirement benefits and earn a full-time salary. </w:t>
      </w:r>
      <w:r w:rsidR="00E533F8" w:rsidRPr="00F719E2">
        <w:rPr>
          <w:rFonts w:ascii="Garamond" w:hAnsi="Garamond" w:cs="Times New Roman"/>
          <w:sz w:val="24"/>
          <w:szCs w:val="24"/>
        </w:rPr>
        <w:t>One difference is that the new policies require teachers to return to l</w:t>
      </w:r>
      <w:r w:rsidR="009928AF" w:rsidRPr="00F719E2">
        <w:rPr>
          <w:rFonts w:ascii="Garamond" w:hAnsi="Garamond" w:cs="Times New Roman"/>
          <w:sz w:val="24"/>
          <w:szCs w:val="24"/>
        </w:rPr>
        <w:t xml:space="preserve">ow-performing, high-need schools. </w:t>
      </w:r>
      <w:r w:rsidR="008906FE" w:rsidRPr="00F719E2">
        <w:rPr>
          <w:rFonts w:ascii="Garamond" w:hAnsi="Garamond" w:cs="Times New Roman"/>
          <w:sz w:val="24"/>
          <w:szCs w:val="24"/>
        </w:rPr>
        <w:t>Our results suggest that th</w:t>
      </w:r>
      <w:r w:rsidR="00E533F8" w:rsidRPr="00F719E2">
        <w:rPr>
          <w:rFonts w:ascii="Garamond" w:hAnsi="Garamond" w:cs="Times New Roman"/>
          <w:sz w:val="24"/>
          <w:szCs w:val="24"/>
        </w:rPr>
        <w:t>e</w:t>
      </w:r>
      <w:r w:rsidR="00E6601C" w:rsidRPr="00F719E2">
        <w:rPr>
          <w:rFonts w:ascii="Garamond" w:hAnsi="Garamond" w:cs="Times New Roman"/>
          <w:sz w:val="24"/>
          <w:szCs w:val="24"/>
        </w:rPr>
        <w:t xml:space="preserve"> new polic</w:t>
      </w:r>
      <w:r w:rsidR="00E533F8" w:rsidRPr="00F719E2">
        <w:rPr>
          <w:rFonts w:ascii="Garamond" w:hAnsi="Garamond" w:cs="Times New Roman"/>
          <w:sz w:val="24"/>
          <w:szCs w:val="24"/>
        </w:rPr>
        <w:t>ies</w:t>
      </w:r>
      <w:r w:rsidR="00E6601C" w:rsidRPr="00F719E2">
        <w:rPr>
          <w:rFonts w:ascii="Garamond" w:hAnsi="Garamond" w:cs="Times New Roman"/>
          <w:sz w:val="24"/>
          <w:szCs w:val="24"/>
        </w:rPr>
        <w:t xml:space="preserve"> w</w:t>
      </w:r>
      <w:r w:rsidR="00BF4097" w:rsidRPr="00F719E2">
        <w:rPr>
          <w:rFonts w:ascii="Garamond" w:hAnsi="Garamond" w:cs="Times New Roman"/>
          <w:sz w:val="24"/>
          <w:szCs w:val="24"/>
        </w:rPr>
        <w:t>ill</w:t>
      </w:r>
      <w:r w:rsidR="00FE5E68" w:rsidRPr="00F719E2">
        <w:rPr>
          <w:rFonts w:ascii="Garamond" w:hAnsi="Garamond" w:cs="Times New Roman"/>
          <w:sz w:val="24"/>
          <w:szCs w:val="24"/>
        </w:rPr>
        <w:t xml:space="preserve"> incentivize retired teachers to </w:t>
      </w:r>
      <w:r w:rsidR="00E93A62" w:rsidRPr="00F719E2">
        <w:rPr>
          <w:rFonts w:ascii="Garamond" w:hAnsi="Garamond" w:cs="Times New Roman"/>
          <w:sz w:val="24"/>
          <w:szCs w:val="24"/>
        </w:rPr>
        <w:t>return</w:t>
      </w:r>
      <w:r w:rsidR="00FE5E68" w:rsidRPr="00F719E2">
        <w:rPr>
          <w:rFonts w:ascii="Garamond" w:hAnsi="Garamond" w:cs="Times New Roman"/>
          <w:sz w:val="24"/>
          <w:szCs w:val="24"/>
        </w:rPr>
        <w:t xml:space="preserve"> to high-need schools</w:t>
      </w:r>
      <w:r w:rsidR="00E533F8" w:rsidRPr="00F719E2">
        <w:rPr>
          <w:rFonts w:ascii="Garamond" w:hAnsi="Garamond" w:cs="Times New Roman"/>
          <w:sz w:val="24"/>
          <w:szCs w:val="24"/>
        </w:rPr>
        <w:t xml:space="preserve"> even without th</w:t>
      </w:r>
      <w:r w:rsidR="00E4006B" w:rsidRPr="00F719E2">
        <w:rPr>
          <w:rFonts w:ascii="Garamond" w:hAnsi="Garamond" w:cs="Times New Roman"/>
          <w:sz w:val="24"/>
          <w:szCs w:val="24"/>
        </w:rPr>
        <w:t>is</w:t>
      </w:r>
      <w:r w:rsidR="00E533F8" w:rsidRPr="00F719E2">
        <w:rPr>
          <w:rFonts w:ascii="Garamond" w:hAnsi="Garamond" w:cs="Times New Roman"/>
          <w:sz w:val="24"/>
          <w:szCs w:val="24"/>
        </w:rPr>
        <w:t xml:space="preserve"> stipulation</w:t>
      </w:r>
      <w:r w:rsidR="00BF4097" w:rsidRPr="00F719E2">
        <w:rPr>
          <w:rFonts w:ascii="Garamond" w:hAnsi="Garamond" w:cs="Times New Roman"/>
          <w:sz w:val="24"/>
          <w:szCs w:val="24"/>
        </w:rPr>
        <w:t>, and thus that</w:t>
      </w:r>
      <w:r w:rsidR="00BF7A69" w:rsidRPr="00F719E2">
        <w:rPr>
          <w:rFonts w:ascii="Garamond" w:hAnsi="Garamond" w:cs="Times New Roman"/>
          <w:sz w:val="24"/>
          <w:szCs w:val="24"/>
        </w:rPr>
        <w:t xml:space="preserve"> </w:t>
      </w:r>
      <w:r w:rsidR="00844ABB" w:rsidRPr="00F719E2">
        <w:rPr>
          <w:rFonts w:ascii="Garamond" w:hAnsi="Garamond" w:cs="Times New Roman"/>
          <w:sz w:val="24"/>
          <w:szCs w:val="24"/>
        </w:rPr>
        <w:t xml:space="preserve">targeting these schools is </w:t>
      </w:r>
      <w:r w:rsidR="00586BB0" w:rsidRPr="00F719E2">
        <w:rPr>
          <w:rFonts w:ascii="Garamond" w:hAnsi="Garamond" w:cs="Times New Roman"/>
          <w:sz w:val="24"/>
          <w:szCs w:val="24"/>
        </w:rPr>
        <w:t xml:space="preserve">perhaps </w:t>
      </w:r>
      <w:r w:rsidR="00844ABB" w:rsidRPr="00F719E2">
        <w:rPr>
          <w:rFonts w:ascii="Garamond" w:hAnsi="Garamond" w:cs="Times New Roman"/>
          <w:sz w:val="24"/>
          <w:szCs w:val="24"/>
        </w:rPr>
        <w:t>unnecessary</w:t>
      </w:r>
      <w:r w:rsidR="0075734A">
        <w:rPr>
          <w:rFonts w:ascii="Garamond" w:hAnsi="Garamond" w:cs="Times New Roman"/>
          <w:sz w:val="24"/>
          <w:szCs w:val="24"/>
        </w:rPr>
        <w:t>, but also inconsequential</w:t>
      </w:r>
      <w:r w:rsidR="00BF7A69" w:rsidRPr="00F719E2">
        <w:rPr>
          <w:rFonts w:ascii="Garamond" w:hAnsi="Garamond" w:cs="Times New Roman"/>
          <w:sz w:val="24"/>
          <w:szCs w:val="24"/>
        </w:rPr>
        <w:t>.</w:t>
      </w:r>
      <w:r>
        <w:rPr>
          <w:rFonts w:ascii="Garamond" w:hAnsi="Garamond" w:cs="Times New Roman"/>
          <w:sz w:val="24"/>
          <w:szCs w:val="24"/>
        </w:rPr>
        <w:t xml:space="preserve"> </w:t>
      </w:r>
      <w:r w:rsidR="00B51F7C">
        <w:rPr>
          <w:rFonts w:ascii="Garamond" w:hAnsi="Garamond" w:cs="Times New Roman"/>
          <w:sz w:val="24"/>
          <w:szCs w:val="24"/>
        </w:rPr>
        <w:t xml:space="preserve">While we cannot definitively say why RTW teachers tend to teach in high-need schools, we posit that these are the schools where teacher demand is </w:t>
      </w:r>
      <w:r w:rsidR="00AD0DFB">
        <w:rPr>
          <w:rFonts w:ascii="Garamond" w:hAnsi="Garamond" w:cs="Times New Roman"/>
          <w:sz w:val="24"/>
          <w:szCs w:val="24"/>
        </w:rPr>
        <w:t>high,</w:t>
      </w:r>
      <w:r w:rsidR="00B51F7C">
        <w:rPr>
          <w:rFonts w:ascii="Garamond" w:hAnsi="Garamond" w:cs="Times New Roman"/>
          <w:sz w:val="24"/>
          <w:szCs w:val="24"/>
        </w:rPr>
        <w:t xml:space="preserve"> and supply is low. A school with few high-need students likely has many </w:t>
      </w:r>
      <w:r w:rsidR="00AD0DFB">
        <w:rPr>
          <w:rFonts w:ascii="Garamond" w:hAnsi="Garamond" w:cs="Times New Roman"/>
          <w:sz w:val="24"/>
          <w:szCs w:val="24"/>
        </w:rPr>
        <w:t xml:space="preserve">teachers interested, thus any policy looking to get RTW teachers in high-need </w:t>
      </w:r>
      <w:r w:rsidR="0084691B">
        <w:rPr>
          <w:rFonts w:ascii="Garamond" w:hAnsi="Garamond" w:cs="Times New Roman"/>
          <w:sz w:val="24"/>
          <w:szCs w:val="24"/>
        </w:rPr>
        <w:t>s</w:t>
      </w:r>
      <w:r w:rsidR="00AD0DFB">
        <w:rPr>
          <w:rFonts w:ascii="Garamond" w:hAnsi="Garamond" w:cs="Times New Roman"/>
          <w:sz w:val="24"/>
          <w:szCs w:val="24"/>
        </w:rPr>
        <w:t xml:space="preserve">chools just needs to </w:t>
      </w:r>
      <w:r w:rsidR="0084691B">
        <w:rPr>
          <w:rFonts w:ascii="Garamond" w:hAnsi="Garamond" w:cs="Times New Roman"/>
          <w:sz w:val="24"/>
          <w:szCs w:val="24"/>
        </w:rPr>
        <w:t>privilege</w:t>
      </w:r>
      <w:r w:rsidR="006D552F">
        <w:rPr>
          <w:rFonts w:ascii="Garamond" w:hAnsi="Garamond" w:cs="Times New Roman"/>
          <w:sz w:val="24"/>
          <w:szCs w:val="24"/>
        </w:rPr>
        <w:t xml:space="preserve"> </w:t>
      </w:r>
      <w:r w:rsidR="00AD0DFB">
        <w:rPr>
          <w:rFonts w:ascii="Garamond" w:hAnsi="Garamond" w:cs="Times New Roman"/>
          <w:sz w:val="24"/>
          <w:szCs w:val="24"/>
        </w:rPr>
        <w:t xml:space="preserve">non-retired teachers’ applications </w:t>
      </w:r>
      <w:r w:rsidR="0084691B">
        <w:rPr>
          <w:rFonts w:ascii="Garamond" w:hAnsi="Garamond" w:cs="Times New Roman"/>
          <w:sz w:val="24"/>
          <w:szCs w:val="24"/>
        </w:rPr>
        <w:t>rather than disallow RTW teachers from applying. Further exploring the labor market for RTW teachers and their impact on student achievement is a promising area for future research.</w:t>
      </w:r>
    </w:p>
    <w:p w14:paraId="641F713E" w14:textId="007862F0" w:rsidR="00D213AC" w:rsidRPr="00C143C9" w:rsidRDefault="00D213AC" w:rsidP="00C143C9">
      <w:pPr>
        <w:spacing w:after="0" w:line="480" w:lineRule="auto"/>
        <w:ind w:firstLine="720"/>
        <w:contextualSpacing/>
        <w:jc w:val="center"/>
        <w:rPr>
          <w:rFonts w:ascii="Garamond" w:hAnsi="Garamond" w:cs="Times New Roman"/>
          <w:b/>
          <w:bCs/>
          <w:sz w:val="24"/>
          <w:szCs w:val="24"/>
        </w:rPr>
        <w:sectPr w:rsidR="00D213AC" w:rsidRPr="00C143C9">
          <w:pgSz w:w="12240" w:h="15840"/>
          <w:pgMar w:top="1440" w:right="1440" w:bottom="1440" w:left="1440" w:header="720" w:footer="720" w:gutter="0"/>
          <w:cols w:space="720"/>
          <w:docGrid w:linePitch="360"/>
        </w:sectPr>
      </w:pPr>
    </w:p>
    <w:p w14:paraId="11EA9E06" w14:textId="77777777" w:rsidR="00AC595B" w:rsidRPr="00F719E2" w:rsidRDefault="00AC595B" w:rsidP="00673826">
      <w:pPr>
        <w:spacing w:after="0" w:line="240" w:lineRule="auto"/>
        <w:jc w:val="center"/>
        <w:rPr>
          <w:rFonts w:ascii="Garamond" w:hAnsi="Garamond" w:cs="Times New Roman"/>
          <w:b/>
          <w:bCs/>
          <w:sz w:val="24"/>
          <w:szCs w:val="24"/>
        </w:rPr>
      </w:pPr>
      <w:r w:rsidRPr="00F719E2">
        <w:rPr>
          <w:rFonts w:ascii="Garamond" w:hAnsi="Garamond" w:cs="Times New Roman"/>
          <w:b/>
          <w:bCs/>
          <w:sz w:val="24"/>
          <w:szCs w:val="24"/>
        </w:rPr>
        <w:lastRenderedPageBreak/>
        <w:t>References</w:t>
      </w:r>
    </w:p>
    <w:p w14:paraId="1FA28AF2" w14:textId="77777777" w:rsidR="000A55C2" w:rsidRPr="00F719E2" w:rsidRDefault="000A55C2" w:rsidP="00C6646B">
      <w:pPr>
        <w:spacing w:after="0" w:line="240" w:lineRule="auto"/>
        <w:rPr>
          <w:rFonts w:ascii="Garamond" w:hAnsi="Garamond" w:cs="Times New Roman"/>
          <w:b/>
          <w:bCs/>
          <w:sz w:val="24"/>
          <w:szCs w:val="24"/>
        </w:rPr>
      </w:pPr>
    </w:p>
    <w:p w14:paraId="299E8395" w14:textId="34EFB8CE" w:rsidR="000A55C2" w:rsidRPr="00F719E2" w:rsidRDefault="000A55C2" w:rsidP="00C6646B">
      <w:pPr>
        <w:pStyle w:val="Bibliography"/>
        <w:ind w:left="720" w:hanging="720"/>
        <w:rPr>
          <w:rFonts w:ascii="Garamond" w:hAnsi="Garamond" w:cs="Times New Roman"/>
          <w:noProof/>
          <w:sz w:val="24"/>
          <w:szCs w:val="24"/>
        </w:rPr>
      </w:pPr>
      <w:r w:rsidRPr="00F719E2">
        <w:rPr>
          <w:rFonts w:ascii="Garamond" w:hAnsi="Garamond" w:cs="Times New Roman"/>
          <w:noProof/>
          <w:sz w:val="24"/>
          <w:szCs w:val="24"/>
        </w:rPr>
        <w:t xml:space="preserve">Adnot, M., Dee, T., Katz, V., &amp; Wyckoff, J. </w:t>
      </w:r>
      <w:r w:rsidR="00501B17">
        <w:rPr>
          <w:rFonts w:ascii="Garamond" w:hAnsi="Garamond" w:cs="Times New Roman"/>
          <w:noProof/>
          <w:sz w:val="24"/>
          <w:szCs w:val="24"/>
        </w:rPr>
        <w:t>(</w:t>
      </w:r>
      <w:r w:rsidRPr="00F719E2">
        <w:rPr>
          <w:rFonts w:ascii="Garamond" w:hAnsi="Garamond" w:cs="Times New Roman"/>
          <w:noProof/>
          <w:sz w:val="24"/>
          <w:szCs w:val="24"/>
        </w:rPr>
        <w:t>2017</w:t>
      </w:r>
      <w:r w:rsidR="00501B17">
        <w:rPr>
          <w:rFonts w:ascii="Garamond" w:hAnsi="Garamond" w:cs="Times New Roman"/>
          <w:noProof/>
          <w:sz w:val="24"/>
          <w:szCs w:val="24"/>
        </w:rPr>
        <w:t>)</w:t>
      </w:r>
      <w:r w:rsidRPr="00F719E2">
        <w:rPr>
          <w:rFonts w:ascii="Garamond" w:hAnsi="Garamond" w:cs="Times New Roman"/>
          <w:noProof/>
          <w:sz w:val="24"/>
          <w:szCs w:val="24"/>
        </w:rPr>
        <w:t xml:space="preserve">. Teacher </w:t>
      </w:r>
      <w:r w:rsidR="00A55DF4">
        <w:rPr>
          <w:rFonts w:ascii="Garamond" w:hAnsi="Garamond" w:cs="Times New Roman"/>
          <w:noProof/>
          <w:sz w:val="24"/>
          <w:szCs w:val="24"/>
        </w:rPr>
        <w:t>t</w:t>
      </w:r>
      <w:r w:rsidRPr="00F719E2">
        <w:rPr>
          <w:rFonts w:ascii="Garamond" w:hAnsi="Garamond" w:cs="Times New Roman"/>
          <w:noProof/>
          <w:sz w:val="24"/>
          <w:szCs w:val="24"/>
        </w:rPr>
        <w:t xml:space="preserve">urnover, </w:t>
      </w:r>
      <w:r w:rsidR="00A55DF4">
        <w:rPr>
          <w:rFonts w:ascii="Garamond" w:hAnsi="Garamond" w:cs="Times New Roman"/>
          <w:noProof/>
          <w:sz w:val="24"/>
          <w:szCs w:val="24"/>
        </w:rPr>
        <w:t>t</w:t>
      </w:r>
      <w:r w:rsidRPr="00F719E2">
        <w:rPr>
          <w:rFonts w:ascii="Garamond" w:hAnsi="Garamond" w:cs="Times New Roman"/>
          <w:noProof/>
          <w:sz w:val="24"/>
          <w:szCs w:val="24"/>
        </w:rPr>
        <w:t xml:space="preserve">eacher </w:t>
      </w:r>
      <w:r w:rsidR="00A55DF4">
        <w:rPr>
          <w:rFonts w:ascii="Garamond" w:hAnsi="Garamond" w:cs="Times New Roman"/>
          <w:noProof/>
          <w:sz w:val="24"/>
          <w:szCs w:val="24"/>
        </w:rPr>
        <w:t>q</w:t>
      </w:r>
      <w:r w:rsidRPr="00F719E2">
        <w:rPr>
          <w:rFonts w:ascii="Garamond" w:hAnsi="Garamond" w:cs="Times New Roman"/>
          <w:noProof/>
          <w:sz w:val="24"/>
          <w:szCs w:val="24"/>
        </w:rPr>
        <w:t xml:space="preserve">uality, and </w:t>
      </w:r>
      <w:r w:rsidR="00A55DF4">
        <w:rPr>
          <w:rFonts w:ascii="Garamond" w:hAnsi="Garamond" w:cs="Times New Roman"/>
          <w:noProof/>
          <w:sz w:val="24"/>
          <w:szCs w:val="24"/>
        </w:rPr>
        <w:t>s</w:t>
      </w:r>
      <w:r w:rsidRPr="00F719E2">
        <w:rPr>
          <w:rFonts w:ascii="Garamond" w:hAnsi="Garamond" w:cs="Times New Roman"/>
          <w:noProof/>
          <w:sz w:val="24"/>
          <w:szCs w:val="24"/>
        </w:rPr>
        <w:t xml:space="preserve">tudent </w:t>
      </w:r>
      <w:r w:rsidR="00A55DF4">
        <w:rPr>
          <w:rFonts w:ascii="Garamond" w:hAnsi="Garamond" w:cs="Times New Roman"/>
          <w:noProof/>
          <w:sz w:val="24"/>
          <w:szCs w:val="24"/>
        </w:rPr>
        <w:t>a</w:t>
      </w:r>
      <w:r w:rsidRPr="00F719E2">
        <w:rPr>
          <w:rFonts w:ascii="Garamond" w:hAnsi="Garamond" w:cs="Times New Roman"/>
          <w:noProof/>
          <w:sz w:val="24"/>
          <w:szCs w:val="24"/>
        </w:rPr>
        <w:t xml:space="preserve">chievement in DCPS. </w:t>
      </w:r>
      <w:r w:rsidRPr="00F719E2">
        <w:rPr>
          <w:rFonts w:ascii="Garamond" w:hAnsi="Garamond" w:cs="Times New Roman"/>
          <w:i/>
          <w:iCs/>
          <w:noProof/>
          <w:sz w:val="24"/>
          <w:szCs w:val="24"/>
        </w:rPr>
        <w:t>Educational Evaluation and Policy Analysis</w:t>
      </w:r>
      <w:r w:rsidRPr="00945717">
        <w:rPr>
          <w:rFonts w:ascii="Garamond" w:hAnsi="Garamond" w:cs="Times New Roman"/>
          <w:noProof/>
          <w:sz w:val="24"/>
          <w:szCs w:val="24"/>
        </w:rPr>
        <w:t xml:space="preserve">, </w:t>
      </w:r>
      <w:r w:rsidRPr="00F719E2">
        <w:rPr>
          <w:rFonts w:ascii="Garamond" w:hAnsi="Garamond" w:cs="Times New Roman"/>
          <w:i/>
          <w:iCs/>
          <w:noProof/>
          <w:sz w:val="24"/>
          <w:szCs w:val="24"/>
        </w:rPr>
        <w:t>39</w:t>
      </w:r>
      <w:r w:rsidRPr="00F719E2">
        <w:rPr>
          <w:rFonts w:ascii="Garamond" w:hAnsi="Garamond" w:cs="Times New Roman"/>
          <w:noProof/>
          <w:sz w:val="24"/>
          <w:szCs w:val="24"/>
        </w:rPr>
        <w:t>(1), 54-76.</w:t>
      </w:r>
    </w:p>
    <w:p w14:paraId="369480C9" w14:textId="3D799E6D" w:rsidR="00051C0C" w:rsidRDefault="005C038C" w:rsidP="00C6646B">
      <w:pPr>
        <w:ind w:left="720" w:hanging="720"/>
        <w:rPr>
          <w:rFonts w:ascii="Garamond" w:hAnsi="Garamond" w:cs="Times New Roman"/>
          <w:sz w:val="24"/>
          <w:szCs w:val="24"/>
        </w:rPr>
      </w:pPr>
      <w:r w:rsidRPr="00F719E2">
        <w:rPr>
          <w:rFonts w:ascii="Garamond" w:hAnsi="Garamond" w:cs="Times New Roman"/>
          <w:sz w:val="24"/>
          <w:szCs w:val="24"/>
        </w:rPr>
        <w:t>Bleiberg, J</w:t>
      </w:r>
      <w:r w:rsidR="0059062C" w:rsidRPr="00F719E2">
        <w:rPr>
          <w:rFonts w:ascii="Garamond" w:hAnsi="Garamond" w:cs="Times New Roman"/>
          <w:sz w:val="24"/>
          <w:szCs w:val="24"/>
        </w:rPr>
        <w:t>.</w:t>
      </w:r>
      <w:r w:rsidRPr="00F719E2">
        <w:rPr>
          <w:rFonts w:ascii="Garamond" w:hAnsi="Garamond" w:cs="Times New Roman"/>
          <w:sz w:val="24"/>
          <w:szCs w:val="24"/>
        </w:rPr>
        <w:t xml:space="preserve">, </w:t>
      </w:r>
      <w:r w:rsidR="0059062C" w:rsidRPr="00F719E2">
        <w:rPr>
          <w:rFonts w:ascii="Garamond" w:hAnsi="Garamond" w:cs="Times New Roman"/>
          <w:sz w:val="24"/>
          <w:szCs w:val="24"/>
        </w:rPr>
        <w:t xml:space="preserve">&amp; </w:t>
      </w:r>
      <w:r w:rsidRPr="00F719E2">
        <w:rPr>
          <w:rFonts w:ascii="Garamond" w:hAnsi="Garamond" w:cs="Times New Roman"/>
          <w:sz w:val="24"/>
          <w:szCs w:val="24"/>
        </w:rPr>
        <w:t>Kraft</w:t>
      </w:r>
      <w:r w:rsidR="0059062C" w:rsidRPr="00F719E2">
        <w:rPr>
          <w:rFonts w:ascii="Garamond" w:hAnsi="Garamond" w:cs="Times New Roman"/>
          <w:sz w:val="24"/>
          <w:szCs w:val="24"/>
        </w:rPr>
        <w:t>, M</w:t>
      </w:r>
      <w:r w:rsidRPr="00F719E2">
        <w:rPr>
          <w:rFonts w:ascii="Garamond" w:hAnsi="Garamond" w:cs="Times New Roman"/>
          <w:sz w:val="24"/>
          <w:szCs w:val="24"/>
        </w:rPr>
        <w:t xml:space="preserve">. </w:t>
      </w:r>
      <w:r w:rsidR="008F27F0">
        <w:rPr>
          <w:rFonts w:ascii="Garamond" w:hAnsi="Garamond" w:cs="Times New Roman"/>
          <w:sz w:val="24"/>
          <w:szCs w:val="24"/>
        </w:rPr>
        <w:t>(</w:t>
      </w:r>
      <w:r w:rsidRPr="00F719E2">
        <w:rPr>
          <w:rFonts w:ascii="Garamond" w:hAnsi="Garamond" w:cs="Times New Roman"/>
          <w:sz w:val="24"/>
          <w:szCs w:val="24"/>
        </w:rPr>
        <w:t>2022</w:t>
      </w:r>
      <w:r w:rsidR="008F27F0">
        <w:rPr>
          <w:rFonts w:ascii="Garamond" w:hAnsi="Garamond" w:cs="Times New Roman"/>
          <w:sz w:val="24"/>
          <w:szCs w:val="24"/>
        </w:rPr>
        <w:t>)</w:t>
      </w:r>
      <w:r w:rsidRPr="00F719E2">
        <w:rPr>
          <w:rFonts w:ascii="Garamond" w:hAnsi="Garamond" w:cs="Times New Roman"/>
          <w:sz w:val="24"/>
          <w:szCs w:val="24"/>
        </w:rPr>
        <w:t xml:space="preserve">. What </w:t>
      </w:r>
      <w:r w:rsidR="008F27F0">
        <w:rPr>
          <w:rFonts w:ascii="Garamond" w:hAnsi="Garamond" w:cs="Times New Roman"/>
          <w:sz w:val="24"/>
          <w:szCs w:val="24"/>
        </w:rPr>
        <w:t>h</w:t>
      </w:r>
      <w:r w:rsidRPr="00F719E2">
        <w:rPr>
          <w:rFonts w:ascii="Garamond" w:hAnsi="Garamond" w:cs="Times New Roman"/>
          <w:sz w:val="24"/>
          <w:szCs w:val="24"/>
        </w:rPr>
        <w:t xml:space="preserve">appened to the K-12 </w:t>
      </w:r>
      <w:r w:rsidR="008F27F0">
        <w:rPr>
          <w:rFonts w:ascii="Garamond" w:hAnsi="Garamond" w:cs="Times New Roman"/>
          <w:sz w:val="24"/>
          <w:szCs w:val="24"/>
        </w:rPr>
        <w:t>e</w:t>
      </w:r>
      <w:r w:rsidRPr="00F719E2">
        <w:rPr>
          <w:rFonts w:ascii="Garamond" w:hAnsi="Garamond" w:cs="Times New Roman"/>
          <w:sz w:val="24"/>
          <w:szCs w:val="24"/>
        </w:rPr>
        <w:t xml:space="preserve">ducation </w:t>
      </w:r>
      <w:r w:rsidR="008F27F0">
        <w:rPr>
          <w:rFonts w:ascii="Garamond" w:hAnsi="Garamond" w:cs="Times New Roman"/>
          <w:sz w:val="24"/>
          <w:szCs w:val="24"/>
        </w:rPr>
        <w:t>l</w:t>
      </w:r>
      <w:r w:rsidRPr="00F719E2">
        <w:rPr>
          <w:rFonts w:ascii="Garamond" w:hAnsi="Garamond" w:cs="Times New Roman"/>
          <w:sz w:val="24"/>
          <w:szCs w:val="24"/>
        </w:rPr>
        <w:t xml:space="preserve">abor </w:t>
      </w:r>
      <w:r w:rsidR="008F27F0">
        <w:rPr>
          <w:rFonts w:ascii="Garamond" w:hAnsi="Garamond" w:cs="Times New Roman"/>
          <w:sz w:val="24"/>
          <w:szCs w:val="24"/>
        </w:rPr>
        <w:t>m</w:t>
      </w:r>
      <w:r w:rsidRPr="00F719E2">
        <w:rPr>
          <w:rFonts w:ascii="Garamond" w:hAnsi="Garamond" w:cs="Times New Roman"/>
          <w:sz w:val="24"/>
          <w:szCs w:val="24"/>
        </w:rPr>
        <w:t xml:space="preserve">arket </w:t>
      </w:r>
      <w:r w:rsidR="008F27F0">
        <w:rPr>
          <w:rFonts w:ascii="Garamond" w:hAnsi="Garamond" w:cs="Times New Roman"/>
          <w:sz w:val="24"/>
          <w:szCs w:val="24"/>
        </w:rPr>
        <w:t>d</w:t>
      </w:r>
      <w:r w:rsidRPr="00F719E2">
        <w:rPr>
          <w:rFonts w:ascii="Garamond" w:hAnsi="Garamond" w:cs="Times New Roman"/>
          <w:sz w:val="24"/>
          <w:szCs w:val="24"/>
        </w:rPr>
        <w:t xml:space="preserve">uring COVID? The </w:t>
      </w:r>
      <w:r w:rsidR="008F27F0">
        <w:rPr>
          <w:rFonts w:ascii="Garamond" w:hAnsi="Garamond" w:cs="Times New Roman"/>
          <w:sz w:val="24"/>
          <w:szCs w:val="24"/>
        </w:rPr>
        <w:t>a</w:t>
      </w:r>
      <w:r w:rsidRPr="00F719E2">
        <w:rPr>
          <w:rFonts w:ascii="Garamond" w:hAnsi="Garamond" w:cs="Times New Roman"/>
          <w:sz w:val="24"/>
          <w:szCs w:val="24"/>
        </w:rPr>
        <w:t xml:space="preserve">cute </w:t>
      </w:r>
      <w:r w:rsidR="008F27F0">
        <w:rPr>
          <w:rFonts w:ascii="Garamond" w:hAnsi="Garamond" w:cs="Times New Roman"/>
          <w:sz w:val="24"/>
          <w:szCs w:val="24"/>
        </w:rPr>
        <w:t>n</w:t>
      </w:r>
      <w:r w:rsidRPr="00F719E2">
        <w:rPr>
          <w:rFonts w:ascii="Garamond" w:hAnsi="Garamond" w:cs="Times New Roman"/>
          <w:sz w:val="24"/>
          <w:szCs w:val="24"/>
        </w:rPr>
        <w:t xml:space="preserve">eed for </w:t>
      </w:r>
      <w:r w:rsidR="008F27F0">
        <w:rPr>
          <w:rFonts w:ascii="Garamond" w:hAnsi="Garamond" w:cs="Times New Roman"/>
          <w:sz w:val="24"/>
          <w:szCs w:val="24"/>
        </w:rPr>
        <w:t>b</w:t>
      </w:r>
      <w:r w:rsidRPr="00F719E2">
        <w:rPr>
          <w:rFonts w:ascii="Garamond" w:hAnsi="Garamond" w:cs="Times New Roman"/>
          <w:sz w:val="24"/>
          <w:szCs w:val="24"/>
        </w:rPr>
        <w:t xml:space="preserve">etter </w:t>
      </w:r>
      <w:r w:rsidR="008F27F0">
        <w:rPr>
          <w:rFonts w:ascii="Garamond" w:hAnsi="Garamond" w:cs="Times New Roman"/>
          <w:sz w:val="24"/>
          <w:szCs w:val="24"/>
        </w:rPr>
        <w:t>d</w:t>
      </w:r>
      <w:r w:rsidRPr="00F719E2">
        <w:rPr>
          <w:rFonts w:ascii="Garamond" w:hAnsi="Garamond" w:cs="Times New Roman"/>
          <w:sz w:val="24"/>
          <w:szCs w:val="24"/>
        </w:rPr>
        <w:t xml:space="preserve">ata </w:t>
      </w:r>
      <w:r w:rsidR="008F27F0">
        <w:rPr>
          <w:rFonts w:ascii="Garamond" w:hAnsi="Garamond" w:cs="Times New Roman"/>
          <w:sz w:val="24"/>
          <w:szCs w:val="24"/>
        </w:rPr>
        <w:t>s</w:t>
      </w:r>
      <w:r w:rsidRPr="00F719E2">
        <w:rPr>
          <w:rFonts w:ascii="Garamond" w:hAnsi="Garamond" w:cs="Times New Roman"/>
          <w:sz w:val="24"/>
          <w:szCs w:val="24"/>
        </w:rPr>
        <w:t xml:space="preserve">ystems. </w:t>
      </w:r>
      <w:proofErr w:type="spellStart"/>
      <w:r w:rsidRPr="00F719E2">
        <w:rPr>
          <w:rFonts w:ascii="Garamond" w:hAnsi="Garamond" w:cs="Times New Roman"/>
          <w:sz w:val="24"/>
          <w:szCs w:val="24"/>
        </w:rPr>
        <w:t>EdWorkingPaper</w:t>
      </w:r>
      <w:proofErr w:type="spellEnd"/>
      <w:r w:rsidRPr="00F719E2">
        <w:rPr>
          <w:rFonts w:ascii="Garamond" w:hAnsi="Garamond" w:cs="Times New Roman"/>
          <w:sz w:val="24"/>
          <w:szCs w:val="24"/>
        </w:rPr>
        <w:t xml:space="preserve">: 22-544. Retrieved from Annenberg Institute at Brown University: </w:t>
      </w:r>
      <w:hyperlink r:id="rId21" w:history="1">
        <w:r w:rsidR="00051C0C" w:rsidRPr="00F719E2">
          <w:rPr>
            <w:rStyle w:val="Hyperlink"/>
            <w:rFonts w:ascii="Garamond" w:hAnsi="Garamond" w:cs="Times New Roman"/>
            <w:color w:val="auto"/>
            <w:sz w:val="24"/>
            <w:szCs w:val="24"/>
          </w:rPr>
          <w:t>https://doi.org/10.26300/2xw0-v642</w:t>
        </w:r>
      </w:hyperlink>
      <w:r w:rsidR="00051C0C" w:rsidRPr="00F719E2">
        <w:rPr>
          <w:rFonts w:ascii="Garamond" w:hAnsi="Garamond" w:cs="Times New Roman"/>
          <w:sz w:val="24"/>
          <w:szCs w:val="24"/>
        </w:rPr>
        <w:t>.</w:t>
      </w:r>
    </w:p>
    <w:p w14:paraId="7DBF9AD4" w14:textId="775291E0" w:rsidR="00FC3DAC" w:rsidRPr="00FC3DAC" w:rsidRDefault="00FC3DAC" w:rsidP="00C6646B">
      <w:pPr>
        <w:ind w:left="720" w:hanging="720"/>
        <w:rPr>
          <w:rFonts w:ascii="Garamond" w:hAnsi="Garamond" w:cs="Times New Roman"/>
          <w:sz w:val="24"/>
          <w:szCs w:val="24"/>
        </w:rPr>
      </w:pPr>
      <w:r w:rsidRPr="00FC3DAC">
        <w:rPr>
          <w:rFonts w:ascii="Garamond" w:hAnsi="Garamond" w:cs="Arial"/>
          <w:sz w:val="24"/>
          <w:szCs w:val="24"/>
          <w:shd w:val="clear" w:color="auto" w:fill="FFFFFF"/>
        </w:rPr>
        <w:t>Carver-Thomas, D.</w:t>
      </w:r>
      <w:r w:rsidR="008E1825">
        <w:rPr>
          <w:rFonts w:ascii="Garamond" w:hAnsi="Garamond" w:cs="Arial"/>
          <w:sz w:val="24"/>
          <w:szCs w:val="24"/>
          <w:shd w:val="clear" w:color="auto" w:fill="FFFFFF"/>
        </w:rPr>
        <w:t>,</w:t>
      </w:r>
      <w:r>
        <w:rPr>
          <w:rFonts w:ascii="Garamond" w:hAnsi="Garamond" w:cs="Arial"/>
          <w:sz w:val="24"/>
          <w:szCs w:val="24"/>
          <w:shd w:val="clear" w:color="auto" w:fill="FFFFFF"/>
        </w:rPr>
        <w:t xml:space="preserve"> </w:t>
      </w:r>
      <w:r w:rsidRPr="00FC3DAC">
        <w:rPr>
          <w:rFonts w:ascii="Garamond" w:hAnsi="Garamond" w:cs="Arial"/>
          <w:sz w:val="24"/>
          <w:szCs w:val="24"/>
          <w:shd w:val="clear" w:color="auto" w:fill="FFFFFF"/>
        </w:rPr>
        <w:t>&amp; Darling-Hammond, L.</w:t>
      </w:r>
      <w:r>
        <w:rPr>
          <w:rFonts w:ascii="Garamond" w:hAnsi="Garamond" w:cs="Arial"/>
          <w:sz w:val="24"/>
          <w:szCs w:val="24"/>
          <w:shd w:val="clear" w:color="auto" w:fill="FFFFFF"/>
        </w:rPr>
        <w:t xml:space="preserve"> </w:t>
      </w:r>
      <w:r w:rsidRPr="00FC3DAC">
        <w:rPr>
          <w:rFonts w:ascii="Garamond" w:hAnsi="Garamond" w:cs="Arial"/>
          <w:sz w:val="24"/>
          <w:szCs w:val="24"/>
          <w:shd w:val="clear" w:color="auto" w:fill="FFFFFF"/>
        </w:rPr>
        <w:t>(2019). The trouble with teacher turnover: How teacher attrition affects students and schools.</w:t>
      </w:r>
      <w:r>
        <w:rPr>
          <w:rFonts w:ascii="Garamond" w:hAnsi="Garamond" w:cs="Arial"/>
          <w:sz w:val="24"/>
          <w:szCs w:val="24"/>
          <w:shd w:val="clear" w:color="auto" w:fill="FFFFFF"/>
        </w:rPr>
        <w:t xml:space="preserve"> </w:t>
      </w:r>
      <w:r w:rsidRPr="00FC3DAC">
        <w:rPr>
          <w:rFonts w:ascii="Garamond" w:hAnsi="Garamond" w:cs="Arial"/>
          <w:i/>
          <w:iCs/>
          <w:sz w:val="24"/>
          <w:szCs w:val="24"/>
          <w:shd w:val="clear" w:color="auto" w:fill="FFFFFF"/>
        </w:rPr>
        <w:t>Education Policy Analysis Archives, 27</w:t>
      </w:r>
      <w:r w:rsidRPr="00FC3DAC">
        <w:rPr>
          <w:rFonts w:ascii="Garamond" w:hAnsi="Garamond" w:cs="Arial"/>
          <w:sz w:val="24"/>
          <w:szCs w:val="24"/>
          <w:shd w:val="clear" w:color="auto" w:fill="FFFFFF"/>
        </w:rPr>
        <w:t>(36).</w:t>
      </w:r>
    </w:p>
    <w:p w14:paraId="622C289F" w14:textId="0AAA1624" w:rsidR="009C48EF" w:rsidRPr="00FF4EBE" w:rsidRDefault="009C48EF" w:rsidP="00C6646B">
      <w:pPr>
        <w:pStyle w:val="Bibliography"/>
        <w:ind w:left="720" w:hanging="720"/>
        <w:rPr>
          <w:rFonts w:ascii="Garamond" w:hAnsi="Garamond" w:cs="Times New Roman"/>
          <w:noProof/>
          <w:sz w:val="24"/>
          <w:szCs w:val="24"/>
        </w:rPr>
      </w:pPr>
      <w:r w:rsidRPr="00FF4EBE">
        <w:rPr>
          <w:rFonts w:ascii="Garamond" w:hAnsi="Garamond" w:cs="Times New Roman"/>
          <w:noProof/>
          <w:sz w:val="24"/>
          <w:szCs w:val="24"/>
        </w:rPr>
        <w:t xml:space="preserve">Clotfelter, C., Ladd, H., &amp; Vigdor, J. </w:t>
      </w:r>
      <w:r w:rsidR="002477E5">
        <w:rPr>
          <w:rFonts w:ascii="Garamond" w:hAnsi="Garamond" w:cs="Times New Roman"/>
          <w:noProof/>
          <w:sz w:val="24"/>
          <w:szCs w:val="24"/>
        </w:rPr>
        <w:t>(</w:t>
      </w:r>
      <w:r w:rsidRPr="00FF4EBE">
        <w:rPr>
          <w:rFonts w:ascii="Garamond" w:hAnsi="Garamond" w:cs="Times New Roman"/>
          <w:noProof/>
          <w:sz w:val="24"/>
          <w:szCs w:val="24"/>
        </w:rPr>
        <w:t>2005</w:t>
      </w:r>
      <w:r w:rsidR="002477E5">
        <w:rPr>
          <w:rFonts w:ascii="Garamond" w:hAnsi="Garamond" w:cs="Times New Roman"/>
          <w:noProof/>
          <w:sz w:val="24"/>
          <w:szCs w:val="24"/>
        </w:rPr>
        <w:t>)</w:t>
      </w:r>
      <w:r w:rsidRPr="00FF4EBE">
        <w:rPr>
          <w:rFonts w:ascii="Garamond" w:hAnsi="Garamond" w:cs="Times New Roman"/>
          <w:noProof/>
          <w:sz w:val="24"/>
          <w:szCs w:val="24"/>
        </w:rPr>
        <w:t xml:space="preserve">. Who </w:t>
      </w:r>
      <w:r w:rsidR="002477E5">
        <w:rPr>
          <w:rFonts w:ascii="Garamond" w:hAnsi="Garamond" w:cs="Times New Roman"/>
          <w:noProof/>
          <w:sz w:val="24"/>
          <w:szCs w:val="24"/>
        </w:rPr>
        <w:t>t</w:t>
      </w:r>
      <w:r w:rsidRPr="00FF4EBE">
        <w:rPr>
          <w:rFonts w:ascii="Garamond" w:hAnsi="Garamond" w:cs="Times New Roman"/>
          <w:noProof/>
          <w:sz w:val="24"/>
          <w:szCs w:val="24"/>
        </w:rPr>
        <w:t xml:space="preserve">eaches </w:t>
      </w:r>
      <w:r w:rsidR="002477E5">
        <w:rPr>
          <w:rFonts w:ascii="Garamond" w:hAnsi="Garamond" w:cs="Times New Roman"/>
          <w:noProof/>
          <w:sz w:val="24"/>
          <w:szCs w:val="24"/>
        </w:rPr>
        <w:t>w</w:t>
      </w:r>
      <w:r w:rsidRPr="00FF4EBE">
        <w:rPr>
          <w:rFonts w:ascii="Garamond" w:hAnsi="Garamond" w:cs="Times New Roman"/>
          <w:noProof/>
          <w:sz w:val="24"/>
          <w:szCs w:val="24"/>
        </w:rPr>
        <w:t xml:space="preserve">hom? Race and the </w:t>
      </w:r>
      <w:r w:rsidR="002477E5">
        <w:rPr>
          <w:rFonts w:ascii="Garamond" w:hAnsi="Garamond" w:cs="Times New Roman"/>
          <w:noProof/>
          <w:sz w:val="24"/>
          <w:szCs w:val="24"/>
        </w:rPr>
        <w:t>d</w:t>
      </w:r>
      <w:r w:rsidRPr="00FF4EBE">
        <w:rPr>
          <w:rFonts w:ascii="Garamond" w:hAnsi="Garamond" w:cs="Times New Roman"/>
          <w:noProof/>
          <w:sz w:val="24"/>
          <w:szCs w:val="24"/>
        </w:rPr>
        <w:t xml:space="preserve">istribution of </w:t>
      </w:r>
      <w:r w:rsidR="002477E5">
        <w:rPr>
          <w:rFonts w:ascii="Garamond" w:hAnsi="Garamond" w:cs="Times New Roman"/>
          <w:noProof/>
          <w:sz w:val="24"/>
          <w:szCs w:val="24"/>
        </w:rPr>
        <w:t>n</w:t>
      </w:r>
      <w:r w:rsidRPr="00FF4EBE">
        <w:rPr>
          <w:rFonts w:ascii="Garamond" w:hAnsi="Garamond" w:cs="Times New Roman"/>
          <w:noProof/>
          <w:sz w:val="24"/>
          <w:szCs w:val="24"/>
        </w:rPr>
        <w:t xml:space="preserve">ovice </w:t>
      </w:r>
      <w:r w:rsidR="002477E5">
        <w:rPr>
          <w:rFonts w:ascii="Garamond" w:hAnsi="Garamond" w:cs="Times New Roman"/>
          <w:noProof/>
          <w:sz w:val="24"/>
          <w:szCs w:val="24"/>
        </w:rPr>
        <w:t>t</w:t>
      </w:r>
      <w:r w:rsidRPr="00FF4EBE">
        <w:rPr>
          <w:rFonts w:ascii="Garamond" w:hAnsi="Garamond" w:cs="Times New Roman"/>
          <w:noProof/>
          <w:sz w:val="24"/>
          <w:szCs w:val="24"/>
        </w:rPr>
        <w:t xml:space="preserve">eachers. </w:t>
      </w:r>
      <w:r w:rsidRPr="00FF4EBE">
        <w:rPr>
          <w:rFonts w:ascii="Garamond" w:hAnsi="Garamond" w:cs="Times New Roman"/>
          <w:i/>
          <w:iCs/>
          <w:noProof/>
          <w:sz w:val="24"/>
          <w:szCs w:val="24"/>
        </w:rPr>
        <w:t>Economics of Education Review</w:t>
      </w:r>
      <w:r w:rsidRPr="002477E5">
        <w:rPr>
          <w:rFonts w:ascii="Garamond" w:hAnsi="Garamond" w:cs="Times New Roman"/>
          <w:noProof/>
          <w:sz w:val="24"/>
          <w:szCs w:val="24"/>
        </w:rPr>
        <w:t>,</w:t>
      </w:r>
      <w:r w:rsidRPr="00FF4EBE">
        <w:rPr>
          <w:rFonts w:ascii="Garamond" w:hAnsi="Garamond" w:cs="Times New Roman"/>
          <w:i/>
          <w:iCs/>
          <w:noProof/>
          <w:sz w:val="24"/>
          <w:szCs w:val="24"/>
        </w:rPr>
        <w:t xml:space="preserve"> 24</w:t>
      </w:r>
      <w:r w:rsidRPr="00FF4EBE">
        <w:rPr>
          <w:rFonts w:ascii="Garamond" w:hAnsi="Garamond" w:cs="Times New Roman"/>
          <w:noProof/>
          <w:sz w:val="24"/>
          <w:szCs w:val="24"/>
        </w:rPr>
        <w:t>(4), 377-392.</w:t>
      </w:r>
    </w:p>
    <w:p w14:paraId="263F834F" w14:textId="7F31276A" w:rsidR="009618E5" w:rsidRPr="00FF4EBE" w:rsidRDefault="002477E5" w:rsidP="00C6646B">
      <w:pPr>
        <w:ind w:left="720" w:hanging="720"/>
        <w:rPr>
          <w:rFonts w:ascii="Garamond" w:hAnsi="Garamond"/>
          <w:sz w:val="24"/>
          <w:szCs w:val="24"/>
        </w:rPr>
      </w:pPr>
      <w:r w:rsidRPr="00FF4EBE">
        <w:rPr>
          <w:rFonts w:ascii="Garamond" w:hAnsi="Garamond" w:cs="Times New Roman"/>
          <w:noProof/>
          <w:sz w:val="24"/>
          <w:szCs w:val="24"/>
        </w:rPr>
        <w:t>Clotfelter, C., Ladd, H., &amp; Vigdor, J.</w:t>
      </w:r>
      <w:r w:rsidR="009618E5" w:rsidRPr="00FF4EBE">
        <w:rPr>
          <w:rFonts w:ascii="Garamond" w:hAnsi="Garamond" w:cs="Times New Roman"/>
          <w:sz w:val="24"/>
          <w:szCs w:val="24"/>
        </w:rPr>
        <w:t xml:space="preserve"> </w:t>
      </w:r>
      <w:r>
        <w:rPr>
          <w:rFonts w:ascii="Garamond" w:hAnsi="Garamond" w:cs="Times New Roman"/>
          <w:sz w:val="24"/>
          <w:szCs w:val="24"/>
        </w:rPr>
        <w:t>(</w:t>
      </w:r>
      <w:r w:rsidR="009618E5" w:rsidRPr="00FF4EBE">
        <w:rPr>
          <w:rFonts w:ascii="Garamond" w:hAnsi="Garamond" w:cs="Times New Roman"/>
          <w:sz w:val="24"/>
          <w:szCs w:val="24"/>
        </w:rPr>
        <w:t>2011</w:t>
      </w:r>
      <w:r w:rsidR="00196B94">
        <w:rPr>
          <w:rFonts w:ascii="Garamond" w:hAnsi="Garamond" w:cs="Times New Roman"/>
          <w:sz w:val="24"/>
          <w:szCs w:val="24"/>
        </w:rPr>
        <w:t>)</w:t>
      </w:r>
      <w:r w:rsidR="009618E5" w:rsidRPr="00FF4EBE">
        <w:rPr>
          <w:rFonts w:ascii="Garamond" w:hAnsi="Garamond" w:cs="Times New Roman"/>
          <w:sz w:val="24"/>
          <w:szCs w:val="24"/>
        </w:rPr>
        <w:t xml:space="preserve">. Teacher </w:t>
      </w:r>
      <w:r w:rsidR="00196B94">
        <w:rPr>
          <w:rFonts w:ascii="Garamond" w:hAnsi="Garamond" w:cs="Times New Roman"/>
          <w:sz w:val="24"/>
          <w:szCs w:val="24"/>
        </w:rPr>
        <w:t>m</w:t>
      </w:r>
      <w:r w:rsidR="009618E5" w:rsidRPr="00FF4EBE">
        <w:rPr>
          <w:rFonts w:ascii="Garamond" w:hAnsi="Garamond" w:cs="Times New Roman"/>
          <w:sz w:val="24"/>
          <w:szCs w:val="24"/>
        </w:rPr>
        <w:t xml:space="preserve">obility, </w:t>
      </w:r>
      <w:r w:rsidR="00196B94">
        <w:rPr>
          <w:rFonts w:ascii="Garamond" w:hAnsi="Garamond" w:cs="Times New Roman"/>
          <w:sz w:val="24"/>
          <w:szCs w:val="24"/>
        </w:rPr>
        <w:t>s</w:t>
      </w:r>
      <w:r w:rsidR="009618E5" w:rsidRPr="00FF4EBE">
        <w:rPr>
          <w:rFonts w:ascii="Garamond" w:hAnsi="Garamond" w:cs="Times New Roman"/>
          <w:sz w:val="24"/>
          <w:szCs w:val="24"/>
        </w:rPr>
        <w:t xml:space="preserve">chool </w:t>
      </w:r>
      <w:r w:rsidR="00196B94">
        <w:rPr>
          <w:rFonts w:ascii="Garamond" w:hAnsi="Garamond" w:cs="Times New Roman"/>
          <w:sz w:val="24"/>
          <w:szCs w:val="24"/>
        </w:rPr>
        <w:t>s</w:t>
      </w:r>
      <w:r w:rsidR="009618E5" w:rsidRPr="00FF4EBE">
        <w:rPr>
          <w:rFonts w:ascii="Garamond" w:hAnsi="Garamond" w:cs="Times New Roman"/>
          <w:sz w:val="24"/>
          <w:szCs w:val="24"/>
        </w:rPr>
        <w:t xml:space="preserve">egregation, and </w:t>
      </w:r>
      <w:r w:rsidR="00196B94">
        <w:rPr>
          <w:rFonts w:ascii="Garamond" w:hAnsi="Garamond" w:cs="Times New Roman"/>
          <w:sz w:val="24"/>
          <w:szCs w:val="24"/>
        </w:rPr>
        <w:t>p</w:t>
      </w:r>
      <w:r w:rsidR="009618E5" w:rsidRPr="00FF4EBE">
        <w:rPr>
          <w:rFonts w:ascii="Garamond" w:hAnsi="Garamond" w:cs="Times New Roman"/>
          <w:sz w:val="24"/>
          <w:szCs w:val="24"/>
        </w:rPr>
        <w:t>ay-</w:t>
      </w:r>
      <w:r w:rsidR="00196B94">
        <w:rPr>
          <w:rFonts w:ascii="Garamond" w:hAnsi="Garamond" w:cs="Times New Roman"/>
          <w:sz w:val="24"/>
          <w:szCs w:val="24"/>
        </w:rPr>
        <w:t>b</w:t>
      </w:r>
      <w:r w:rsidR="009618E5" w:rsidRPr="00FF4EBE">
        <w:rPr>
          <w:rFonts w:ascii="Garamond" w:hAnsi="Garamond" w:cs="Times New Roman"/>
          <w:sz w:val="24"/>
          <w:szCs w:val="24"/>
        </w:rPr>
        <w:t xml:space="preserve">ased </w:t>
      </w:r>
      <w:r w:rsidR="00196B94">
        <w:rPr>
          <w:rFonts w:ascii="Garamond" w:hAnsi="Garamond" w:cs="Times New Roman"/>
          <w:sz w:val="24"/>
          <w:szCs w:val="24"/>
        </w:rPr>
        <w:t>p</w:t>
      </w:r>
      <w:r w:rsidR="009618E5" w:rsidRPr="00FF4EBE">
        <w:rPr>
          <w:rFonts w:ascii="Garamond" w:hAnsi="Garamond" w:cs="Times New Roman"/>
          <w:sz w:val="24"/>
          <w:szCs w:val="24"/>
        </w:rPr>
        <w:t xml:space="preserve">olicies to </w:t>
      </w:r>
      <w:r w:rsidR="00196B94">
        <w:rPr>
          <w:rFonts w:ascii="Garamond" w:hAnsi="Garamond" w:cs="Times New Roman"/>
          <w:sz w:val="24"/>
          <w:szCs w:val="24"/>
        </w:rPr>
        <w:t>l</w:t>
      </w:r>
      <w:r w:rsidR="009618E5" w:rsidRPr="00FF4EBE">
        <w:rPr>
          <w:rFonts w:ascii="Garamond" w:hAnsi="Garamond" w:cs="Times New Roman"/>
          <w:sz w:val="24"/>
          <w:szCs w:val="24"/>
        </w:rPr>
        <w:t xml:space="preserve">evel the </w:t>
      </w:r>
      <w:r w:rsidR="00196B94">
        <w:rPr>
          <w:rFonts w:ascii="Garamond" w:hAnsi="Garamond" w:cs="Times New Roman"/>
          <w:sz w:val="24"/>
          <w:szCs w:val="24"/>
        </w:rPr>
        <w:t>p</w:t>
      </w:r>
      <w:r w:rsidR="009618E5" w:rsidRPr="00FF4EBE">
        <w:rPr>
          <w:rFonts w:ascii="Garamond" w:hAnsi="Garamond" w:cs="Times New Roman"/>
          <w:sz w:val="24"/>
          <w:szCs w:val="24"/>
        </w:rPr>
        <w:t xml:space="preserve">laying </w:t>
      </w:r>
      <w:r w:rsidR="00196B94">
        <w:rPr>
          <w:rFonts w:ascii="Garamond" w:hAnsi="Garamond" w:cs="Times New Roman"/>
          <w:sz w:val="24"/>
          <w:szCs w:val="24"/>
        </w:rPr>
        <w:t>f</w:t>
      </w:r>
      <w:r w:rsidR="009618E5" w:rsidRPr="00FF4EBE">
        <w:rPr>
          <w:rFonts w:ascii="Garamond" w:hAnsi="Garamond" w:cs="Times New Roman"/>
          <w:sz w:val="24"/>
          <w:szCs w:val="24"/>
        </w:rPr>
        <w:t xml:space="preserve">ield. </w:t>
      </w:r>
      <w:r w:rsidR="009618E5" w:rsidRPr="00FF4EBE">
        <w:rPr>
          <w:rFonts w:ascii="Garamond" w:hAnsi="Garamond" w:cs="Times New Roman"/>
          <w:i/>
          <w:iCs/>
          <w:sz w:val="24"/>
          <w:szCs w:val="24"/>
        </w:rPr>
        <w:t>Education Finance and Policy</w:t>
      </w:r>
      <w:r w:rsidR="009618E5" w:rsidRPr="00196B94">
        <w:rPr>
          <w:rFonts w:ascii="Garamond" w:hAnsi="Garamond" w:cs="Times New Roman"/>
          <w:sz w:val="24"/>
          <w:szCs w:val="24"/>
        </w:rPr>
        <w:t>,</w:t>
      </w:r>
      <w:r w:rsidR="009618E5" w:rsidRPr="00FF4EBE">
        <w:rPr>
          <w:rFonts w:ascii="Garamond" w:hAnsi="Garamond" w:cs="Times New Roman"/>
          <w:i/>
          <w:iCs/>
          <w:sz w:val="24"/>
          <w:szCs w:val="24"/>
        </w:rPr>
        <w:t xml:space="preserve"> 6</w:t>
      </w:r>
      <w:r w:rsidR="009618E5" w:rsidRPr="00FF4EBE">
        <w:rPr>
          <w:rFonts w:ascii="Garamond" w:hAnsi="Garamond" w:cs="Times New Roman"/>
          <w:sz w:val="24"/>
          <w:szCs w:val="24"/>
        </w:rPr>
        <w:t>(3), 399-438.</w:t>
      </w:r>
    </w:p>
    <w:p w14:paraId="531F33A7" w14:textId="17AE81D7" w:rsidR="009C48EF" w:rsidRPr="00F719E2" w:rsidRDefault="009C48EF" w:rsidP="00C6646B">
      <w:pPr>
        <w:pStyle w:val="Bibliography"/>
        <w:ind w:left="720" w:hanging="720"/>
        <w:rPr>
          <w:rFonts w:ascii="Garamond" w:hAnsi="Garamond" w:cs="Times New Roman"/>
          <w:noProof/>
          <w:sz w:val="24"/>
          <w:szCs w:val="24"/>
        </w:rPr>
      </w:pPr>
      <w:r w:rsidRPr="00FF4EBE">
        <w:rPr>
          <w:rFonts w:ascii="Garamond" w:hAnsi="Garamond" w:cs="Times New Roman"/>
          <w:noProof/>
          <w:sz w:val="24"/>
          <w:szCs w:val="24"/>
        </w:rPr>
        <w:t xml:space="preserve">Clotfelter, C., Glennie, E., Ladd, H., &amp; Vigdor, J. </w:t>
      </w:r>
      <w:r w:rsidR="001D4A43">
        <w:rPr>
          <w:rFonts w:ascii="Garamond" w:hAnsi="Garamond" w:cs="Times New Roman"/>
          <w:noProof/>
          <w:sz w:val="24"/>
          <w:szCs w:val="24"/>
        </w:rPr>
        <w:t>(</w:t>
      </w:r>
      <w:r w:rsidRPr="00FF4EBE">
        <w:rPr>
          <w:rFonts w:ascii="Garamond" w:hAnsi="Garamond" w:cs="Times New Roman"/>
          <w:noProof/>
          <w:sz w:val="24"/>
          <w:szCs w:val="24"/>
        </w:rPr>
        <w:t>2008</w:t>
      </w:r>
      <w:r w:rsidR="001D4A43">
        <w:rPr>
          <w:rFonts w:ascii="Garamond" w:hAnsi="Garamond" w:cs="Times New Roman"/>
          <w:noProof/>
          <w:sz w:val="24"/>
          <w:szCs w:val="24"/>
        </w:rPr>
        <w:t>)</w:t>
      </w:r>
      <w:r w:rsidRPr="00FF4EBE">
        <w:rPr>
          <w:rFonts w:ascii="Garamond" w:hAnsi="Garamond" w:cs="Times New Roman"/>
          <w:noProof/>
          <w:sz w:val="24"/>
          <w:szCs w:val="24"/>
        </w:rPr>
        <w:t xml:space="preserve">. Would higher salaries keep teachers in high-poverty schools? Evidence from a policy intervention in North Carolina. </w:t>
      </w:r>
      <w:r w:rsidRPr="00FF4EBE">
        <w:rPr>
          <w:rFonts w:ascii="Garamond" w:hAnsi="Garamond" w:cs="Times New Roman"/>
          <w:i/>
          <w:iCs/>
          <w:noProof/>
          <w:sz w:val="24"/>
          <w:szCs w:val="24"/>
        </w:rPr>
        <w:t>Journal of Public Economics</w:t>
      </w:r>
      <w:r w:rsidRPr="001D4A43">
        <w:rPr>
          <w:rFonts w:ascii="Garamond" w:hAnsi="Garamond" w:cs="Times New Roman"/>
          <w:noProof/>
          <w:sz w:val="24"/>
          <w:szCs w:val="24"/>
        </w:rPr>
        <w:t>,</w:t>
      </w:r>
      <w:r w:rsidRPr="00FF4EBE">
        <w:rPr>
          <w:rFonts w:ascii="Garamond" w:hAnsi="Garamond" w:cs="Times New Roman"/>
          <w:i/>
          <w:iCs/>
          <w:noProof/>
          <w:sz w:val="24"/>
          <w:szCs w:val="24"/>
        </w:rPr>
        <w:t xml:space="preserve"> 92</w:t>
      </w:r>
      <w:r w:rsidRPr="00FF4EBE">
        <w:rPr>
          <w:rFonts w:ascii="Garamond" w:hAnsi="Garamond" w:cs="Times New Roman"/>
          <w:noProof/>
          <w:sz w:val="24"/>
          <w:szCs w:val="24"/>
        </w:rPr>
        <w:t>, 1352-1370.</w:t>
      </w:r>
    </w:p>
    <w:p w14:paraId="3107CD4E" w14:textId="229053F2" w:rsidR="00AF5FBB" w:rsidRPr="00F719E2" w:rsidRDefault="00AF5FBB" w:rsidP="00C6646B">
      <w:pPr>
        <w:pStyle w:val="Bibliography"/>
        <w:ind w:left="720" w:hanging="720"/>
        <w:rPr>
          <w:rFonts w:ascii="Garamond" w:hAnsi="Garamond" w:cs="Times New Roman"/>
          <w:noProof/>
          <w:sz w:val="24"/>
          <w:szCs w:val="24"/>
        </w:rPr>
      </w:pPr>
      <w:r w:rsidRPr="00F719E2">
        <w:rPr>
          <w:rFonts w:ascii="Garamond" w:hAnsi="Garamond" w:cs="Times New Roman"/>
          <w:noProof/>
          <w:sz w:val="24"/>
          <w:szCs w:val="24"/>
        </w:rPr>
        <w:t xml:space="preserve">Costrell, R., &amp; McGee, J. </w:t>
      </w:r>
      <w:r w:rsidR="001D4A43">
        <w:rPr>
          <w:rFonts w:ascii="Garamond" w:hAnsi="Garamond" w:cs="Times New Roman"/>
          <w:noProof/>
          <w:sz w:val="24"/>
          <w:szCs w:val="24"/>
        </w:rPr>
        <w:t>(</w:t>
      </w:r>
      <w:r w:rsidRPr="00F719E2">
        <w:rPr>
          <w:rFonts w:ascii="Garamond" w:hAnsi="Garamond" w:cs="Times New Roman"/>
          <w:noProof/>
          <w:sz w:val="24"/>
          <w:szCs w:val="24"/>
        </w:rPr>
        <w:t>2010</w:t>
      </w:r>
      <w:r w:rsidR="001D4A43">
        <w:rPr>
          <w:rFonts w:ascii="Garamond" w:hAnsi="Garamond" w:cs="Times New Roman"/>
          <w:noProof/>
          <w:sz w:val="24"/>
          <w:szCs w:val="24"/>
        </w:rPr>
        <w:t>)</w:t>
      </w:r>
      <w:r w:rsidRPr="00F719E2">
        <w:rPr>
          <w:rFonts w:ascii="Garamond" w:hAnsi="Garamond" w:cs="Times New Roman"/>
          <w:noProof/>
          <w:sz w:val="24"/>
          <w:szCs w:val="24"/>
        </w:rPr>
        <w:t xml:space="preserve">. Teacher </w:t>
      </w:r>
      <w:r w:rsidR="001D4A43">
        <w:rPr>
          <w:rFonts w:ascii="Garamond" w:hAnsi="Garamond" w:cs="Times New Roman"/>
          <w:noProof/>
          <w:sz w:val="24"/>
          <w:szCs w:val="24"/>
        </w:rPr>
        <w:t>p</w:t>
      </w:r>
      <w:r w:rsidRPr="00F719E2">
        <w:rPr>
          <w:rFonts w:ascii="Garamond" w:hAnsi="Garamond" w:cs="Times New Roman"/>
          <w:noProof/>
          <w:sz w:val="24"/>
          <w:szCs w:val="24"/>
        </w:rPr>
        <w:t xml:space="preserve">ension </w:t>
      </w:r>
      <w:r w:rsidR="001D4A43">
        <w:rPr>
          <w:rFonts w:ascii="Garamond" w:hAnsi="Garamond" w:cs="Times New Roman"/>
          <w:noProof/>
          <w:sz w:val="24"/>
          <w:szCs w:val="24"/>
        </w:rPr>
        <w:t>i</w:t>
      </w:r>
      <w:r w:rsidRPr="00F719E2">
        <w:rPr>
          <w:rFonts w:ascii="Garamond" w:hAnsi="Garamond" w:cs="Times New Roman"/>
          <w:noProof/>
          <w:sz w:val="24"/>
          <w:szCs w:val="24"/>
        </w:rPr>
        <w:t xml:space="preserve">ncentives, </w:t>
      </w:r>
      <w:r w:rsidR="001D4A43">
        <w:rPr>
          <w:rFonts w:ascii="Garamond" w:hAnsi="Garamond" w:cs="Times New Roman"/>
          <w:noProof/>
          <w:sz w:val="24"/>
          <w:szCs w:val="24"/>
        </w:rPr>
        <w:t>r</w:t>
      </w:r>
      <w:r w:rsidRPr="00F719E2">
        <w:rPr>
          <w:rFonts w:ascii="Garamond" w:hAnsi="Garamond" w:cs="Times New Roman"/>
          <w:noProof/>
          <w:sz w:val="24"/>
          <w:szCs w:val="24"/>
        </w:rPr>
        <w:t xml:space="preserve">etirement </w:t>
      </w:r>
      <w:r w:rsidR="001D4A43">
        <w:rPr>
          <w:rFonts w:ascii="Garamond" w:hAnsi="Garamond" w:cs="Times New Roman"/>
          <w:noProof/>
          <w:sz w:val="24"/>
          <w:szCs w:val="24"/>
        </w:rPr>
        <w:t>b</w:t>
      </w:r>
      <w:r w:rsidRPr="00F719E2">
        <w:rPr>
          <w:rFonts w:ascii="Garamond" w:hAnsi="Garamond" w:cs="Times New Roman"/>
          <w:noProof/>
          <w:sz w:val="24"/>
          <w:szCs w:val="24"/>
        </w:rPr>
        <w:t xml:space="preserve">ehavior, and </w:t>
      </w:r>
      <w:r w:rsidR="001D4A43">
        <w:rPr>
          <w:rFonts w:ascii="Garamond" w:hAnsi="Garamond" w:cs="Times New Roman"/>
          <w:noProof/>
          <w:sz w:val="24"/>
          <w:szCs w:val="24"/>
        </w:rPr>
        <w:t>p</w:t>
      </w:r>
      <w:r w:rsidRPr="00F719E2">
        <w:rPr>
          <w:rFonts w:ascii="Garamond" w:hAnsi="Garamond" w:cs="Times New Roman"/>
          <w:noProof/>
          <w:sz w:val="24"/>
          <w:szCs w:val="24"/>
        </w:rPr>
        <w:t xml:space="preserve">otential for </w:t>
      </w:r>
      <w:r w:rsidR="001D4A43">
        <w:rPr>
          <w:rFonts w:ascii="Garamond" w:hAnsi="Garamond" w:cs="Times New Roman"/>
          <w:noProof/>
          <w:sz w:val="24"/>
          <w:szCs w:val="24"/>
        </w:rPr>
        <w:t>r</w:t>
      </w:r>
      <w:r w:rsidRPr="00F719E2">
        <w:rPr>
          <w:rFonts w:ascii="Garamond" w:hAnsi="Garamond" w:cs="Times New Roman"/>
          <w:noProof/>
          <w:sz w:val="24"/>
          <w:szCs w:val="24"/>
        </w:rPr>
        <w:t xml:space="preserve">eform in Arkansas. </w:t>
      </w:r>
      <w:r w:rsidRPr="00F719E2">
        <w:rPr>
          <w:rFonts w:ascii="Garamond" w:hAnsi="Garamond" w:cs="Times New Roman"/>
          <w:i/>
          <w:iCs/>
          <w:noProof/>
          <w:sz w:val="24"/>
          <w:szCs w:val="24"/>
        </w:rPr>
        <w:t>Education Finance and Policy</w:t>
      </w:r>
      <w:r w:rsidRPr="001D4A43">
        <w:rPr>
          <w:rFonts w:ascii="Garamond" w:hAnsi="Garamond" w:cs="Times New Roman"/>
          <w:noProof/>
          <w:sz w:val="24"/>
          <w:szCs w:val="24"/>
        </w:rPr>
        <w:t>,</w:t>
      </w:r>
      <w:r w:rsidRPr="00F719E2">
        <w:rPr>
          <w:rFonts w:ascii="Garamond" w:hAnsi="Garamond" w:cs="Times New Roman"/>
          <w:i/>
          <w:iCs/>
          <w:noProof/>
          <w:sz w:val="24"/>
          <w:szCs w:val="24"/>
        </w:rPr>
        <w:t xml:space="preserve"> 5</w:t>
      </w:r>
      <w:r w:rsidRPr="00F719E2">
        <w:rPr>
          <w:rFonts w:ascii="Garamond" w:hAnsi="Garamond" w:cs="Times New Roman"/>
          <w:noProof/>
          <w:sz w:val="24"/>
          <w:szCs w:val="24"/>
        </w:rPr>
        <w:t>(4), 492-518.</w:t>
      </w:r>
    </w:p>
    <w:p w14:paraId="23BB215B" w14:textId="4F92E8AD" w:rsidR="00AF5FBB" w:rsidRPr="00F719E2" w:rsidRDefault="00AF5FBB" w:rsidP="00C6646B">
      <w:pPr>
        <w:pStyle w:val="Bibliography"/>
        <w:ind w:left="720" w:hanging="720"/>
        <w:rPr>
          <w:rFonts w:ascii="Garamond" w:hAnsi="Garamond" w:cs="Times New Roman"/>
          <w:noProof/>
          <w:sz w:val="24"/>
          <w:szCs w:val="24"/>
        </w:rPr>
      </w:pPr>
      <w:r w:rsidRPr="00F719E2">
        <w:rPr>
          <w:rFonts w:ascii="Garamond" w:hAnsi="Garamond" w:cs="Times New Roman"/>
          <w:noProof/>
          <w:sz w:val="24"/>
          <w:szCs w:val="24"/>
        </w:rPr>
        <w:t xml:space="preserve">Costrell, R., &amp; Podgursky, M. </w:t>
      </w:r>
      <w:r w:rsidR="001D4A43">
        <w:rPr>
          <w:rFonts w:ascii="Garamond" w:hAnsi="Garamond" w:cs="Times New Roman"/>
          <w:noProof/>
          <w:sz w:val="24"/>
          <w:szCs w:val="24"/>
        </w:rPr>
        <w:t>(</w:t>
      </w:r>
      <w:r w:rsidRPr="00F719E2">
        <w:rPr>
          <w:rFonts w:ascii="Garamond" w:hAnsi="Garamond" w:cs="Times New Roman"/>
          <w:noProof/>
          <w:sz w:val="24"/>
          <w:szCs w:val="24"/>
        </w:rPr>
        <w:t>2009</w:t>
      </w:r>
      <w:r w:rsidR="001D4A43">
        <w:rPr>
          <w:rFonts w:ascii="Garamond" w:hAnsi="Garamond" w:cs="Times New Roman"/>
          <w:noProof/>
          <w:sz w:val="24"/>
          <w:szCs w:val="24"/>
        </w:rPr>
        <w:t>)</w:t>
      </w:r>
      <w:r w:rsidRPr="00F719E2">
        <w:rPr>
          <w:rFonts w:ascii="Garamond" w:hAnsi="Garamond" w:cs="Times New Roman"/>
          <w:noProof/>
          <w:sz w:val="24"/>
          <w:szCs w:val="24"/>
        </w:rPr>
        <w:t xml:space="preserve">. Peaks, </w:t>
      </w:r>
      <w:r w:rsidR="001D4A43">
        <w:rPr>
          <w:rFonts w:ascii="Garamond" w:hAnsi="Garamond" w:cs="Times New Roman"/>
          <w:noProof/>
          <w:sz w:val="24"/>
          <w:szCs w:val="24"/>
        </w:rPr>
        <w:t>c</w:t>
      </w:r>
      <w:r w:rsidRPr="00F719E2">
        <w:rPr>
          <w:rFonts w:ascii="Garamond" w:hAnsi="Garamond" w:cs="Times New Roman"/>
          <w:noProof/>
          <w:sz w:val="24"/>
          <w:szCs w:val="24"/>
        </w:rPr>
        <w:t xml:space="preserve">liffs, and </w:t>
      </w:r>
      <w:r w:rsidR="001D4A43">
        <w:rPr>
          <w:rFonts w:ascii="Garamond" w:hAnsi="Garamond" w:cs="Times New Roman"/>
          <w:noProof/>
          <w:sz w:val="24"/>
          <w:szCs w:val="24"/>
        </w:rPr>
        <w:t>v</w:t>
      </w:r>
      <w:r w:rsidRPr="00F719E2">
        <w:rPr>
          <w:rFonts w:ascii="Garamond" w:hAnsi="Garamond" w:cs="Times New Roman"/>
          <w:noProof/>
          <w:sz w:val="24"/>
          <w:szCs w:val="24"/>
        </w:rPr>
        <w:t xml:space="preserve">alleys: The </w:t>
      </w:r>
      <w:r w:rsidR="001D4A43">
        <w:rPr>
          <w:rFonts w:ascii="Garamond" w:hAnsi="Garamond" w:cs="Times New Roman"/>
          <w:noProof/>
          <w:sz w:val="24"/>
          <w:szCs w:val="24"/>
        </w:rPr>
        <w:t>p</w:t>
      </w:r>
      <w:r w:rsidRPr="00F719E2">
        <w:rPr>
          <w:rFonts w:ascii="Garamond" w:hAnsi="Garamond" w:cs="Times New Roman"/>
          <w:noProof/>
          <w:sz w:val="24"/>
          <w:szCs w:val="24"/>
        </w:rPr>
        <w:t xml:space="preserve">eculiar </w:t>
      </w:r>
      <w:r w:rsidR="001D4A43">
        <w:rPr>
          <w:rFonts w:ascii="Garamond" w:hAnsi="Garamond" w:cs="Times New Roman"/>
          <w:noProof/>
          <w:sz w:val="24"/>
          <w:szCs w:val="24"/>
        </w:rPr>
        <w:t>i</w:t>
      </w:r>
      <w:r w:rsidRPr="00F719E2">
        <w:rPr>
          <w:rFonts w:ascii="Garamond" w:hAnsi="Garamond" w:cs="Times New Roman"/>
          <w:noProof/>
          <w:sz w:val="24"/>
          <w:szCs w:val="24"/>
        </w:rPr>
        <w:t xml:space="preserve">ncentives in </w:t>
      </w:r>
      <w:r w:rsidR="001D4A43">
        <w:rPr>
          <w:rFonts w:ascii="Garamond" w:hAnsi="Garamond" w:cs="Times New Roman"/>
          <w:noProof/>
          <w:sz w:val="24"/>
          <w:szCs w:val="24"/>
        </w:rPr>
        <w:t>t</w:t>
      </w:r>
      <w:r w:rsidRPr="00F719E2">
        <w:rPr>
          <w:rFonts w:ascii="Garamond" w:hAnsi="Garamond" w:cs="Times New Roman"/>
          <w:noProof/>
          <w:sz w:val="24"/>
          <w:szCs w:val="24"/>
        </w:rPr>
        <w:t xml:space="preserve">eacher </w:t>
      </w:r>
      <w:r w:rsidR="001D4A43">
        <w:rPr>
          <w:rFonts w:ascii="Garamond" w:hAnsi="Garamond" w:cs="Times New Roman"/>
          <w:noProof/>
          <w:sz w:val="24"/>
          <w:szCs w:val="24"/>
        </w:rPr>
        <w:t>r</w:t>
      </w:r>
      <w:r w:rsidRPr="00F719E2">
        <w:rPr>
          <w:rFonts w:ascii="Garamond" w:hAnsi="Garamond" w:cs="Times New Roman"/>
          <w:noProof/>
          <w:sz w:val="24"/>
          <w:szCs w:val="24"/>
        </w:rPr>
        <w:t xml:space="preserve">etirement </w:t>
      </w:r>
      <w:r w:rsidR="001D4A43">
        <w:rPr>
          <w:rFonts w:ascii="Garamond" w:hAnsi="Garamond" w:cs="Times New Roman"/>
          <w:noProof/>
          <w:sz w:val="24"/>
          <w:szCs w:val="24"/>
        </w:rPr>
        <w:t>s</w:t>
      </w:r>
      <w:r w:rsidRPr="00F719E2">
        <w:rPr>
          <w:rFonts w:ascii="Garamond" w:hAnsi="Garamond" w:cs="Times New Roman"/>
          <w:noProof/>
          <w:sz w:val="24"/>
          <w:szCs w:val="24"/>
        </w:rPr>
        <w:t xml:space="preserve">ystems and their </w:t>
      </w:r>
      <w:r w:rsidR="001D4A43">
        <w:rPr>
          <w:rFonts w:ascii="Garamond" w:hAnsi="Garamond" w:cs="Times New Roman"/>
          <w:noProof/>
          <w:sz w:val="24"/>
          <w:szCs w:val="24"/>
        </w:rPr>
        <w:t>c</w:t>
      </w:r>
      <w:r w:rsidRPr="00F719E2">
        <w:rPr>
          <w:rFonts w:ascii="Garamond" w:hAnsi="Garamond" w:cs="Times New Roman"/>
          <w:noProof/>
          <w:sz w:val="24"/>
          <w:szCs w:val="24"/>
        </w:rPr>
        <w:t xml:space="preserve">onsequences for </w:t>
      </w:r>
      <w:r w:rsidR="001D4A43">
        <w:rPr>
          <w:rFonts w:ascii="Garamond" w:hAnsi="Garamond" w:cs="Times New Roman"/>
          <w:noProof/>
          <w:sz w:val="24"/>
          <w:szCs w:val="24"/>
        </w:rPr>
        <w:t>s</w:t>
      </w:r>
      <w:r w:rsidRPr="00F719E2">
        <w:rPr>
          <w:rFonts w:ascii="Garamond" w:hAnsi="Garamond" w:cs="Times New Roman"/>
          <w:noProof/>
          <w:sz w:val="24"/>
          <w:szCs w:val="24"/>
        </w:rPr>
        <w:t xml:space="preserve">chool </w:t>
      </w:r>
      <w:r w:rsidR="001D4A43">
        <w:rPr>
          <w:rFonts w:ascii="Garamond" w:hAnsi="Garamond" w:cs="Times New Roman"/>
          <w:noProof/>
          <w:sz w:val="24"/>
          <w:szCs w:val="24"/>
        </w:rPr>
        <w:t>s</w:t>
      </w:r>
      <w:r w:rsidRPr="00F719E2">
        <w:rPr>
          <w:rFonts w:ascii="Garamond" w:hAnsi="Garamond" w:cs="Times New Roman"/>
          <w:noProof/>
          <w:sz w:val="24"/>
          <w:szCs w:val="24"/>
        </w:rPr>
        <w:t xml:space="preserve">taffing. </w:t>
      </w:r>
      <w:r w:rsidRPr="00F719E2">
        <w:rPr>
          <w:rFonts w:ascii="Garamond" w:hAnsi="Garamond" w:cs="Times New Roman"/>
          <w:i/>
          <w:iCs/>
          <w:noProof/>
          <w:sz w:val="24"/>
          <w:szCs w:val="24"/>
        </w:rPr>
        <w:t>Education Finance and Policy</w:t>
      </w:r>
      <w:r w:rsidRPr="001D4A43">
        <w:rPr>
          <w:rFonts w:ascii="Garamond" w:hAnsi="Garamond" w:cs="Times New Roman"/>
          <w:noProof/>
          <w:sz w:val="24"/>
          <w:szCs w:val="24"/>
        </w:rPr>
        <w:t xml:space="preserve">, </w:t>
      </w:r>
      <w:r w:rsidRPr="00F719E2">
        <w:rPr>
          <w:rFonts w:ascii="Garamond" w:hAnsi="Garamond" w:cs="Times New Roman"/>
          <w:i/>
          <w:iCs/>
          <w:noProof/>
          <w:sz w:val="24"/>
          <w:szCs w:val="24"/>
        </w:rPr>
        <w:t>4</w:t>
      </w:r>
      <w:r w:rsidRPr="00F719E2">
        <w:rPr>
          <w:rFonts w:ascii="Garamond" w:hAnsi="Garamond" w:cs="Times New Roman"/>
          <w:noProof/>
          <w:sz w:val="24"/>
          <w:szCs w:val="24"/>
        </w:rPr>
        <w:t>(2), 175-211.</w:t>
      </w:r>
    </w:p>
    <w:p w14:paraId="1D3B5145" w14:textId="73E740F1" w:rsidR="00850BF7" w:rsidRPr="00013A63" w:rsidRDefault="00850BF7" w:rsidP="00C6646B">
      <w:pPr>
        <w:ind w:left="720" w:hanging="720"/>
        <w:rPr>
          <w:rFonts w:ascii="Garamond" w:hAnsi="Garamond"/>
          <w:sz w:val="24"/>
          <w:szCs w:val="24"/>
        </w:rPr>
      </w:pPr>
      <w:r w:rsidRPr="00013A63">
        <w:rPr>
          <w:rFonts w:ascii="Garamond" w:hAnsi="Garamond" w:cs="Times New Roman"/>
          <w:sz w:val="24"/>
          <w:szCs w:val="24"/>
        </w:rPr>
        <w:t>Cowan, J</w:t>
      </w:r>
      <w:r w:rsidR="001C431D" w:rsidRPr="00013A63">
        <w:rPr>
          <w:rFonts w:ascii="Garamond" w:hAnsi="Garamond" w:cs="Times New Roman"/>
          <w:sz w:val="24"/>
          <w:szCs w:val="24"/>
        </w:rPr>
        <w:t>.</w:t>
      </w:r>
      <w:r w:rsidRPr="00013A63">
        <w:rPr>
          <w:rFonts w:ascii="Garamond" w:hAnsi="Garamond" w:cs="Times New Roman"/>
          <w:sz w:val="24"/>
          <w:szCs w:val="24"/>
        </w:rPr>
        <w:t xml:space="preserve">, </w:t>
      </w:r>
      <w:r w:rsidR="001C431D" w:rsidRPr="00013A63">
        <w:rPr>
          <w:rFonts w:ascii="Garamond" w:hAnsi="Garamond" w:cs="Times New Roman"/>
          <w:sz w:val="24"/>
          <w:szCs w:val="24"/>
        </w:rPr>
        <w:t xml:space="preserve">&amp; </w:t>
      </w:r>
      <w:r w:rsidRPr="00013A63">
        <w:rPr>
          <w:rFonts w:ascii="Garamond" w:hAnsi="Garamond" w:cs="Times New Roman"/>
          <w:sz w:val="24"/>
          <w:szCs w:val="24"/>
        </w:rPr>
        <w:t>Goldhaber</w:t>
      </w:r>
      <w:r w:rsidR="001C431D" w:rsidRPr="00013A63">
        <w:rPr>
          <w:rFonts w:ascii="Garamond" w:hAnsi="Garamond" w:cs="Times New Roman"/>
          <w:sz w:val="24"/>
          <w:szCs w:val="24"/>
        </w:rPr>
        <w:t>, D.</w:t>
      </w:r>
      <w:r w:rsidRPr="00013A63">
        <w:rPr>
          <w:rFonts w:ascii="Garamond" w:hAnsi="Garamond" w:cs="Times New Roman"/>
          <w:sz w:val="24"/>
          <w:szCs w:val="24"/>
        </w:rPr>
        <w:t xml:space="preserve"> </w:t>
      </w:r>
      <w:r w:rsidR="001D4A43">
        <w:rPr>
          <w:rFonts w:ascii="Garamond" w:hAnsi="Garamond" w:cs="Times New Roman"/>
          <w:sz w:val="24"/>
          <w:szCs w:val="24"/>
        </w:rPr>
        <w:t>(</w:t>
      </w:r>
      <w:r w:rsidRPr="00013A63">
        <w:rPr>
          <w:rFonts w:ascii="Garamond" w:hAnsi="Garamond" w:cs="Times New Roman"/>
          <w:sz w:val="24"/>
          <w:szCs w:val="24"/>
        </w:rPr>
        <w:t>2018</w:t>
      </w:r>
      <w:r w:rsidR="001D4A43">
        <w:rPr>
          <w:rFonts w:ascii="Garamond" w:hAnsi="Garamond" w:cs="Times New Roman"/>
          <w:sz w:val="24"/>
          <w:szCs w:val="24"/>
        </w:rPr>
        <w:t>)</w:t>
      </w:r>
      <w:r w:rsidRPr="00013A63">
        <w:rPr>
          <w:rFonts w:ascii="Garamond" w:hAnsi="Garamond" w:cs="Times New Roman"/>
          <w:sz w:val="24"/>
          <w:szCs w:val="24"/>
        </w:rPr>
        <w:t xml:space="preserve">. Do </w:t>
      </w:r>
      <w:r w:rsidR="001D4A43">
        <w:rPr>
          <w:rFonts w:ascii="Garamond" w:hAnsi="Garamond" w:cs="Times New Roman"/>
          <w:sz w:val="24"/>
          <w:szCs w:val="24"/>
        </w:rPr>
        <w:t>b</w:t>
      </w:r>
      <w:r w:rsidRPr="00013A63">
        <w:rPr>
          <w:rFonts w:ascii="Garamond" w:hAnsi="Garamond" w:cs="Times New Roman"/>
          <w:sz w:val="24"/>
          <w:szCs w:val="24"/>
        </w:rPr>
        <w:t xml:space="preserve">onuses </w:t>
      </w:r>
      <w:r w:rsidR="001D4A43">
        <w:rPr>
          <w:rFonts w:ascii="Garamond" w:hAnsi="Garamond" w:cs="Times New Roman"/>
          <w:sz w:val="24"/>
          <w:szCs w:val="24"/>
        </w:rPr>
        <w:t>a</w:t>
      </w:r>
      <w:r w:rsidRPr="00013A63">
        <w:rPr>
          <w:rFonts w:ascii="Garamond" w:hAnsi="Garamond" w:cs="Times New Roman"/>
          <w:sz w:val="24"/>
          <w:szCs w:val="24"/>
        </w:rPr>
        <w:t xml:space="preserve">ffect </w:t>
      </w:r>
      <w:r w:rsidR="001D4A43">
        <w:rPr>
          <w:rFonts w:ascii="Garamond" w:hAnsi="Garamond" w:cs="Times New Roman"/>
          <w:sz w:val="24"/>
          <w:szCs w:val="24"/>
        </w:rPr>
        <w:t>t</w:t>
      </w:r>
      <w:r w:rsidRPr="00013A63">
        <w:rPr>
          <w:rFonts w:ascii="Garamond" w:hAnsi="Garamond" w:cs="Times New Roman"/>
          <w:sz w:val="24"/>
          <w:szCs w:val="24"/>
        </w:rPr>
        <w:t xml:space="preserve">eacher </w:t>
      </w:r>
      <w:r w:rsidR="001D4A43">
        <w:rPr>
          <w:rFonts w:ascii="Garamond" w:hAnsi="Garamond" w:cs="Times New Roman"/>
          <w:sz w:val="24"/>
          <w:szCs w:val="24"/>
        </w:rPr>
        <w:t>s</w:t>
      </w:r>
      <w:r w:rsidRPr="00013A63">
        <w:rPr>
          <w:rFonts w:ascii="Garamond" w:hAnsi="Garamond" w:cs="Times New Roman"/>
          <w:sz w:val="24"/>
          <w:szCs w:val="24"/>
        </w:rPr>
        <w:t xml:space="preserve">taffing and </w:t>
      </w:r>
      <w:r w:rsidR="001D4A43">
        <w:rPr>
          <w:rFonts w:ascii="Garamond" w:hAnsi="Garamond" w:cs="Times New Roman"/>
          <w:sz w:val="24"/>
          <w:szCs w:val="24"/>
        </w:rPr>
        <w:t>s</w:t>
      </w:r>
      <w:r w:rsidRPr="00013A63">
        <w:rPr>
          <w:rFonts w:ascii="Garamond" w:hAnsi="Garamond" w:cs="Times New Roman"/>
          <w:sz w:val="24"/>
          <w:szCs w:val="24"/>
        </w:rPr>
        <w:t xml:space="preserve">tudent </w:t>
      </w:r>
      <w:r w:rsidR="001D4A43">
        <w:rPr>
          <w:rFonts w:ascii="Garamond" w:hAnsi="Garamond" w:cs="Times New Roman"/>
          <w:sz w:val="24"/>
          <w:szCs w:val="24"/>
        </w:rPr>
        <w:t>a</w:t>
      </w:r>
      <w:r w:rsidRPr="00013A63">
        <w:rPr>
          <w:rFonts w:ascii="Garamond" w:hAnsi="Garamond" w:cs="Times New Roman"/>
          <w:sz w:val="24"/>
          <w:szCs w:val="24"/>
        </w:rPr>
        <w:t xml:space="preserve">chievement in </w:t>
      </w:r>
      <w:r w:rsidR="001D4A43">
        <w:rPr>
          <w:rFonts w:ascii="Garamond" w:hAnsi="Garamond" w:cs="Times New Roman"/>
          <w:sz w:val="24"/>
          <w:szCs w:val="24"/>
        </w:rPr>
        <w:t>h</w:t>
      </w:r>
      <w:r w:rsidRPr="00013A63">
        <w:rPr>
          <w:rFonts w:ascii="Garamond" w:hAnsi="Garamond" w:cs="Times New Roman"/>
          <w:sz w:val="24"/>
          <w:szCs w:val="24"/>
        </w:rPr>
        <w:t xml:space="preserve">igh </w:t>
      </w:r>
      <w:r w:rsidR="001D4A43">
        <w:rPr>
          <w:rFonts w:ascii="Garamond" w:hAnsi="Garamond" w:cs="Times New Roman"/>
          <w:sz w:val="24"/>
          <w:szCs w:val="24"/>
        </w:rPr>
        <w:t>p</w:t>
      </w:r>
      <w:r w:rsidRPr="00013A63">
        <w:rPr>
          <w:rFonts w:ascii="Garamond" w:hAnsi="Garamond" w:cs="Times New Roman"/>
          <w:sz w:val="24"/>
          <w:szCs w:val="24"/>
        </w:rPr>
        <w:t xml:space="preserve">overty </w:t>
      </w:r>
      <w:r w:rsidR="001D4A43">
        <w:rPr>
          <w:rFonts w:ascii="Garamond" w:hAnsi="Garamond" w:cs="Times New Roman"/>
          <w:sz w:val="24"/>
          <w:szCs w:val="24"/>
        </w:rPr>
        <w:t>s</w:t>
      </w:r>
      <w:r w:rsidRPr="00013A63">
        <w:rPr>
          <w:rFonts w:ascii="Garamond" w:hAnsi="Garamond" w:cs="Times New Roman"/>
          <w:sz w:val="24"/>
          <w:szCs w:val="24"/>
        </w:rPr>
        <w:t xml:space="preserve">chools? Evidence from an </w:t>
      </w:r>
      <w:r w:rsidR="001D4A43">
        <w:rPr>
          <w:rFonts w:ascii="Garamond" w:hAnsi="Garamond" w:cs="Times New Roman"/>
          <w:sz w:val="24"/>
          <w:szCs w:val="24"/>
        </w:rPr>
        <w:t>i</w:t>
      </w:r>
      <w:r w:rsidRPr="00013A63">
        <w:rPr>
          <w:rFonts w:ascii="Garamond" w:hAnsi="Garamond" w:cs="Times New Roman"/>
          <w:sz w:val="24"/>
          <w:szCs w:val="24"/>
        </w:rPr>
        <w:t xml:space="preserve">ncentive for National </w:t>
      </w:r>
      <w:r w:rsidR="006137CB" w:rsidRPr="00013A63">
        <w:rPr>
          <w:rFonts w:ascii="Garamond" w:hAnsi="Garamond" w:cs="Times New Roman"/>
          <w:sz w:val="24"/>
          <w:szCs w:val="24"/>
        </w:rPr>
        <w:t>Board-Certified</w:t>
      </w:r>
      <w:r w:rsidRPr="00013A63">
        <w:rPr>
          <w:rFonts w:ascii="Garamond" w:hAnsi="Garamond" w:cs="Times New Roman"/>
          <w:sz w:val="24"/>
          <w:szCs w:val="24"/>
        </w:rPr>
        <w:t xml:space="preserve"> </w:t>
      </w:r>
      <w:r w:rsidR="004636C7">
        <w:rPr>
          <w:rFonts w:ascii="Garamond" w:hAnsi="Garamond" w:cs="Times New Roman"/>
          <w:sz w:val="24"/>
          <w:szCs w:val="24"/>
        </w:rPr>
        <w:t>t</w:t>
      </w:r>
      <w:r w:rsidRPr="00013A63">
        <w:rPr>
          <w:rFonts w:ascii="Garamond" w:hAnsi="Garamond" w:cs="Times New Roman"/>
          <w:sz w:val="24"/>
          <w:szCs w:val="24"/>
        </w:rPr>
        <w:t xml:space="preserve">eachers in Washington </w:t>
      </w:r>
      <w:r w:rsidR="006137CB">
        <w:rPr>
          <w:rFonts w:ascii="Garamond" w:hAnsi="Garamond" w:cs="Times New Roman"/>
          <w:sz w:val="24"/>
          <w:szCs w:val="24"/>
        </w:rPr>
        <w:t>s</w:t>
      </w:r>
      <w:r w:rsidRPr="00013A63">
        <w:rPr>
          <w:rFonts w:ascii="Garamond" w:hAnsi="Garamond" w:cs="Times New Roman"/>
          <w:sz w:val="24"/>
          <w:szCs w:val="24"/>
        </w:rPr>
        <w:t xml:space="preserve">tate. </w:t>
      </w:r>
      <w:r w:rsidRPr="00013A63">
        <w:rPr>
          <w:rFonts w:ascii="Garamond" w:hAnsi="Garamond" w:cs="Times New Roman"/>
          <w:i/>
          <w:iCs/>
          <w:sz w:val="24"/>
          <w:szCs w:val="24"/>
        </w:rPr>
        <w:t>Economics of Education Review</w:t>
      </w:r>
      <w:r w:rsidRPr="006137CB">
        <w:rPr>
          <w:rFonts w:ascii="Garamond" w:hAnsi="Garamond" w:cs="Times New Roman"/>
          <w:sz w:val="24"/>
          <w:szCs w:val="24"/>
        </w:rPr>
        <w:t>,</w:t>
      </w:r>
      <w:r w:rsidRPr="00013A63">
        <w:rPr>
          <w:rFonts w:ascii="Garamond" w:hAnsi="Garamond" w:cs="Times New Roman"/>
          <w:i/>
          <w:iCs/>
          <w:sz w:val="24"/>
          <w:szCs w:val="24"/>
        </w:rPr>
        <w:t xml:space="preserve"> 65</w:t>
      </w:r>
      <w:r w:rsidR="00D6072C" w:rsidRPr="00013A63">
        <w:rPr>
          <w:rFonts w:ascii="Garamond" w:hAnsi="Garamond" w:cs="Times New Roman"/>
          <w:sz w:val="24"/>
          <w:szCs w:val="24"/>
        </w:rPr>
        <w:t xml:space="preserve">, </w:t>
      </w:r>
      <w:r w:rsidRPr="00013A63">
        <w:rPr>
          <w:rFonts w:ascii="Garamond" w:hAnsi="Garamond" w:cs="Times New Roman"/>
          <w:sz w:val="24"/>
          <w:szCs w:val="24"/>
        </w:rPr>
        <w:t>138-152.</w:t>
      </w:r>
    </w:p>
    <w:p w14:paraId="7C8A7EDA" w14:textId="3FADB79E" w:rsidR="00850BF7" w:rsidRPr="00F719E2" w:rsidRDefault="00714D1C" w:rsidP="00C6646B">
      <w:pPr>
        <w:ind w:left="720" w:hanging="720"/>
        <w:rPr>
          <w:rFonts w:ascii="Garamond" w:hAnsi="Garamond" w:cs="Times New Roman"/>
          <w:sz w:val="24"/>
          <w:szCs w:val="24"/>
        </w:rPr>
      </w:pPr>
      <w:r w:rsidRPr="00013A63">
        <w:rPr>
          <w:rFonts w:ascii="Garamond" w:hAnsi="Garamond" w:cs="Times New Roman"/>
          <w:sz w:val="24"/>
          <w:szCs w:val="24"/>
        </w:rPr>
        <w:t xml:space="preserve">Cowan, J., Goldhaber, D., Hayes, K., &amp; Theobald, R. </w:t>
      </w:r>
      <w:r w:rsidR="004636C7">
        <w:rPr>
          <w:rFonts w:ascii="Garamond" w:hAnsi="Garamond" w:cs="Times New Roman"/>
          <w:sz w:val="24"/>
          <w:szCs w:val="24"/>
        </w:rPr>
        <w:t>(</w:t>
      </w:r>
      <w:r w:rsidRPr="00013A63">
        <w:rPr>
          <w:rFonts w:ascii="Garamond" w:hAnsi="Garamond" w:cs="Times New Roman"/>
          <w:sz w:val="24"/>
          <w:szCs w:val="24"/>
        </w:rPr>
        <w:t>2016</w:t>
      </w:r>
      <w:r w:rsidR="004636C7">
        <w:rPr>
          <w:rFonts w:ascii="Garamond" w:hAnsi="Garamond" w:cs="Times New Roman"/>
          <w:sz w:val="24"/>
          <w:szCs w:val="24"/>
        </w:rPr>
        <w:t>)</w:t>
      </w:r>
      <w:r w:rsidRPr="00013A63">
        <w:rPr>
          <w:rFonts w:ascii="Garamond" w:hAnsi="Garamond" w:cs="Times New Roman"/>
          <w:sz w:val="24"/>
          <w:szCs w:val="24"/>
        </w:rPr>
        <w:t xml:space="preserve">. Missing elements in the discussion of teacher shortages. </w:t>
      </w:r>
      <w:r w:rsidRPr="00013A63">
        <w:rPr>
          <w:rFonts w:ascii="Garamond" w:hAnsi="Garamond" w:cs="Times New Roman"/>
          <w:i/>
          <w:iCs/>
          <w:sz w:val="24"/>
          <w:szCs w:val="24"/>
        </w:rPr>
        <w:t>Educational Researcher</w:t>
      </w:r>
      <w:r w:rsidRPr="004636C7">
        <w:rPr>
          <w:rFonts w:ascii="Garamond" w:hAnsi="Garamond" w:cs="Times New Roman"/>
          <w:sz w:val="24"/>
          <w:szCs w:val="24"/>
        </w:rPr>
        <w:t>,</w:t>
      </w:r>
      <w:r w:rsidRPr="00013A63">
        <w:rPr>
          <w:rFonts w:ascii="Garamond" w:hAnsi="Garamond" w:cs="Times New Roman"/>
          <w:i/>
          <w:iCs/>
          <w:sz w:val="24"/>
          <w:szCs w:val="24"/>
        </w:rPr>
        <w:t xml:space="preserve"> 45</w:t>
      </w:r>
      <w:r w:rsidRPr="00013A63">
        <w:rPr>
          <w:rFonts w:ascii="Garamond" w:hAnsi="Garamond" w:cs="Times New Roman"/>
          <w:sz w:val="24"/>
          <w:szCs w:val="24"/>
        </w:rPr>
        <w:t>(8), 460</w:t>
      </w:r>
      <w:r w:rsidR="001706EE" w:rsidRPr="00013A63">
        <w:rPr>
          <w:rFonts w:ascii="Garamond" w:hAnsi="Garamond" w:cs="Times New Roman"/>
          <w:sz w:val="24"/>
          <w:szCs w:val="24"/>
        </w:rPr>
        <w:t>-</w:t>
      </w:r>
      <w:r w:rsidRPr="00013A63">
        <w:rPr>
          <w:rFonts w:ascii="Garamond" w:hAnsi="Garamond" w:cs="Times New Roman"/>
          <w:sz w:val="24"/>
          <w:szCs w:val="24"/>
        </w:rPr>
        <w:t>462.</w:t>
      </w:r>
    </w:p>
    <w:p w14:paraId="538B9A44" w14:textId="5A60762E" w:rsidR="00E7568B" w:rsidRPr="00F719E2" w:rsidRDefault="00E7568B" w:rsidP="00C6646B">
      <w:pPr>
        <w:ind w:left="720" w:hanging="720"/>
        <w:rPr>
          <w:rFonts w:ascii="Garamond" w:hAnsi="Garamond" w:cs="Times New Roman"/>
          <w:sz w:val="24"/>
          <w:szCs w:val="24"/>
        </w:rPr>
      </w:pPr>
      <w:r w:rsidRPr="00F719E2">
        <w:rPr>
          <w:rFonts w:ascii="Garamond" w:hAnsi="Garamond" w:cs="Times New Roman"/>
          <w:sz w:val="24"/>
          <w:szCs w:val="24"/>
        </w:rPr>
        <w:t xml:space="preserve">Dee, T., &amp; Wyckoff, J. </w:t>
      </w:r>
      <w:r w:rsidR="004636C7">
        <w:rPr>
          <w:rFonts w:ascii="Garamond" w:hAnsi="Garamond" w:cs="Times New Roman"/>
          <w:sz w:val="24"/>
          <w:szCs w:val="24"/>
        </w:rPr>
        <w:t>(</w:t>
      </w:r>
      <w:r w:rsidRPr="00F719E2">
        <w:rPr>
          <w:rFonts w:ascii="Garamond" w:hAnsi="Garamond" w:cs="Times New Roman"/>
          <w:sz w:val="24"/>
          <w:szCs w:val="24"/>
        </w:rPr>
        <w:t>2015</w:t>
      </w:r>
      <w:r w:rsidR="004636C7">
        <w:rPr>
          <w:rFonts w:ascii="Garamond" w:hAnsi="Garamond" w:cs="Times New Roman"/>
          <w:sz w:val="24"/>
          <w:szCs w:val="24"/>
        </w:rPr>
        <w:t>)</w:t>
      </w:r>
      <w:r w:rsidRPr="00F719E2">
        <w:rPr>
          <w:rFonts w:ascii="Garamond" w:hAnsi="Garamond" w:cs="Times New Roman"/>
          <w:sz w:val="24"/>
          <w:szCs w:val="24"/>
        </w:rPr>
        <w:t xml:space="preserve">. Incentives, </w:t>
      </w:r>
      <w:r w:rsidR="004636C7">
        <w:rPr>
          <w:rFonts w:ascii="Garamond" w:hAnsi="Garamond" w:cs="Times New Roman"/>
          <w:sz w:val="24"/>
          <w:szCs w:val="24"/>
        </w:rPr>
        <w:t>s</w:t>
      </w:r>
      <w:r w:rsidRPr="00F719E2">
        <w:rPr>
          <w:rFonts w:ascii="Garamond" w:hAnsi="Garamond" w:cs="Times New Roman"/>
          <w:sz w:val="24"/>
          <w:szCs w:val="24"/>
        </w:rPr>
        <w:t xml:space="preserve">election, and </w:t>
      </w:r>
      <w:r w:rsidR="004636C7">
        <w:rPr>
          <w:rFonts w:ascii="Garamond" w:hAnsi="Garamond" w:cs="Times New Roman"/>
          <w:sz w:val="24"/>
          <w:szCs w:val="24"/>
        </w:rPr>
        <w:t>t</w:t>
      </w:r>
      <w:r w:rsidRPr="00F719E2">
        <w:rPr>
          <w:rFonts w:ascii="Garamond" w:hAnsi="Garamond" w:cs="Times New Roman"/>
          <w:sz w:val="24"/>
          <w:szCs w:val="24"/>
        </w:rPr>
        <w:t xml:space="preserve">eacher </w:t>
      </w:r>
      <w:r w:rsidR="004636C7">
        <w:rPr>
          <w:rFonts w:ascii="Garamond" w:hAnsi="Garamond" w:cs="Times New Roman"/>
          <w:sz w:val="24"/>
          <w:szCs w:val="24"/>
        </w:rPr>
        <w:t>p</w:t>
      </w:r>
      <w:r w:rsidRPr="00F719E2">
        <w:rPr>
          <w:rFonts w:ascii="Garamond" w:hAnsi="Garamond" w:cs="Times New Roman"/>
          <w:sz w:val="24"/>
          <w:szCs w:val="24"/>
        </w:rPr>
        <w:t xml:space="preserve">erformance: Evidence from Impact. </w:t>
      </w:r>
      <w:r w:rsidRPr="00F719E2">
        <w:rPr>
          <w:rFonts w:ascii="Garamond" w:hAnsi="Garamond" w:cs="Times New Roman"/>
          <w:i/>
          <w:iCs/>
          <w:sz w:val="24"/>
          <w:szCs w:val="24"/>
        </w:rPr>
        <w:t>Journal of Policy Analysis and Management</w:t>
      </w:r>
      <w:r w:rsidRPr="004636C7">
        <w:rPr>
          <w:rFonts w:ascii="Garamond" w:hAnsi="Garamond" w:cs="Times New Roman"/>
          <w:sz w:val="24"/>
          <w:szCs w:val="24"/>
        </w:rPr>
        <w:t>,</w:t>
      </w:r>
      <w:r w:rsidRPr="00F719E2">
        <w:rPr>
          <w:rFonts w:ascii="Garamond" w:hAnsi="Garamond" w:cs="Times New Roman"/>
          <w:i/>
          <w:iCs/>
          <w:sz w:val="24"/>
          <w:szCs w:val="24"/>
        </w:rPr>
        <w:t xml:space="preserve"> 34</w:t>
      </w:r>
      <w:r w:rsidRPr="00F719E2">
        <w:rPr>
          <w:rFonts w:ascii="Garamond" w:hAnsi="Garamond" w:cs="Times New Roman"/>
          <w:sz w:val="24"/>
          <w:szCs w:val="24"/>
        </w:rPr>
        <w:t>(2), 267-297.</w:t>
      </w:r>
    </w:p>
    <w:p w14:paraId="1703F14D" w14:textId="55855A91" w:rsidR="00BC47E4" w:rsidRPr="00F719E2" w:rsidRDefault="00BC47E4" w:rsidP="00C6646B">
      <w:pPr>
        <w:pStyle w:val="Bibliography"/>
        <w:ind w:left="720" w:hanging="720"/>
        <w:rPr>
          <w:rFonts w:ascii="Garamond" w:hAnsi="Garamond" w:cs="Times New Roman"/>
          <w:noProof/>
          <w:sz w:val="24"/>
          <w:szCs w:val="24"/>
        </w:rPr>
      </w:pPr>
      <w:r w:rsidRPr="00F719E2">
        <w:rPr>
          <w:rFonts w:ascii="Garamond" w:hAnsi="Garamond" w:cs="Times New Roman"/>
          <w:noProof/>
          <w:sz w:val="24"/>
          <w:szCs w:val="24"/>
        </w:rPr>
        <w:t xml:space="preserve">Denver Public Schools. </w:t>
      </w:r>
      <w:r w:rsidR="004636C7">
        <w:rPr>
          <w:rFonts w:ascii="Garamond" w:hAnsi="Garamond" w:cs="Times New Roman"/>
          <w:noProof/>
          <w:sz w:val="24"/>
          <w:szCs w:val="24"/>
        </w:rPr>
        <w:t>(</w:t>
      </w:r>
      <w:r w:rsidRPr="00F719E2">
        <w:rPr>
          <w:rFonts w:ascii="Garamond" w:hAnsi="Garamond" w:cs="Times New Roman"/>
          <w:noProof/>
          <w:sz w:val="24"/>
          <w:szCs w:val="24"/>
        </w:rPr>
        <w:t>2019</w:t>
      </w:r>
      <w:r w:rsidR="004636C7">
        <w:rPr>
          <w:rFonts w:ascii="Garamond" w:hAnsi="Garamond" w:cs="Times New Roman"/>
          <w:noProof/>
          <w:sz w:val="24"/>
          <w:szCs w:val="24"/>
        </w:rPr>
        <w:t>)</w:t>
      </w:r>
      <w:r w:rsidRPr="00F719E2">
        <w:rPr>
          <w:rFonts w:ascii="Garamond" w:hAnsi="Garamond" w:cs="Times New Roman"/>
          <w:noProof/>
          <w:sz w:val="24"/>
          <w:szCs w:val="24"/>
        </w:rPr>
        <w:t xml:space="preserve">. </w:t>
      </w:r>
      <w:r w:rsidRPr="00F719E2">
        <w:rPr>
          <w:rFonts w:ascii="Garamond" w:hAnsi="Garamond" w:cs="Times New Roman"/>
          <w:i/>
          <w:iCs/>
          <w:noProof/>
          <w:sz w:val="24"/>
          <w:szCs w:val="24"/>
        </w:rPr>
        <w:t>Hard to Staff Incentive 2019-20</w:t>
      </w:r>
      <w:r w:rsidRPr="00F719E2">
        <w:rPr>
          <w:rFonts w:ascii="Garamond" w:hAnsi="Garamond" w:cs="Times New Roman"/>
          <w:noProof/>
          <w:sz w:val="24"/>
          <w:szCs w:val="24"/>
        </w:rPr>
        <w:t xml:space="preserve">. Retrieved from Denver Public Schools: </w:t>
      </w:r>
      <w:hyperlink r:id="rId22" w:history="1">
        <w:r w:rsidR="0065259C" w:rsidRPr="0065259C">
          <w:rPr>
            <w:rStyle w:val="Hyperlink"/>
            <w:rFonts w:ascii="Garamond" w:hAnsi="Garamond" w:cs="Times New Roman"/>
            <w:noProof/>
            <w:color w:val="auto"/>
            <w:sz w:val="24"/>
            <w:szCs w:val="24"/>
          </w:rPr>
          <w:t>http://thecommons.dpsk12.org/Page/2217</w:t>
        </w:r>
      </w:hyperlink>
      <w:r w:rsidR="0065259C" w:rsidRPr="0065259C">
        <w:rPr>
          <w:rFonts w:ascii="Garamond" w:hAnsi="Garamond" w:cs="Times New Roman"/>
          <w:noProof/>
          <w:sz w:val="24"/>
          <w:szCs w:val="24"/>
        </w:rPr>
        <w:t xml:space="preserve">. </w:t>
      </w:r>
    </w:p>
    <w:p w14:paraId="0D4CDE02" w14:textId="25331478" w:rsidR="00BC47E4" w:rsidRPr="00F719E2" w:rsidRDefault="00BC47E4" w:rsidP="00C6646B">
      <w:pPr>
        <w:pStyle w:val="Bibliography"/>
        <w:ind w:left="720" w:hanging="720"/>
        <w:rPr>
          <w:rFonts w:ascii="Garamond" w:hAnsi="Garamond" w:cs="Times New Roman"/>
          <w:noProof/>
          <w:sz w:val="24"/>
          <w:szCs w:val="24"/>
        </w:rPr>
      </w:pPr>
      <w:r w:rsidRPr="00F719E2">
        <w:rPr>
          <w:rFonts w:ascii="Garamond" w:hAnsi="Garamond" w:cs="Times New Roman"/>
          <w:noProof/>
          <w:sz w:val="24"/>
          <w:szCs w:val="24"/>
        </w:rPr>
        <w:t xml:space="preserve">District of Columbia Public Schools. </w:t>
      </w:r>
      <w:r w:rsidR="00B83E0A">
        <w:rPr>
          <w:rFonts w:ascii="Garamond" w:hAnsi="Garamond" w:cs="Times New Roman"/>
          <w:noProof/>
          <w:sz w:val="24"/>
          <w:szCs w:val="24"/>
        </w:rPr>
        <w:t>(</w:t>
      </w:r>
      <w:r w:rsidRPr="00F719E2">
        <w:rPr>
          <w:rFonts w:ascii="Garamond" w:hAnsi="Garamond" w:cs="Times New Roman"/>
          <w:noProof/>
          <w:sz w:val="24"/>
          <w:szCs w:val="24"/>
        </w:rPr>
        <w:t>2019</w:t>
      </w:r>
      <w:r w:rsidR="00B83E0A">
        <w:rPr>
          <w:rFonts w:ascii="Garamond" w:hAnsi="Garamond" w:cs="Times New Roman"/>
          <w:noProof/>
          <w:sz w:val="24"/>
          <w:szCs w:val="24"/>
        </w:rPr>
        <w:t>)</w:t>
      </w:r>
      <w:r w:rsidRPr="00F719E2">
        <w:rPr>
          <w:rFonts w:ascii="Garamond" w:hAnsi="Garamond" w:cs="Times New Roman"/>
          <w:noProof/>
          <w:sz w:val="24"/>
          <w:szCs w:val="24"/>
        </w:rPr>
        <w:t xml:space="preserve">. </w:t>
      </w:r>
      <w:r w:rsidRPr="00F719E2">
        <w:rPr>
          <w:rFonts w:ascii="Garamond" w:hAnsi="Garamond" w:cs="Times New Roman"/>
          <w:i/>
          <w:iCs/>
          <w:noProof/>
          <w:sz w:val="24"/>
          <w:szCs w:val="24"/>
        </w:rPr>
        <w:t xml:space="preserve">IMPACT: The DCPS </w:t>
      </w:r>
      <w:r w:rsidR="0065259C">
        <w:rPr>
          <w:rFonts w:ascii="Garamond" w:hAnsi="Garamond" w:cs="Times New Roman"/>
          <w:i/>
          <w:iCs/>
          <w:noProof/>
          <w:sz w:val="24"/>
          <w:szCs w:val="24"/>
        </w:rPr>
        <w:t>e</w:t>
      </w:r>
      <w:r w:rsidRPr="00F719E2">
        <w:rPr>
          <w:rFonts w:ascii="Garamond" w:hAnsi="Garamond" w:cs="Times New Roman"/>
          <w:i/>
          <w:iCs/>
          <w:noProof/>
          <w:sz w:val="24"/>
          <w:szCs w:val="24"/>
        </w:rPr>
        <w:t xml:space="preserve">valuation and </w:t>
      </w:r>
      <w:r w:rsidR="0065259C">
        <w:rPr>
          <w:rFonts w:ascii="Garamond" w:hAnsi="Garamond" w:cs="Times New Roman"/>
          <w:i/>
          <w:iCs/>
          <w:noProof/>
          <w:sz w:val="24"/>
          <w:szCs w:val="24"/>
        </w:rPr>
        <w:t>f</w:t>
      </w:r>
      <w:r w:rsidRPr="00F719E2">
        <w:rPr>
          <w:rFonts w:ascii="Garamond" w:hAnsi="Garamond" w:cs="Times New Roman"/>
          <w:i/>
          <w:iCs/>
          <w:noProof/>
          <w:sz w:val="24"/>
          <w:szCs w:val="24"/>
        </w:rPr>
        <w:t xml:space="preserve">eedback </w:t>
      </w:r>
      <w:r w:rsidR="0065259C">
        <w:rPr>
          <w:rFonts w:ascii="Garamond" w:hAnsi="Garamond" w:cs="Times New Roman"/>
          <w:i/>
          <w:iCs/>
          <w:noProof/>
          <w:sz w:val="24"/>
          <w:szCs w:val="24"/>
        </w:rPr>
        <w:t>s</w:t>
      </w:r>
      <w:r w:rsidRPr="00F719E2">
        <w:rPr>
          <w:rFonts w:ascii="Garamond" w:hAnsi="Garamond" w:cs="Times New Roman"/>
          <w:i/>
          <w:iCs/>
          <w:noProof/>
          <w:sz w:val="24"/>
          <w:szCs w:val="24"/>
        </w:rPr>
        <w:t xml:space="preserve">ystem for </w:t>
      </w:r>
      <w:r w:rsidR="0065259C">
        <w:rPr>
          <w:rFonts w:ascii="Garamond" w:hAnsi="Garamond" w:cs="Times New Roman"/>
          <w:i/>
          <w:iCs/>
          <w:noProof/>
          <w:sz w:val="24"/>
          <w:szCs w:val="24"/>
        </w:rPr>
        <w:t>s</w:t>
      </w:r>
      <w:r w:rsidRPr="00F719E2">
        <w:rPr>
          <w:rFonts w:ascii="Garamond" w:hAnsi="Garamond" w:cs="Times New Roman"/>
          <w:i/>
          <w:iCs/>
          <w:noProof/>
          <w:sz w:val="24"/>
          <w:szCs w:val="24"/>
        </w:rPr>
        <w:t>chool-</w:t>
      </w:r>
      <w:r w:rsidR="0065259C">
        <w:rPr>
          <w:rFonts w:ascii="Garamond" w:hAnsi="Garamond" w:cs="Times New Roman"/>
          <w:i/>
          <w:iCs/>
          <w:noProof/>
          <w:sz w:val="24"/>
          <w:szCs w:val="24"/>
        </w:rPr>
        <w:t>b</w:t>
      </w:r>
      <w:r w:rsidRPr="00F719E2">
        <w:rPr>
          <w:rFonts w:ascii="Garamond" w:hAnsi="Garamond" w:cs="Times New Roman"/>
          <w:i/>
          <w:iCs/>
          <w:noProof/>
          <w:sz w:val="24"/>
          <w:szCs w:val="24"/>
        </w:rPr>
        <w:t xml:space="preserve">ased </w:t>
      </w:r>
      <w:r w:rsidR="0065259C">
        <w:rPr>
          <w:rFonts w:ascii="Garamond" w:hAnsi="Garamond" w:cs="Times New Roman"/>
          <w:i/>
          <w:iCs/>
          <w:noProof/>
          <w:sz w:val="24"/>
          <w:szCs w:val="24"/>
        </w:rPr>
        <w:t>p</w:t>
      </w:r>
      <w:r w:rsidRPr="00F719E2">
        <w:rPr>
          <w:rFonts w:ascii="Garamond" w:hAnsi="Garamond" w:cs="Times New Roman"/>
          <w:i/>
          <w:iCs/>
          <w:noProof/>
          <w:sz w:val="24"/>
          <w:szCs w:val="24"/>
        </w:rPr>
        <w:t>ersonnel</w:t>
      </w:r>
      <w:r w:rsidRPr="00F719E2">
        <w:rPr>
          <w:rFonts w:ascii="Garamond" w:hAnsi="Garamond" w:cs="Times New Roman"/>
          <w:noProof/>
          <w:sz w:val="24"/>
          <w:szCs w:val="24"/>
        </w:rPr>
        <w:t xml:space="preserve">. Retrieved from District of Columbia Public Schools: </w:t>
      </w:r>
      <w:hyperlink r:id="rId23" w:history="1">
        <w:r w:rsidR="00B83E0A" w:rsidRPr="00B83E0A">
          <w:rPr>
            <w:rStyle w:val="Hyperlink"/>
            <w:rFonts w:ascii="Garamond" w:hAnsi="Garamond" w:cs="Times New Roman"/>
            <w:noProof/>
            <w:color w:val="auto"/>
            <w:sz w:val="24"/>
            <w:szCs w:val="24"/>
          </w:rPr>
          <w:t>https://dcps.dc.gov/page/impact-dcps-evaluation-and-feedback-system-school-based-personnel</w:t>
        </w:r>
      </w:hyperlink>
      <w:r w:rsidR="00B83E0A" w:rsidRPr="00B83E0A">
        <w:rPr>
          <w:rFonts w:ascii="Garamond" w:hAnsi="Garamond" w:cs="Times New Roman"/>
          <w:noProof/>
          <w:sz w:val="24"/>
          <w:szCs w:val="24"/>
        </w:rPr>
        <w:t xml:space="preserve">. </w:t>
      </w:r>
    </w:p>
    <w:p w14:paraId="2C92D89F" w14:textId="12D89D75" w:rsidR="00BC47E4" w:rsidRPr="00F719E2" w:rsidRDefault="00BC47E4" w:rsidP="00C6646B">
      <w:pPr>
        <w:pStyle w:val="Bibliography"/>
        <w:ind w:left="720" w:hanging="720"/>
        <w:rPr>
          <w:rFonts w:ascii="Garamond" w:hAnsi="Garamond" w:cs="Times New Roman"/>
          <w:noProof/>
          <w:sz w:val="24"/>
          <w:szCs w:val="24"/>
        </w:rPr>
      </w:pPr>
      <w:r w:rsidRPr="00F719E2">
        <w:rPr>
          <w:rFonts w:ascii="Garamond" w:hAnsi="Garamond" w:cs="Times New Roman"/>
          <w:noProof/>
          <w:sz w:val="24"/>
          <w:szCs w:val="24"/>
        </w:rPr>
        <w:t xml:space="preserve">Feng, L., &amp; Sass, T. </w:t>
      </w:r>
      <w:r w:rsidR="00B83E0A">
        <w:rPr>
          <w:rFonts w:ascii="Garamond" w:hAnsi="Garamond" w:cs="Times New Roman"/>
          <w:noProof/>
          <w:sz w:val="24"/>
          <w:szCs w:val="24"/>
        </w:rPr>
        <w:t>(</w:t>
      </w:r>
      <w:r w:rsidRPr="00F719E2">
        <w:rPr>
          <w:rFonts w:ascii="Garamond" w:hAnsi="Garamond" w:cs="Times New Roman"/>
          <w:noProof/>
          <w:sz w:val="24"/>
          <w:szCs w:val="24"/>
        </w:rPr>
        <w:t>2018</w:t>
      </w:r>
      <w:r w:rsidR="00B83E0A">
        <w:rPr>
          <w:rFonts w:ascii="Garamond" w:hAnsi="Garamond" w:cs="Times New Roman"/>
          <w:noProof/>
          <w:sz w:val="24"/>
          <w:szCs w:val="24"/>
        </w:rPr>
        <w:t>)</w:t>
      </w:r>
      <w:r w:rsidRPr="00F719E2">
        <w:rPr>
          <w:rFonts w:ascii="Garamond" w:hAnsi="Garamond" w:cs="Times New Roman"/>
          <w:noProof/>
          <w:sz w:val="24"/>
          <w:szCs w:val="24"/>
        </w:rPr>
        <w:t xml:space="preserve">. The </w:t>
      </w:r>
      <w:r w:rsidR="00B83E0A">
        <w:rPr>
          <w:rFonts w:ascii="Garamond" w:hAnsi="Garamond" w:cs="Times New Roman"/>
          <w:noProof/>
          <w:sz w:val="24"/>
          <w:szCs w:val="24"/>
        </w:rPr>
        <w:t>i</w:t>
      </w:r>
      <w:r w:rsidRPr="00F719E2">
        <w:rPr>
          <w:rFonts w:ascii="Garamond" w:hAnsi="Garamond" w:cs="Times New Roman"/>
          <w:noProof/>
          <w:sz w:val="24"/>
          <w:szCs w:val="24"/>
        </w:rPr>
        <w:t xml:space="preserve">mpact of </w:t>
      </w:r>
      <w:r w:rsidR="00B83E0A">
        <w:rPr>
          <w:rFonts w:ascii="Garamond" w:hAnsi="Garamond" w:cs="Times New Roman"/>
          <w:noProof/>
          <w:sz w:val="24"/>
          <w:szCs w:val="24"/>
        </w:rPr>
        <w:t>i</w:t>
      </w:r>
      <w:r w:rsidRPr="00F719E2">
        <w:rPr>
          <w:rFonts w:ascii="Garamond" w:hAnsi="Garamond" w:cs="Times New Roman"/>
          <w:noProof/>
          <w:sz w:val="24"/>
          <w:szCs w:val="24"/>
        </w:rPr>
        <w:t xml:space="preserve">ncentives to </w:t>
      </w:r>
      <w:r w:rsidR="00B83E0A">
        <w:rPr>
          <w:rFonts w:ascii="Garamond" w:hAnsi="Garamond" w:cs="Times New Roman"/>
          <w:noProof/>
          <w:sz w:val="24"/>
          <w:szCs w:val="24"/>
        </w:rPr>
        <w:t>r</w:t>
      </w:r>
      <w:r w:rsidRPr="00F719E2">
        <w:rPr>
          <w:rFonts w:ascii="Garamond" w:hAnsi="Garamond" w:cs="Times New Roman"/>
          <w:noProof/>
          <w:sz w:val="24"/>
          <w:szCs w:val="24"/>
        </w:rPr>
        <w:t xml:space="preserve">ecruit and </w:t>
      </w:r>
      <w:r w:rsidR="00B83E0A">
        <w:rPr>
          <w:rFonts w:ascii="Garamond" w:hAnsi="Garamond" w:cs="Times New Roman"/>
          <w:noProof/>
          <w:sz w:val="24"/>
          <w:szCs w:val="24"/>
        </w:rPr>
        <w:t>r</w:t>
      </w:r>
      <w:r w:rsidRPr="00F719E2">
        <w:rPr>
          <w:rFonts w:ascii="Garamond" w:hAnsi="Garamond" w:cs="Times New Roman"/>
          <w:noProof/>
          <w:sz w:val="24"/>
          <w:szCs w:val="24"/>
        </w:rPr>
        <w:t xml:space="preserve">etain </w:t>
      </w:r>
      <w:r w:rsidR="00B83E0A">
        <w:rPr>
          <w:rFonts w:ascii="Garamond" w:hAnsi="Garamond" w:cs="Times New Roman"/>
          <w:noProof/>
          <w:sz w:val="24"/>
          <w:szCs w:val="24"/>
        </w:rPr>
        <w:t>t</w:t>
      </w:r>
      <w:r w:rsidRPr="00F719E2">
        <w:rPr>
          <w:rFonts w:ascii="Garamond" w:hAnsi="Garamond" w:cs="Times New Roman"/>
          <w:noProof/>
          <w:sz w:val="24"/>
          <w:szCs w:val="24"/>
        </w:rPr>
        <w:t>eachers in “</w:t>
      </w:r>
      <w:r w:rsidR="00B83E0A">
        <w:rPr>
          <w:rFonts w:ascii="Garamond" w:hAnsi="Garamond" w:cs="Times New Roman"/>
          <w:noProof/>
          <w:sz w:val="24"/>
          <w:szCs w:val="24"/>
        </w:rPr>
        <w:t>h</w:t>
      </w:r>
      <w:r w:rsidRPr="00F719E2">
        <w:rPr>
          <w:rFonts w:ascii="Garamond" w:hAnsi="Garamond" w:cs="Times New Roman"/>
          <w:noProof/>
          <w:sz w:val="24"/>
          <w:szCs w:val="24"/>
        </w:rPr>
        <w:t>ard-to-</w:t>
      </w:r>
      <w:r w:rsidR="00B83E0A">
        <w:rPr>
          <w:rFonts w:ascii="Garamond" w:hAnsi="Garamond" w:cs="Times New Roman"/>
          <w:noProof/>
          <w:sz w:val="24"/>
          <w:szCs w:val="24"/>
        </w:rPr>
        <w:t>s</w:t>
      </w:r>
      <w:r w:rsidRPr="00F719E2">
        <w:rPr>
          <w:rFonts w:ascii="Garamond" w:hAnsi="Garamond" w:cs="Times New Roman"/>
          <w:noProof/>
          <w:sz w:val="24"/>
          <w:szCs w:val="24"/>
        </w:rPr>
        <w:t xml:space="preserve">taff” </w:t>
      </w:r>
      <w:r w:rsidR="00B83E0A">
        <w:rPr>
          <w:rFonts w:ascii="Garamond" w:hAnsi="Garamond" w:cs="Times New Roman"/>
          <w:noProof/>
          <w:sz w:val="24"/>
          <w:szCs w:val="24"/>
        </w:rPr>
        <w:t>s</w:t>
      </w:r>
      <w:r w:rsidRPr="00F719E2">
        <w:rPr>
          <w:rFonts w:ascii="Garamond" w:hAnsi="Garamond" w:cs="Times New Roman"/>
          <w:noProof/>
          <w:sz w:val="24"/>
          <w:szCs w:val="24"/>
        </w:rPr>
        <w:t xml:space="preserve">ubjects. </w:t>
      </w:r>
      <w:r w:rsidRPr="00F719E2">
        <w:rPr>
          <w:rFonts w:ascii="Garamond" w:hAnsi="Garamond" w:cs="Times New Roman"/>
          <w:i/>
          <w:iCs/>
          <w:noProof/>
          <w:sz w:val="24"/>
          <w:szCs w:val="24"/>
        </w:rPr>
        <w:t>Journal of Policy Analysis and Management</w:t>
      </w:r>
      <w:r w:rsidRPr="00B83E0A">
        <w:rPr>
          <w:rFonts w:ascii="Garamond" w:hAnsi="Garamond" w:cs="Times New Roman"/>
          <w:noProof/>
          <w:sz w:val="24"/>
          <w:szCs w:val="24"/>
        </w:rPr>
        <w:t>,</w:t>
      </w:r>
      <w:r w:rsidRPr="00F719E2">
        <w:rPr>
          <w:rFonts w:ascii="Garamond" w:hAnsi="Garamond" w:cs="Times New Roman"/>
          <w:i/>
          <w:iCs/>
          <w:noProof/>
          <w:sz w:val="24"/>
          <w:szCs w:val="24"/>
        </w:rPr>
        <w:t xml:space="preserve"> 37</w:t>
      </w:r>
      <w:r w:rsidRPr="00F719E2">
        <w:rPr>
          <w:rFonts w:ascii="Garamond" w:hAnsi="Garamond" w:cs="Times New Roman"/>
          <w:noProof/>
          <w:sz w:val="24"/>
          <w:szCs w:val="24"/>
        </w:rPr>
        <w:t>(1), 112-135.</w:t>
      </w:r>
    </w:p>
    <w:p w14:paraId="188D09E1" w14:textId="4CB8652F" w:rsidR="00BC47E4" w:rsidRPr="00F719E2" w:rsidRDefault="00BC47E4" w:rsidP="00C6646B">
      <w:pPr>
        <w:pStyle w:val="Bibliography"/>
        <w:ind w:left="720" w:hanging="720"/>
        <w:rPr>
          <w:rFonts w:ascii="Garamond" w:hAnsi="Garamond" w:cs="Times New Roman"/>
          <w:noProof/>
          <w:sz w:val="24"/>
          <w:szCs w:val="24"/>
        </w:rPr>
      </w:pPr>
      <w:r w:rsidRPr="00F719E2">
        <w:rPr>
          <w:rFonts w:ascii="Garamond" w:hAnsi="Garamond" w:cs="Times New Roman"/>
          <w:noProof/>
          <w:sz w:val="24"/>
          <w:szCs w:val="24"/>
        </w:rPr>
        <w:lastRenderedPageBreak/>
        <w:t xml:space="preserve">Folwell, D., &amp; Toole, S. </w:t>
      </w:r>
      <w:r w:rsidR="00B83E0A">
        <w:rPr>
          <w:rFonts w:ascii="Garamond" w:hAnsi="Garamond" w:cs="Times New Roman"/>
          <w:noProof/>
          <w:sz w:val="24"/>
          <w:szCs w:val="24"/>
        </w:rPr>
        <w:t>(</w:t>
      </w:r>
      <w:r w:rsidRPr="00F719E2">
        <w:rPr>
          <w:rFonts w:ascii="Garamond" w:hAnsi="Garamond" w:cs="Times New Roman"/>
          <w:noProof/>
          <w:sz w:val="24"/>
          <w:szCs w:val="24"/>
        </w:rPr>
        <w:t>2017</w:t>
      </w:r>
      <w:r w:rsidR="00B83E0A">
        <w:rPr>
          <w:rFonts w:ascii="Garamond" w:hAnsi="Garamond" w:cs="Times New Roman"/>
          <w:noProof/>
          <w:sz w:val="24"/>
          <w:szCs w:val="24"/>
        </w:rPr>
        <w:t>)</w:t>
      </w:r>
      <w:r w:rsidRPr="00F719E2">
        <w:rPr>
          <w:rFonts w:ascii="Garamond" w:hAnsi="Garamond" w:cs="Times New Roman"/>
          <w:noProof/>
          <w:sz w:val="24"/>
          <w:szCs w:val="24"/>
        </w:rPr>
        <w:t xml:space="preserve">. </w:t>
      </w:r>
      <w:r w:rsidRPr="00F719E2">
        <w:rPr>
          <w:rFonts w:ascii="Garamond" w:hAnsi="Garamond" w:cs="Times New Roman"/>
          <w:i/>
          <w:iCs/>
          <w:noProof/>
          <w:sz w:val="24"/>
          <w:szCs w:val="24"/>
        </w:rPr>
        <w:t>Teachers' and State Employees' Retirement Systems: Your Retirement Benefits.</w:t>
      </w:r>
      <w:r w:rsidRPr="00F719E2">
        <w:rPr>
          <w:rFonts w:ascii="Garamond" w:hAnsi="Garamond" w:cs="Times New Roman"/>
          <w:noProof/>
          <w:sz w:val="24"/>
          <w:szCs w:val="24"/>
        </w:rPr>
        <w:t xml:space="preserve"> Raleigh: Department of State Treasurer.</w:t>
      </w:r>
    </w:p>
    <w:p w14:paraId="73D0EC57" w14:textId="1F2708DB" w:rsidR="00AF5FBB" w:rsidRPr="00F719E2" w:rsidRDefault="00BC47E4" w:rsidP="00C6646B">
      <w:pPr>
        <w:pStyle w:val="Bibliography"/>
        <w:ind w:left="720" w:hanging="720"/>
        <w:rPr>
          <w:rFonts w:ascii="Garamond" w:hAnsi="Garamond" w:cs="Times New Roman"/>
          <w:noProof/>
          <w:sz w:val="24"/>
          <w:szCs w:val="24"/>
        </w:rPr>
      </w:pPr>
      <w:r w:rsidRPr="00F719E2">
        <w:rPr>
          <w:rFonts w:ascii="Garamond" w:hAnsi="Garamond" w:cs="Times New Roman"/>
          <w:noProof/>
          <w:sz w:val="24"/>
          <w:szCs w:val="24"/>
        </w:rPr>
        <w:t xml:space="preserve">Garcia, E., &amp; Weiss, E. </w:t>
      </w:r>
      <w:r w:rsidR="00B83E0A">
        <w:rPr>
          <w:rFonts w:ascii="Garamond" w:hAnsi="Garamond" w:cs="Times New Roman"/>
          <w:noProof/>
          <w:sz w:val="24"/>
          <w:szCs w:val="24"/>
        </w:rPr>
        <w:t>(</w:t>
      </w:r>
      <w:r w:rsidRPr="00F719E2">
        <w:rPr>
          <w:rFonts w:ascii="Garamond" w:hAnsi="Garamond" w:cs="Times New Roman"/>
          <w:noProof/>
          <w:sz w:val="24"/>
          <w:szCs w:val="24"/>
        </w:rPr>
        <w:t>2019</w:t>
      </w:r>
      <w:r w:rsidR="00B83E0A">
        <w:rPr>
          <w:rFonts w:ascii="Garamond" w:hAnsi="Garamond" w:cs="Times New Roman"/>
          <w:noProof/>
          <w:sz w:val="24"/>
          <w:szCs w:val="24"/>
        </w:rPr>
        <w:t>)</w:t>
      </w:r>
      <w:r w:rsidRPr="00F719E2">
        <w:rPr>
          <w:rFonts w:ascii="Garamond" w:hAnsi="Garamond" w:cs="Times New Roman"/>
          <w:noProof/>
          <w:sz w:val="24"/>
          <w:szCs w:val="24"/>
        </w:rPr>
        <w:t xml:space="preserve">. </w:t>
      </w:r>
      <w:r w:rsidRPr="00B36932">
        <w:rPr>
          <w:rFonts w:ascii="Garamond" w:hAnsi="Garamond" w:cs="Times New Roman"/>
          <w:noProof/>
          <w:sz w:val="24"/>
          <w:szCs w:val="24"/>
        </w:rPr>
        <w:t>The teacher shortage is real, large and growing, and worse than we thought.</w:t>
      </w:r>
      <w:r w:rsidRPr="00F719E2">
        <w:rPr>
          <w:rFonts w:ascii="Garamond" w:hAnsi="Garamond" w:cs="Times New Roman"/>
          <w:noProof/>
          <w:sz w:val="24"/>
          <w:szCs w:val="24"/>
        </w:rPr>
        <w:t xml:space="preserve"> Washington D.C.: Economic Policy Institute.</w:t>
      </w:r>
    </w:p>
    <w:p w14:paraId="578EBAE2" w14:textId="35B33403" w:rsidR="00714D1C" w:rsidRDefault="00B83E0A" w:rsidP="00C6646B">
      <w:pPr>
        <w:ind w:left="720" w:hanging="720"/>
        <w:rPr>
          <w:rFonts w:ascii="Garamond" w:hAnsi="Garamond" w:cs="Times New Roman"/>
          <w:sz w:val="24"/>
          <w:szCs w:val="24"/>
        </w:rPr>
      </w:pPr>
      <w:r w:rsidRPr="00F719E2">
        <w:rPr>
          <w:rFonts w:ascii="Garamond" w:hAnsi="Garamond" w:cs="Times New Roman"/>
          <w:noProof/>
          <w:sz w:val="24"/>
          <w:szCs w:val="24"/>
        </w:rPr>
        <w:t>Garcia, E., &amp; Weiss, E.</w:t>
      </w:r>
      <w:r w:rsidR="00193442" w:rsidRPr="00F719E2">
        <w:rPr>
          <w:rFonts w:ascii="Garamond" w:hAnsi="Garamond" w:cs="Times New Roman"/>
          <w:sz w:val="24"/>
          <w:szCs w:val="24"/>
        </w:rPr>
        <w:t xml:space="preserve"> </w:t>
      </w:r>
      <w:r>
        <w:rPr>
          <w:rFonts w:ascii="Garamond" w:hAnsi="Garamond" w:cs="Times New Roman"/>
          <w:sz w:val="24"/>
          <w:szCs w:val="24"/>
        </w:rPr>
        <w:t>(</w:t>
      </w:r>
      <w:r w:rsidR="00714D1C" w:rsidRPr="00F719E2">
        <w:rPr>
          <w:rFonts w:ascii="Garamond" w:hAnsi="Garamond" w:cs="Times New Roman"/>
          <w:sz w:val="24"/>
          <w:szCs w:val="24"/>
        </w:rPr>
        <w:t>2020</w:t>
      </w:r>
      <w:r>
        <w:rPr>
          <w:rFonts w:ascii="Garamond" w:hAnsi="Garamond" w:cs="Times New Roman"/>
          <w:sz w:val="24"/>
          <w:szCs w:val="24"/>
        </w:rPr>
        <w:t>)</w:t>
      </w:r>
      <w:r w:rsidR="00714D1C" w:rsidRPr="00F719E2">
        <w:rPr>
          <w:rFonts w:ascii="Garamond" w:hAnsi="Garamond" w:cs="Times New Roman"/>
          <w:sz w:val="24"/>
          <w:szCs w:val="24"/>
        </w:rPr>
        <w:t>. Examining the factors that play a role in the teacher shortage crisis</w:t>
      </w:r>
      <w:r w:rsidR="00BA239A">
        <w:rPr>
          <w:rFonts w:ascii="Garamond" w:hAnsi="Garamond" w:cs="Times New Roman"/>
          <w:sz w:val="24"/>
          <w:szCs w:val="24"/>
        </w:rPr>
        <w:t xml:space="preserve">, </w:t>
      </w:r>
      <w:r w:rsidR="00714D1C" w:rsidRPr="00F719E2">
        <w:rPr>
          <w:rFonts w:ascii="Garamond" w:hAnsi="Garamond" w:cs="Times New Roman"/>
          <w:sz w:val="24"/>
          <w:szCs w:val="24"/>
        </w:rPr>
        <w:t xml:space="preserve">No. 177726. </w:t>
      </w:r>
      <w:r w:rsidR="00B36932" w:rsidRPr="00F719E2">
        <w:rPr>
          <w:rFonts w:ascii="Garamond" w:hAnsi="Garamond" w:cs="Times New Roman"/>
          <w:noProof/>
          <w:sz w:val="24"/>
          <w:szCs w:val="24"/>
        </w:rPr>
        <w:t xml:space="preserve">Washington D.C.: </w:t>
      </w:r>
      <w:r w:rsidR="00714D1C" w:rsidRPr="00F719E2">
        <w:rPr>
          <w:rFonts w:ascii="Garamond" w:hAnsi="Garamond" w:cs="Times New Roman"/>
          <w:sz w:val="24"/>
          <w:szCs w:val="24"/>
        </w:rPr>
        <w:t>Economic Policy Institute</w:t>
      </w:r>
      <w:r w:rsidR="00B36932">
        <w:rPr>
          <w:rFonts w:ascii="Garamond" w:hAnsi="Garamond" w:cs="Times New Roman"/>
          <w:sz w:val="24"/>
          <w:szCs w:val="24"/>
        </w:rPr>
        <w:t>.</w:t>
      </w:r>
    </w:p>
    <w:p w14:paraId="36DF37D3" w14:textId="086BAA9F" w:rsidR="008E1825" w:rsidRPr="008E1825" w:rsidRDefault="008E1825" w:rsidP="00C6646B">
      <w:pPr>
        <w:ind w:left="720" w:hanging="720"/>
        <w:rPr>
          <w:rStyle w:val="Hyperlink"/>
          <w:rFonts w:ascii="Garamond" w:hAnsi="Garamond" w:cs="Times New Roman"/>
          <w:color w:val="auto"/>
          <w:sz w:val="24"/>
          <w:szCs w:val="24"/>
        </w:rPr>
      </w:pPr>
      <w:r w:rsidRPr="008E1825">
        <w:rPr>
          <w:rFonts w:ascii="Garamond" w:hAnsi="Garamond" w:cs="Arial"/>
          <w:sz w:val="24"/>
          <w:szCs w:val="24"/>
          <w:shd w:val="clear" w:color="auto" w:fill="FFFFFF"/>
        </w:rPr>
        <w:t>Garc</w:t>
      </w:r>
      <w:r>
        <w:rPr>
          <w:rFonts w:ascii="Garamond" w:hAnsi="Garamond" w:cs="Arial"/>
          <w:sz w:val="24"/>
          <w:szCs w:val="24"/>
          <w:shd w:val="clear" w:color="auto" w:fill="FFFFFF"/>
        </w:rPr>
        <w:t>i</w:t>
      </w:r>
      <w:r w:rsidRPr="008E1825">
        <w:rPr>
          <w:rFonts w:ascii="Garamond" w:hAnsi="Garamond" w:cs="Arial"/>
          <w:sz w:val="24"/>
          <w:szCs w:val="24"/>
          <w:shd w:val="clear" w:color="auto" w:fill="FFFFFF"/>
        </w:rPr>
        <w:t>a, E., Han, E., &amp; Weiss, E. (2022). Determinants of teacher attrition: Evidence from</w:t>
      </w:r>
      <w:r w:rsidR="00794926">
        <w:rPr>
          <w:rFonts w:ascii="Garamond" w:hAnsi="Garamond" w:cs="Arial"/>
          <w:sz w:val="24"/>
          <w:szCs w:val="24"/>
          <w:shd w:val="clear" w:color="auto" w:fill="FFFFFF"/>
        </w:rPr>
        <w:t xml:space="preserve"> </w:t>
      </w:r>
      <w:r w:rsidRPr="008E1825">
        <w:rPr>
          <w:rFonts w:ascii="Garamond" w:hAnsi="Garamond" w:cs="Arial"/>
          <w:sz w:val="24"/>
          <w:szCs w:val="24"/>
          <w:shd w:val="clear" w:color="auto" w:fill="FFFFFF"/>
        </w:rPr>
        <w:t xml:space="preserve">district-teacher matched data. </w:t>
      </w:r>
      <w:r w:rsidRPr="00794926">
        <w:rPr>
          <w:rFonts w:ascii="Garamond" w:hAnsi="Garamond" w:cs="Arial"/>
          <w:i/>
          <w:iCs/>
          <w:sz w:val="24"/>
          <w:szCs w:val="24"/>
          <w:shd w:val="clear" w:color="auto" w:fill="FFFFFF"/>
        </w:rPr>
        <w:t>Education Policy Analysis Archives, 30</w:t>
      </w:r>
      <w:r w:rsidRPr="008E1825">
        <w:rPr>
          <w:rFonts w:ascii="Garamond" w:hAnsi="Garamond" w:cs="Arial"/>
          <w:sz w:val="24"/>
          <w:szCs w:val="24"/>
          <w:shd w:val="clear" w:color="auto" w:fill="FFFFFF"/>
        </w:rPr>
        <w:t>(25).</w:t>
      </w:r>
    </w:p>
    <w:p w14:paraId="6914CB62" w14:textId="227DE770" w:rsidR="004F7C04" w:rsidRPr="00F719E2" w:rsidRDefault="004F7C04" w:rsidP="00C6646B">
      <w:pPr>
        <w:ind w:left="720" w:hanging="720"/>
        <w:rPr>
          <w:rFonts w:ascii="Garamond" w:hAnsi="Garamond"/>
          <w:sz w:val="24"/>
          <w:szCs w:val="24"/>
        </w:rPr>
      </w:pPr>
      <w:proofErr w:type="spellStart"/>
      <w:r w:rsidRPr="00F719E2">
        <w:rPr>
          <w:rFonts w:ascii="Garamond" w:hAnsi="Garamond" w:cs="Times New Roman"/>
          <w:sz w:val="24"/>
          <w:szCs w:val="24"/>
        </w:rPr>
        <w:t>Glazerman</w:t>
      </w:r>
      <w:proofErr w:type="spellEnd"/>
      <w:r w:rsidRPr="00F719E2">
        <w:rPr>
          <w:rFonts w:ascii="Garamond" w:hAnsi="Garamond" w:cs="Times New Roman"/>
          <w:sz w:val="24"/>
          <w:szCs w:val="24"/>
        </w:rPr>
        <w:t xml:space="preserve">, S., </w:t>
      </w:r>
      <w:proofErr w:type="spellStart"/>
      <w:r w:rsidRPr="00F719E2">
        <w:rPr>
          <w:rFonts w:ascii="Garamond" w:hAnsi="Garamond" w:cs="Times New Roman"/>
          <w:sz w:val="24"/>
          <w:szCs w:val="24"/>
        </w:rPr>
        <w:t>Protik</w:t>
      </w:r>
      <w:proofErr w:type="spellEnd"/>
      <w:r w:rsidRPr="00F719E2">
        <w:rPr>
          <w:rFonts w:ascii="Garamond" w:hAnsi="Garamond" w:cs="Times New Roman"/>
          <w:sz w:val="24"/>
          <w:szCs w:val="24"/>
        </w:rPr>
        <w:t xml:space="preserve">, A., </w:t>
      </w:r>
      <w:proofErr w:type="spellStart"/>
      <w:r w:rsidRPr="00F719E2">
        <w:rPr>
          <w:rFonts w:ascii="Garamond" w:hAnsi="Garamond" w:cs="Times New Roman"/>
          <w:sz w:val="24"/>
          <w:szCs w:val="24"/>
        </w:rPr>
        <w:t>Teh</w:t>
      </w:r>
      <w:proofErr w:type="spellEnd"/>
      <w:r w:rsidRPr="00F719E2">
        <w:rPr>
          <w:rFonts w:ascii="Garamond" w:hAnsi="Garamond" w:cs="Times New Roman"/>
          <w:sz w:val="24"/>
          <w:szCs w:val="24"/>
        </w:rPr>
        <w:t>,</w:t>
      </w:r>
      <w:r w:rsidR="00E7568B" w:rsidRPr="00F719E2">
        <w:rPr>
          <w:rFonts w:ascii="Garamond" w:hAnsi="Garamond" w:cs="Times New Roman"/>
          <w:sz w:val="24"/>
          <w:szCs w:val="24"/>
        </w:rPr>
        <w:t xml:space="preserve"> B.,</w:t>
      </w:r>
      <w:r w:rsidRPr="00F719E2">
        <w:rPr>
          <w:rFonts w:ascii="Garamond" w:hAnsi="Garamond" w:cs="Times New Roman"/>
          <w:sz w:val="24"/>
          <w:szCs w:val="24"/>
        </w:rPr>
        <w:t xml:space="preserve"> Bruch,</w:t>
      </w:r>
      <w:r w:rsidR="00E7568B" w:rsidRPr="00F719E2">
        <w:rPr>
          <w:rFonts w:ascii="Garamond" w:hAnsi="Garamond" w:cs="Times New Roman"/>
          <w:sz w:val="24"/>
          <w:szCs w:val="24"/>
        </w:rPr>
        <w:t xml:space="preserve"> J., &amp;</w:t>
      </w:r>
      <w:r w:rsidRPr="00F719E2">
        <w:rPr>
          <w:rFonts w:ascii="Garamond" w:hAnsi="Garamond" w:cs="Times New Roman"/>
          <w:sz w:val="24"/>
          <w:szCs w:val="24"/>
        </w:rPr>
        <w:t xml:space="preserve"> Max</w:t>
      </w:r>
      <w:r w:rsidR="00E7568B" w:rsidRPr="00F719E2">
        <w:rPr>
          <w:rFonts w:ascii="Garamond" w:hAnsi="Garamond" w:cs="Times New Roman"/>
          <w:sz w:val="24"/>
          <w:szCs w:val="24"/>
        </w:rPr>
        <w:t>, J.</w:t>
      </w:r>
      <w:r w:rsidRPr="00F719E2">
        <w:rPr>
          <w:rFonts w:ascii="Garamond" w:hAnsi="Garamond" w:cs="Times New Roman"/>
          <w:sz w:val="24"/>
          <w:szCs w:val="24"/>
        </w:rPr>
        <w:t xml:space="preserve"> </w:t>
      </w:r>
      <w:r w:rsidR="00B83E0A">
        <w:rPr>
          <w:rFonts w:ascii="Garamond" w:hAnsi="Garamond" w:cs="Times New Roman"/>
          <w:sz w:val="24"/>
          <w:szCs w:val="24"/>
        </w:rPr>
        <w:t>(</w:t>
      </w:r>
      <w:r w:rsidRPr="00F719E2">
        <w:rPr>
          <w:rFonts w:ascii="Garamond" w:hAnsi="Garamond" w:cs="Times New Roman"/>
          <w:sz w:val="24"/>
          <w:szCs w:val="24"/>
        </w:rPr>
        <w:t>2013</w:t>
      </w:r>
      <w:r w:rsidR="00B83E0A">
        <w:rPr>
          <w:rFonts w:ascii="Garamond" w:hAnsi="Garamond" w:cs="Times New Roman"/>
          <w:sz w:val="24"/>
          <w:szCs w:val="24"/>
        </w:rPr>
        <w:t>)</w:t>
      </w:r>
      <w:r w:rsidRPr="00F719E2">
        <w:rPr>
          <w:rFonts w:ascii="Garamond" w:hAnsi="Garamond" w:cs="Times New Roman"/>
          <w:sz w:val="24"/>
          <w:szCs w:val="24"/>
        </w:rPr>
        <w:t xml:space="preserve">. Transfer </w:t>
      </w:r>
      <w:r w:rsidR="00B83E0A">
        <w:rPr>
          <w:rFonts w:ascii="Garamond" w:hAnsi="Garamond" w:cs="Times New Roman"/>
          <w:sz w:val="24"/>
          <w:szCs w:val="24"/>
        </w:rPr>
        <w:t>i</w:t>
      </w:r>
      <w:r w:rsidRPr="00F719E2">
        <w:rPr>
          <w:rFonts w:ascii="Garamond" w:hAnsi="Garamond" w:cs="Times New Roman"/>
          <w:sz w:val="24"/>
          <w:szCs w:val="24"/>
        </w:rPr>
        <w:t xml:space="preserve">ncentives for </w:t>
      </w:r>
      <w:r w:rsidR="00B83E0A">
        <w:rPr>
          <w:rFonts w:ascii="Garamond" w:hAnsi="Garamond" w:cs="Times New Roman"/>
          <w:sz w:val="24"/>
          <w:szCs w:val="24"/>
        </w:rPr>
        <w:t>h</w:t>
      </w:r>
      <w:r w:rsidR="00E7568B" w:rsidRPr="00F719E2">
        <w:rPr>
          <w:rFonts w:ascii="Garamond" w:hAnsi="Garamond" w:cs="Times New Roman"/>
          <w:sz w:val="24"/>
          <w:szCs w:val="24"/>
        </w:rPr>
        <w:t xml:space="preserve">igh </w:t>
      </w:r>
      <w:r w:rsidR="00B83E0A">
        <w:rPr>
          <w:rFonts w:ascii="Garamond" w:hAnsi="Garamond" w:cs="Times New Roman"/>
          <w:sz w:val="24"/>
          <w:szCs w:val="24"/>
        </w:rPr>
        <w:t>p</w:t>
      </w:r>
      <w:r w:rsidR="00E7568B" w:rsidRPr="00F719E2">
        <w:rPr>
          <w:rFonts w:ascii="Garamond" w:hAnsi="Garamond" w:cs="Times New Roman"/>
          <w:sz w:val="24"/>
          <w:szCs w:val="24"/>
        </w:rPr>
        <w:t>erforming</w:t>
      </w:r>
      <w:r w:rsidRPr="00F719E2">
        <w:rPr>
          <w:rFonts w:ascii="Garamond" w:hAnsi="Garamond" w:cs="Times New Roman"/>
          <w:sz w:val="24"/>
          <w:szCs w:val="24"/>
        </w:rPr>
        <w:t xml:space="preserve"> </w:t>
      </w:r>
      <w:r w:rsidR="00B83E0A">
        <w:rPr>
          <w:rFonts w:ascii="Garamond" w:hAnsi="Garamond" w:cs="Times New Roman"/>
          <w:sz w:val="24"/>
          <w:szCs w:val="24"/>
        </w:rPr>
        <w:t>t</w:t>
      </w:r>
      <w:r w:rsidRPr="00F719E2">
        <w:rPr>
          <w:rFonts w:ascii="Garamond" w:hAnsi="Garamond" w:cs="Times New Roman"/>
          <w:sz w:val="24"/>
          <w:szCs w:val="24"/>
        </w:rPr>
        <w:t xml:space="preserve">eachers: </w:t>
      </w:r>
      <w:proofErr w:type="gramStart"/>
      <w:r w:rsidRPr="00F719E2">
        <w:rPr>
          <w:rFonts w:ascii="Garamond" w:hAnsi="Garamond" w:cs="Times New Roman"/>
          <w:sz w:val="24"/>
          <w:szCs w:val="24"/>
        </w:rPr>
        <w:t xml:space="preserve">Final </w:t>
      </w:r>
      <w:r w:rsidR="00B83E0A">
        <w:rPr>
          <w:rFonts w:ascii="Garamond" w:hAnsi="Garamond" w:cs="Times New Roman"/>
          <w:sz w:val="24"/>
          <w:szCs w:val="24"/>
        </w:rPr>
        <w:t>r</w:t>
      </w:r>
      <w:r w:rsidRPr="00F719E2">
        <w:rPr>
          <w:rFonts w:ascii="Garamond" w:hAnsi="Garamond" w:cs="Times New Roman"/>
          <w:sz w:val="24"/>
          <w:szCs w:val="24"/>
        </w:rPr>
        <w:t>esults</w:t>
      </w:r>
      <w:proofErr w:type="gramEnd"/>
      <w:r w:rsidRPr="00F719E2">
        <w:rPr>
          <w:rFonts w:ascii="Garamond" w:hAnsi="Garamond" w:cs="Times New Roman"/>
          <w:sz w:val="24"/>
          <w:szCs w:val="24"/>
        </w:rPr>
        <w:t xml:space="preserve"> from a </w:t>
      </w:r>
      <w:r w:rsidR="00B83E0A">
        <w:rPr>
          <w:rFonts w:ascii="Garamond" w:hAnsi="Garamond" w:cs="Times New Roman"/>
          <w:sz w:val="24"/>
          <w:szCs w:val="24"/>
        </w:rPr>
        <w:t>m</w:t>
      </w:r>
      <w:r w:rsidRPr="00F719E2">
        <w:rPr>
          <w:rFonts w:ascii="Garamond" w:hAnsi="Garamond" w:cs="Times New Roman"/>
          <w:sz w:val="24"/>
          <w:szCs w:val="24"/>
        </w:rPr>
        <w:t xml:space="preserve">ultisite </w:t>
      </w:r>
      <w:r w:rsidR="00B83E0A">
        <w:rPr>
          <w:rFonts w:ascii="Garamond" w:hAnsi="Garamond" w:cs="Times New Roman"/>
          <w:sz w:val="24"/>
          <w:szCs w:val="24"/>
        </w:rPr>
        <w:t>r</w:t>
      </w:r>
      <w:r w:rsidRPr="00F719E2">
        <w:rPr>
          <w:rFonts w:ascii="Garamond" w:hAnsi="Garamond" w:cs="Times New Roman"/>
          <w:sz w:val="24"/>
          <w:szCs w:val="24"/>
        </w:rPr>
        <w:t xml:space="preserve">andomized </w:t>
      </w:r>
      <w:r w:rsidR="0064010D">
        <w:rPr>
          <w:rFonts w:ascii="Garamond" w:hAnsi="Garamond" w:cs="Times New Roman"/>
          <w:sz w:val="24"/>
          <w:szCs w:val="24"/>
        </w:rPr>
        <w:t>e</w:t>
      </w:r>
      <w:r w:rsidRPr="00F719E2">
        <w:rPr>
          <w:rFonts w:ascii="Garamond" w:hAnsi="Garamond" w:cs="Times New Roman"/>
          <w:sz w:val="24"/>
          <w:szCs w:val="24"/>
        </w:rPr>
        <w:t>xperiment, NCEE 2014-4003. Washington, DC: U.S. Department of Education.</w:t>
      </w:r>
    </w:p>
    <w:sdt>
      <w:sdtPr>
        <w:rPr>
          <w:rFonts w:ascii="Garamond" w:hAnsi="Garamond" w:cs="Times New Roman"/>
          <w:sz w:val="24"/>
          <w:szCs w:val="24"/>
        </w:rPr>
        <w:id w:val="-573587230"/>
        <w:bibliography/>
      </w:sdtPr>
      <w:sdtEndPr/>
      <w:sdtContent>
        <w:p w14:paraId="7D2FAF38" w14:textId="37CCF9F7" w:rsidR="00BC47E4" w:rsidRPr="0044561F" w:rsidRDefault="00BC47E4" w:rsidP="00C6646B">
          <w:pPr>
            <w:pStyle w:val="Bibliography"/>
            <w:ind w:left="720" w:hanging="720"/>
            <w:rPr>
              <w:rFonts w:ascii="Garamond" w:hAnsi="Garamond" w:cs="Times New Roman"/>
              <w:noProof/>
              <w:sz w:val="24"/>
              <w:szCs w:val="24"/>
            </w:rPr>
          </w:pPr>
          <w:r w:rsidRPr="0044561F">
            <w:rPr>
              <w:rFonts w:ascii="Garamond" w:hAnsi="Garamond" w:cs="Times New Roman"/>
              <w:sz w:val="24"/>
              <w:szCs w:val="24"/>
            </w:rPr>
            <w:t>G</w:t>
          </w:r>
          <w:r w:rsidRPr="0044561F">
            <w:rPr>
              <w:rFonts w:ascii="Garamond" w:hAnsi="Garamond" w:cs="Times New Roman"/>
              <w:noProof/>
              <w:sz w:val="24"/>
              <w:szCs w:val="24"/>
            </w:rPr>
            <w:t xml:space="preserve">oldhaber, D., Choi, H.-J., &amp; Cramer, L. </w:t>
          </w:r>
          <w:r w:rsidR="0064010D">
            <w:rPr>
              <w:rFonts w:ascii="Garamond" w:hAnsi="Garamond" w:cs="Times New Roman"/>
              <w:noProof/>
              <w:sz w:val="24"/>
              <w:szCs w:val="24"/>
            </w:rPr>
            <w:t>(</w:t>
          </w:r>
          <w:r w:rsidRPr="0044561F">
            <w:rPr>
              <w:rFonts w:ascii="Garamond" w:hAnsi="Garamond" w:cs="Times New Roman"/>
              <w:noProof/>
              <w:sz w:val="24"/>
              <w:szCs w:val="24"/>
            </w:rPr>
            <w:t>2007</w:t>
          </w:r>
          <w:r w:rsidR="0064010D">
            <w:rPr>
              <w:rFonts w:ascii="Garamond" w:hAnsi="Garamond" w:cs="Times New Roman"/>
              <w:noProof/>
              <w:sz w:val="24"/>
              <w:szCs w:val="24"/>
            </w:rPr>
            <w:t>)</w:t>
          </w:r>
          <w:r w:rsidRPr="0044561F">
            <w:rPr>
              <w:rFonts w:ascii="Garamond" w:hAnsi="Garamond" w:cs="Times New Roman"/>
              <w:noProof/>
              <w:sz w:val="24"/>
              <w:szCs w:val="24"/>
            </w:rPr>
            <w:t xml:space="preserve">. A descriptive analysis of the distribution of NBPTS-certified teachers in North Carolina. </w:t>
          </w:r>
          <w:r w:rsidRPr="0044561F">
            <w:rPr>
              <w:rFonts w:ascii="Garamond" w:hAnsi="Garamond" w:cs="Times New Roman"/>
              <w:i/>
              <w:iCs/>
              <w:noProof/>
              <w:sz w:val="24"/>
              <w:szCs w:val="24"/>
            </w:rPr>
            <w:t>Economics of Education Review</w:t>
          </w:r>
          <w:r w:rsidRPr="0064010D">
            <w:rPr>
              <w:rFonts w:ascii="Garamond" w:hAnsi="Garamond" w:cs="Times New Roman"/>
              <w:noProof/>
              <w:sz w:val="24"/>
              <w:szCs w:val="24"/>
            </w:rPr>
            <w:t>,</w:t>
          </w:r>
          <w:r w:rsidRPr="0044561F">
            <w:rPr>
              <w:rFonts w:ascii="Garamond" w:hAnsi="Garamond" w:cs="Times New Roman"/>
              <w:i/>
              <w:iCs/>
              <w:noProof/>
              <w:sz w:val="24"/>
              <w:szCs w:val="24"/>
            </w:rPr>
            <w:t xml:space="preserve"> 16</w:t>
          </w:r>
          <w:r w:rsidRPr="0044561F">
            <w:rPr>
              <w:rFonts w:ascii="Garamond" w:hAnsi="Garamond" w:cs="Times New Roman"/>
              <w:noProof/>
              <w:sz w:val="24"/>
              <w:szCs w:val="24"/>
            </w:rPr>
            <w:t>(2), 160-172.</w:t>
          </w:r>
        </w:p>
        <w:p w14:paraId="79B38F9B" w14:textId="214233F0" w:rsidR="00B64AD5" w:rsidRPr="0044561F" w:rsidRDefault="00B64AD5" w:rsidP="00C6646B">
          <w:pPr>
            <w:spacing w:after="0" w:line="240" w:lineRule="auto"/>
            <w:ind w:left="720" w:hanging="720"/>
            <w:rPr>
              <w:rFonts w:ascii="Garamond" w:hAnsi="Garamond" w:cs="Times New Roman"/>
              <w:sz w:val="24"/>
              <w:szCs w:val="24"/>
            </w:rPr>
          </w:pPr>
          <w:r w:rsidRPr="0044561F">
            <w:rPr>
              <w:rFonts w:ascii="Garamond" w:hAnsi="Garamond" w:cs="Times New Roman"/>
              <w:sz w:val="24"/>
              <w:szCs w:val="24"/>
            </w:rPr>
            <w:t xml:space="preserve">Goldhaber, D., &amp; Gratz, T. </w:t>
          </w:r>
          <w:r w:rsidR="0064010D">
            <w:rPr>
              <w:rFonts w:ascii="Garamond" w:hAnsi="Garamond" w:cs="Times New Roman"/>
              <w:sz w:val="24"/>
              <w:szCs w:val="24"/>
            </w:rPr>
            <w:t>(</w:t>
          </w:r>
          <w:r w:rsidRPr="0044561F">
            <w:rPr>
              <w:rFonts w:ascii="Garamond" w:hAnsi="Garamond" w:cs="Times New Roman"/>
              <w:sz w:val="24"/>
              <w:szCs w:val="24"/>
            </w:rPr>
            <w:t>2021</w:t>
          </w:r>
          <w:r w:rsidR="0064010D">
            <w:rPr>
              <w:rFonts w:ascii="Garamond" w:hAnsi="Garamond" w:cs="Times New Roman"/>
              <w:sz w:val="24"/>
              <w:szCs w:val="24"/>
            </w:rPr>
            <w:t>)</w:t>
          </w:r>
          <w:r w:rsidRPr="0044561F">
            <w:rPr>
              <w:rFonts w:ascii="Garamond" w:hAnsi="Garamond" w:cs="Times New Roman"/>
              <w:sz w:val="24"/>
              <w:szCs w:val="24"/>
            </w:rPr>
            <w:t xml:space="preserve">. School </w:t>
          </w:r>
          <w:r w:rsidR="0064010D">
            <w:rPr>
              <w:rFonts w:ascii="Garamond" w:hAnsi="Garamond" w:cs="Times New Roman"/>
              <w:sz w:val="24"/>
              <w:szCs w:val="24"/>
            </w:rPr>
            <w:t>d</w:t>
          </w:r>
          <w:r w:rsidRPr="0044561F">
            <w:rPr>
              <w:rFonts w:ascii="Garamond" w:hAnsi="Garamond" w:cs="Times New Roman"/>
              <w:sz w:val="24"/>
              <w:szCs w:val="24"/>
            </w:rPr>
            <w:t xml:space="preserve">istrict </w:t>
          </w:r>
          <w:r w:rsidR="0064010D">
            <w:rPr>
              <w:rFonts w:ascii="Garamond" w:hAnsi="Garamond" w:cs="Times New Roman"/>
              <w:sz w:val="24"/>
              <w:szCs w:val="24"/>
            </w:rPr>
            <w:t>s</w:t>
          </w:r>
          <w:r w:rsidRPr="0044561F">
            <w:rPr>
              <w:rFonts w:ascii="Garamond" w:hAnsi="Garamond" w:cs="Times New Roman"/>
              <w:sz w:val="24"/>
              <w:szCs w:val="24"/>
            </w:rPr>
            <w:t xml:space="preserve">taffing </w:t>
          </w:r>
          <w:r w:rsidR="0064010D">
            <w:rPr>
              <w:rFonts w:ascii="Garamond" w:hAnsi="Garamond" w:cs="Times New Roman"/>
              <w:sz w:val="24"/>
              <w:szCs w:val="24"/>
            </w:rPr>
            <w:t>c</w:t>
          </w:r>
          <w:r w:rsidRPr="0044561F">
            <w:rPr>
              <w:rFonts w:ascii="Garamond" w:hAnsi="Garamond" w:cs="Times New Roman"/>
              <w:sz w:val="24"/>
              <w:szCs w:val="24"/>
            </w:rPr>
            <w:t xml:space="preserve">hallenges in a </w:t>
          </w:r>
          <w:r w:rsidR="0064010D">
            <w:rPr>
              <w:rFonts w:ascii="Garamond" w:hAnsi="Garamond" w:cs="Times New Roman"/>
              <w:sz w:val="24"/>
              <w:szCs w:val="24"/>
            </w:rPr>
            <w:t>r</w:t>
          </w:r>
          <w:r w:rsidRPr="0044561F">
            <w:rPr>
              <w:rFonts w:ascii="Garamond" w:hAnsi="Garamond" w:cs="Times New Roman"/>
              <w:sz w:val="24"/>
              <w:szCs w:val="24"/>
            </w:rPr>
            <w:t xml:space="preserve">apidly </w:t>
          </w:r>
          <w:r w:rsidR="0064010D">
            <w:rPr>
              <w:rFonts w:ascii="Garamond" w:hAnsi="Garamond" w:cs="Times New Roman"/>
              <w:sz w:val="24"/>
              <w:szCs w:val="24"/>
            </w:rPr>
            <w:t>r</w:t>
          </w:r>
          <w:r w:rsidRPr="0044561F">
            <w:rPr>
              <w:rFonts w:ascii="Garamond" w:hAnsi="Garamond" w:cs="Times New Roman"/>
              <w:sz w:val="24"/>
              <w:szCs w:val="24"/>
            </w:rPr>
            <w:t xml:space="preserve">ecovering </w:t>
          </w:r>
          <w:r w:rsidR="0064010D">
            <w:rPr>
              <w:rFonts w:ascii="Garamond" w:hAnsi="Garamond" w:cs="Times New Roman"/>
              <w:sz w:val="24"/>
              <w:szCs w:val="24"/>
            </w:rPr>
            <w:t>e</w:t>
          </w:r>
          <w:r w:rsidRPr="0044561F">
            <w:rPr>
              <w:rFonts w:ascii="Garamond" w:hAnsi="Garamond" w:cs="Times New Roman"/>
              <w:sz w:val="24"/>
              <w:szCs w:val="24"/>
            </w:rPr>
            <w:t>conomy. Seattle, WA: CEPR Flash Brief.</w:t>
          </w:r>
        </w:p>
        <w:p w14:paraId="52204F7D" w14:textId="77777777" w:rsidR="00B64AD5" w:rsidRPr="0044561F" w:rsidRDefault="00B64AD5" w:rsidP="00C6646B">
          <w:pPr>
            <w:spacing w:after="0" w:line="240" w:lineRule="auto"/>
            <w:ind w:left="720" w:hanging="720"/>
            <w:rPr>
              <w:rFonts w:ascii="Garamond" w:hAnsi="Garamond" w:cs="Times New Roman"/>
              <w:sz w:val="24"/>
              <w:szCs w:val="24"/>
            </w:rPr>
          </w:pPr>
        </w:p>
        <w:p w14:paraId="7089C4D8" w14:textId="3EA598F3" w:rsidR="00714D1C" w:rsidRPr="00F719E2" w:rsidRDefault="00714D1C" w:rsidP="00C6646B">
          <w:pPr>
            <w:spacing w:after="0" w:line="240" w:lineRule="auto"/>
            <w:ind w:left="720" w:hanging="720"/>
            <w:rPr>
              <w:rFonts w:ascii="Garamond" w:hAnsi="Garamond" w:cs="Times New Roman"/>
              <w:sz w:val="24"/>
              <w:szCs w:val="24"/>
            </w:rPr>
          </w:pPr>
          <w:r w:rsidRPr="0044561F">
            <w:rPr>
              <w:rFonts w:ascii="Garamond" w:hAnsi="Garamond" w:cs="Times New Roman"/>
              <w:sz w:val="24"/>
              <w:szCs w:val="24"/>
            </w:rPr>
            <w:t xml:space="preserve">Goldhaber, D., Krieg, J., Theobald, R., &amp; Brown, N. </w:t>
          </w:r>
          <w:r w:rsidR="0064010D">
            <w:rPr>
              <w:rFonts w:ascii="Garamond" w:hAnsi="Garamond" w:cs="Times New Roman"/>
              <w:sz w:val="24"/>
              <w:szCs w:val="24"/>
            </w:rPr>
            <w:t>(</w:t>
          </w:r>
          <w:r w:rsidRPr="0044561F">
            <w:rPr>
              <w:rFonts w:ascii="Garamond" w:hAnsi="Garamond" w:cs="Times New Roman"/>
              <w:sz w:val="24"/>
              <w:szCs w:val="24"/>
            </w:rPr>
            <w:t>2015</w:t>
          </w:r>
          <w:r w:rsidR="0064010D">
            <w:rPr>
              <w:rFonts w:ascii="Garamond" w:hAnsi="Garamond" w:cs="Times New Roman"/>
              <w:sz w:val="24"/>
              <w:szCs w:val="24"/>
            </w:rPr>
            <w:t>)</w:t>
          </w:r>
          <w:r w:rsidRPr="0044561F">
            <w:rPr>
              <w:rFonts w:ascii="Garamond" w:hAnsi="Garamond" w:cs="Times New Roman"/>
              <w:sz w:val="24"/>
              <w:szCs w:val="24"/>
            </w:rPr>
            <w:t xml:space="preserve">. Refueling the STEM and special education teacher pipelines. </w:t>
          </w:r>
          <w:r w:rsidRPr="0044561F">
            <w:rPr>
              <w:rFonts w:ascii="Garamond" w:hAnsi="Garamond" w:cs="Times New Roman"/>
              <w:i/>
              <w:iCs/>
              <w:sz w:val="24"/>
              <w:szCs w:val="24"/>
            </w:rPr>
            <w:t xml:space="preserve">Phi Delta </w:t>
          </w:r>
          <w:proofErr w:type="spellStart"/>
          <w:r w:rsidRPr="0044561F">
            <w:rPr>
              <w:rFonts w:ascii="Garamond" w:hAnsi="Garamond" w:cs="Times New Roman"/>
              <w:i/>
              <w:iCs/>
              <w:sz w:val="24"/>
              <w:szCs w:val="24"/>
            </w:rPr>
            <w:t>Kappan</w:t>
          </w:r>
          <w:proofErr w:type="spellEnd"/>
          <w:r w:rsidRPr="0064010D">
            <w:rPr>
              <w:rFonts w:ascii="Garamond" w:hAnsi="Garamond" w:cs="Times New Roman"/>
              <w:sz w:val="24"/>
              <w:szCs w:val="24"/>
            </w:rPr>
            <w:t>,</w:t>
          </w:r>
          <w:r w:rsidRPr="0044561F">
            <w:rPr>
              <w:rFonts w:ascii="Garamond" w:hAnsi="Garamond" w:cs="Times New Roman"/>
              <w:i/>
              <w:iCs/>
              <w:sz w:val="24"/>
              <w:szCs w:val="24"/>
            </w:rPr>
            <w:t xml:space="preserve"> 97</w:t>
          </w:r>
          <w:r w:rsidRPr="0044561F">
            <w:rPr>
              <w:rFonts w:ascii="Garamond" w:hAnsi="Garamond" w:cs="Times New Roman"/>
              <w:sz w:val="24"/>
              <w:szCs w:val="24"/>
            </w:rPr>
            <w:t>, 56</w:t>
          </w:r>
          <w:r w:rsidR="00264F8C" w:rsidRPr="0044561F">
            <w:rPr>
              <w:rFonts w:ascii="Garamond" w:hAnsi="Garamond" w:cs="Times New Roman"/>
              <w:sz w:val="24"/>
              <w:szCs w:val="24"/>
            </w:rPr>
            <w:t>-</w:t>
          </w:r>
          <w:r w:rsidRPr="0044561F">
            <w:rPr>
              <w:rFonts w:ascii="Garamond" w:hAnsi="Garamond" w:cs="Times New Roman"/>
              <w:sz w:val="24"/>
              <w:szCs w:val="24"/>
            </w:rPr>
            <w:t>62.</w:t>
          </w:r>
        </w:p>
        <w:p w14:paraId="71AD7B41" w14:textId="77777777" w:rsidR="002939F9" w:rsidRPr="00F719E2" w:rsidRDefault="002939F9" w:rsidP="00C6646B">
          <w:pPr>
            <w:spacing w:after="0" w:line="240" w:lineRule="auto"/>
            <w:rPr>
              <w:rFonts w:ascii="Garamond" w:hAnsi="Garamond" w:cs="Times New Roman"/>
              <w:sz w:val="24"/>
              <w:szCs w:val="24"/>
            </w:rPr>
          </w:pPr>
        </w:p>
        <w:p w14:paraId="2961EBDC" w14:textId="1FFE4BB7" w:rsidR="00BC47E4" w:rsidRPr="00F719E2" w:rsidRDefault="00BC47E4" w:rsidP="00C6646B">
          <w:pPr>
            <w:pStyle w:val="Bibliography"/>
            <w:ind w:left="720" w:hanging="720"/>
            <w:rPr>
              <w:rFonts w:ascii="Garamond" w:hAnsi="Garamond" w:cs="Times New Roman"/>
              <w:noProof/>
              <w:sz w:val="24"/>
              <w:szCs w:val="24"/>
            </w:rPr>
          </w:pPr>
          <w:r w:rsidRPr="00F719E2">
            <w:rPr>
              <w:rFonts w:ascii="Garamond" w:hAnsi="Garamond" w:cs="Times New Roman"/>
              <w:noProof/>
              <w:sz w:val="24"/>
              <w:szCs w:val="24"/>
            </w:rPr>
            <w:t>Hanushek, E</w:t>
          </w:r>
          <w:r w:rsidR="00536EBB" w:rsidRPr="00F719E2">
            <w:rPr>
              <w:rFonts w:ascii="Garamond" w:hAnsi="Garamond" w:cs="Times New Roman"/>
              <w:noProof/>
              <w:sz w:val="24"/>
              <w:szCs w:val="24"/>
            </w:rPr>
            <w:t>.</w:t>
          </w:r>
          <w:r w:rsidRPr="00F719E2">
            <w:rPr>
              <w:rFonts w:ascii="Garamond" w:hAnsi="Garamond" w:cs="Times New Roman"/>
              <w:noProof/>
              <w:sz w:val="24"/>
              <w:szCs w:val="24"/>
            </w:rPr>
            <w:t xml:space="preserve">, Kain, J., &amp; Rivkin, S. </w:t>
          </w:r>
          <w:r w:rsidR="0064010D">
            <w:rPr>
              <w:rFonts w:ascii="Garamond" w:hAnsi="Garamond" w:cs="Times New Roman"/>
              <w:noProof/>
              <w:sz w:val="24"/>
              <w:szCs w:val="24"/>
            </w:rPr>
            <w:t>(</w:t>
          </w:r>
          <w:r w:rsidRPr="00F719E2">
            <w:rPr>
              <w:rFonts w:ascii="Garamond" w:hAnsi="Garamond" w:cs="Times New Roman"/>
              <w:noProof/>
              <w:sz w:val="24"/>
              <w:szCs w:val="24"/>
            </w:rPr>
            <w:t>2004</w:t>
          </w:r>
          <w:r w:rsidR="0064010D">
            <w:rPr>
              <w:rFonts w:ascii="Garamond" w:hAnsi="Garamond" w:cs="Times New Roman"/>
              <w:noProof/>
              <w:sz w:val="24"/>
              <w:szCs w:val="24"/>
            </w:rPr>
            <w:t>)</w:t>
          </w:r>
          <w:r w:rsidRPr="00F719E2">
            <w:rPr>
              <w:rFonts w:ascii="Garamond" w:hAnsi="Garamond" w:cs="Times New Roman"/>
              <w:noProof/>
              <w:sz w:val="24"/>
              <w:szCs w:val="24"/>
            </w:rPr>
            <w:t xml:space="preserve">. Why </w:t>
          </w:r>
          <w:r w:rsidR="0064010D">
            <w:rPr>
              <w:rFonts w:ascii="Garamond" w:hAnsi="Garamond" w:cs="Times New Roman"/>
              <w:noProof/>
              <w:sz w:val="24"/>
              <w:szCs w:val="24"/>
            </w:rPr>
            <w:t>p</w:t>
          </w:r>
          <w:r w:rsidRPr="00F719E2">
            <w:rPr>
              <w:rFonts w:ascii="Garamond" w:hAnsi="Garamond" w:cs="Times New Roman"/>
              <w:noProof/>
              <w:sz w:val="24"/>
              <w:szCs w:val="24"/>
            </w:rPr>
            <w:t xml:space="preserve">ublic </w:t>
          </w:r>
          <w:r w:rsidR="0064010D">
            <w:rPr>
              <w:rFonts w:ascii="Garamond" w:hAnsi="Garamond" w:cs="Times New Roman"/>
              <w:noProof/>
              <w:sz w:val="24"/>
              <w:szCs w:val="24"/>
            </w:rPr>
            <w:t>s</w:t>
          </w:r>
          <w:r w:rsidRPr="00F719E2">
            <w:rPr>
              <w:rFonts w:ascii="Garamond" w:hAnsi="Garamond" w:cs="Times New Roman"/>
              <w:noProof/>
              <w:sz w:val="24"/>
              <w:szCs w:val="24"/>
            </w:rPr>
            <w:t xml:space="preserve">chools </w:t>
          </w:r>
          <w:r w:rsidR="0064010D">
            <w:rPr>
              <w:rFonts w:ascii="Garamond" w:hAnsi="Garamond" w:cs="Times New Roman"/>
              <w:noProof/>
              <w:sz w:val="24"/>
              <w:szCs w:val="24"/>
            </w:rPr>
            <w:t>l</w:t>
          </w:r>
          <w:r w:rsidRPr="00F719E2">
            <w:rPr>
              <w:rFonts w:ascii="Garamond" w:hAnsi="Garamond" w:cs="Times New Roman"/>
              <w:noProof/>
              <w:sz w:val="24"/>
              <w:szCs w:val="24"/>
            </w:rPr>
            <w:t xml:space="preserve">ose </w:t>
          </w:r>
          <w:r w:rsidR="0064010D">
            <w:rPr>
              <w:rFonts w:ascii="Garamond" w:hAnsi="Garamond" w:cs="Times New Roman"/>
              <w:noProof/>
              <w:sz w:val="24"/>
              <w:szCs w:val="24"/>
            </w:rPr>
            <w:t>t</w:t>
          </w:r>
          <w:r w:rsidRPr="00F719E2">
            <w:rPr>
              <w:rFonts w:ascii="Garamond" w:hAnsi="Garamond" w:cs="Times New Roman"/>
              <w:noProof/>
              <w:sz w:val="24"/>
              <w:szCs w:val="24"/>
            </w:rPr>
            <w:t>eacher</w:t>
          </w:r>
          <w:r w:rsidR="0064010D">
            <w:rPr>
              <w:rFonts w:ascii="Garamond" w:hAnsi="Garamond" w:cs="Times New Roman"/>
              <w:noProof/>
              <w:sz w:val="24"/>
              <w:szCs w:val="24"/>
            </w:rPr>
            <w:t>s</w:t>
          </w:r>
          <w:r w:rsidRPr="00F719E2">
            <w:rPr>
              <w:rFonts w:ascii="Garamond" w:hAnsi="Garamond" w:cs="Times New Roman"/>
              <w:noProof/>
              <w:sz w:val="24"/>
              <w:szCs w:val="24"/>
            </w:rPr>
            <w:t xml:space="preserve">. </w:t>
          </w:r>
          <w:r w:rsidRPr="00F719E2">
            <w:rPr>
              <w:rFonts w:ascii="Garamond" w:hAnsi="Garamond" w:cs="Times New Roman"/>
              <w:i/>
              <w:iCs/>
              <w:noProof/>
              <w:sz w:val="24"/>
              <w:szCs w:val="24"/>
            </w:rPr>
            <w:t>Journal of Human Resources</w:t>
          </w:r>
          <w:r w:rsidRPr="0064010D">
            <w:rPr>
              <w:rFonts w:ascii="Garamond" w:hAnsi="Garamond" w:cs="Times New Roman"/>
              <w:noProof/>
              <w:sz w:val="24"/>
              <w:szCs w:val="24"/>
            </w:rPr>
            <w:t>,</w:t>
          </w:r>
          <w:r w:rsidRPr="00F719E2">
            <w:rPr>
              <w:rFonts w:ascii="Garamond" w:hAnsi="Garamond" w:cs="Times New Roman"/>
              <w:i/>
              <w:iCs/>
              <w:noProof/>
              <w:sz w:val="24"/>
              <w:szCs w:val="24"/>
            </w:rPr>
            <w:t xml:space="preserve"> 39</w:t>
          </w:r>
          <w:r w:rsidRPr="00F719E2">
            <w:rPr>
              <w:rFonts w:ascii="Garamond" w:hAnsi="Garamond" w:cs="Times New Roman"/>
              <w:noProof/>
              <w:sz w:val="24"/>
              <w:szCs w:val="24"/>
            </w:rPr>
            <w:t>(2), 326-354.</w:t>
          </w:r>
        </w:p>
        <w:p w14:paraId="59BA160D" w14:textId="41F025F0" w:rsidR="00CA7E83" w:rsidRPr="00F719E2" w:rsidRDefault="00CA7E83" w:rsidP="00C6646B">
          <w:pPr>
            <w:spacing w:after="0" w:line="240" w:lineRule="auto"/>
            <w:ind w:left="720" w:hanging="720"/>
            <w:rPr>
              <w:rFonts w:ascii="Garamond" w:hAnsi="Garamond" w:cs="Times New Roman"/>
              <w:sz w:val="24"/>
              <w:szCs w:val="24"/>
            </w:rPr>
          </w:pPr>
          <w:r w:rsidRPr="00F719E2">
            <w:rPr>
              <w:rFonts w:ascii="Garamond" w:hAnsi="Garamond" w:cs="Times New Roman"/>
              <w:sz w:val="24"/>
              <w:szCs w:val="24"/>
            </w:rPr>
            <w:t xml:space="preserve">Ingersoll, R. </w:t>
          </w:r>
          <w:r w:rsidR="0064010D">
            <w:rPr>
              <w:rFonts w:ascii="Garamond" w:hAnsi="Garamond" w:cs="Times New Roman"/>
              <w:sz w:val="24"/>
              <w:szCs w:val="24"/>
            </w:rPr>
            <w:t>(</w:t>
          </w:r>
          <w:r w:rsidRPr="00F719E2">
            <w:rPr>
              <w:rFonts w:ascii="Garamond" w:hAnsi="Garamond" w:cs="Times New Roman"/>
              <w:sz w:val="24"/>
              <w:szCs w:val="24"/>
            </w:rPr>
            <w:t>2003</w:t>
          </w:r>
          <w:r w:rsidR="0064010D">
            <w:rPr>
              <w:rFonts w:ascii="Garamond" w:hAnsi="Garamond" w:cs="Times New Roman"/>
              <w:sz w:val="24"/>
              <w:szCs w:val="24"/>
            </w:rPr>
            <w:t>)</w:t>
          </w:r>
          <w:r w:rsidRPr="00F719E2">
            <w:rPr>
              <w:rFonts w:ascii="Garamond" w:hAnsi="Garamond" w:cs="Times New Roman"/>
              <w:sz w:val="24"/>
              <w:szCs w:val="24"/>
            </w:rPr>
            <w:t>. Is there really a teacher shortage? Philadelphia, PA: Consortium for Policy Research in Education, University of Pennsylvania.</w:t>
          </w:r>
        </w:p>
        <w:p w14:paraId="628D7AA1" w14:textId="77777777" w:rsidR="00CA7E83" w:rsidRPr="00F719E2" w:rsidRDefault="00CA7E83" w:rsidP="00C6646B">
          <w:pPr>
            <w:spacing w:after="0" w:line="240" w:lineRule="auto"/>
            <w:rPr>
              <w:rFonts w:ascii="Garamond" w:hAnsi="Garamond" w:cs="Times New Roman"/>
              <w:sz w:val="20"/>
              <w:szCs w:val="20"/>
            </w:rPr>
          </w:pPr>
        </w:p>
        <w:p w14:paraId="2CA21BC8" w14:textId="712A6EB0" w:rsidR="00BC47E4" w:rsidRPr="00F719E2" w:rsidRDefault="0064010D" w:rsidP="00C6646B">
          <w:pPr>
            <w:pStyle w:val="Bibliography"/>
            <w:ind w:left="720" w:hanging="720"/>
            <w:rPr>
              <w:rFonts w:ascii="Garamond" w:hAnsi="Garamond" w:cs="Times New Roman"/>
              <w:noProof/>
              <w:sz w:val="24"/>
              <w:szCs w:val="24"/>
            </w:rPr>
          </w:pPr>
          <w:r w:rsidRPr="00F719E2">
            <w:rPr>
              <w:rFonts w:ascii="Garamond" w:hAnsi="Garamond" w:cs="Times New Roman"/>
              <w:sz w:val="24"/>
              <w:szCs w:val="24"/>
            </w:rPr>
            <w:t xml:space="preserve">Ingersoll, R. </w:t>
          </w:r>
          <w:r>
            <w:rPr>
              <w:rFonts w:ascii="Garamond" w:hAnsi="Garamond" w:cs="Times New Roman"/>
              <w:sz w:val="24"/>
              <w:szCs w:val="24"/>
            </w:rPr>
            <w:t>(</w:t>
          </w:r>
          <w:r w:rsidR="00BC47E4" w:rsidRPr="00F719E2">
            <w:rPr>
              <w:rFonts w:ascii="Garamond" w:hAnsi="Garamond" w:cs="Times New Roman"/>
              <w:noProof/>
              <w:sz w:val="24"/>
              <w:szCs w:val="24"/>
            </w:rPr>
            <w:t>2004</w:t>
          </w:r>
          <w:r>
            <w:rPr>
              <w:rFonts w:ascii="Garamond" w:hAnsi="Garamond" w:cs="Times New Roman"/>
              <w:noProof/>
              <w:sz w:val="24"/>
              <w:szCs w:val="24"/>
            </w:rPr>
            <w:t>)</w:t>
          </w:r>
          <w:r w:rsidR="00BC47E4" w:rsidRPr="00F719E2">
            <w:rPr>
              <w:rFonts w:ascii="Garamond" w:hAnsi="Garamond" w:cs="Times New Roman"/>
              <w:noProof/>
              <w:sz w:val="24"/>
              <w:szCs w:val="24"/>
            </w:rPr>
            <w:t xml:space="preserve">. </w:t>
          </w:r>
          <w:r w:rsidR="00BC47E4" w:rsidRPr="00137162">
            <w:rPr>
              <w:rFonts w:ascii="Garamond" w:hAnsi="Garamond" w:cs="Times New Roman"/>
              <w:noProof/>
              <w:sz w:val="24"/>
              <w:szCs w:val="24"/>
            </w:rPr>
            <w:t xml:space="preserve">Why </w:t>
          </w:r>
          <w:r w:rsidRPr="00137162">
            <w:rPr>
              <w:rFonts w:ascii="Garamond" w:hAnsi="Garamond" w:cs="Times New Roman"/>
              <w:noProof/>
              <w:sz w:val="24"/>
              <w:szCs w:val="24"/>
            </w:rPr>
            <w:t>d</w:t>
          </w:r>
          <w:r w:rsidR="00BC47E4" w:rsidRPr="00137162">
            <w:rPr>
              <w:rFonts w:ascii="Garamond" w:hAnsi="Garamond" w:cs="Times New Roman"/>
              <w:noProof/>
              <w:sz w:val="24"/>
              <w:szCs w:val="24"/>
            </w:rPr>
            <w:t xml:space="preserve">o </w:t>
          </w:r>
          <w:r w:rsidRPr="00137162">
            <w:rPr>
              <w:rFonts w:ascii="Garamond" w:hAnsi="Garamond" w:cs="Times New Roman"/>
              <w:noProof/>
              <w:sz w:val="24"/>
              <w:szCs w:val="24"/>
            </w:rPr>
            <w:t>h</w:t>
          </w:r>
          <w:r w:rsidR="00BC47E4" w:rsidRPr="00137162">
            <w:rPr>
              <w:rFonts w:ascii="Garamond" w:hAnsi="Garamond" w:cs="Times New Roman"/>
              <w:noProof/>
              <w:sz w:val="24"/>
              <w:szCs w:val="24"/>
            </w:rPr>
            <w:t>igh-</w:t>
          </w:r>
          <w:r w:rsidRPr="00137162">
            <w:rPr>
              <w:rFonts w:ascii="Garamond" w:hAnsi="Garamond" w:cs="Times New Roman"/>
              <w:noProof/>
              <w:sz w:val="24"/>
              <w:szCs w:val="24"/>
            </w:rPr>
            <w:t>p</w:t>
          </w:r>
          <w:r w:rsidR="00BC47E4" w:rsidRPr="00137162">
            <w:rPr>
              <w:rFonts w:ascii="Garamond" w:hAnsi="Garamond" w:cs="Times New Roman"/>
              <w:noProof/>
              <w:sz w:val="24"/>
              <w:szCs w:val="24"/>
            </w:rPr>
            <w:t xml:space="preserve">overty </w:t>
          </w:r>
          <w:r w:rsidRPr="00137162">
            <w:rPr>
              <w:rFonts w:ascii="Garamond" w:hAnsi="Garamond" w:cs="Times New Roman"/>
              <w:noProof/>
              <w:sz w:val="24"/>
              <w:szCs w:val="24"/>
            </w:rPr>
            <w:t>s</w:t>
          </w:r>
          <w:r w:rsidR="00BC47E4" w:rsidRPr="00137162">
            <w:rPr>
              <w:rFonts w:ascii="Garamond" w:hAnsi="Garamond" w:cs="Times New Roman"/>
              <w:noProof/>
              <w:sz w:val="24"/>
              <w:szCs w:val="24"/>
            </w:rPr>
            <w:t xml:space="preserve">chools </w:t>
          </w:r>
          <w:r w:rsidRPr="00137162">
            <w:rPr>
              <w:rFonts w:ascii="Garamond" w:hAnsi="Garamond" w:cs="Times New Roman"/>
              <w:noProof/>
              <w:sz w:val="24"/>
              <w:szCs w:val="24"/>
            </w:rPr>
            <w:t>h</w:t>
          </w:r>
          <w:r w:rsidR="00BC47E4" w:rsidRPr="00137162">
            <w:rPr>
              <w:rFonts w:ascii="Garamond" w:hAnsi="Garamond" w:cs="Times New Roman"/>
              <w:noProof/>
              <w:sz w:val="24"/>
              <w:szCs w:val="24"/>
            </w:rPr>
            <w:t xml:space="preserve">ave </w:t>
          </w:r>
          <w:r w:rsidRPr="00137162">
            <w:rPr>
              <w:rFonts w:ascii="Garamond" w:hAnsi="Garamond" w:cs="Times New Roman"/>
              <w:noProof/>
              <w:sz w:val="24"/>
              <w:szCs w:val="24"/>
            </w:rPr>
            <w:t>d</w:t>
          </w:r>
          <w:r w:rsidR="00BC47E4" w:rsidRPr="00137162">
            <w:rPr>
              <w:rFonts w:ascii="Garamond" w:hAnsi="Garamond" w:cs="Times New Roman"/>
              <w:noProof/>
              <w:sz w:val="24"/>
              <w:szCs w:val="24"/>
            </w:rPr>
            <w:t xml:space="preserve">ifficulty </w:t>
          </w:r>
          <w:r w:rsidRPr="00137162">
            <w:rPr>
              <w:rFonts w:ascii="Garamond" w:hAnsi="Garamond" w:cs="Times New Roman"/>
              <w:noProof/>
              <w:sz w:val="24"/>
              <w:szCs w:val="24"/>
            </w:rPr>
            <w:t>s</w:t>
          </w:r>
          <w:r w:rsidR="00BC47E4" w:rsidRPr="00137162">
            <w:rPr>
              <w:rFonts w:ascii="Garamond" w:hAnsi="Garamond" w:cs="Times New Roman"/>
              <w:noProof/>
              <w:sz w:val="24"/>
              <w:szCs w:val="24"/>
            </w:rPr>
            <w:t xml:space="preserve">taffing </w:t>
          </w:r>
          <w:r w:rsidRPr="00137162">
            <w:rPr>
              <w:rFonts w:ascii="Garamond" w:hAnsi="Garamond" w:cs="Times New Roman"/>
              <w:noProof/>
              <w:sz w:val="24"/>
              <w:szCs w:val="24"/>
            </w:rPr>
            <w:t>t</w:t>
          </w:r>
          <w:r w:rsidR="00BC47E4" w:rsidRPr="00137162">
            <w:rPr>
              <w:rFonts w:ascii="Garamond" w:hAnsi="Garamond" w:cs="Times New Roman"/>
              <w:noProof/>
              <w:sz w:val="24"/>
              <w:szCs w:val="24"/>
            </w:rPr>
            <w:t xml:space="preserve">heir </w:t>
          </w:r>
          <w:r w:rsidRPr="00137162">
            <w:rPr>
              <w:rFonts w:ascii="Garamond" w:hAnsi="Garamond" w:cs="Times New Roman"/>
              <w:noProof/>
              <w:sz w:val="24"/>
              <w:szCs w:val="24"/>
            </w:rPr>
            <w:t>c</w:t>
          </w:r>
          <w:r w:rsidR="00BC47E4" w:rsidRPr="00137162">
            <w:rPr>
              <w:rFonts w:ascii="Garamond" w:hAnsi="Garamond" w:cs="Times New Roman"/>
              <w:noProof/>
              <w:sz w:val="24"/>
              <w:szCs w:val="24"/>
            </w:rPr>
            <w:t xml:space="preserve">lassroom with </w:t>
          </w:r>
          <w:r w:rsidRPr="00137162">
            <w:rPr>
              <w:rFonts w:ascii="Garamond" w:hAnsi="Garamond" w:cs="Times New Roman"/>
              <w:noProof/>
              <w:sz w:val="24"/>
              <w:szCs w:val="24"/>
            </w:rPr>
            <w:t>q</w:t>
          </w:r>
          <w:r w:rsidR="00BC47E4" w:rsidRPr="00137162">
            <w:rPr>
              <w:rFonts w:ascii="Garamond" w:hAnsi="Garamond" w:cs="Times New Roman"/>
              <w:noProof/>
              <w:sz w:val="24"/>
              <w:szCs w:val="24"/>
            </w:rPr>
            <w:t xml:space="preserve">ualified </w:t>
          </w:r>
          <w:r w:rsidRPr="00137162">
            <w:rPr>
              <w:rFonts w:ascii="Garamond" w:hAnsi="Garamond" w:cs="Times New Roman"/>
              <w:noProof/>
              <w:sz w:val="24"/>
              <w:szCs w:val="24"/>
            </w:rPr>
            <w:t>t</w:t>
          </w:r>
          <w:r w:rsidR="00BC47E4" w:rsidRPr="00137162">
            <w:rPr>
              <w:rFonts w:ascii="Garamond" w:hAnsi="Garamond" w:cs="Times New Roman"/>
              <w:noProof/>
              <w:sz w:val="24"/>
              <w:szCs w:val="24"/>
            </w:rPr>
            <w:t>eachers?</w:t>
          </w:r>
          <w:r w:rsidR="00BC47E4" w:rsidRPr="00F719E2">
            <w:rPr>
              <w:rFonts w:ascii="Garamond" w:hAnsi="Garamond" w:cs="Times New Roman"/>
              <w:noProof/>
              <w:sz w:val="24"/>
              <w:szCs w:val="24"/>
            </w:rPr>
            <w:t xml:space="preserve"> Renewing Our Schools, Securing Our Future - A National Task Force on Public Education</w:t>
          </w:r>
          <w:r w:rsidR="00137162">
            <w:rPr>
              <w:rFonts w:ascii="Garamond" w:hAnsi="Garamond" w:cs="Times New Roman"/>
              <w:noProof/>
              <w:sz w:val="24"/>
              <w:szCs w:val="24"/>
            </w:rPr>
            <w:t>.</w:t>
          </w:r>
          <w:r w:rsidR="00BC47E4" w:rsidRPr="00F719E2">
            <w:rPr>
              <w:rFonts w:ascii="Garamond" w:hAnsi="Garamond" w:cs="Times New Roman"/>
              <w:noProof/>
              <w:sz w:val="24"/>
              <w:szCs w:val="24"/>
            </w:rPr>
            <w:t xml:space="preserve"> Joint Initiative of the Center for American Progress and the Institute for America's Future.</w:t>
          </w:r>
        </w:p>
        <w:p w14:paraId="3B37C619" w14:textId="75B368AF" w:rsidR="00F16066" w:rsidRPr="00F719E2" w:rsidRDefault="00F16066" w:rsidP="00C6646B">
          <w:pPr>
            <w:ind w:left="720" w:hanging="720"/>
            <w:rPr>
              <w:rFonts w:ascii="Garamond" w:hAnsi="Garamond" w:cs="Times New Roman"/>
              <w:sz w:val="24"/>
              <w:szCs w:val="24"/>
            </w:rPr>
          </w:pPr>
          <w:r w:rsidRPr="00F719E2">
            <w:rPr>
              <w:rFonts w:ascii="Garamond" w:hAnsi="Garamond" w:cs="Times New Roman"/>
              <w:sz w:val="24"/>
              <w:szCs w:val="24"/>
            </w:rPr>
            <w:t xml:space="preserve">Kim, D., </w:t>
          </w:r>
          <w:proofErr w:type="spellStart"/>
          <w:r w:rsidRPr="00F719E2">
            <w:rPr>
              <w:rFonts w:ascii="Garamond" w:hAnsi="Garamond" w:cs="Times New Roman"/>
              <w:sz w:val="24"/>
              <w:szCs w:val="24"/>
            </w:rPr>
            <w:t>Koedel</w:t>
          </w:r>
          <w:proofErr w:type="spellEnd"/>
          <w:r w:rsidRPr="00F719E2">
            <w:rPr>
              <w:rFonts w:ascii="Garamond" w:hAnsi="Garamond" w:cs="Times New Roman"/>
              <w:sz w:val="24"/>
              <w:szCs w:val="24"/>
            </w:rPr>
            <w:t xml:space="preserve">, C., Kong, W., Ni, S., </w:t>
          </w:r>
          <w:proofErr w:type="spellStart"/>
          <w:r w:rsidRPr="00F719E2">
            <w:rPr>
              <w:rFonts w:ascii="Garamond" w:hAnsi="Garamond" w:cs="Times New Roman"/>
              <w:sz w:val="24"/>
              <w:szCs w:val="24"/>
            </w:rPr>
            <w:t>Podgursky</w:t>
          </w:r>
          <w:proofErr w:type="spellEnd"/>
          <w:r w:rsidRPr="00F719E2">
            <w:rPr>
              <w:rFonts w:ascii="Garamond" w:hAnsi="Garamond" w:cs="Times New Roman"/>
              <w:sz w:val="24"/>
              <w:szCs w:val="24"/>
            </w:rPr>
            <w:t>, M.</w:t>
          </w:r>
          <w:r w:rsidR="00536EBB" w:rsidRPr="00F719E2">
            <w:rPr>
              <w:rFonts w:ascii="Garamond" w:hAnsi="Garamond" w:cs="Times New Roman"/>
              <w:sz w:val="24"/>
              <w:szCs w:val="24"/>
            </w:rPr>
            <w:t>,</w:t>
          </w:r>
          <w:r w:rsidRPr="00F719E2">
            <w:rPr>
              <w:rFonts w:ascii="Garamond" w:hAnsi="Garamond" w:cs="Times New Roman"/>
              <w:sz w:val="24"/>
              <w:szCs w:val="24"/>
            </w:rPr>
            <w:t xml:space="preserve"> &amp; Wu, W. </w:t>
          </w:r>
          <w:r w:rsidR="0064010D">
            <w:rPr>
              <w:rFonts w:ascii="Garamond" w:hAnsi="Garamond" w:cs="Times New Roman"/>
              <w:sz w:val="24"/>
              <w:szCs w:val="24"/>
            </w:rPr>
            <w:t>(</w:t>
          </w:r>
          <w:r w:rsidRPr="00F719E2">
            <w:rPr>
              <w:rFonts w:ascii="Garamond" w:hAnsi="Garamond" w:cs="Times New Roman"/>
              <w:sz w:val="24"/>
              <w:szCs w:val="24"/>
            </w:rPr>
            <w:t>2021</w:t>
          </w:r>
          <w:r w:rsidR="0064010D">
            <w:rPr>
              <w:rFonts w:ascii="Garamond" w:hAnsi="Garamond" w:cs="Times New Roman"/>
              <w:sz w:val="24"/>
              <w:szCs w:val="24"/>
            </w:rPr>
            <w:t>)</w:t>
          </w:r>
          <w:r w:rsidRPr="00F719E2">
            <w:rPr>
              <w:rFonts w:ascii="Garamond" w:hAnsi="Garamond" w:cs="Times New Roman"/>
              <w:sz w:val="24"/>
              <w:szCs w:val="24"/>
            </w:rPr>
            <w:t xml:space="preserve">. Pensions and </w:t>
          </w:r>
          <w:r w:rsidR="0064010D">
            <w:rPr>
              <w:rFonts w:ascii="Garamond" w:hAnsi="Garamond" w:cs="Times New Roman"/>
              <w:sz w:val="24"/>
              <w:szCs w:val="24"/>
            </w:rPr>
            <w:t>l</w:t>
          </w:r>
          <w:r w:rsidRPr="00F719E2">
            <w:rPr>
              <w:rFonts w:ascii="Garamond" w:hAnsi="Garamond" w:cs="Times New Roman"/>
              <w:sz w:val="24"/>
              <w:szCs w:val="24"/>
            </w:rPr>
            <w:t>ate-</w:t>
          </w:r>
          <w:r w:rsidR="0064010D">
            <w:rPr>
              <w:rFonts w:ascii="Garamond" w:hAnsi="Garamond" w:cs="Times New Roman"/>
              <w:sz w:val="24"/>
              <w:szCs w:val="24"/>
            </w:rPr>
            <w:t>c</w:t>
          </w:r>
          <w:r w:rsidRPr="00F719E2">
            <w:rPr>
              <w:rFonts w:ascii="Garamond" w:hAnsi="Garamond" w:cs="Times New Roman"/>
              <w:sz w:val="24"/>
              <w:szCs w:val="24"/>
            </w:rPr>
            <w:t xml:space="preserve">areer </w:t>
          </w:r>
          <w:r w:rsidR="0064010D">
            <w:rPr>
              <w:rFonts w:ascii="Garamond" w:hAnsi="Garamond" w:cs="Times New Roman"/>
              <w:sz w:val="24"/>
              <w:szCs w:val="24"/>
            </w:rPr>
            <w:t>t</w:t>
          </w:r>
          <w:r w:rsidRPr="00F719E2">
            <w:rPr>
              <w:rFonts w:ascii="Garamond" w:hAnsi="Garamond" w:cs="Times New Roman"/>
              <w:sz w:val="24"/>
              <w:szCs w:val="24"/>
            </w:rPr>
            <w:t xml:space="preserve">eacher </w:t>
          </w:r>
          <w:r w:rsidR="0064010D">
            <w:rPr>
              <w:rFonts w:ascii="Garamond" w:hAnsi="Garamond" w:cs="Times New Roman"/>
              <w:sz w:val="24"/>
              <w:szCs w:val="24"/>
            </w:rPr>
            <w:t>r</w:t>
          </w:r>
          <w:r w:rsidRPr="00F719E2">
            <w:rPr>
              <w:rFonts w:ascii="Garamond" w:hAnsi="Garamond" w:cs="Times New Roman"/>
              <w:sz w:val="24"/>
              <w:szCs w:val="24"/>
            </w:rPr>
            <w:t xml:space="preserve">etention. </w:t>
          </w:r>
          <w:r w:rsidRPr="00F719E2">
            <w:rPr>
              <w:rFonts w:ascii="Garamond" w:hAnsi="Garamond" w:cs="Times New Roman"/>
              <w:i/>
              <w:iCs/>
              <w:sz w:val="24"/>
              <w:szCs w:val="24"/>
            </w:rPr>
            <w:t>Education Finance and Policy</w:t>
          </w:r>
          <w:r w:rsidRPr="0064010D">
            <w:rPr>
              <w:rFonts w:ascii="Garamond" w:hAnsi="Garamond" w:cs="Times New Roman"/>
              <w:sz w:val="24"/>
              <w:szCs w:val="24"/>
            </w:rPr>
            <w:t>,</w:t>
          </w:r>
          <w:r w:rsidRPr="00F719E2">
            <w:rPr>
              <w:rFonts w:ascii="Garamond" w:hAnsi="Garamond" w:cs="Times New Roman"/>
              <w:i/>
              <w:iCs/>
              <w:sz w:val="24"/>
              <w:szCs w:val="24"/>
            </w:rPr>
            <w:t xml:space="preserve"> 16</w:t>
          </w:r>
          <w:r w:rsidRPr="00F719E2">
            <w:rPr>
              <w:rFonts w:ascii="Garamond" w:hAnsi="Garamond" w:cs="Times New Roman"/>
              <w:sz w:val="24"/>
              <w:szCs w:val="24"/>
            </w:rPr>
            <w:t>(1), 42-65.</w:t>
          </w:r>
        </w:p>
        <w:p w14:paraId="62109EB9" w14:textId="1457E9BC" w:rsidR="00BC47E4" w:rsidRPr="00F719E2" w:rsidRDefault="00BC47E4" w:rsidP="00C6646B">
          <w:pPr>
            <w:pStyle w:val="Bibliography"/>
            <w:ind w:left="720" w:hanging="720"/>
            <w:rPr>
              <w:rFonts w:ascii="Garamond" w:hAnsi="Garamond" w:cs="Times New Roman"/>
              <w:noProof/>
              <w:sz w:val="24"/>
              <w:szCs w:val="24"/>
            </w:rPr>
          </w:pPr>
          <w:r w:rsidRPr="00F719E2">
            <w:rPr>
              <w:rFonts w:ascii="Garamond" w:hAnsi="Garamond" w:cs="Times New Roman"/>
              <w:noProof/>
              <w:sz w:val="24"/>
              <w:szCs w:val="24"/>
            </w:rPr>
            <w:t xml:space="preserve">Lankford, H., Loeb, S., &amp; Wyckoff, J. </w:t>
          </w:r>
          <w:r w:rsidR="0064010D">
            <w:rPr>
              <w:rFonts w:ascii="Garamond" w:hAnsi="Garamond" w:cs="Times New Roman"/>
              <w:noProof/>
              <w:sz w:val="24"/>
              <w:szCs w:val="24"/>
            </w:rPr>
            <w:t>(</w:t>
          </w:r>
          <w:r w:rsidRPr="00F719E2">
            <w:rPr>
              <w:rFonts w:ascii="Garamond" w:hAnsi="Garamond" w:cs="Times New Roman"/>
              <w:noProof/>
              <w:sz w:val="24"/>
              <w:szCs w:val="24"/>
            </w:rPr>
            <w:t>2002</w:t>
          </w:r>
          <w:r w:rsidR="0064010D">
            <w:rPr>
              <w:rFonts w:ascii="Garamond" w:hAnsi="Garamond" w:cs="Times New Roman"/>
              <w:noProof/>
              <w:sz w:val="24"/>
              <w:szCs w:val="24"/>
            </w:rPr>
            <w:t>)</w:t>
          </w:r>
          <w:r w:rsidRPr="00F719E2">
            <w:rPr>
              <w:rFonts w:ascii="Garamond" w:hAnsi="Garamond" w:cs="Times New Roman"/>
              <w:noProof/>
              <w:sz w:val="24"/>
              <w:szCs w:val="24"/>
            </w:rPr>
            <w:t xml:space="preserve">. Teacher </w:t>
          </w:r>
          <w:r w:rsidR="0064010D">
            <w:rPr>
              <w:rFonts w:ascii="Garamond" w:hAnsi="Garamond" w:cs="Times New Roman"/>
              <w:noProof/>
              <w:sz w:val="24"/>
              <w:szCs w:val="24"/>
            </w:rPr>
            <w:t>s</w:t>
          </w:r>
          <w:r w:rsidRPr="00F719E2">
            <w:rPr>
              <w:rFonts w:ascii="Garamond" w:hAnsi="Garamond" w:cs="Times New Roman"/>
              <w:noProof/>
              <w:sz w:val="24"/>
              <w:szCs w:val="24"/>
            </w:rPr>
            <w:t xml:space="preserve">orting and the </w:t>
          </w:r>
          <w:r w:rsidR="0064010D">
            <w:rPr>
              <w:rFonts w:ascii="Garamond" w:hAnsi="Garamond" w:cs="Times New Roman"/>
              <w:noProof/>
              <w:sz w:val="24"/>
              <w:szCs w:val="24"/>
            </w:rPr>
            <w:t>p</w:t>
          </w:r>
          <w:r w:rsidRPr="00F719E2">
            <w:rPr>
              <w:rFonts w:ascii="Garamond" w:hAnsi="Garamond" w:cs="Times New Roman"/>
              <w:noProof/>
              <w:sz w:val="24"/>
              <w:szCs w:val="24"/>
            </w:rPr>
            <w:t xml:space="preserve">light of </w:t>
          </w:r>
          <w:r w:rsidR="0064010D">
            <w:rPr>
              <w:rFonts w:ascii="Garamond" w:hAnsi="Garamond" w:cs="Times New Roman"/>
              <w:noProof/>
              <w:sz w:val="24"/>
              <w:szCs w:val="24"/>
            </w:rPr>
            <w:t>u</w:t>
          </w:r>
          <w:r w:rsidRPr="00F719E2">
            <w:rPr>
              <w:rFonts w:ascii="Garamond" w:hAnsi="Garamond" w:cs="Times New Roman"/>
              <w:noProof/>
              <w:sz w:val="24"/>
              <w:szCs w:val="24"/>
            </w:rPr>
            <w:t xml:space="preserve">rban </w:t>
          </w:r>
          <w:r w:rsidR="0064010D">
            <w:rPr>
              <w:rFonts w:ascii="Garamond" w:hAnsi="Garamond" w:cs="Times New Roman"/>
              <w:noProof/>
              <w:sz w:val="24"/>
              <w:szCs w:val="24"/>
            </w:rPr>
            <w:t>s</w:t>
          </w:r>
          <w:r w:rsidRPr="00F719E2">
            <w:rPr>
              <w:rFonts w:ascii="Garamond" w:hAnsi="Garamond" w:cs="Times New Roman"/>
              <w:noProof/>
              <w:sz w:val="24"/>
              <w:szCs w:val="24"/>
            </w:rPr>
            <w:t xml:space="preserve">chools: A </w:t>
          </w:r>
          <w:r w:rsidR="0064010D">
            <w:rPr>
              <w:rFonts w:ascii="Garamond" w:hAnsi="Garamond" w:cs="Times New Roman"/>
              <w:noProof/>
              <w:sz w:val="24"/>
              <w:szCs w:val="24"/>
            </w:rPr>
            <w:t>d</w:t>
          </w:r>
          <w:r w:rsidRPr="00F719E2">
            <w:rPr>
              <w:rFonts w:ascii="Garamond" w:hAnsi="Garamond" w:cs="Times New Roman"/>
              <w:noProof/>
              <w:sz w:val="24"/>
              <w:szCs w:val="24"/>
            </w:rPr>
            <w:t xml:space="preserve">escriptive </w:t>
          </w:r>
          <w:r w:rsidR="0064010D">
            <w:rPr>
              <w:rFonts w:ascii="Garamond" w:hAnsi="Garamond" w:cs="Times New Roman"/>
              <w:noProof/>
              <w:sz w:val="24"/>
              <w:szCs w:val="24"/>
            </w:rPr>
            <w:t>a</w:t>
          </w:r>
          <w:r w:rsidRPr="00F719E2">
            <w:rPr>
              <w:rFonts w:ascii="Garamond" w:hAnsi="Garamond" w:cs="Times New Roman"/>
              <w:noProof/>
              <w:sz w:val="24"/>
              <w:szCs w:val="24"/>
            </w:rPr>
            <w:t xml:space="preserve">nalysis. </w:t>
          </w:r>
          <w:r w:rsidRPr="00F719E2">
            <w:rPr>
              <w:rFonts w:ascii="Garamond" w:hAnsi="Garamond" w:cs="Times New Roman"/>
              <w:i/>
              <w:iCs/>
              <w:noProof/>
              <w:sz w:val="24"/>
              <w:szCs w:val="24"/>
            </w:rPr>
            <w:t>Educational Evaluation and Policy Analysis</w:t>
          </w:r>
          <w:r w:rsidRPr="0064010D">
            <w:rPr>
              <w:rFonts w:ascii="Garamond" w:hAnsi="Garamond" w:cs="Times New Roman"/>
              <w:noProof/>
              <w:sz w:val="24"/>
              <w:szCs w:val="24"/>
            </w:rPr>
            <w:t>,</w:t>
          </w:r>
          <w:r w:rsidRPr="00F719E2">
            <w:rPr>
              <w:rFonts w:ascii="Garamond" w:hAnsi="Garamond" w:cs="Times New Roman"/>
              <w:i/>
              <w:iCs/>
              <w:noProof/>
              <w:sz w:val="24"/>
              <w:szCs w:val="24"/>
            </w:rPr>
            <w:t xml:space="preserve"> 24</w:t>
          </w:r>
          <w:r w:rsidRPr="00F719E2">
            <w:rPr>
              <w:rFonts w:ascii="Garamond" w:hAnsi="Garamond" w:cs="Times New Roman"/>
              <w:noProof/>
              <w:sz w:val="24"/>
              <w:szCs w:val="24"/>
            </w:rPr>
            <w:t>(1), 37-62.</w:t>
          </w:r>
        </w:p>
        <w:p w14:paraId="37CAC853" w14:textId="223E8B34" w:rsidR="00182B3A" w:rsidRPr="00F719E2" w:rsidRDefault="00182B3A" w:rsidP="00C6646B">
          <w:pPr>
            <w:ind w:left="720" w:hanging="720"/>
            <w:rPr>
              <w:rFonts w:ascii="Garamond" w:hAnsi="Garamond" w:cs="Times New Roman"/>
              <w:sz w:val="24"/>
              <w:szCs w:val="24"/>
            </w:rPr>
          </w:pPr>
          <w:r w:rsidRPr="00F719E2">
            <w:rPr>
              <w:rFonts w:ascii="Garamond" w:hAnsi="Garamond" w:cs="Times New Roman"/>
              <w:sz w:val="24"/>
              <w:szCs w:val="24"/>
            </w:rPr>
            <w:t xml:space="preserve">Morgan, A., Nguyen, M., </w:t>
          </w:r>
          <w:r w:rsidR="007446E2" w:rsidRPr="00F719E2">
            <w:rPr>
              <w:rFonts w:ascii="Garamond" w:hAnsi="Garamond" w:cs="Times New Roman"/>
              <w:sz w:val="24"/>
              <w:szCs w:val="24"/>
            </w:rPr>
            <w:t xml:space="preserve">Hanushek, E., Ost, B., &amp; Rivkin, S. </w:t>
          </w:r>
          <w:r w:rsidR="0064010D">
            <w:rPr>
              <w:rFonts w:ascii="Garamond" w:hAnsi="Garamond" w:cs="Times New Roman"/>
              <w:sz w:val="24"/>
              <w:szCs w:val="24"/>
            </w:rPr>
            <w:t>(</w:t>
          </w:r>
          <w:r w:rsidR="00532C4A" w:rsidRPr="00F719E2">
            <w:rPr>
              <w:rFonts w:ascii="Garamond" w:hAnsi="Garamond" w:cs="Times New Roman"/>
              <w:sz w:val="24"/>
              <w:szCs w:val="24"/>
            </w:rPr>
            <w:t>2023</w:t>
          </w:r>
          <w:r w:rsidR="0064010D">
            <w:rPr>
              <w:rFonts w:ascii="Garamond" w:hAnsi="Garamond" w:cs="Times New Roman"/>
              <w:sz w:val="24"/>
              <w:szCs w:val="24"/>
            </w:rPr>
            <w:t>)</w:t>
          </w:r>
          <w:r w:rsidR="00532C4A" w:rsidRPr="00F719E2">
            <w:rPr>
              <w:rFonts w:ascii="Garamond" w:hAnsi="Garamond" w:cs="Times New Roman"/>
              <w:sz w:val="24"/>
              <w:szCs w:val="24"/>
            </w:rPr>
            <w:t xml:space="preserve">. Attracting and </w:t>
          </w:r>
          <w:r w:rsidR="0064010D">
            <w:rPr>
              <w:rFonts w:ascii="Garamond" w:hAnsi="Garamond" w:cs="Times New Roman"/>
              <w:sz w:val="24"/>
              <w:szCs w:val="24"/>
            </w:rPr>
            <w:t>r</w:t>
          </w:r>
          <w:r w:rsidR="00532C4A" w:rsidRPr="00F719E2">
            <w:rPr>
              <w:rFonts w:ascii="Garamond" w:hAnsi="Garamond" w:cs="Times New Roman"/>
              <w:sz w:val="24"/>
              <w:szCs w:val="24"/>
            </w:rPr>
            <w:t xml:space="preserve">etaining </w:t>
          </w:r>
          <w:r w:rsidR="0064010D">
            <w:rPr>
              <w:rFonts w:ascii="Garamond" w:hAnsi="Garamond" w:cs="Times New Roman"/>
              <w:sz w:val="24"/>
              <w:szCs w:val="24"/>
            </w:rPr>
            <w:t>h</w:t>
          </w:r>
          <w:r w:rsidR="00532C4A" w:rsidRPr="00F719E2">
            <w:rPr>
              <w:rFonts w:ascii="Garamond" w:hAnsi="Garamond" w:cs="Times New Roman"/>
              <w:sz w:val="24"/>
              <w:szCs w:val="24"/>
            </w:rPr>
            <w:t xml:space="preserve">ighly </w:t>
          </w:r>
          <w:r w:rsidR="0064010D">
            <w:rPr>
              <w:rFonts w:ascii="Garamond" w:hAnsi="Garamond" w:cs="Times New Roman"/>
              <w:sz w:val="24"/>
              <w:szCs w:val="24"/>
            </w:rPr>
            <w:t>e</w:t>
          </w:r>
          <w:r w:rsidR="00532C4A" w:rsidRPr="00F719E2">
            <w:rPr>
              <w:rFonts w:ascii="Garamond" w:hAnsi="Garamond" w:cs="Times New Roman"/>
              <w:sz w:val="24"/>
              <w:szCs w:val="24"/>
            </w:rPr>
            <w:t xml:space="preserve">ffective </w:t>
          </w:r>
          <w:r w:rsidR="0064010D">
            <w:rPr>
              <w:rFonts w:ascii="Garamond" w:hAnsi="Garamond" w:cs="Times New Roman"/>
              <w:sz w:val="24"/>
              <w:szCs w:val="24"/>
            </w:rPr>
            <w:t>e</w:t>
          </w:r>
          <w:r w:rsidR="000252CB" w:rsidRPr="00F719E2">
            <w:rPr>
              <w:rFonts w:ascii="Garamond" w:hAnsi="Garamond" w:cs="Times New Roman"/>
              <w:sz w:val="24"/>
              <w:szCs w:val="24"/>
            </w:rPr>
            <w:t xml:space="preserve">ducators in </w:t>
          </w:r>
          <w:r w:rsidR="0064010D">
            <w:rPr>
              <w:rFonts w:ascii="Garamond" w:hAnsi="Garamond" w:cs="Times New Roman"/>
              <w:sz w:val="24"/>
              <w:szCs w:val="24"/>
            </w:rPr>
            <w:t>h</w:t>
          </w:r>
          <w:r w:rsidR="000252CB" w:rsidRPr="00F719E2">
            <w:rPr>
              <w:rFonts w:ascii="Garamond" w:hAnsi="Garamond" w:cs="Times New Roman"/>
              <w:sz w:val="24"/>
              <w:szCs w:val="24"/>
            </w:rPr>
            <w:t>ard-to-</w:t>
          </w:r>
          <w:r w:rsidR="0064010D">
            <w:rPr>
              <w:rFonts w:ascii="Garamond" w:hAnsi="Garamond" w:cs="Times New Roman"/>
              <w:sz w:val="24"/>
              <w:szCs w:val="24"/>
            </w:rPr>
            <w:t>s</w:t>
          </w:r>
          <w:r w:rsidR="000252CB" w:rsidRPr="00F719E2">
            <w:rPr>
              <w:rFonts w:ascii="Garamond" w:hAnsi="Garamond" w:cs="Times New Roman"/>
              <w:sz w:val="24"/>
              <w:szCs w:val="24"/>
            </w:rPr>
            <w:t xml:space="preserve">taff </w:t>
          </w:r>
          <w:r w:rsidR="0064010D">
            <w:rPr>
              <w:rFonts w:ascii="Garamond" w:hAnsi="Garamond" w:cs="Times New Roman"/>
              <w:sz w:val="24"/>
              <w:szCs w:val="24"/>
            </w:rPr>
            <w:t>s</w:t>
          </w:r>
          <w:r w:rsidR="000252CB" w:rsidRPr="00F719E2">
            <w:rPr>
              <w:rFonts w:ascii="Garamond" w:hAnsi="Garamond" w:cs="Times New Roman"/>
              <w:sz w:val="24"/>
              <w:szCs w:val="24"/>
            </w:rPr>
            <w:t xml:space="preserve">chools. </w:t>
          </w:r>
          <w:r w:rsidR="00C8698C" w:rsidRPr="00F719E2">
            <w:rPr>
              <w:rFonts w:ascii="Garamond" w:hAnsi="Garamond" w:cs="Times New Roman"/>
              <w:sz w:val="24"/>
              <w:szCs w:val="24"/>
            </w:rPr>
            <w:t>CALDER Working Paper No. 280-0323.</w:t>
          </w:r>
        </w:p>
        <w:p w14:paraId="7776DD72" w14:textId="31575609" w:rsidR="00B92074" w:rsidRPr="00F719E2" w:rsidRDefault="00B92074" w:rsidP="00C6646B">
          <w:pPr>
            <w:ind w:left="720" w:hanging="720"/>
            <w:rPr>
              <w:rFonts w:ascii="Garamond" w:hAnsi="Garamond" w:cs="Times New Roman"/>
              <w:sz w:val="24"/>
              <w:szCs w:val="24"/>
            </w:rPr>
          </w:pPr>
          <w:r w:rsidRPr="00F719E2">
            <w:rPr>
              <w:rFonts w:ascii="Garamond" w:hAnsi="Garamond" w:cs="Times New Roman"/>
              <w:sz w:val="24"/>
              <w:szCs w:val="24"/>
            </w:rPr>
            <w:t xml:space="preserve">National Center for Education Statistics. </w:t>
          </w:r>
          <w:r w:rsidR="0064010D">
            <w:rPr>
              <w:rFonts w:ascii="Garamond" w:hAnsi="Garamond" w:cs="Times New Roman"/>
              <w:sz w:val="24"/>
              <w:szCs w:val="24"/>
            </w:rPr>
            <w:t>(</w:t>
          </w:r>
          <w:r w:rsidR="00F220C4" w:rsidRPr="00F719E2">
            <w:rPr>
              <w:rFonts w:ascii="Garamond" w:hAnsi="Garamond" w:cs="Times New Roman"/>
              <w:sz w:val="24"/>
              <w:szCs w:val="24"/>
            </w:rPr>
            <w:t>2022</w:t>
          </w:r>
          <w:r w:rsidR="0064010D">
            <w:rPr>
              <w:rFonts w:ascii="Garamond" w:hAnsi="Garamond" w:cs="Times New Roman"/>
              <w:sz w:val="24"/>
              <w:szCs w:val="24"/>
            </w:rPr>
            <w:t>)</w:t>
          </w:r>
          <w:r w:rsidR="00F220C4" w:rsidRPr="00F719E2">
            <w:rPr>
              <w:rFonts w:ascii="Garamond" w:hAnsi="Garamond" w:cs="Times New Roman"/>
              <w:sz w:val="24"/>
              <w:szCs w:val="24"/>
            </w:rPr>
            <w:t xml:space="preserve">. </w:t>
          </w:r>
          <w:r w:rsidRPr="00833126">
            <w:rPr>
              <w:rFonts w:ascii="Garamond" w:hAnsi="Garamond" w:cs="Times New Roman"/>
              <w:i/>
              <w:iCs/>
              <w:sz w:val="24"/>
              <w:szCs w:val="24"/>
            </w:rPr>
            <w:t>Forty-</w:t>
          </w:r>
          <w:r w:rsidR="0064010D" w:rsidRPr="00833126">
            <w:rPr>
              <w:rFonts w:ascii="Garamond" w:hAnsi="Garamond" w:cs="Times New Roman"/>
              <w:i/>
              <w:iCs/>
              <w:sz w:val="24"/>
              <w:szCs w:val="24"/>
            </w:rPr>
            <w:t>f</w:t>
          </w:r>
          <w:r w:rsidRPr="00833126">
            <w:rPr>
              <w:rFonts w:ascii="Garamond" w:hAnsi="Garamond" w:cs="Times New Roman"/>
              <w:i/>
              <w:iCs/>
              <w:sz w:val="24"/>
              <w:szCs w:val="24"/>
            </w:rPr>
            <w:t xml:space="preserve">ive </w:t>
          </w:r>
          <w:r w:rsidR="00747533" w:rsidRPr="00833126">
            <w:rPr>
              <w:rFonts w:ascii="Garamond" w:hAnsi="Garamond" w:cs="Times New Roman"/>
              <w:i/>
              <w:iCs/>
              <w:sz w:val="24"/>
              <w:szCs w:val="24"/>
            </w:rPr>
            <w:t>p</w:t>
          </w:r>
          <w:r w:rsidRPr="00833126">
            <w:rPr>
              <w:rFonts w:ascii="Garamond" w:hAnsi="Garamond" w:cs="Times New Roman"/>
              <w:i/>
              <w:iCs/>
              <w:sz w:val="24"/>
              <w:szCs w:val="24"/>
            </w:rPr>
            <w:t xml:space="preserve">ercent of </w:t>
          </w:r>
          <w:r w:rsidR="00747533" w:rsidRPr="00833126">
            <w:rPr>
              <w:rFonts w:ascii="Garamond" w:hAnsi="Garamond" w:cs="Times New Roman"/>
              <w:i/>
              <w:iCs/>
              <w:sz w:val="24"/>
              <w:szCs w:val="24"/>
            </w:rPr>
            <w:t>p</w:t>
          </w:r>
          <w:r w:rsidRPr="00833126">
            <w:rPr>
              <w:rFonts w:ascii="Garamond" w:hAnsi="Garamond" w:cs="Times New Roman"/>
              <w:i/>
              <w:iCs/>
              <w:sz w:val="24"/>
              <w:szCs w:val="24"/>
            </w:rPr>
            <w:t xml:space="preserve">ublic </w:t>
          </w:r>
          <w:r w:rsidR="00747533" w:rsidRPr="00833126">
            <w:rPr>
              <w:rFonts w:ascii="Garamond" w:hAnsi="Garamond" w:cs="Times New Roman"/>
              <w:i/>
              <w:iCs/>
              <w:sz w:val="24"/>
              <w:szCs w:val="24"/>
            </w:rPr>
            <w:t>s</w:t>
          </w:r>
          <w:r w:rsidRPr="00833126">
            <w:rPr>
              <w:rFonts w:ascii="Garamond" w:hAnsi="Garamond" w:cs="Times New Roman"/>
              <w:i/>
              <w:iCs/>
              <w:sz w:val="24"/>
              <w:szCs w:val="24"/>
            </w:rPr>
            <w:t xml:space="preserve">chools </w:t>
          </w:r>
          <w:r w:rsidR="00747533" w:rsidRPr="00833126">
            <w:rPr>
              <w:rFonts w:ascii="Garamond" w:hAnsi="Garamond" w:cs="Times New Roman"/>
              <w:i/>
              <w:iCs/>
              <w:sz w:val="24"/>
              <w:szCs w:val="24"/>
            </w:rPr>
            <w:t>o</w:t>
          </w:r>
          <w:r w:rsidRPr="00833126">
            <w:rPr>
              <w:rFonts w:ascii="Garamond" w:hAnsi="Garamond" w:cs="Times New Roman"/>
              <w:i/>
              <w:iCs/>
              <w:sz w:val="24"/>
              <w:szCs w:val="24"/>
            </w:rPr>
            <w:t xml:space="preserve">perating </w:t>
          </w:r>
          <w:r w:rsidR="00747533" w:rsidRPr="00833126">
            <w:rPr>
              <w:rFonts w:ascii="Garamond" w:hAnsi="Garamond" w:cs="Times New Roman"/>
              <w:i/>
              <w:iCs/>
              <w:sz w:val="24"/>
              <w:szCs w:val="24"/>
            </w:rPr>
            <w:t>w</w:t>
          </w:r>
          <w:r w:rsidRPr="00833126">
            <w:rPr>
              <w:rFonts w:ascii="Garamond" w:hAnsi="Garamond" w:cs="Times New Roman"/>
              <w:i/>
              <w:iCs/>
              <w:sz w:val="24"/>
              <w:szCs w:val="24"/>
            </w:rPr>
            <w:t xml:space="preserve">ithout a </w:t>
          </w:r>
          <w:r w:rsidR="00747533" w:rsidRPr="00833126">
            <w:rPr>
              <w:rFonts w:ascii="Garamond" w:hAnsi="Garamond" w:cs="Times New Roman"/>
              <w:i/>
              <w:iCs/>
              <w:sz w:val="24"/>
              <w:szCs w:val="24"/>
            </w:rPr>
            <w:t>f</w:t>
          </w:r>
          <w:r w:rsidRPr="00833126">
            <w:rPr>
              <w:rFonts w:ascii="Garamond" w:hAnsi="Garamond" w:cs="Times New Roman"/>
              <w:i/>
              <w:iCs/>
              <w:sz w:val="24"/>
              <w:szCs w:val="24"/>
            </w:rPr>
            <w:t xml:space="preserve">ull </w:t>
          </w:r>
          <w:r w:rsidR="00747533" w:rsidRPr="00833126">
            <w:rPr>
              <w:rFonts w:ascii="Garamond" w:hAnsi="Garamond" w:cs="Times New Roman"/>
              <w:i/>
              <w:iCs/>
              <w:sz w:val="24"/>
              <w:szCs w:val="24"/>
            </w:rPr>
            <w:t>t</w:t>
          </w:r>
          <w:r w:rsidRPr="00833126">
            <w:rPr>
              <w:rFonts w:ascii="Garamond" w:hAnsi="Garamond" w:cs="Times New Roman"/>
              <w:i/>
              <w:iCs/>
              <w:sz w:val="24"/>
              <w:szCs w:val="24"/>
            </w:rPr>
            <w:t xml:space="preserve">eaching </w:t>
          </w:r>
          <w:r w:rsidR="00747533" w:rsidRPr="00833126">
            <w:rPr>
              <w:rFonts w:ascii="Garamond" w:hAnsi="Garamond" w:cs="Times New Roman"/>
              <w:i/>
              <w:iCs/>
              <w:sz w:val="24"/>
              <w:szCs w:val="24"/>
            </w:rPr>
            <w:t>s</w:t>
          </w:r>
          <w:r w:rsidRPr="00833126">
            <w:rPr>
              <w:rFonts w:ascii="Garamond" w:hAnsi="Garamond" w:cs="Times New Roman"/>
              <w:i/>
              <w:iCs/>
              <w:sz w:val="24"/>
              <w:szCs w:val="24"/>
            </w:rPr>
            <w:t xml:space="preserve">taff in October, </w:t>
          </w:r>
          <w:r w:rsidR="00747533" w:rsidRPr="00833126">
            <w:rPr>
              <w:rFonts w:ascii="Garamond" w:hAnsi="Garamond" w:cs="Times New Roman"/>
              <w:i/>
              <w:iCs/>
              <w:sz w:val="24"/>
              <w:szCs w:val="24"/>
            </w:rPr>
            <w:t>n</w:t>
          </w:r>
          <w:r w:rsidRPr="00833126">
            <w:rPr>
              <w:rFonts w:ascii="Garamond" w:hAnsi="Garamond" w:cs="Times New Roman"/>
              <w:i/>
              <w:iCs/>
              <w:sz w:val="24"/>
              <w:szCs w:val="24"/>
            </w:rPr>
            <w:t xml:space="preserve">ew NCES </w:t>
          </w:r>
          <w:r w:rsidR="00747533" w:rsidRPr="00833126">
            <w:rPr>
              <w:rFonts w:ascii="Garamond" w:hAnsi="Garamond" w:cs="Times New Roman"/>
              <w:i/>
              <w:iCs/>
              <w:sz w:val="24"/>
              <w:szCs w:val="24"/>
            </w:rPr>
            <w:t>d</w:t>
          </w:r>
          <w:r w:rsidRPr="00833126">
            <w:rPr>
              <w:rFonts w:ascii="Garamond" w:hAnsi="Garamond" w:cs="Times New Roman"/>
              <w:i/>
              <w:iCs/>
              <w:sz w:val="24"/>
              <w:szCs w:val="24"/>
            </w:rPr>
            <w:t xml:space="preserve">ata </w:t>
          </w:r>
          <w:r w:rsidR="00747533" w:rsidRPr="00833126">
            <w:rPr>
              <w:rFonts w:ascii="Garamond" w:hAnsi="Garamond" w:cs="Times New Roman"/>
              <w:i/>
              <w:iCs/>
              <w:sz w:val="24"/>
              <w:szCs w:val="24"/>
            </w:rPr>
            <w:t>s</w:t>
          </w:r>
          <w:r w:rsidRPr="00833126">
            <w:rPr>
              <w:rFonts w:ascii="Garamond" w:hAnsi="Garamond" w:cs="Times New Roman"/>
              <w:i/>
              <w:iCs/>
              <w:sz w:val="24"/>
              <w:szCs w:val="24"/>
            </w:rPr>
            <w:t>how</w:t>
          </w:r>
          <w:r w:rsidRPr="007356AF">
            <w:rPr>
              <w:rFonts w:ascii="Garamond" w:hAnsi="Garamond" w:cs="Times New Roman"/>
              <w:sz w:val="24"/>
              <w:szCs w:val="24"/>
            </w:rPr>
            <w:t>.</w:t>
          </w:r>
          <w:r w:rsidRPr="00F719E2">
            <w:rPr>
              <w:rFonts w:ascii="Garamond" w:hAnsi="Garamond" w:cs="Times New Roman"/>
              <w:sz w:val="24"/>
              <w:szCs w:val="24"/>
            </w:rPr>
            <w:t xml:space="preserve"> Retrieved from</w:t>
          </w:r>
          <w:r w:rsidR="00F220C4" w:rsidRPr="00F719E2">
            <w:rPr>
              <w:rFonts w:ascii="Garamond" w:hAnsi="Garamond" w:cs="Times New Roman"/>
              <w:sz w:val="24"/>
              <w:szCs w:val="24"/>
            </w:rPr>
            <w:t xml:space="preserve"> National Center for Education Statistics</w:t>
          </w:r>
          <w:r w:rsidRPr="00F719E2">
            <w:rPr>
              <w:rFonts w:ascii="Garamond" w:hAnsi="Garamond" w:cs="Times New Roman"/>
              <w:sz w:val="24"/>
              <w:szCs w:val="24"/>
            </w:rPr>
            <w:t xml:space="preserve">: </w:t>
          </w:r>
          <w:hyperlink r:id="rId24" w:anchor=":~:text=As%20of%20October%202022%2C%204,had%20two%20vacant%20teaching%20positions" w:history="1">
            <w:r w:rsidRPr="00F719E2">
              <w:rPr>
                <w:rStyle w:val="Hyperlink"/>
                <w:rFonts w:ascii="Garamond" w:hAnsi="Garamond" w:cs="Times New Roman"/>
                <w:color w:val="auto"/>
                <w:sz w:val="24"/>
                <w:szCs w:val="24"/>
              </w:rPr>
              <w:t>https://nces.ed.gov/whatsnew/press_releases/12_6_2022.asp#:~:text=As%20of%20October%202022%2C%204,had%20two%20vacant%20teaching%20positions</w:t>
            </w:r>
          </w:hyperlink>
          <w:r w:rsidR="00597376" w:rsidRPr="00F719E2">
            <w:rPr>
              <w:rFonts w:ascii="Garamond" w:hAnsi="Garamond" w:cs="Times New Roman"/>
              <w:sz w:val="24"/>
              <w:szCs w:val="24"/>
            </w:rPr>
            <w:t>.</w:t>
          </w:r>
          <w:r w:rsidRPr="00F719E2">
            <w:rPr>
              <w:rFonts w:ascii="Garamond" w:hAnsi="Garamond" w:cs="Times New Roman"/>
              <w:sz w:val="24"/>
              <w:szCs w:val="24"/>
            </w:rPr>
            <w:t xml:space="preserve"> </w:t>
          </w:r>
        </w:p>
        <w:p w14:paraId="32A5FB98" w14:textId="65F72A1A" w:rsidR="00BC47E4" w:rsidRPr="00F719E2" w:rsidRDefault="00BC47E4" w:rsidP="00C6646B">
          <w:pPr>
            <w:pStyle w:val="Bibliography"/>
            <w:ind w:left="720" w:hanging="720"/>
            <w:rPr>
              <w:rFonts w:ascii="Garamond" w:hAnsi="Garamond" w:cs="Times New Roman"/>
              <w:noProof/>
              <w:sz w:val="24"/>
              <w:szCs w:val="24"/>
            </w:rPr>
          </w:pPr>
          <w:r w:rsidRPr="00F719E2">
            <w:rPr>
              <w:rFonts w:ascii="Garamond" w:hAnsi="Garamond" w:cs="Times New Roman"/>
              <w:noProof/>
              <w:sz w:val="24"/>
              <w:szCs w:val="24"/>
            </w:rPr>
            <w:lastRenderedPageBreak/>
            <w:t xml:space="preserve">National Council on Teacher Quality. </w:t>
          </w:r>
          <w:r w:rsidR="00747533">
            <w:rPr>
              <w:rFonts w:ascii="Garamond" w:hAnsi="Garamond" w:cs="Times New Roman"/>
              <w:noProof/>
              <w:sz w:val="24"/>
              <w:szCs w:val="24"/>
            </w:rPr>
            <w:t>(</w:t>
          </w:r>
          <w:r w:rsidRPr="00F719E2">
            <w:rPr>
              <w:rFonts w:ascii="Garamond" w:hAnsi="Garamond" w:cs="Times New Roman"/>
              <w:noProof/>
              <w:sz w:val="24"/>
              <w:szCs w:val="24"/>
            </w:rPr>
            <w:t>2017</w:t>
          </w:r>
          <w:r w:rsidR="00747533">
            <w:rPr>
              <w:rFonts w:ascii="Garamond" w:hAnsi="Garamond" w:cs="Times New Roman"/>
              <w:noProof/>
              <w:sz w:val="24"/>
              <w:szCs w:val="24"/>
            </w:rPr>
            <w:t>)</w:t>
          </w:r>
          <w:r w:rsidRPr="00F719E2">
            <w:rPr>
              <w:rFonts w:ascii="Garamond" w:hAnsi="Garamond" w:cs="Times New Roman"/>
              <w:noProof/>
              <w:sz w:val="24"/>
              <w:szCs w:val="24"/>
            </w:rPr>
            <w:t xml:space="preserve">. </w:t>
          </w:r>
          <w:r w:rsidRPr="00F719E2">
            <w:rPr>
              <w:rFonts w:ascii="Garamond" w:hAnsi="Garamond" w:cs="Times New Roman"/>
              <w:i/>
              <w:iCs/>
              <w:noProof/>
              <w:sz w:val="24"/>
              <w:szCs w:val="24"/>
            </w:rPr>
            <w:t>High-</w:t>
          </w:r>
          <w:r w:rsidR="00747533">
            <w:rPr>
              <w:rFonts w:ascii="Garamond" w:hAnsi="Garamond" w:cs="Times New Roman"/>
              <w:i/>
              <w:iCs/>
              <w:noProof/>
              <w:sz w:val="24"/>
              <w:szCs w:val="24"/>
            </w:rPr>
            <w:t>n</w:t>
          </w:r>
          <w:r w:rsidRPr="00F719E2">
            <w:rPr>
              <w:rFonts w:ascii="Garamond" w:hAnsi="Garamond" w:cs="Times New Roman"/>
              <w:i/>
              <w:iCs/>
              <w:noProof/>
              <w:sz w:val="24"/>
              <w:szCs w:val="24"/>
            </w:rPr>
            <w:t xml:space="preserve">eed </w:t>
          </w:r>
          <w:r w:rsidR="00747533">
            <w:rPr>
              <w:rFonts w:ascii="Garamond" w:hAnsi="Garamond" w:cs="Times New Roman"/>
              <w:i/>
              <w:iCs/>
              <w:noProof/>
              <w:sz w:val="24"/>
              <w:szCs w:val="24"/>
            </w:rPr>
            <w:t>s</w:t>
          </w:r>
          <w:r w:rsidRPr="00F719E2">
            <w:rPr>
              <w:rFonts w:ascii="Garamond" w:hAnsi="Garamond" w:cs="Times New Roman"/>
              <w:i/>
              <w:iCs/>
              <w:noProof/>
              <w:sz w:val="24"/>
              <w:szCs w:val="24"/>
            </w:rPr>
            <w:t xml:space="preserve">chools and </w:t>
          </w:r>
          <w:r w:rsidR="00747533">
            <w:rPr>
              <w:rFonts w:ascii="Garamond" w:hAnsi="Garamond" w:cs="Times New Roman"/>
              <w:i/>
              <w:iCs/>
              <w:noProof/>
              <w:sz w:val="24"/>
              <w:szCs w:val="24"/>
            </w:rPr>
            <w:t>s</w:t>
          </w:r>
          <w:r w:rsidRPr="00F719E2">
            <w:rPr>
              <w:rFonts w:ascii="Garamond" w:hAnsi="Garamond" w:cs="Times New Roman"/>
              <w:i/>
              <w:iCs/>
              <w:noProof/>
              <w:sz w:val="24"/>
              <w:szCs w:val="24"/>
            </w:rPr>
            <w:t xml:space="preserve">ubjects </w:t>
          </w:r>
          <w:r w:rsidR="007E4C6A">
            <w:rPr>
              <w:rFonts w:ascii="Garamond" w:hAnsi="Garamond" w:cs="Times New Roman"/>
              <w:i/>
              <w:iCs/>
              <w:noProof/>
              <w:sz w:val="24"/>
              <w:szCs w:val="24"/>
            </w:rPr>
            <w:t>n</w:t>
          </w:r>
          <w:r w:rsidRPr="00F719E2">
            <w:rPr>
              <w:rFonts w:ascii="Garamond" w:hAnsi="Garamond" w:cs="Times New Roman"/>
              <w:i/>
              <w:iCs/>
              <w:noProof/>
              <w:sz w:val="24"/>
              <w:szCs w:val="24"/>
            </w:rPr>
            <w:t xml:space="preserve">ational </w:t>
          </w:r>
          <w:r w:rsidR="007E4C6A">
            <w:rPr>
              <w:rFonts w:ascii="Garamond" w:hAnsi="Garamond" w:cs="Times New Roman"/>
              <w:i/>
              <w:iCs/>
              <w:noProof/>
              <w:sz w:val="24"/>
              <w:szCs w:val="24"/>
            </w:rPr>
            <w:t>r</w:t>
          </w:r>
          <w:r w:rsidRPr="00F719E2">
            <w:rPr>
              <w:rFonts w:ascii="Garamond" w:hAnsi="Garamond" w:cs="Times New Roman"/>
              <w:i/>
              <w:iCs/>
              <w:noProof/>
              <w:sz w:val="24"/>
              <w:szCs w:val="24"/>
            </w:rPr>
            <w:t>esults</w:t>
          </w:r>
          <w:r w:rsidRPr="00F719E2">
            <w:rPr>
              <w:rFonts w:ascii="Garamond" w:hAnsi="Garamond" w:cs="Times New Roman"/>
              <w:noProof/>
              <w:sz w:val="24"/>
              <w:szCs w:val="24"/>
            </w:rPr>
            <w:t xml:space="preserve">. Retrieved from State Teacher Policy Database: </w:t>
          </w:r>
          <w:hyperlink r:id="rId25" w:history="1">
            <w:r w:rsidR="00BA688F" w:rsidRPr="00F719E2">
              <w:rPr>
                <w:rStyle w:val="Hyperlink"/>
                <w:rFonts w:ascii="Garamond" w:hAnsi="Garamond" w:cs="Times New Roman"/>
                <w:noProof/>
                <w:color w:val="auto"/>
                <w:sz w:val="24"/>
                <w:szCs w:val="24"/>
              </w:rPr>
              <w:t>https://www.nctq.org/yearbook/national/High--Need-Schools-and-Subjects-78</w:t>
            </w:r>
          </w:hyperlink>
          <w:r w:rsidR="00597376" w:rsidRPr="00F719E2">
            <w:rPr>
              <w:rFonts w:ascii="Garamond" w:hAnsi="Garamond" w:cs="Times New Roman"/>
              <w:noProof/>
              <w:sz w:val="24"/>
              <w:szCs w:val="24"/>
            </w:rPr>
            <w:t>.</w:t>
          </w:r>
        </w:p>
        <w:p w14:paraId="3253218C" w14:textId="0F801384" w:rsidR="00367668" w:rsidRPr="00F719E2" w:rsidRDefault="00367668" w:rsidP="00C6646B">
          <w:pPr>
            <w:ind w:left="720" w:hanging="720"/>
            <w:rPr>
              <w:rFonts w:ascii="Garamond" w:hAnsi="Garamond" w:cs="Times New Roman"/>
              <w:sz w:val="24"/>
              <w:szCs w:val="24"/>
            </w:rPr>
          </w:pPr>
          <w:r w:rsidRPr="00F719E2">
            <w:rPr>
              <w:rFonts w:ascii="Garamond" w:hAnsi="Garamond" w:cs="Times New Roman"/>
              <w:sz w:val="24"/>
              <w:szCs w:val="24"/>
            </w:rPr>
            <w:t xml:space="preserve">Nguyen, T., </w:t>
          </w:r>
          <w:r w:rsidR="00ED0753" w:rsidRPr="00F719E2">
            <w:rPr>
              <w:rFonts w:ascii="Garamond" w:hAnsi="Garamond" w:cs="Times New Roman"/>
              <w:sz w:val="24"/>
              <w:szCs w:val="24"/>
            </w:rPr>
            <w:t xml:space="preserve">Lam, C., &amp; Bruno, P. </w:t>
          </w:r>
          <w:r w:rsidR="007E4C6A">
            <w:rPr>
              <w:rFonts w:ascii="Garamond" w:hAnsi="Garamond" w:cs="Times New Roman"/>
              <w:sz w:val="24"/>
              <w:szCs w:val="24"/>
            </w:rPr>
            <w:t>(</w:t>
          </w:r>
          <w:r w:rsidR="00ED0753" w:rsidRPr="00F719E2">
            <w:rPr>
              <w:rFonts w:ascii="Garamond" w:hAnsi="Garamond" w:cs="Times New Roman"/>
              <w:sz w:val="24"/>
              <w:szCs w:val="24"/>
            </w:rPr>
            <w:t>2022</w:t>
          </w:r>
          <w:r w:rsidR="007E4C6A">
            <w:rPr>
              <w:rFonts w:ascii="Garamond" w:hAnsi="Garamond" w:cs="Times New Roman"/>
              <w:sz w:val="24"/>
              <w:szCs w:val="24"/>
            </w:rPr>
            <w:t>)</w:t>
          </w:r>
          <w:r w:rsidR="00ED0753" w:rsidRPr="00F719E2">
            <w:rPr>
              <w:rFonts w:ascii="Garamond" w:hAnsi="Garamond" w:cs="Times New Roman"/>
              <w:sz w:val="24"/>
              <w:szCs w:val="24"/>
            </w:rPr>
            <w:t xml:space="preserve">. Is there a </w:t>
          </w:r>
          <w:r w:rsidR="007E4C6A">
            <w:rPr>
              <w:rFonts w:ascii="Garamond" w:hAnsi="Garamond" w:cs="Times New Roman"/>
              <w:sz w:val="24"/>
              <w:szCs w:val="24"/>
            </w:rPr>
            <w:t>n</w:t>
          </w:r>
          <w:r w:rsidR="00ED0753" w:rsidRPr="00F719E2">
            <w:rPr>
              <w:rFonts w:ascii="Garamond" w:hAnsi="Garamond" w:cs="Times New Roman"/>
              <w:sz w:val="24"/>
              <w:szCs w:val="24"/>
            </w:rPr>
            <w:t xml:space="preserve">ational </w:t>
          </w:r>
          <w:r w:rsidR="007E4C6A">
            <w:rPr>
              <w:rFonts w:ascii="Garamond" w:hAnsi="Garamond" w:cs="Times New Roman"/>
              <w:sz w:val="24"/>
              <w:szCs w:val="24"/>
            </w:rPr>
            <w:t>t</w:t>
          </w:r>
          <w:r w:rsidR="00ED0753" w:rsidRPr="00F719E2">
            <w:rPr>
              <w:rFonts w:ascii="Garamond" w:hAnsi="Garamond" w:cs="Times New Roman"/>
              <w:sz w:val="24"/>
              <w:szCs w:val="24"/>
            </w:rPr>
            <w:t xml:space="preserve">eacher </w:t>
          </w:r>
          <w:r w:rsidR="007E4C6A">
            <w:rPr>
              <w:rFonts w:ascii="Garamond" w:hAnsi="Garamond" w:cs="Times New Roman"/>
              <w:sz w:val="24"/>
              <w:szCs w:val="24"/>
            </w:rPr>
            <w:t>s</w:t>
          </w:r>
          <w:r w:rsidR="00ED0753" w:rsidRPr="00F719E2">
            <w:rPr>
              <w:rFonts w:ascii="Garamond" w:hAnsi="Garamond" w:cs="Times New Roman"/>
              <w:sz w:val="24"/>
              <w:szCs w:val="24"/>
            </w:rPr>
            <w:t xml:space="preserve">hortage? </w:t>
          </w:r>
          <w:r w:rsidR="005500CD" w:rsidRPr="00F719E2">
            <w:rPr>
              <w:rFonts w:ascii="Garamond" w:hAnsi="Garamond" w:cs="Times New Roman"/>
              <w:sz w:val="24"/>
              <w:szCs w:val="24"/>
            </w:rPr>
            <w:t xml:space="preserve">A </w:t>
          </w:r>
          <w:r w:rsidR="007E4C6A">
            <w:rPr>
              <w:rFonts w:ascii="Garamond" w:hAnsi="Garamond" w:cs="Times New Roman"/>
              <w:sz w:val="24"/>
              <w:szCs w:val="24"/>
            </w:rPr>
            <w:t>s</w:t>
          </w:r>
          <w:r w:rsidR="005500CD" w:rsidRPr="00F719E2">
            <w:rPr>
              <w:rFonts w:ascii="Garamond" w:hAnsi="Garamond" w:cs="Times New Roman"/>
              <w:sz w:val="24"/>
              <w:szCs w:val="24"/>
            </w:rPr>
            <w:t xml:space="preserve">ystematic </w:t>
          </w:r>
          <w:r w:rsidR="007E4C6A">
            <w:rPr>
              <w:rFonts w:ascii="Garamond" w:hAnsi="Garamond" w:cs="Times New Roman"/>
              <w:sz w:val="24"/>
              <w:szCs w:val="24"/>
            </w:rPr>
            <w:t>e</w:t>
          </w:r>
          <w:r w:rsidR="005500CD" w:rsidRPr="00F719E2">
            <w:rPr>
              <w:rFonts w:ascii="Garamond" w:hAnsi="Garamond" w:cs="Times New Roman"/>
              <w:sz w:val="24"/>
              <w:szCs w:val="24"/>
            </w:rPr>
            <w:t xml:space="preserve">xamination of </w:t>
          </w:r>
          <w:r w:rsidR="007E4C6A">
            <w:rPr>
              <w:rFonts w:ascii="Garamond" w:hAnsi="Garamond" w:cs="Times New Roman"/>
              <w:sz w:val="24"/>
              <w:szCs w:val="24"/>
            </w:rPr>
            <w:t>r</w:t>
          </w:r>
          <w:r w:rsidR="005500CD" w:rsidRPr="00F719E2">
            <w:rPr>
              <w:rFonts w:ascii="Garamond" w:hAnsi="Garamond" w:cs="Times New Roman"/>
              <w:sz w:val="24"/>
              <w:szCs w:val="24"/>
            </w:rPr>
            <w:t xml:space="preserve">eports of </w:t>
          </w:r>
          <w:r w:rsidR="007E4C6A">
            <w:rPr>
              <w:rFonts w:ascii="Garamond" w:hAnsi="Garamond" w:cs="Times New Roman"/>
              <w:sz w:val="24"/>
              <w:szCs w:val="24"/>
            </w:rPr>
            <w:t>t</w:t>
          </w:r>
          <w:r w:rsidR="005500CD" w:rsidRPr="00F719E2">
            <w:rPr>
              <w:rFonts w:ascii="Garamond" w:hAnsi="Garamond" w:cs="Times New Roman"/>
              <w:sz w:val="24"/>
              <w:szCs w:val="24"/>
            </w:rPr>
            <w:t xml:space="preserve">eacher </w:t>
          </w:r>
          <w:r w:rsidR="007E4C6A">
            <w:rPr>
              <w:rFonts w:ascii="Garamond" w:hAnsi="Garamond" w:cs="Times New Roman"/>
              <w:sz w:val="24"/>
              <w:szCs w:val="24"/>
            </w:rPr>
            <w:t>s</w:t>
          </w:r>
          <w:r w:rsidR="005500CD" w:rsidRPr="00F719E2">
            <w:rPr>
              <w:rFonts w:ascii="Garamond" w:hAnsi="Garamond" w:cs="Times New Roman"/>
              <w:sz w:val="24"/>
              <w:szCs w:val="24"/>
            </w:rPr>
            <w:t>hortages in the United States.</w:t>
          </w:r>
          <w:r w:rsidR="00F4239B" w:rsidRPr="00F719E2">
            <w:rPr>
              <w:rFonts w:ascii="Garamond" w:hAnsi="Garamond" w:cs="Times New Roman"/>
              <w:sz w:val="24"/>
              <w:szCs w:val="24"/>
            </w:rPr>
            <w:t xml:space="preserve"> </w:t>
          </w:r>
          <w:proofErr w:type="spellStart"/>
          <w:r w:rsidR="00F4239B" w:rsidRPr="00F719E2">
            <w:rPr>
              <w:rFonts w:ascii="Garamond" w:hAnsi="Garamond" w:cs="Times New Roman"/>
              <w:sz w:val="24"/>
              <w:szCs w:val="24"/>
            </w:rPr>
            <w:t>EdWorkingPaper</w:t>
          </w:r>
          <w:proofErr w:type="spellEnd"/>
          <w:r w:rsidR="00F4239B" w:rsidRPr="00F719E2">
            <w:rPr>
              <w:rFonts w:ascii="Garamond" w:hAnsi="Garamond" w:cs="Times New Roman"/>
              <w:sz w:val="24"/>
              <w:szCs w:val="24"/>
            </w:rPr>
            <w:t xml:space="preserve">: 22-631. Retrieved from Annenberg Institute at Brown University: </w:t>
          </w:r>
          <w:hyperlink r:id="rId26" w:history="1">
            <w:r w:rsidR="00973800" w:rsidRPr="00F719E2">
              <w:rPr>
                <w:rStyle w:val="Hyperlink"/>
                <w:rFonts w:ascii="Garamond" w:hAnsi="Garamond" w:cs="Times New Roman"/>
                <w:color w:val="auto"/>
                <w:sz w:val="24"/>
                <w:szCs w:val="24"/>
              </w:rPr>
              <w:t>https://doi.org/10.26300/76eq-hj32</w:t>
            </w:r>
          </w:hyperlink>
          <w:r w:rsidR="00F4239B" w:rsidRPr="00F719E2">
            <w:rPr>
              <w:rFonts w:ascii="Garamond" w:hAnsi="Garamond" w:cs="Times New Roman"/>
              <w:sz w:val="24"/>
              <w:szCs w:val="24"/>
            </w:rPr>
            <w:t>.</w:t>
          </w:r>
        </w:p>
        <w:p w14:paraId="463A0DF1" w14:textId="511FBFCC" w:rsidR="00371AAE" w:rsidRPr="00F719E2" w:rsidRDefault="00371AAE" w:rsidP="00C6646B">
          <w:pPr>
            <w:ind w:left="720" w:hanging="720"/>
            <w:rPr>
              <w:rFonts w:ascii="Garamond" w:hAnsi="Garamond" w:cs="Times New Roman"/>
              <w:sz w:val="24"/>
              <w:szCs w:val="24"/>
            </w:rPr>
          </w:pPr>
          <w:r w:rsidRPr="00F719E2">
            <w:rPr>
              <w:rFonts w:ascii="Garamond" w:hAnsi="Garamond" w:cs="Times New Roman"/>
              <w:sz w:val="24"/>
              <w:szCs w:val="24"/>
            </w:rPr>
            <w:t xml:space="preserve">Ni, S., </w:t>
          </w:r>
          <w:proofErr w:type="spellStart"/>
          <w:r w:rsidRPr="00F719E2">
            <w:rPr>
              <w:rFonts w:ascii="Garamond" w:hAnsi="Garamond" w:cs="Times New Roman"/>
              <w:sz w:val="24"/>
              <w:szCs w:val="24"/>
            </w:rPr>
            <w:t>Podgursky</w:t>
          </w:r>
          <w:proofErr w:type="spellEnd"/>
          <w:r w:rsidRPr="00F719E2">
            <w:rPr>
              <w:rFonts w:ascii="Garamond" w:hAnsi="Garamond" w:cs="Times New Roman"/>
              <w:sz w:val="24"/>
              <w:szCs w:val="24"/>
            </w:rPr>
            <w:t>, M.</w:t>
          </w:r>
          <w:r w:rsidR="005A4197" w:rsidRPr="00F719E2">
            <w:rPr>
              <w:rFonts w:ascii="Garamond" w:hAnsi="Garamond" w:cs="Times New Roman"/>
              <w:sz w:val="24"/>
              <w:szCs w:val="24"/>
            </w:rPr>
            <w:t>,</w:t>
          </w:r>
          <w:r w:rsidRPr="00F719E2">
            <w:rPr>
              <w:rFonts w:ascii="Garamond" w:hAnsi="Garamond" w:cs="Times New Roman"/>
              <w:sz w:val="24"/>
              <w:szCs w:val="24"/>
            </w:rPr>
            <w:t xml:space="preserve"> &amp; Wang, X. </w:t>
          </w:r>
          <w:r w:rsidR="007E4C6A">
            <w:rPr>
              <w:rFonts w:ascii="Garamond" w:hAnsi="Garamond" w:cs="Times New Roman"/>
              <w:sz w:val="24"/>
              <w:szCs w:val="24"/>
            </w:rPr>
            <w:t>(</w:t>
          </w:r>
          <w:r w:rsidRPr="00F719E2">
            <w:rPr>
              <w:rFonts w:ascii="Garamond" w:hAnsi="Garamond" w:cs="Times New Roman"/>
              <w:sz w:val="24"/>
              <w:szCs w:val="24"/>
            </w:rPr>
            <w:t>2022</w:t>
          </w:r>
          <w:r w:rsidR="007E4C6A">
            <w:rPr>
              <w:rFonts w:ascii="Garamond" w:hAnsi="Garamond" w:cs="Times New Roman"/>
              <w:sz w:val="24"/>
              <w:szCs w:val="24"/>
            </w:rPr>
            <w:t>)</w:t>
          </w:r>
          <w:r w:rsidRPr="00F719E2">
            <w:rPr>
              <w:rFonts w:ascii="Garamond" w:hAnsi="Garamond" w:cs="Times New Roman"/>
              <w:sz w:val="24"/>
              <w:szCs w:val="24"/>
            </w:rPr>
            <w:t xml:space="preserve">. Teacher </w:t>
          </w:r>
          <w:r w:rsidR="007E4C6A">
            <w:rPr>
              <w:rFonts w:ascii="Garamond" w:hAnsi="Garamond" w:cs="Times New Roman"/>
              <w:sz w:val="24"/>
              <w:szCs w:val="24"/>
            </w:rPr>
            <w:t>p</w:t>
          </w:r>
          <w:r w:rsidRPr="00F719E2">
            <w:rPr>
              <w:rFonts w:ascii="Garamond" w:hAnsi="Garamond" w:cs="Times New Roman"/>
              <w:sz w:val="24"/>
              <w:szCs w:val="24"/>
            </w:rPr>
            <w:t xml:space="preserve">ension </w:t>
          </w:r>
          <w:r w:rsidR="007E4C6A">
            <w:rPr>
              <w:rFonts w:ascii="Garamond" w:hAnsi="Garamond" w:cs="Times New Roman"/>
              <w:sz w:val="24"/>
              <w:szCs w:val="24"/>
            </w:rPr>
            <w:t>p</w:t>
          </w:r>
          <w:r w:rsidRPr="00F719E2">
            <w:rPr>
              <w:rFonts w:ascii="Garamond" w:hAnsi="Garamond" w:cs="Times New Roman"/>
              <w:sz w:val="24"/>
              <w:szCs w:val="24"/>
            </w:rPr>
            <w:t xml:space="preserve">lan </w:t>
          </w:r>
          <w:r w:rsidR="007E4C6A">
            <w:rPr>
              <w:rFonts w:ascii="Garamond" w:hAnsi="Garamond" w:cs="Times New Roman"/>
              <w:sz w:val="24"/>
              <w:szCs w:val="24"/>
            </w:rPr>
            <w:t>i</w:t>
          </w:r>
          <w:r w:rsidRPr="00F719E2">
            <w:rPr>
              <w:rFonts w:ascii="Garamond" w:hAnsi="Garamond" w:cs="Times New Roman"/>
              <w:sz w:val="24"/>
              <w:szCs w:val="24"/>
            </w:rPr>
            <w:t xml:space="preserve">ncentives, </w:t>
          </w:r>
          <w:r w:rsidR="007E4C6A">
            <w:rPr>
              <w:rFonts w:ascii="Garamond" w:hAnsi="Garamond" w:cs="Times New Roman"/>
              <w:sz w:val="24"/>
              <w:szCs w:val="24"/>
            </w:rPr>
            <w:t>r</w:t>
          </w:r>
          <w:r w:rsidRPr="00F719E2">
            <w:rPr>
              <w:rFonts w:ascii="Garamond" w:hAnsi="Garamond" w:cs="Times New Roman"/>
              <w:sz w:val="24"/>
              <w:szCs w:val="24"/>
            </w:rPr>
            <w:t xml:space="preserve">etirement </w:t>
          </w:r>
          <w:r w:rsidR="007E4C6A">
            <w:rPr>
              <w:rFonts w:ascii="Garamond" w:hAnsi="Garamond" w:cs="Times New Roman"/>
              <w:sz w:val="24"/>
              <w:szCs w:val="24"/>
            </w:rPr>
            <w:t>d</w:t>
          </w:r>
          <w:r w:rsidRPr="00F719E2">
            <w:rPr>
              <w:rFonts w:ascii="Garamond" w:hAnsi="Garamond" w:cs="Times New Roman"/>
              <w:sz w:val="24"/>
              <w:szCs w:val="24"/>
            </w:rPr>
            <w:t xml:space="preserve">ecisions, and </w:t>
          </w:r>
          <w:r w:rsidR="007E4C6A">
            <w:rPr>
              <w:rFonts w:ascii="Garamond" w:hAnsi="Garamond" w:cs="Times New Roman"/>
              <w:sz w:val="24"/>
              <w:szCs w:val="24"/>
            </w:rPr>
            <w:t>w</w:t>
          </w:r>
          <w:r w:rsidRPr="00F719E2">
            <w:rPr>
              <w:rFonts w:ascii="Garamond" w:hAnsi="Garamond" w:cs="Times New Roman"/>
              <w:sz w:val="24"/>
              <w:szCs w:val="24"/>
            </w:rPr>
            <w:t xml:space="preserve">orkforce </w:t>
          </w:r>
          <w:r w:rsidR="007E4C6A">
            <w:rPr>
              <w:rFonts w:ascii="Garamond" w:hAnsi="Garamond" w:cs="Times New Roman"/>
              <w:sz w:val="24"/>
              <w:szCs w:val="24"/>
            </w:rPr>
            <w:t>q</w:t>
          </w:r>
          <w:r w:rsidRPr="00F719E2">
            <w:rPr>
              <w:rFonts w:ascii="Garamond" w:hAnsi="Garamond" w:cs="Times New Roman"/>
              <w:sz w:val="24"/>
              <w:szCs w:val="24"/>
            </w:rPr>
            <w:t xml:space="preserve">uality. </w:t>
          </w:r>
          <w:r w:rsidRPr="00F719E2">
            <w:rPr>
              <w:rFonts w:ascii="Garamond" w:hAnsi="Garamond" w:cs="Times New Roman"/>
              <w:i/>
              <w:iCs/>
              <w:sz w:val="24"/>
              <w:szCs w:val="24"/>
            </w:rPr>
            <w:t>Journal of Human Resources</w:t>
          </w:r>
          <w:r w:rsidRPr="009348D7">
            <w:rPr>
              <w:rFonts w:ascii="Garamond" w:hAnsi="Garamond" w:cs="Times New Roman"/>
              <w:sz w:val="24"/>
              <w:szCs w:val="24"/>
            </w:rPr>
            <w:t>,</w:t>
          </w:r>
          <w:r w:rsidR="00C07FD4" w:rsidRPr="00F719E2">
            <w:rPr>
              <w:rFonts w:ascii="Garamond" w:hAnsi="Garamond" w:cs="Times New Roman"/>
              <w:i/>
              <w:iCs/>
              <w:sz w:val="24"/>
              <w:szCs w:val="24"/>
            </w:rPr>
            <w:t xml:space="preserve"> 57</w:t>
          </w:r>
          <w:r w:rsidR="00C07FD4" w:rsidRPr="00F719E2">
            <w:rPr>
              <w:rFonts w:ascii="Garamond" w:hAnsi="Garamond" w:cs="Times New Roman"/>
              <w:sz w:val="24"/>
              <w:szCs w:val="24"/>
            </w:rPr>
            <w:t>(1), 272-303.</w:t>
          </w:r>
        </w:p>
        <w:p w14:paraId="788E9C60" w14:textId="0A450F98" w:rsidR="00930D22" w:rsidRPr="00F719E2" w:rsidRDefault="00930D22" w:rsidP="00C6646B">
          <w:pPr>
            <w:ind w:left="720" w:hanging="720"/>
            <w:rPr>
              <w:rFonts w:ascii="Garamond" w:hAnsi="Garamond" w:cs="Times New Roman"/>
              <w:sz w:val="24"/>
              <w:szCs w:val="24"/>
            </w:rPr>
          </w:pPr>
          <w:r w:rsidRPr="00F719E2">
            <w:rPr>
              <w:rFonts w:ascii="Garamond" w:hAnsi="Garamond" w:cs="Times New Roman"/>
              <w:sz w:val="24"/>
              <w:szCs w:val="24"/>
            </w:rPr>
            <w:t>North Carolina General Assembly Legislation S.L. 1998-212, S.L. 1998-217, S.L. 2000-67, S.L. 2001-424, S.L. 2002-126, S.L. 2004-124, S.L. 2005-144, S.L. 2005-276, S.L. 2005-345, S.L. 2007-145, S.L. 2007-3</w:t>
          </w:r>
          <w:r w:rsidR="003E3CF0" w:rsidRPr="00F719E2">
            <w:rPr>
              <w:rFonts w:ascii="Garamond" w:hAnsi="Garamond" w:cs="Times New Roman"/>
              <w:sz w:val="24"/>
              <w:szCs w:val="24"/>
            </w:rPr>
            <w:t>26</w:t>
          </w:r>
          <w:r w:rsidR="000D5CA8" w:rsidRPr="00F719E2">
            <w:rPr>
              <w:rFonts w:ascii="Garamond" w:hAnsi="Garamond" w:cs="Times New Roman"/>
              <w:sz w:val="24"/>
              <w:szCs w:val="24"/>
            </w:rPr>
            <w:t xml:space="preserve">, </w:t>
          </w:r>
          <w:r w:rsidR="00F11397" w:rsidRPr="00F719E2">
            <w:rPr>
              <w:rFonts w:ascii="Garamond" w:hAnsi="Garamond" w:cs="Times New Roman"/>
              <w:sz w:val="24"/>
              <w:szCs w:val="24"/>
            </w:rPr>
            <w:t xml:space="preserve">S.L. 2019-110, </w:t>
          </w:r>
          <w:r w:rsidR="00825390" w:rsidRPr="00F719E2">
            <w:rPr>
              <w:rFonts w:ascii="Garamond" w:hAnsi="Garamond" w:cs="Times New Roman"/>
              <w:sz w:val="24"/>
              <w:szCs w:val="24"/>
            </w:rPr>
            <w:t xml:space="preserve">S.B. </w:t>
          </w:r>
          <w:r w:rsidR="004C5630" w:rsidRPr="00F719E2">
            <w:rPr>
              <w:rFonts w:ascii="Garamond" w:hAnsi="Garamond" w:cs="Times New Roman"/>
              <w:sz w:val="24"/>
              <w:szCs w:val="24"/>
            </w:rPr>
            <w:t>2023-187.</w:t>
          </w:r>
          <w:r w:rsidR="00F11397" w:rsidRPr="00F719E2">
            <w:rPr>
              <w:rFonts w:ascii="Garamond" w:hAnsi="Garamond" w:cs="Times New Roman"/>
              <w:sz w:val="24"/>
              <w:szCs w:val="24"/>
            </w:rPr>
            <w:t xml:space="preserve"> </w:t>
          </w:r>
        </w:p>
        <w:p w14:paraId="2F6CA047" w14:textId="13CF779A" w:rsidR="00BA688F" w:rsidRPr="00F719E2" w:rsidRDefault="00BA688F" w:rsidP="00C6646B">
          <w:pPr>
            <w:spacing w:after="0" w:line="240" w:lineRule="auto"/>
            <w:ind w:left="720" w:hanging="720"/>
            <w:rPr>
              <w:rFonts w:ascii="Garamond" w:hAnsi="Garamond" w:cs="Times New Roman"/>
              <w:sz w:val="24"/>
              <w:szCs w:val="24"/>
            </w:rPr>
          </w:pPr>
          <w:r w:rsidRPr="00F719E2">
            <w:rPr>
              <w:rFonts w:ascii="Garamond" w:hAnsi="Garamond" w:cs="Times New Roman"/>
              <w:sz w:val="24"/>
              <w:szCs w:val="24"/>
            </w:rPr>
            <w:t xml:space="preserve">Schwartz, H., </w:t>
          </w:r>
          <w:r w:rsidR="001C34DB" w:rsidRPr="00F719E2">
            <w:rPr>
              <w:rFonts w:ascii="Garamond" w:hAnsi="Garamond" w:cs="Times New Roman"/>
              <w:sz w:val="24"/>
              <w:szCs w:val="24"/>
            </w:rPr>
            <w:t>&amp;</w:t>
          </w:r>
          <w:r w:rsidRPr="00F719E2">
            <w:rPr>
              <w:rFonts w:ascii="Garamond" w:hAnsi="Garamond" w:cs="Times New Roman"/>
              <w:sz w:val="24"/>
              <w:szCs w:val="24"/>
            </w:rPr>
            <w:t xml:space="preserve"> </w:t>
          </w:r>
          <w:proofErr w:type="spellStart"/>
          <w:r w:rsidRPr="00F719E2">
            <w:rPr>
              <w:rFonts w:ascii="Garamond" w:hAnsi="Garamond" w:cs="Times New Roman"/>
              <w:sz w:val="24"/>
              <w:szCs w:val="24"/>
            </w:rPr>
            <w:t>Diliberti</w:t>
          </w:r>
          <w:proofErr w:type="spellEnd"/>
          <w:r w:rsidR="001C34DB" w:rsidRPr="00F719E2">
            <w:rPr>
              <w:rFonts w:ascii="Garamond" w:hAnsi="Garamond" w:cs="Times New Roman"/>
              <w:sz w:val="24"/>
              <w:szCs w:val="24"/>
            </w:rPr>
            <w:t>, M</w:t>
          </w:r>
          <w:r w:rsidRPr="00F719E2">
            <w:rPr>
              <w:rFonts w:ascii="Garamond" w:hAnsi="Garamond" w:cs="Times New Roman"/>
              <w:sz w:val="24"/>
              <w:szCs w:val="24"/>
            </w:rPr>
            <w:t xml:space="preserve">. </w:t>
          </w:r>
          <w:r w:rsidR="009348D7">
            <w:rPr>
              <w:rFonts w:ascii="Garamond" w:hAnsi="Garamond" w:cs="Times New Roman"/>
              <w:sz w:val="24"/>
              <w:szCs w:val="24"/>
            </w:rPr>
            <w:t>(</w:t>
          </w:r>
          <w:r w:rsidRPr="00F719E2">
            <w:rPr>
              <w:rFonts w:ascii="Garamond" w:hAnsi="Garamond" w:cs="Times New Roman"/>
              <w:sz w:val="24"/>
              <w:szCs w:val="24"/>
            </w:rPr>
            <w:t>2022</w:t>
          </w:r>
          <w:r w:rsidR="009348D7">
            <w:rPr>
              <w:rFonts w:ascii="Garamond" w:hAnsi="Garamond" w:cs="Times New Roman"/>
              <w:sz w:val="24"/>
              <w:szCs w:val="24"/>
            </w:rPr>
            <w:t>)</w:t>
          </w:r>
          <w:r w:rsidRPr="00F719E2">
            <w:rPr>
              <w:rFonts w:ascii="Garamond" w:hAnsi="Garamond" w:cs="Times New Roman"/>
              <w:sz w:val="24"/>
              <w:szCs w:val="24"/>
            </w:rPr>
            <w:t xml:space="preserve">. </w:t>
          </w:r>
          <w:r w:rsidRPr="00492A13">
            <w:rPr>
              <w:rFonts w:ascii="Garamond" w:hAnsi="Garamond" w:cs="Times New Roman"/>
              <w:sz w:val="24"/>
              <w:szCs w:val="24"/>
            </w:rPr>
            <w:t xml:space="preserve">Flux in the </w:t>
          </w:r>
          <w:r w:rsidR="009348D7" w:rsidRPr="00492A13">
            <w:rPr>
              <w:rFonts w:ascii="Garamond" w:hAnsi="Garamond" w:cs="Times New Roman"/>
              <w:sz w:val="24"/>
              <w:szCs w:val="24"/>
            </w:rPr>
            <w:t>e</w:t>
          </w:r>
          <w:r w:rsidRPr="00492A13">
            <w:rPr>
              <w:rFonts w:ascii="Garamond" w:hAnsi="Garamond" w:cs="Times New Roman"/>
              <w:sz w:val="24"/>
              <w:szCs w:val="24"/>
            </w:rPr>
            <w:t xml:space="preserve">ducator </w:t>
          </w:r>
          <w:r w:rsidR="009348D7" w:rsidRPr="00492A13">
            <w:rPr>
              <w:rFonts w:ascii="Garamond" w:hAnsi="Garamond" w:cs="Times New Roman"/>
              <w:sz w:val="24"/>
              <w:szCs w:val="24"/>
            </w:rPr>
            <w:t>l</w:t>
          </w:r>
          <w:r w:rsidRPr="00492A13">
            <w:rPr>
              <w:rFonts w:ascii="Garamond" w:hAnsi="Garamond" w:cs="Times New Roman"/>
              <w:sz w:val="24"/>
              <w:szCs w:val="24"/>
            </w:rPr>
            <w:t xml:space="preserve">abor </w:t>
          </w:r>
          <w:r w:rsidR="009348D7" w:rsidRPr="00492A13">
            <w:rPr>
              <w:rFonts w:ascii="Garamond" w:hAnsi="Garamond" w:cs="Times New Roman"/>
              <w:sz w:val="24"/>
              <w:szCs w:val="24"/>
            </w:rPr>
            <w:t>m</w:t>
          </w:r>
          <w:r w:rsidRPr="00492A13">
            <w:rPr>
              <w:rFonts w:ascii="Garamond" w:hAnsi="Garamond" w:cs="Times New Roman"/>
              <w:sz w:val="24"/>
              <w:szCs w:val="24"/>
            </w:rPr>
            <w:t xml:space="preserve">arket: Acute </w:t>
          </w:r>
          <w:r w:rsidR="009348D7" w:rsidRPr="00492A13">
            <w:rPr>
              <w:rFonts w:ascii="Garamond" w:hAnsi="Garamond" w:cs="Times New Roman"/>
              <w:sz w:val="24"/>
              <w:szCs w:val="24"/>
            </w:rPr>
            <w:t>s</w:t>
          </w:r>
          <w:r w:rsidRPr="00492A13">
            <w:rPr>
              <w:rFonts w:ascii="Garamond" w:hAnsi="Garamond" w:cs="Times New Roman"/>
              <w:sz w:val="24"/>
              <w:szCs w:val="24"/>
            </w:rPr>
            <w:t xml:space="preserve">taff </w:t>
          </w:r>
          <w:r w:rsidR="009348D7" w:rsidRPr="00492A13">
            <w:rPr>
              <w:rFonts w:ascii="Garamond" w:hAnsi="Garamond" w:cs="Times New Roman"/>
              <w:sz w:val="24"/>
              <w:szCs w:val="24"/>
            </w:rPr>
            <w:t>s</w:t>
          </w:r>
          <w:r w:rsidRPr="00492A13">
            <w:rPr>
              <w:rFonts w:ascii="Garamond" w:hAnsi="Garamond" w:cs="Times New Roman"/>
              <w:sz w:val="24"/>
              <w:szCs w:val="24"/>
            </w:rPr>
            <w:t xml:space="preserve">hortages and </w:t>
          </w:r>
          <w:r w:rsidR="009C4B3C" w:rsidRPr="00492A13">
            <w:rPr>
              <w:rFonts w:ascii="Garamond" w:hAnsi="Garamond" w:cs="Times New Roman"/>
              <w:sz w:val="24"/>
              <w:szCs w:val="24"/>
            </w:rPr>
            <w:t>p</w:t>
          </w:r>
          <w:r w:rsidRPr="00492A13">
            <w:rPr>
              <w:rFonts w:ascii="Garamond" w:hAnsi="Garamond" w:cs="Times New Roman"/>
              <w:sz w:val="24"/>
              <w:szCs w:val="24"/>
            </w:rPr>
            <w:t xml:space="preserve">rojected </w:t>
          </w:r>
          <w:r w:rsidR="009C4B3C" w:rsidRPr="00492A13">
            <w:rPr>
              <w:rFonts w:ascii="Garamond" w:hAnsi="Garamond" w:cs="Times New Roman"/>
              <w:sz w:val="24"/>
              <w:szCs w:val="24"/>
            </w:rPr>
            <w:t>s</w:t>
          </w:r>
          <w:r w:rsidRPr="00492A13">
            <w:rPr>
              <w:rFonts w:ascii="Garamond" w:hAnsi="Garamond" w:cs="Times New Roman"/>
              <w:sz w:val="24"/>
              <w:szCs w:val="24"/>
            </w:rPr>
            <w:t xml:space="preserve">uperintendent </w:t>
          </w:r>
          <w:r w:rsidR="009C4B3C" w:rsidRPr="00492A13">
            <w:rPr>
              <w:rFonts w:ascii="Garamond" w:hAnsi="Garamond" w:cs="Times New Roman"/>
              <w:sz w:val="24"/>
              <w:szCs w:val="24"/>
            </w:rPr>
            <w:t>d</w:t>
          </w:r>
          <w:r w:rsidRPr="00492A13">
            <w:rPr>
              <w:rFonts w:ascii="Garamond" w:hAnsi="Garamond" w:cs="Times New Roman"/>
              <w:sz w:val="24"/>
              <w:szCs w:val="24"/>
            </w:rPr>
            <w:t xml:space="preserve">epartures: Selected </w:t>
          </w:r>
          <w:r w:rsidR="009C4B3C" w:rsidRPr="00492A13">
            <w:rPr>
              <w:rFonts w:ascii="Garamond" w:hAnsi="Garamond" w:cs="Times New Roman"/>
              <w:sz w:val="24"/>
              <w:szCs w:val="24"/>
            </w:rPr>
            <w:t>f</w:t>
          </w:r>
          <w:r w:rsidRPr="00492A13">
            <w:rPr>
              <w:rFonts w:ascii="Garamond" w:hAnsi="Garamond" w:cs="Times New Roman"/>
              <w:sz w:val="24"/>
              <w:szCs w:val="24"/>
            </w:rPr>
            <w:t xml:space="preserve">indings from the </w:t>
          </w:r>
          <w:r w:rsidR="009C4B3C" w:rsidRPr="00492A13">
            <w:rPr>
              <w:rFonts w:ascii="Garamond" w:hAnsi="Garamond" w:cs="Times New Roman"/>
              <w:sz w:val="24"/>
              <w:szCs w:val="24"/>
            </w:rPr>
            <w:t>f</w:t>
          </w:r>
          <w:r w:rsidRPr="00492A13">
            <w:rPr>
              <w:rFonts w:ascii="Garamond" w:hAnsi="Garamond" w:cs="Times New Roman"/>
              <w:sz w:val="24"/>
              <w:szCs w:val="24"/>
            </w:rPr>
            <w:t xml:space="preserve">ourth American School District Panel Survey. </w:t>
          </w:r>
          <w:r w:rsidRPr="00F719E2">
            <w:rPr>
              <w:rFonts w:ascii="Garamond" w:hAnsi="Garamond" w:cs="Times New Roman"/>
              <w:sz w:val="24"/>
              <w:szCs w:val="24"/>
            </w:rPr>
            <w:t>RAND Corporation.</w:t>
          </w:r>
        </w:p>
        <w:p w14:paraId="16B768C4" w14:textId="77777777" w:rsidR="002806D2" w:rsidRPr="00F719E2" w:rsidRDefault="002806D2" w:rsidP="00C6646B">
          <w:pPr>
            <w:spacing w:after="0" w:line="240" w:lineRule="auto"/>
            <w:ind w:left="720" w:hanging="720"/>
            <w:rPr>
              <w:rFonts w:ascii="Garamond" w:hAnsi="Garamond" w:cs="Times New Roman"/>
              <w:sz w:val="24"/>
              <w:szCs w:val="24"/>
            </w:rPr>
          </w:pPr>
        </w:p>
        <w:p w14:paraId="7739117A" w14:textId="7438B436" w:rsidR="00C02313" w:rsidRPr="00F719E2" w:rsidRDefault="00C02313" w:rsidP="00C6646B">
          <w:pPr>
            <w:spacing w:after="0" w:line="240" w:lineRule="auto"/>
            <w:ind w:left="720" w:hanging="720"/>
            <w:rPr>
              <w:rFonts w:ascii="Garamond" w:hAnsi="Garamond" w:cs="Times New Roman"/>
              <w:sz w:val="24"/>
              <w:szCs w:val="24"/>
            </w:rPr>
          </w:pPr>
          <w:r w:rsidRPr="00F719E2">
            <w:rPr>
              <w:rFonts w:ascii="Garamond" w:hAnsi="Garamond" w:cs="Times New Roman"/>
              <w:sz w:val="24"/>
              <w:szCs w:val="24"/>
            </w:rPr>
            <w:t xml:space="preserve">Senate Bill 3685. </w:t>
          </w:r>
          <w:r w:rsidR="00C5077D" w:rsidRPr="00F719E2">
            <w:rPr>
              <w:rFonts w:ascii="Garamond" w:hAnsi="Garamond" w:cs="Times New Roman"/>
              <w:sz w:val="24"/>
              <w:szCs w:val="24"/>
            </w:rPr>
            <w:t xml:space="preserve">Retrieved from New Jersey Legislature: </w:t>
          </w:r>
          <w:hyperlink r:id="rId27" w:history="1">
            <w:r w:rsidR="00D358AA" w:rsidRPr="00F719E2">
              <w:rPr>
                <w:rStyle w:val="Hyperlink"/>
                <w:rFonts w:ascii="Garamond" w:hAnsi="Garamond" w:cs="Times New Roman"/>
                <w:color w:val="auto"/>
                <w:sz w:val="24"/>
                <w:szCs w:val="24"/>
              </w:rPr>
              <w:t>https://pub.njleg.gov/bills/2020/S4000/3685_S4.HTM</w:t>
            </w:r>
          </w:hyperlink>
          <w:r w:rsidR="00C5077D" w:rsidRPr="00F719E2">
            <w:rPr>
              <w:rFonts w:ascii="Garamond" w:hAnsi="Garamond" w:cs="Times New Roman"/>
              <w:sz w:val="24"/>
              <w:szCs w:val="24"/>
            </w:rPr>
            <w:t>.</w:t>
          </w:r>
          <w:r w:rsidR="00D358AA" w:rsidRPr="00F719E2">
            <w:rPr>
              <w:rFonts w:ascii="Garamond" w:hAnsi="Garamond" w:cs="Times New Roman"/>
              <w:sz w:val="24"/>
              <w:szCs w:val="24"/>
            </w:rPr>
            <w:t xml:space="preserve"> </w:t>
          </w:r>
        </w:p>
        <w:p w14:paraId="6916AA71" w14:textId="77777777" w:rsidR="005947DC" w:rsidRPr="00F719E2" w:rsidRDefault="005947DC" w:rsidP="00C6646B">
          <w:pPr>
            <w:spacing w:after="0" w:line="240" w:lineRule="auto"/>
            <w:ind w:left="720" w:hanging="720"/>
            <w:rPr>
              <w:rFonts w:ascii="Garamond" w:hAnsi="Garamond" w:cs="Times New Roman"/>
              <w:sz w:val="24"/>
              <w:szCs w:val="24"/>
            </w:rPr>
          </w:pPr>
        </w:p>
        <w:p w14:paraId="7811BB10" w14:textId="6AAB79DD" w:rsidR="005947DC" w:rsidRPr="00F719E2" w:rsidRDefault="005947DC" w:rsidP="00C6646B">
          <w:pPr>
            <w:spacing w:after="0" w:line="240" w:lineRule="auto"/>
            <w:ind w:left="720" w:hanging="720"/>
            <w:rPr>
              <w:rFonts w:ascii="Garamond" w:hAnsi="Garamond" w:cs="Times New Roman"/>
              <w:sz w:val="24"/>
              <w:szCs w:val="24"/>
            </w:rPr>
          </w:pPr>
          <w:r w:rsidRPr="00F719E2">
            <w:rPr>
              <w:rFonts w:ascii="Garamond" w:hAnsi="Garamond" w:cs="Times New Roman"/>
              <w:sz w:val="24"/>
              <w:szCs w:val="24"/>
            </w:rPr>
            <w:t xml:space="preserve">Springer, M., Swain, W., &amp; Rodriguez, L. </w:t>
          </w:r>
          <w:r w:rsidR="0046172C">
            <w:rPr>
              <w:rFonts w:ascii="Garamond" w:hAnsi="Garamond" w:cs="Times New Roman"/>
              <w:sz w:val="24"/>
              <w:szCs w:val="24"/>
            </w:rPr>
            <w:t>(</w:t>
          </w:r>
          <w:r w:rsidRPr="00F719E2">
            <w:rPr>
              <w:rFonts w:ascii="Garamond" w:hAnsi="Garamond" w:cs="Times New Roman"/>
              <w:sz w:val="24"/>
              <w:szCs w:val="24"/>
            </w:rPr>
            <w:t>201</w:t>
          </w:r>
          <w:r w:rsidR="00D358AA" w:rsidRPr="00F719E2">
            <w:rPr>
              <w:rFonts w:ascii="Garamond" w:hAnsi="Garamond" w:cs="Times New Roman"/>
              <w:sz w:val="24"/>
              <w:szCs w:val="24"/>
            </w:rPr>
            <w:t>6</w:t>
          </w:r>
          <w:r w:rsidR="0046172C">
            <w:rPr>
              <w:rFonts w:ascii="Garamond" w:hAnsi="Garamond" w:cs="Times New Roman"/>
              <w:sz w:val="24"/>
              <w:szCs w:val="24"/>
            </w:rPr>
            <w:t>)</w:t>
          </w:r>
          <w:r w:rsidRPr="00F719E2">
            <w:rPr>
              <w:rFonts w:ascii="Garamond" w:hAnsi="Garamond" w:cs="Times New Roman"/>
              <w:sz w:val="24"/>
              <w:szCs w:val="24"/>
            </w:rPr>
            <w:t xml:space="preserve">. Effective </w:t>
          </w:r>
          <w:r w:rsidR="0046172C">
            <w:rPr>
              <w:rFonts w:ascii="Garamond" w:hAnsi="Garamond" w:cs="Times New Roman"/>
              <w:sz w:val="24"/>
              <w:szCs w:val="24"/>
            </w:rPr>
            <w:t>t</w:t>
          </w:r>
          <w:r w:rsidRPr="00F719E2">
            <w:rPr>
              <w:rFonts w:ascii="Garamond" w:hAnsi="Garamond" w:cs="Times New Roman"/>
              <w:sz w:val="24"/>
              <w:szCs w:val="24"/>
            </w:rPr>
            <w:t xml:space="preserve">eacher </w:t>
          </w:r>
          <w:r w:rsidR="0046172C">
            <w:rPr>
              <w:rFonts w:ascii="Garamond" w:hAnsi="Garamond" w:cs="Times New Roman"/>
              <w:sz w:val="24"/>
              <w:szCs w:val="24"/>
            </w:rPr>
            <w:t>r</w:t>
          </w:r>
          <w:r w:rsidRPr="00F719E2">
            <w:rPr>
              <w:rFonts w:ascii="Garamond" w:hAnsi="Garamond" w:cs="Times New Roman"/>
              <w:sz w:val="24"/>
              <w:szCs w:val="24"/>
            </w:rPr>
            <w:t xml:space="preserve">etention </w:t>
          </w:r>
          <w:r w:rsidR="0046172C">
            <w:rPr>
              <w:rFonts w:ascii="Garamond" w:hAnsi="Garamond" w:cs="Times New Roman"/>
              <w:sz w:val="24"/>
              <w:szCs w:val="24"/>
            </w:rPr>
            <w:t>b</w:t>
          </w:r>
          <w:r w:rsidRPr="00F719E2">
            <w:rPr>
              <w:rFonts w:ascii="Garamond" w:hAnsi="Garamond" w:cs="Times New Roman"/>
              <w:sz w:val="24"/>
              <w:szCs w:val="24"/>
            </w:rPr>
            <w:t xml:space="preserve">onuses: Evidence from Tennessee. </w:t>
          </w:r>
          <w:r w:rsidRPr="00F719E2">
            <w:rPr>
              <w:rFonts w:ascii="Garamond" w:hAnsi="Garamond" w:cs="Times New Roman"/>
              <w:i/>
              <w:iCs/>
              <w:sz w:val="24"/>
              <w:szCs w:val="24"/>
            </w:rPr>
            <w:t>Educational Evaluation and Policy Analysis</w:t>
          </w:r>
          <w:r w:rsidRPr="0046172C">
            <w:rPr>
              <w:rFonts w:ascii="Garamond" w:hAnsi="Garamond" w:cs="Times New Roman"/>
              <w:sz w:val="24"/>
              <w:szCs w:val="24"/>
            </w:rPr>
            <w:t>,</w:t>
          </w:r>
          <w:r w:rsidRPr="00F719E2">
            <w:rPr>
              <w:rFonts w:ascii="Garamond" w:hAnsi="Garamond" w:cs="Times New Roman"/>
              <w:i/>
              <w:iCs/>
              <w:sz w:val="24"/>
              <w:szCs w:val="24"/>
            </w:rPr>
            <w:t xml:space="preserve"> 38</w:t>
          </w:r>
          <w:r w:rsidRPr="00F719E2">
            <w:rPr>
              <w:rFonts w:ascii="Garamond" w:hAnsi="Garamond" w:cs="Times New Roman"/>
              <w:sz w:val="24"/>
              <w:szCs w:val="24"/>
            </w:rPr>
            <w:t>(2), 199-221.</w:t>
          </w:r>
        </w:p>
        <w:p w14:paraId="2DDEE1CA" w14:textId="77777777" w:rsidR="004672EF" w:rsidRPr="00F719E2" w:rsidRDefault="004672EF" w:rsidP="00C6646B">
          <w:pPr>
            <w:spacing w:after="0" w:line="240" w:lineRule="auto"/>
            <w:ind w:left="720" w:hanging="720"/>
            <w:rPr>
              <w:rFonts w:ascii="Garamond" w:hAnsi="Garamond" w:cs="Times New Roman"/>
              <w:sz w:val="24"/>
              <w:szCs w:val="24"/>
            </w:rPr>
          </w:pPr>
        </w:p>
        <w:p w14:paraId="4C140F4E" w14:textId="78377E44" w:rsidR="004672EF" w:rsidRPr="00F719E2" w:rsidRDefault="004672EF" w:rsidP="00C6646B">
          <w:pPr>
            <w:spacing w:after="0" w:line="240" w:lineRule="auto"/>
            <w:ind w:left="720" w:hanging="720"/>
            <w:rPr>
              <w:rFonts w:ascii="Garamond" w:hAnsi="Garamond" w:cs="Times New Roman"/>
              <w:sz w:val="24"/>
              <w:szCs w:val="24"/>
            </w:rPr>
          </w:pPr>
          <w:r w:rsidRPr="00F719E2">
            <w:rPr>
              <w:rFonts w:ascii="Garamond" w:hAnsi="Garamond" w:cs="Times New Roman"/>
              <w:sz w:val="24"/>
              <w:szCs w:val="24"/>
            </w:rPr>
            <w:t>Steele, J</w:t>
          </w:r>
          <w:r w:rsidR="00D358AA" w:rsidRPr="00F719E2">
            <w:rPr>
              <w:rFonts w:ascii="Garamond" w:hAnsi="Garamond" w:cs="Times New Roman"/>
              <w:sz w:val="24"/>
              <w:szCs w:val="24"/>
            </w:rPr>
            <w:t>.</w:t>
          </w:r>
          <w:r w:rsidRPr="00F719E2">
            <w:rPr>
              <w:rFonts w:ascii="Garamond" w:hAnsi="Garamond" w:cs="Times New Roman"/>
              <w:sz w:val="24"/>
              <w:szCs w:val="24"/>
            </w:rPr>
            <w:t>, Murnane,</w:t>
          </w:r>
          <w:r w:rsidR="00D358AA" w:rsidRPr="00F719E2">
            <w:rPr>
              <w:rFonts w:ascii="Garamond" w:hAnsi="Garamond" w:cs="Times New Roman"/>
              <w:sz w:val="24"/>
              <w:szCs w:val="24"/>
            </w:rPr>
            <w:t xml:space="preserve"> R.,</w:t>
          </w:r>
          <w:r w:rsidRPr="00F719E2">
            <w:rPr>
              <w:rFonts w:ascii="Garamond" w:hAnsi="Garamond" w:cs="Times New Roman"/>
              <w:sz w:val="24"/>
              <w:szCs w:val="24"/>
            </w:rPr>
            <w:t xml:space="preserve"> </w:t>
          </w:r>
          <w:r w:rsidR="00D358AA" w:rsidRPr="00F719E2">
            <w:rPr>
              <w:rFonts w:ascii="Garamond" w:hAnsi="Garamond" w:cs="Times New Roman"/>
              <w:sz w:val="24"/>
              <w:szCs w:val="24"/>
            </w:rPr>
            <w:t xml:space="preserve">&amp; </w:t>
          </w:r>
          <w:r w:rsidRPr="00F719E2">
            <w:rPr>
              <w:rFonts w:ascii="Garamond" w:hAnsi="Garamond" w:cs="Times New Roman"/>
              <w:sz w:val="24"/>
              <w:szCs w:val="24"/>
            </w:rPr>
            <w:t>Willett</w:t>
          </w:r>
          <w:r w:rsidR="00D358AA" w:rsidRPr="00F719E2">
            <w:rPr>
              <w:rFonts w:ascii="Garamond" w:hAnsi="Garamond" w:cs="Times New Roman"/>
              <w:sz w:val="24"/>
              <w:szCs w:val="24"/>
            </w:rPr>
            <w:t>, J.</w:t>
          </w:r>
          <w:r w:rsidRPr="00F719E2">
            <w:rPr>
              <w:rFonts w:ascii="Garamond" w:hAnsi="Garamond" w:cs="Times New Roman"/>
              <w:sz w:val="24"/>
              <w:szCs w:val="24"/>
            </w:rPr>
            <w:t xml:space="preserve"> </w:t>
          </w:r>
          <w:r w:rsidR="0046172C">
            <w:rPr>
              <w:rFonts w:ascii="Garamond" w:hAnsi="Garamond" w:cs="Times New Roman"/>
              <w:sz w:val="24"/>
              <w:szCs w:val="24"/>
            </w:rPr>
            <w:t>(</w:t>
          </w:r>
          <w:r w:rsidRPr="00F719E2">
            <w:rPr>
              <w:rFonts w:ascii="Garamond" w:hAnsi="Garamond" w:cs="Times New Roman"/>
              <w:sz w:val="24"/>
              <w:szCs w:val="24"/>
            </w:rPr>
            <w:t>2010</w:t>
          </w:r>
          <w:r w:rsidR="0046172C">
            <w:rPr>
              <w:rFonts w:ascii="Garamond" w:hAnsi="Garamond" w:cs="Times New Roman"/>
              <w:sz w:val="24"/>
              <w:szCs w:val="24"/>
            </w:rPr>
            <w:t>)</w:t>
          </w:r>
          <w:r w:rsidRPr="00F719E2">
            <w:rPr>
              <w:rFonts w:ascii="Garamond" w:hAnsi="Garamond" w:cs="Times New Roman"/>
              <w:sz w:val="24"/>
              <w:szCs w:val="24"/>
            </w:rPr>
            <w:t xml:space="preserve">. Do </w:t>
          </w:r>
          <w:r w:rsidR="0046172C">
            <w:rPr>
              <w:rFonts w:ascii="Garamond" w:hAnsi="Garamond" w:cs="Times New Roman"/>
              <w:sz w:val="24"/>
              <w:szCs w:val="24"/>
            </w:rPr>
            <w:t>f</w:t>
          </w:r>
          <w:r w:rsidRPr="00F719E2">
            <w:rPr>
              <w:rFonts w:ascii="Garamond" w:hAnsi="Garamond" w:cs="Times New Roman"/>
              <w:sz w:val="24"/>
              <w:szCs w:val="24"/>
            </w:rPr>
            <w:t xml:space="preserve">inancial </w:t>
          </w:r>
          <w:r w:rsidR="0046172C">
            <w:rPr>
              <w:rFonts w:ascii="Garamond" w:hAnsi="Garamond" w:cs="Times New Roman"/>
              <w:sz w:val="24"/>
              <w:szCs w:val="24"/>
            </w:rPr>
            <w:t>i</w:t>
          </w:r>
          <w:r w:rsidRPr="00F719E2">
            <w:rPr>
              <w:rFonts w:ascii="Garamond" w:hAnsi="Garamond" w:cs="Times New Roman"/>
              <w:sz w:val="24"/>
              <w:szCs w:val="24"/>
            </w:rPr>
            <w:t xml:space="preserve">ncentives </w:t>
          </w:r>
          <w:r w:rsidR="0046172C">
            <w:rPr>
              <w:rFonts w:ascii="Garamond" w:hAnsi="Garamond" w:cs="Times New Roman"/>
              <w:sz w:val="24"/>
              <w:szCs w:val="24"/>
            </w:rPr>
            <w:t>h</w:t>
          </w:r>
          <w:r w:rsidRPr="00F719E2">
            <w:rPr>
              <w:rFonts w:ascii="Garamond" w:hAnsi="Garamond" w:cs="Times New Roman"/>
              <w:sz w:val="24"/>
              <w:szCs w:val="24"/>
            </w:rPr>
            <w:t xml:space="preserve">elp </w:t>
          </w:r>
          <w:r w:rsidR="0046172C">
            <w:rPr>
              <w:rFonts w:ascii="Garamond" w:hAnsi="Garamond" w:cs="Times New Roman"/>
              <w:sz w:val="24"/>
              <w:szCs w:val="24"/>
            </w:rPr>
            <w:t>l</w:t>
          </w:r>
          <w:r w:rsidRPr="00F719E2">
            <w:rPr>
              <w:rFonts w:ascii="Garamond" w:hAnsi="Garamond" w:cs="Times New Roman"/>
              <w:sz w:val="24"/>
              <w:szCs w:val="24"/>
            </w:rPr>
            <w:t>ow-</w:t>
          </w:r>
          <w:r w:rsidR="0046172C">
            <w:rPr>
              <w:rFonts w:ascii="Garamond" w:hAnsi="Garamond" w:cs="Times New Roman"/>
              <w:sz w:val="24"/>
              <w:szCs w:val="24"/>
            </w:rPr>
            <w:t>p</w:t>
          </w:r>
          <w:r w:rsidRPr="00F719E2">
            <w:rPr>
              <w:rFonts w:ascii="Garamond" w:hAnsi="Garamond" w:cs="Times New Roman"/>
              <w:sz w:val="24"/>
              <w:szCs w:val="24"/>
            </w:rPr>
            <w:t xml:space="preserve">erforming </w:t>
          </w:r>
          <w:r w:rsidR="0046172C">
            <w:rPr>
              <w:rFonts w:ascii="Garamond" w:hAnsi="Garamond" w:cs="Times New Roman"/>
              <w:sz w:val="24"/>
              <w:szCs w:val="24"/>
            </w:rPr>
            <w:t>s</w:t>
          </w:r>
          <w:r w:rsidRPr="00F719E2">
            <w:rPr>
              <w:rFonts w:ascii="Garamond" w:hAnsi="Garamond" w:cs="Times New Roman"/>
              <w:sz w:val="24"/>
              <w:szCs w:val="24"/>
            </w:rPr>
            <w:t xml:space="preserve">chools </w:t>
          </w:r>
          <w:r w:rsidR="0046172C">
            <w:rPr>
              <w:rFonts w:ascii="Garamond" w:hAnsi="Garamond" w:cs="Times New Roman"/>
              <w:sz w:val="24"/>
              <w:szCs w:val="24"/>
            </w:rPr>
            <w:t>a</w:t>
          </w:r>
          <w:r w:rsidRPr="00F719E2">
            <w:rPr>
              <w:rFonts w:ascii="Garamond" w:hAnsi="Garamond" w:cs="Times New Roman"/>
              <w:sz w:val="24"/>
              <w:szCs w:val="24"/>
            </w:rPr>
            <w:t xml:space="preserve">ttract and </w:t>
          </w:r>
          <w:r w:rsidR="0046172C">
            <w:rPr>
              <w:rFonts w:ascii="Garamond" w:hAnsi="Garamond" w:cs="Times New Roman"/>
              <w:sz w:val="24"/>
              <w:szCs w:val="24"/>
            </w:rPr>
            <w:t>k</w:t>
          </w:r>
          <w:r w:rsidRPr="00F719E2">
            <w:rPr>
              <w:rFonts w:ascii="Garamond" w:hAnsi="Garamond" w:cs="Times New Roman"/>
              <w:sz w:val="24"/>
              <w:szCs w:val="24"/>
            </w:rPr>
            <w:t xml:space="preserve">eep </w:t>
          </w:r>
          <w:r w:rsidR="0046172C">
            <w:rPr>
              <w:rFonts w:ascii="Garamond" w:hAnsi="Garamond" w:cs="Times New Roman"/>
              <w:sz w:val="24"/>
              <w:szCs w:val="24"/>
            </w:rPr>
            <w:t>a</w:t>
          </w:r>
          <w:r w:rsidRPr="00F719E2">
            <w:rPr>
              <w:rFonts w:ascii="Garamond" w:hAnsi="Garamond" w:cs="Times New Roman"/>
              <w:sz w:val="24"/>
              <w:szCs w:val="24"/>
            </w:rPr>
            <w:t xml:space="preserve">cademically </w:t>
          </w:r>
          <w:r w:rsidR="0046172C">
            <w:rPr>
              <w:rFonts w:ascii="Garamond" w:hAnsi="Garamond" w:cs="Times New Roman"/>
              <w:sz w:val="24"/>
              <w:szCs w:val="24"/>
            </w:rPr>
            <w:t>t</w:t>
          </w:r>
          <w:r w:rsidRPr="00F719E2">
            <w:rPr>
              <w:rFonts w:ascii="Garamond" w:hAnsi="Garamond" w:cs="Times New Roman"/>
              <w:sz w:val="24"/>
              <w:szCs w:val="24"/>
            </w:rPr>
            <w:t xml:space="preserve">alented </w:t>
          </w:r>
          <w:r w:rsidR="0046172C">
            <w:rPr>
              <w:rFonts w:ascii="Garamond" w:hAnsi="Garamond" w:cs="Times New Roman"/>
              <w:sz w:val="24"/>
              <w:szCs w:val="24"/>
            </w:rPr>
            <w:t>t</w:t>
          </w:r>
          <w:r w:rsidRPr="00F719E2">
            <w:rPr>
              <w:rFonts w:ascii="Garamond" w:hAnsi="Garamond" w:cs="Times New Roman"/>
              <w:sz w:val="24"/>
              <w:szCs w:val="24"/>
            </w:rPr>
            <w:t xml:space="preserve">eachers? Evidence from California. </w:t>
          </w:r>
          <w:r w:rsidRPr="00F719E2">
            <w:rPr>
              <w:rFonts w:ascii="Garamond" w:hAnsi="Garamond" w:cs="Times New Roman"/>
              <w:i/>
              <w:iCs/>
              <w:sz w:val="24"/>
              <w:szCs w:val="24"/>
            </w:rPr>
            <w:t>Journal of Policy Analysis and Management</w:t>
          </w:r>
          <w:r w:rsidR="00A0193A" w:rsidRPr="0046172C">
            <w:rPr>
              <w:rFonts w:ascii="Garamond" w:hAnsi="Garamond" w:cs="Times New Roman"/>
              <w:sz w:val="24"/>
              <w:szCs w:val="24"/>
            </w:rPr>
            <w:t>,</w:t>
          </w:r>
          <w:r w:rsidRPr="0046172C">
            <w:rPr>
              <w:rFonts w:ascii="Garamond" w:hAnsi="Garamond" w:cs="Times New Roman"/>
              <w:sz w:val="24"/>
              <w:szCs w:val="24"/>
            </w:rPr>
            <w:t xml:space="preserve"> </w:t>
          </w:r>
          <w:r w:rsidRPr="00F719E2">
            <w:rPr>
              <w:rFonts w:ascii="Garamond" w:hAnsi="Garamond" w:cs="Times New Roman"/>
              <w:i/>
              <w:iCs/>
              <w:sz w:val="24"/>
              <w:szCs w:val="24"/>
            </w:rPr>
            <w:t>29</w:t>
          </w:r>
          <w:r w:rsidRPr="00F719E2">
            <w:rPr>
              <w:rFonts w:ascii="Garamond" w:hAnsi="Garamond" w:cs="Times New Roman"/>
              <w:sz w:val="24"/>
              <w:szCs w:val="24"/>
            </w:rPr>
            <w:t>(3)</w:t>
          </w:r>
          <w:r w:rsidR="00AA30D2" w:rsidRPr="00F719E2">
            <w:rPr>
              <w:rFonts w:ascii="Garamond" w:hAnsi="Garamond" w:cs="Times New Roman"/>
              <w:sz w:val="24"/>
              <w:szCs w:val="24"/>
            </w:rPr>
            <w:t>,</w:t>
          </w:r>
          <w:r w:rsidRPr="00F719E2">
            <w:rPr>
              <w:rFonts w:ascii="Garamond" w:hAnsi="Garamond" w:cs="Times New Roman"/>
              <w:sz w:val="24"/>
              <w:szCs w:val="24"/>
            </w:rPr>
            <w:t xml:space="preserve"> 451-478.</w:t>
          </w:r>
        </w:p>
        <w:p w14:paraId="3C232CB6" w14:textId="77777777" w:rsidR="00BA688F" w:rsidRPr="00F719E2" w:rsidRDefault="00BA688F" w:rsidP="00C6646B">
          <w:pPr>
            <w:spacing w:after="0" w:line="240" w:lineRule="auto"/>
            <w:rPr>
              <w:rFonts w:ascii="Garamond" w:hAnsi="Garamond" w:cs="Times New Roman"/>
              <w:sz w:val="20"/>
              <w:szCs w:val="20"/>
            </w:rPr>
          </w:pPr>
        </w:p>
        <w:p w14:paraId="24B1CEA3" w14:textId="427EE694" w:rsidR="00BC47E4" w:rsidRPr="00F719E2" w:rsidRDefault="00BC47E4" w:rsidP="00C6646B">
          <w:pPr>
            <w:pStyle w:val="Bibliography"/>
            <w:ind w:left="720" w:hanging="720"/>
            <w:rPr>
              <w:rFonts w:ascii="Garamond" w:hAnsi="Garamond" w:cs="Times New Roman"/>
              <w:noProof/>
              <w:sz w:val="24"/>
              <w:szCs w:val="24"/>
            </w:rPr>
          </w:pPr>
          <w:r w:rsidRPr="00F719E2">
            <w:rPr>
              <w:rFonts w:ascii="Garamond" w:hAnsi="Garamond" w:cs="Times New Roman"/>
              <w:i/>
              <w:iCs/>
              <w:noProof/>
              <w:sz w:val="24"/>
              <w:szCs w:val="24"/>
            </w:rPr>
            <w:t>Teacher Shortage Areas</w:t>
          </w:r>
          <w:r w:rsidRPr="00F719E2">
            <w:rPr>
              <w:rFonts w:ascii="Garamond" w:hAnsi="Garamond" w:cs="Times New Roman"/>
              <w:noProof/>
              <w:sz w:val="24"/>
              <w:szCs w:val="24"/>
            </w:rPr>
            <w:t xml:space="preserve">. </w:t>
          </w:r>
          <w:r w:rsidR="0046172C">
            <w:rPr>
              <w:rFonts w:ascii="Garamond" w:hAnsi="Garamond" w:cs="Times New Roman"/>
              <w:noProof/>
              <w:sz w:val="24"/>
              <w:szCs w:val="24"/>
            </w:rPr>
            <w:t>(</w:t>
          </w:r>
          <w:r w:rsidRPr="00F719E2">
            <w:rPr>
              <w:rFonts w:ascii="Garamond" w:hAnsi="Garamond" w:cs="Times New Roman"/>
              <w:noProof/>
              <w:sz w:val="24"/>
              <w:szCs w:val="24"/>
            </w:rPr>
            <w:t>2022</w:t>
          </w:r>
          <w:r w:rsidR="0046172C">
            <w:rPr>
              <w:rFonts w:ascii="Garamond" w:hAnsi="Garamond" w:cs="Times New Roman"/>
              <w:noProof/>
              <w:sz w:val="24"/>
              <w:szCs w:val="24"/>
            </w:rPr>
            <w:t>)</w:t>
          </w:r>
          <w:r w:rsidRPr="00F719E2">
            <w:rPr>
              <w:rFonts w:ascii="Garamond" w:hAnsi="Garamond" w:cs="Times New Roman"/>
              <w:noProof/>
              <w:sz w:val="24"/>
              <w:szCs w:val="24"/>
            </w:rPr>
            <w:t xml:space="preserve">. Retrieved from U.S. Department of Education: </w:t>
          </w:r>
          <w:hyperlink r:id="rId28" w:anchor="/reports" w:history="1">
            <w:r w:rsidR="00A0193A" w:rsidRPr="00F719E2">
              <w:rPr>
                <w:rStyle w:val="Hyperlink"/>
                <w:rFonts w:ascii="Garamond" w:hAnsi="Garamond" w:cs="Times New Roman"/>
                <w:noProof/>
                <w:color w:val="auto"/>
                <w:sz w:val="24"/>
                <w:szCs w:val="24"/>
              </w:rPr>
              <w:t>https://tsa.ed.gov/#/reports</w:t>
            </w:r>
          </w:hyperlink>
          <w:r w:rsidR="00A0193A" w:rsidRPr="00F719E2">
            <w:rPr>
              <w:rFonts w:ascii="Garamond" w:hAnsi="Garamond" w:cs="Times New Roman"/>
              <w:noProof/>
              <w:sz w:val="24"/>
              <w:szCs w:val="24"/>
            </w:rPr>
            <w:t xml:space="preserve">. </w:t>
          </w:r>
        </w:p>
        <w:p w14:paraId="06330811" w14:textId="32A80DD8" w:rsidR="0049324F" w:rsidRDefault="00366CCA" w:rsidP="00C6646B">
          <w:pPr>
            <w:rPr>
              <w:rFonts w:ascii="Times New Roman" w:hAnsi="Times New Roman" w:cs="Times New Roman"/>
              <w:sz w:val="24"/>
              <w:szCs w:val="24"/>
            </w:rPr>
          </w:pPr>
        </w:p>
      </w:sdtContent>
    </w:sdt>
    <w:p w14:paraId="145A2AE4" w14:textId="77777777" w:rsidR="009C48EF" w:rsidRPr="009C48EF" w:rsidRDefault="009C48EF" w:rsidP="009C48EF"/>
    <w:p w14:paraId="10ECC273" w14:textId="77777777" w:rsidR="00E17E4F" w:rsidRDefault="00E17E4F" w:rsidP="00E7088A">
      <w:pPr>
        <w:jc w:val="center"/>
        <w:rPr>
          <w:rFonts w:ascii="Times New Roman" w:hAnsi="Times New Roman" w:cs="Times New Roman"/>
          <w:sz w:val="24"/>
          <w:szCs w:val="24"/>
        </w:rPr>
      </w:pPr>
    </w:p>
    <w:p w14:paraId="3AA8679D" w14:textId="77777777" w:rsidR="00E17E4F" w:rsidRDefault="00E17E4F" w:rsidP="00E7088A">
      <w:pPr>
        <w:jc w:val="center"/>
        <w:rPr>
          <w:rFonts w:ascii="Times New Roman" w:hAnsi="Times New Roman" w:cs="Times New Roman"/>
          <w:sz w:val="24"/>
          <w:szCs w:val="24"/>
        </w:rPr>
      </w:pPr>
    </w:p>
    <w:p w14:paraId="70314CE0" w14:textId="5483F7DF" w:rsidR="001E7075" w:rsidRPr="00E7088A" w:rsidRDefault="001E7075" w:rsidP="00E7088A">
      <w:pPr>
        <w:rPr>
          <w:rFonts w:ascii="Times New Roman" w:hAnsi="Times New Roman" w:cs="Times New Roman"/>
          <w:sz w:val="20"/>
          <w:szCs w:val="20"/>
        </w:rPr>
      </w:pPr>
    </w:p>
    <w:p w14:paraId="1098C43A" w14:textId="77777777" w:rsidR="001E7075" w:rsidRPr="001E7075" w:rsidRDefault="001E7075" w:rsidP="001E7075">
      <w:pPr>
        <w:jc w:val="center"/>
        <w:rPr>
          <w:rFonts w:ascii="Times New Roman" w:hAnsi="Times New Roman" w:cs="Times New Roman"/>
          <w:sz w:val="24"/>
          <w:szCs w:val="24"/>
        </w:rPr>
      </w:pPr>
    </w:p>
    <w:sectPr w:rsidR="001E7075" w:rsidRPr="001E7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80D3D" w14:textId="77777777" w:rsidR="0062272F" w:rsidRDefault="0062272F" w:rsidP="00A70B6F">
      <w:pPr>
        <w:spacing w:after="0" w:line="240" w:lineRule="auto"/>
      </w:pPr>
      <w:r>
        <w:separator/>
      </w:r>
    </w:p>
  </w:endnote>
  <w:endnote w:type="continuationSeparator" w:id="0">
    <w:p w14:paraId="15CFDFD1" w14:textId="77777777" w:rsidR="0062272F" w:rsidRDefault="0062272F" w:rsidP="00A70B6F">
      <w:pPr>
        <w:spacing w:after="0" w:line="240" w:lineRule="auto"/>
      </w:pPr>
      <w:r>
        <w:continuationSeparator/>
      </w:r>
    </w:p>
  </w:endnote>
  <w:endnote w:type="continuationNotice" w:id="1">
    <w:p w14:paraId="7B0A7096" w14:textId="77777777" w:rsidR="0062272F" w:rsidRDefault="006227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A201" w14:textId="3055DD4E" w:rsidR="006A7921" w:rsidRPr="006A7921" w:rsidRDefault="006A7921">
    <w:pPr>
      <w:pStyle w:val="Footer"/>
      <w:jc w:val="center"/>
      <w:rPr>
        <w:rFonts w:ascii="Times New Roman" w:hAnsi="Times New Roman" w:cs="Times New Roman"/>
        <w:sz w:val="24"/>
        <w:szCs w:val="24"/>
      </w:rPr>
    </w:pPr>
  </w:p>
  <w:p w14:paraId="481B1863" w14:textId="16800B41" w:rsidR="00043427" w:rsidRDefault="00043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DA301" w14:textId="77777777" w:rsidR="0062272F" w:rsidRDefault="0062272F" w:rsidP="00A70B6F">
      <w:pPr>
        <w:spacing w:after="0" w:line="240" w:lineRule="auto"/>
      </w:pPr>
      <w:r>
        <w:separator/>
      </w:r>
    </w:p>
  </w:footnote>
  <w:footnote w:type="continuationSeparator" w:id="0">
    <w:p w14:paraId="13CE5252" w14:textId="77777777" w:rsidR="0062272F" w:rsidRDefault="0062272F" w:rsidP="00A70B6F">
      <w:pPr>
        <w:spacing w:after="0" w:line="240" w:lineRule="auto"/>
      </w:pPr>
      <w:r>
        <w:continuationSeparator/>
      </w:r>
    </w:p>
  </w:footnote>
  <w:footnote w:type="continuationNotice" w:id="1">
    <w:p w14:paraId="39A84631" w14:textId="77777777" w:rsidR="0062272F" w:rsidRDefault="0062272F">
      <w:pPr>
        <w:spacing w:after="0" w:line="240" w:lineRule="auto"/>
      </w:pPr>
    </w:p>
  </w:footnote>
  <w:footnote w:id="2">
    <w:p w14:paraId="6D0C05A3" w14:textId="41B73E54" w:rsidR="00CB7A1E" w:rsidRDefault="00CB7A1E">
      <w:pPr>
        <w:pStyle w:val="FootnoteText"/>
      </w:pPr>
      <w:r>
        <w:rPr>
          <w:rStyle w:val="FootnoteReference"/>
        </w:rPr>
        <w:t>*</w:t>
      </w:r>
      <w:r>
        <w:t xml:space="preserve"> </w:t>
      </w:r>
      <w:r w:rsidR="00821007" w:rsidRPr="000A32FD">
        <w:rPr>
          <w:rFonts w:ascii="Garamond" w:hAnsi="Garamond"/>
        </w:rPr>
        <w:t>The views expressed in this article are those of the authors. They do not necessarily reflect those of the Federal Trade Commission or any individual Commissioner. We would like to thank Jim Wyckoff, Gary Engelhardt, and the participants at the Association for Education Finance and Policy conferences in 2017 and 2019 for helpful comments and suggestions.</w:t>
      </w:r>
    </w:p>
  </w:footnote>
  <w:footnote w:id="3">
    <w:p w14:paraId="29FE9D77" w14:textId="32E438EA" w:rsidR="00D70587" w:rsidRPr="00F719E2" w:rsidRDefault="00D70587" w:rsidP="00D70587">
      <w:pPr>
        <w:spacing w:after="0" w:line="240" w:lineRule="auto"/>
        <w:rPr>
          <w:rFonts w:ascii="Garamond" w:hAnsi="Garamond" w:cs="Times New Roman"/>
          <w:sz w:val="20"/>
          <w:szCs w:val="20"/>
        </w:rPr>
      </w:pPr>
      <w:r w:rsidRPr="00F719E2">
        <w:rPr>
          <w:rStyle w:val="FootnoteReference"/>
          <w:rFonts w:ascii="Garamond" w:hAnsi="Garamond" w:cs="Times New Roman"/>
          <w:sz w:val="20"/>
          <w:szCs w:val="20"/>
        </w:rPr>
        <w:footnoteRef/>
      </w:r>
      <w:r w:rsidR="00E463EE" w:rsidRPr="00F719E2">
        <w:rPr>
          <w:rFonts w:ascii="Garamond" w:hAnsi="Garamond" w:cs="Times New Roman"/>
          <w:sz w:val="20"/>
          <w:szCs w:val="20"/>
        </w:rPr>
        <w:t xml:space="preserve"> </w:t>
      </w:r>
      <w:r w:rsidR="00827746" w:rsidRPr="00F719E2">
        <w:rPr>
          <w:rFonts w:ascii="Garamond" w:hAnsi="Garamond" w:cs="Times New Roman"/>
          <w:sz w:val="20"/>
          <w:szCs w:val="20"/>
        </w:rPr>
        <w:t>“High-minority” and “low-minority” are defined as 75% minority and below 25% minority, respectively.</w:t>
      </w:r>
    </w:p>
  </w:footnote>
  <w:footnote w:id="4">
    <w:p w14:paraId="165C92F5" w14:textId="77777777" w:rsidR="001F19C5" w:rsidRPr="00F719E2" w:rsidRDefault="001F19C5" w:rsidP="00C6646B">
      <w:pPr>
        <w:pStyle w:val="FootnoteText"/>
        <w:rPr>
          <w:rFonts w:ascii="Garamond" w:hAnsi="Garamond" w:cs="Times New Roman"/>
        </w:rPr>
      </w:pPr>
      <w:r w:rsidRPr="00F719E2">
        <w:rPr>
          <w:rStyle w:val="FootnoteReference"/>
          <w:rFonts w:ascii="Garamond" w:hAnsi="Garamond" w:cs="Times New Roman"/>
        </w:rPr>
        <w:footnoteRef/>
      </w:r>
      <w:r w:rsidRPr="00F719E2">
        <w:rPr>
          <w:rFonts w:ascii="Garamond" w:hAnsi="Garamond" w:cs="Times New Roman"/>
        </w:rPr>
        <w:t xml:space="preserve"> We do not assess the newer versions of the policy because of data availability and because it significantly overlaps with the pandemic.</w:t>
      </w:r>
    </w:p>
  </w:footnote>
  <w:footnote w:id="5">
    <w:p w14:paraId="0B7F7F76" w14:textId="123E6F79" w:rsidR="00251B7A" w:rsidRPr="00F719E2" w:rsidRDefault="00251B7A" w:rsidP="00C6646B">
      <w:pPr>
        <w:pStyle w:val="FootnoteText"/>
        <w:rPr>
          <w:rFonts w:ascii="Garamond" w:hAnsi="Garamond" w:cs="Times New Roman"/>
        </w:rPr>
      </w:pPr>
      <w:r w:rsidRPr="00F719E2">
        <w:rPr>
          <w:rStyle w:val="FootnoteReference"/>
          <w:rFonts w:ascii="Garamond" w:hAnsi="Garamond" w:cs="Times New Roman"/>
        </w:rPr>
        <w:footnoteRef/>
      </w:r>
      <w:r w:rsidRPr="00F719E2">
        <w:rPr>
          <w:rFonts w:ascii="Garamond" w:hAnsi="Garamond" w:cs="Times New Roman"/>
        </w:rPr>
        <w:t xml:space="preserve"> We identify RTW teachers based on their budget codes. While teachers are no longer marked as RTW in the budget codes after the policy ends, there are some who keep working full time.</w:t>
      </w:r>
      <w:r w:rsidR="009340A0" w:rsidRPr="00F719E2">
        <w:rPr>
          <w:rFonts w:ascii="Garamond" w:hAnsi="Garamond" w:cs="Times New Roman"/>
        </w:rPr>
        <w:t xml:space="preserve"> Less than a quarter of RTW teachers keep working in 2010, and even fewer remain in 2011 and 2012. </w:t>
      </w:r>
    </w:p>
  </w:footnote>
  <w:footnote w:id="6">
    <w:p w14:paraId="157279C2" w14:textId="358368F7" w:rsidR="00AD26D9" w:rsidRPr="00F719E2" w:rsidRDefault="00AD26D9" w:rsidP="00C6646B">
      <w:pPr>
        <w:pStyle w:val="FootnoteText"/>
        <w:rPr>
          <w:rFonts w:ascii="Garamond" w:hAnsi="Garamond" w:cs="Times New Roman"/>
        </w:rPr>
      </w:pPr>
      <w:r w:rsidRPr="00F719E2">
        <w:rPr>
          <w:rStyle w:val="FootnoteReference"/>
          <w:rFonts w:ascii="Garamond" w:hAnsi="Garamond" w:cs="Times New Roman"/>
        </w:rPr>
        <w:footnoteRef/>
      </w:r>
      <w:r w:rsidRPr="00F719E2">
        <w:rPr>
          <w:rFonts w:ascii="Garamond" w:hAnsi="Garamond" w:cs="Times New Roman"/>
        </w:rPr>
        <w:t xml:space="preserve"> Information about the policy is found in North Carolina General Assembly Legislation: S.L. 1998-212, S.L. 1998-217, S.L. 2000-67, S.L. 2001-424, S.L. 2002-126, S</w:t>
      </w:r>
      <w:r w:rsidR="00AF7B96" w:rsidRPr="00F719E2">
        <w:rPr>
          <w:rFonts w:ascii="Garamond" w:hAnsi="Garamond" w:cs="Times New Roman"/>
        </w:rPr>
        <w:t>.</w:t>
      </w:r>
      <w:r w:rsidRPr="00F719E2">
        <w:rPr>
          <w:rFonts w:ascii="Garamond" w:hAnsi="Garamond" w:cs="Times New Roman"/>
        </w:rPr>
        <w:t>L. 2004-124, S.L. 2005-144, S.L. 2005-276, S.L. 2005-345, S.L. 2007-145, S.L. 2007-326.</w:t>
      </w:r>
    </w:p>
  </w:footnote>
  <w:footnote w:id="7">
    <w:p w14:paraId="290733FB" w14:textId="4E33DE80" w:rsidR="00340916" w:rsidRPr="00F719E2" w:rsidRDefault="00340916" w:rsidP="00C6646B">
      <w:pPr>
        <w:pStyle w:val="FootnoteText"/>
        <w:rPr>
          <w:rFonts w:ascii="Garamond" w:hAnsi="Garamond" w:cs="Times New Roman"/>
        </w:rPr>
      </w:pPr>
      <w:r w:rsidRPr="00F719E2">
        <w:rPr>
          <w:rStyle w:val="FootnoteReference"/>
          <w:rFonts w:ascii="Garamond" w:hAnsi="Garamond" w:cs="Times New Roman"/>
        </w:rPr>
        <w:footnoteRef/>
      </w:r>
      <w:r w:rsidRPr="00F719E2">
        <w:rPr>
          <w:rFonts w:ascii="Garamond" w:hAnsi="Garamond" w:cs="Times New Roman"/>
        </w:rPr>
        <w:t xml:space="preserve"> Bleiberg &amp; Kraft (2022) describe how difficult it is to truly estimate shortages because there is no system for gathering good data on employment, vacancies, and turnover for teachers and education staff.</w:t>
      </w:r>
    </w:p>
  </w:footnote>
  <w:footnote w:id="8">
    <w:p w14:paraId="34A42F99" w14:textId="36433713" w:rsidR="00CE4E62" w:rsidRPr="002F2EFA" w:rsidRDefault="00CE4E62" w:rsidP="00C6646B">
      <w:pPr>
        <w:spacing w:after="0" w:line="240" w:lineRule="auto"/>
        <w:rPr>
          <w:rFonts w:ascii="Times New Roman" w:hAnsi="Times New Roman" w:cs="Times New Roman"/>
          <w:sz w:val="20"/>
          <w:szCs w:val="20"/>
        </w:rPr>
      </w:pPr>
      <w:r w:rsidRPr="00F719E2">
        <w:rPr>
          <w:rStyle w:val="FootnoteReference"/>
          <w:rFonts w:ascii="Garamond" w:hAnsi="Garamond" w:cs="Times New Roman"/>
          <w:sz w:val="20"/>
          <w:szCs w:val="20"/>
        </w:rPr>
        <w:footnoteRef/>
      </w:r>
      <w:r w:rsidRPr="00F719E2">
        <w:rPr>
          <w:rFonts w:ascii="Garamond" w:hAnsi="Garamond" w:cs="Times New Roman"/>
          <w:sz w:val="20"/>
          <w:szCs w:val="20"/>
        </w:rPr>
        <w:t xml:space="preserve"> There is clear evidence that experienced teachers are more effective than novices. The evidence on whether experience gained after the </w:t>
      </w:r>
      <w:r w:rsidRPr="00BE4AA9">
        <w:rPr>
          <w:rFonts w:ascii="Garamond" w:hAnsi="Garamond" w:cs="Times New Roman"/>
          <w:sz w:val="20"/>
          <w:szCs w:val="20"/>
        </w:rPr>
        <w:t>first five years leads to additional improvement in effectiveness is mixed. See Rockoff (2004); Rivkin,</w:t>
      </w:r>
      <w:r w:rsidR="00BE4AA9" w:rsidRPr="00BE4AA9">
        <w:rPr>
          <w:rFonts w:ascii="Garamond" w:hAnsi="Garamond" w:cs="Times New Roman"/>
          <w:sz w:val="20"/>
          <w:szCs w:val="20"/>
        </w:rPr>
        <w:t xml:space="preserve"> et al. </w:t>
      </w:r>
      <w:r w:rsidRPr="00BE4AA9">
        <w:rPr>
          <w:rFonts w:ascii="Garamond" w:hAnsi="Garamond" w:cs="Times New Roman"/>
          <w:sz w:val="20"/>
          <w:szCs w:val="20"/>
        </w:rPr>
        <w:t xml:space="preserve">(2005); Harris </w:t>
      </w:r>
      <w:r w:rsidR="00BE4AA9" w:rsidRPr="00BE4AA9">
        <w:rPr>
          <w:rFonts w:ascii="Garamond" w:hAnsi="Garamond" w:cs="Times New Roman"/>
          <w:sz w:val="20"/>
          <w:szCs w:val="20"/>
        </w:rPr>
        <w:t>&amp;</w:t>
      </w:r>
      <w:r w:rsidRPr="00BE4AA9">
        <w:rPr>
          <w:rFonts w:ascii="Garamond" w:hAnsi="Garamond" w:cs="Times New Roman"/>
          <w:sz w:val="20"/>
          <w:szCs w:val="20"/>
        </w:rPr>
        <w:t xml:space="preserve"> Sass (2011</w:t>
      </w:r>
      <w:r w:rsidRPr="00F719E2">
        <w:rPr>
          <w:rFonts w:ascii="Garamond" w:hAnsi="Garamond" w:cs="Times New Roman"/>
          <w:sz w:val="20"/>
          <w:szCs w:val="20"/>
        </w:rPr>
        <w:t xml:space="preserve">); </w:t>
      </w:r>
      <w:proofErr w:type="spellStart"/>
      <w:r w:rsidRPr="00F719E2">
        <w:rPr>
          <w:rFonts w:ascii="Garamond" w:hAnsi="Garamond" w:cs="Times New Roman"/>
          <w:sz w:val="20"/>
          <w:szCs w:val="20"/>
        </w:rPr>
        <w:t>Wiswall</w:t>
      </w:r>
      <w:proofErr w:type="spellEnd"/>
      <w:r w:rsidRPr="00F719E2">
        <w:rPr>
          <w:rFonts w:ascii="Garamond" w:hAnsi="Garamond" w:cs="Times New Roman"/>
          <w:sz w:val="20"/>
          <w:szCs w:val="20"/>
        </w:rPr>
        <w:t xml:space="preserve"> (2013); and </w:t>
      </w:r>
      <w:proofErr w:type="spellStart"/>
      <w:r w:rsidRPr="00F719E2">
        <w:rPr>
          <w:rFonts w:ascii="Garamond" w:hAnsi="Garamond" w:cs="Times New Roman"/>
          <w:sz w:val="20"/>
          <w:szCs w:val="20"/>
        </w:rPr>
        <w:t>Papay</w:t>
      </w:r>
      <w:proofErr w:type="spellEnd"/>
      <w:r w:rsidRPr="00F719E2">
        <w:rPr>
          <w:rFonts w:ascii="Garamond" w:hAnsi="Garamond" w:cs="Times New Roman"/>
          <w:sz w:val="20"/>
          <w:szCs w:val="20"/>
        </w:rPr>
        <w:t xml:space="preserve"> </w:t>
      </w:r>
      <w:r w:rsidR="00BE4AA9">
        <w:rPr>
          <w:rFonts w:ascii="Garamond" w:hAnsi="Garamond" w:cs="Times New Roman"/>
          <w:sz w:val="20"/>
          <w:szCs w:val="20"/>
        </w:rPr>
        <w:t xml:space="preserve">&amp; </w:t>
      </w:r>
      <w:r w:rsidRPr="00F719E2">
        <w:rPr>
          <w:rFonts w:ascii="Garamond" w:hAnsi="Garamond" w:cs="Times New Roman"/>
          <w:sz w:val="20"/>
          <w:szCs w:val="20"/>
        </w:rPr>
        <w:t>Kraft (2015).</w:t>
      </w:r>
    </w:p>
  </w:footnote>
  <w:footnote w:id="9">
    <w:p w14:paraId="72A07F7A" w14:textId="77777777" w:rsidR="005375FF" w:rsidRPr="00F719E2" w:rsidRDefault="005375FF" w:rsidP="005375FF">
      <w:pPr>
        <w:pStyle w:val="FootnoteText"/>
        <w:rPr>
          <w:rFonts w:ascii="Garamond" w:hAnsi="Garamond" w:cs="Times New Roman"/>
        </w:rPr>
      </w:pPr>
      <w:r w:rsidRPr="00F719E2">
        <w:rPr>
          <w:rStyle w:val="FootnoteReference"/>
          <w:rFonts w:ascii="Garamond" w:hAnsi="Garamond" w:cs="Times New Roman"/>
        </w:rPr>
        <w:footnoteRef/>
      </w:r>
      <w:r w:rsidRPr="00F719E2">
        <w:rPr>
          <w:rFonts w:ascii="Garamond" w:hAnsi="Garamond" w:cs="Times New Roman"/>
        </w:rPr>
        <w:t xml:space="preserve"> See S.L. 2019-110 and S.B. 2023-187 for more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EFAE" w14:textId="1626A350" w:rsidR="00B36A95" w:rsidRPr="00D830D1" w:rsidRDefault="00D830D1" w:rsidP="008C1130">
    <w:pPr>
      <w:pStyle w:val="Header"/>
      <w:rPr>
        <w:rFonts w:ascii="Garamond" w:hAnsi="Garamond"/>
        <w:sz w:val="24"/>
        <w:szCs w:val="24"/>
      </w:rPr>
    </w:pPr>
    <w:r w:rsidRPr="004D796F">
      <w:rPr>
        <w:rFonts w:ascii="Garamond" w:hAnsi="Garamond"/>
        <w:i/>
        <w:iCs/>
        <w:sz w:val="24"/>
        <w:szCs w:val="24"/>
      </w:rPr>
      <w:t>Retirees Return to Work: How a North Carolina Policy Helped Staff High-Need Schools</w:t>
    </w:r>
    <w:r w:rsidRPr="00D830D1">
      <w:rPr>
        <w:rFonts w:ascii="Garamond" w:hAnsi="Garamond"/>
        <w:sz w:val="24"/>
        <w:szCs w:val="24"/>
      </w:rPr>
      <w:t xml:space="preserve"> </w:t>
    </w:r>
    <w:r w:rsidRPr="00D830D1">
      <w:rPr>
        <w:rFonts w:ascii="Garamond" w:hAnsi="Garamond"/>
        <w:sz w:val="24"/>
        <w:szCs w:val="24"/>
      </w:rPr>
      <w:tab/>
    </w:r>
    <w:sdt>
      <w:sdtPr>
        <w:rPr>
          <w:rFonts w:ascii="Garamond" w:hAnsi="Garamond"/>
          <w:sz w:val="24"/>
          <w:szCs w:val="24"/>
        </w:rPr>
        <w:id w:val="370113265"/>
        <w:docPartObj>
          <w:docPartGallery w:val="Page Numbers (Top of Page)"/>
          <w:docPartUnique/>
        </w:docPartObj>
      </w:sdtPr>
      <w:sdtEndPr>
        <w:rPr>
          <w:noProof/>
        </w:rPr>
      </w:sdtEndPr>
      <w:sdtContent>
        <w:r w:rsidR="00B36A95" w:rsidRPr="00D830D1">
          <w:rPr>
            <w:rFonts w:ascii="Garamond" w:hAnsi="Garamond"/>
            <w:sz w:val="24"/>
            <w:szCs w:val="24"/>
          </w:rPr>
          <w:fldChar w:fldCharType="begin"/>
        </w:r>
        <w:r w:rsidR="00B36A95" w:rsidRPr="00D830D1">
          <w:rPr>
            <w:rFonts w:ascii="Garamond" w:hAnsi="Garamond"/>
            <w:sz w:val="24"/>
            <w:szCs w:val="24"/>
          </w:rPr>
          <w:instrText xml:space="preserve"> PAGE   \* MERGEFORMAT </w:instrText>
        </w:r>
        <w:r w:rsidR="00B36A95" w:rsidRPr="00D830D1">
          <w:rPr>
            <w:rFonts w:ascii="Garamond" w:hAnsi="Garamond"/>
            <w:sz w:val="24"/>
            <w:szCs w:val="24"/>
          </w:rPr>
          <w:fldChar w:fldCharType="separate"/>
        </w:r>
        <w:r w:rsidR="00B36A95" w:rsidRPr="00D830D1">
          <w:rPr>
            <w:rFonts w:ascii="Garamond" w:hAnsi="Garamond"/>
            <w:noProof/>
            <w:sz w:val="24"/>
            <w:szCs w:val="24"/>
          </w:rPr>
          <w:t>2</w:t>
        </w:r>
        <w:r w:rsidR="00B36A95" w:rsidRPr="00D830D1">
          <w:rPr>
            <w:rFonts w:ascii="Garamond" w:hAnsi="Garamond"/>
            <w:noProof/>
            <w:sz w:val="24"/>
            <w:szCs w:val="24"/>
          </w:rPr>
          <w:fldChar w:fldCharType="end"/>
        </w:r>
      </w:sdtContent>
    </w:sdt>
  </w:p>
  <w:p w14:paraId="3842ABFF" w14:textId="77777777" w:rsidR="00B36A95" w:rsidRDefault="00B36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219"/>
    <w:multiLevelType w:val="hybridMultilevel"/>
    <w:tmpl w:val="15E4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37154"/>
    <w:multiLevelType w:val="hybridMultilevel"/>
    <w:tmpl w:val="F40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B2706"/>
    <w:multiLevelType w:val="hybridMultilevel"/>
    <w:tmpl w:val="86E2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C409A"/>
    <w:multiLevelType w:val="hybridMultilevel"/>
    <w:tmpl w:val="067A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C03CC"/>
    <w:multiLevelType w:val="hybridMultilevel"/>
    <w:tmpl w:val="C556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585A76"/>
    <w:multiLevelType w:val="hybridMultilevel"/>
    <w:tmpl w:val="DC50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1059F"/>
    <w:multiLevelType w:val="hybridMultilevel"/>
    <w:tmpl w:val="C1C4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A566F"/>
    <w:multiLevelType w:val="hybridMultilevel"/>
    <w:tmpl w:val="57469FE6"/>
    <w:lvl w:ilvl="0" w:tplc="DA00B3E6">
      <w:start w:val="1"/>
      <w:numFmt w:val="decimal"/>
      <w:lvlText w:val="%1"/>
      <w:lvlJc w:val="left"/>
      <w:pPr>
        <w:ind w:left="1080" w:hanging="720"/>
      </w:pPr>
      <w:rPr>
        <w:rFonts w:hint="default"/>
      </w:rPr>
    </w:lvl>
    <w:lvl w:ilvl="1" w:tplc="68BEB6E8">
      <w:start w:val="1"/>
      <w:numFmt w:val="lowerLetter"/>
      <w:lvlText w:val="%2."/>
      <w:lvlJc w:val="left"/>
      <w:pPr>
        <w:ind w:left="1440" w:hanging="360"/>
      </w:pPr>
      <w:rPr>
        <w:b w:val="0"/>
        <w:bCs w:val="0"/>
      </w:rPr>
    </w:lvl>
    <w:lvl w:ilvl="2" w:tplc="C0BA4E24">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374564">
    <w:abstractNumId w:val="7"/>
  </w:num>
  <w:num w:numId="2" w16cid:durableId="1172798654">
    <w:abstractNumId w:val="3"/>
  </w:num>
  <w:num w:numId="3" w16cid:durableId="419329589">
    <w:abstractNumId w:val="2"/>
  </w:num>
  <w:num w:numId="4" w16cid:durableId="216550170">
    <w:abstractNumId w:val="6"/>
  </w:num>
  <w:num w:numId="5" w16cid:durableId="186333825">
    <w:abstractNumId w:val="1"/>
  </w:num>
  <w:num w:numId="6" w16cid:durableId="916867730">
    <w:abstractNumId w:val="0"/>
  </w:num>
  <w:num w:numId="7" w16cid:durableId="50691126">
    <w:abstractNumId w:val="4"/>
  </w:num>
  <w:num w:numId="8" w16cid:durableId="2031878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FC027A"/>
    <w:rsid w:val="00000698"/>
    <w:rsid w:val="0000153D"/>
    <w:rsid w:val="00002234"/>
    <w:rsid w:val="0000279F"/>
    <w:rsid w:val="00003204"/>
    <w:rsid w:val="0000443D"/>
    <w:rsid w:val="00005EEA"/>
    <w:rsid w:val="00006219"/>
    <w:rsid w:val="00006D76"/>
    <w:rsid w:val="000100CA"/>
    <w:rsid w:val="000109D3"/>
    <w:rsid w:val="00010B0E"/>
    <w:rsid w:val="00013A02"/>
    <w:rsid w:val="00013A63"/>
    <w:rsid w:val="0001580B"/>
    <w:rsid w:val="00015C61"/>
    <w:rsid w:val="00016530"/>
    <w:rsid w:val="00016547"/>
    <w:rsid w:val="00017258"/>
    <w:rsid w:val="00017986"/>
    <w:rsid w:val="0002066E"/>
    <w:rsid w:val="0002166E"/>
    <w:rsid w:val="00021AAF"/>
    <w:rsid w:val="00023646"/>
    <w:rsid w:val="000252CB"/>
    <w:rsid w:val="0002638A"/>
    <w:rsid w:val="000276C0"/>
    <w:rsid w:val="00030175"/>
    <w:rsid w:val="0003037E"/>
    <w:rsid w:val="00034657"/>
    <w:rsid w:val="000374A8"/>
    <w:rsid w:val="00040053"/>
    <w:rsid w:val="00040554"/>
    <w:rsid w:val="0004104C"/>
    <w:rsid w:val="00042BCC"/>
    <w:rsid w:val="00042EF9"/>
    <w:rsid w:val="00042F51"/>
    <w:rsid w:val="00043427"/>
    <w:rsid w:val="00044408"/>
    <w:rsid w:val="0004468E"/>
    <w:rsid w:val="000447CE"/>
    <w:rsid w:val="00045686"/>
    <w:rsid w:val="00046409"/>
    <w:rsid w:val="0004683D"/>
    <w:rsid w:val="000512B5"/>
    <w:rsid w:val="000519A2"/>
    <w:rsid w:val="00051C0C"/>
    <w:rsid w:val="000530CE"/>
    <w:rsid w:val="00055088"/>
    <w:rsid w:val="000565A3"/>
    <w:rsid w:val="000567A7"/>
    <w:rsid w:val="00056E43"/>
    <w:rsid w:val="000576AF"/>
    <w:rsid w:val="00057C30"/>
    <w:rsid w:val="000603E9"/>
    <w:rsid w:val="000605C9"/>
    <w:rsid w:val="00063FDA"/>
    <w:rsid w:val="00065599"/>
    <w:rsid w:val="000663EE"/>
    <w:rsid w:val="00066984"/>
    <w:rsid w:val="00067D26"/>
    <w:rsid w:val="00070CFC"/>
    <w:rsid w:val="00072233"/>
    <w:rsid w:val="00073896"/>
    <w:rsid w:val="000740A4"/>
    <w:rsid w:val="00074485"/>
    <w:rsid w:val="00075557"/>
    <w:rsid w:val="00075919"/>
    <w:rsid w:val="000764A3"/>
    <w:rsid w:val="00077108"/>
    <w:rsid w:val="00077CBA"/>
    <w:rsid w:val="0007C979"/>
    <w:rsid w:val="0008047F"/>
    <w:rsid w:val="00082F59"/>
    <w:rsid w:val="0008329C"/>
    <w:rsid w:val="0008365F"/>
    <w:rsid w:val="000836D6"/>
    <w:rsid w:val="000854A6"/>
    <w:rsid w:val="00086396"/>
    <w:rsid w:val="0009455E"/>
    <w:rsid w:val="00094D6D"/>
    <w:rsid w:val="00094F2A"/>
    <w:rsid w:val="00095485"/>
    <w:rsid w:val="00096266"/>
    <w:rsid w:val="0009627F"/>
    <w:rsid w:val="00096AA0"/>
    <w:rsid w:val="000A55C2"/>
    <w:rsid w:val="000A5BF5"/>
    <w:rsid w:val="000A5CA0"/>
    <w:rsid w:val="000A66C0"/>
    <w:rsid w:val="000A7B7C"/>
    <w:rsid w:val="000A7C58"/>
    <w:rsid w:val="000B029F"/>
    <w:rsid w:val="000B0575"/>
    <w:rsid w:val="000B0AF8"/>
    <w:rsid w:val="000B32CE"/>
    <w:rsid w:val="000B3B4B"/>
    <w:rsid w:val="000B3E89"/>
    <w:rsid w:val="000B4D7E"/>
    <w:rsid w:val="000B5258"/>
    <w:rsid w:val="000B64F4"/>
    <w:rsid w:val="000B658B"/>
    <w:rsid w:val="000B7594"/>
    <w:rsid w:val="000B791E"/>
    <w:rsid w:val="000B7973"/>
    <w:rsid w:val="000C04AB"/>
    <w:rsid w:val="000C1AEC"/>
    <w:rsid w:val="000C38EB"/>
    <w:rsid w:val="000C6D64"/>
    <w:rsid w:val="000C6D6E"/>
    <w:rsid w:val="000C73C4"/>
    <w:rsid w:val="000C78D3"/>
    <w:rsid w:val="000D0A6A"/>
    <w:rsid w:val="000D140D"/>
    <w:rsid w:val="000D26F3"/>
    <w:rsid w:val="000D2F46"/>
    <w:rsid w:val="000D31DC"/>
    <w:rsid w:val="000D45CC"/>
    <w:rsid w:val="000D4CD6"/>
    <w:rsid w:val="000D5925"/>
    <w:rsid w:val="000D5CA8"/>
    <w:rsid w:val="000D6974"/>
    <w:rsid w:val="000D74E5"/>
    <w:rsid w:val="000E01E5"/>
    <w:rsid w:val="000E0442"/>
    <w:rsid w:val="000E1583"/>
    <w:rsid w:val="000E19BF"/>
    <w:rsid w:val="000E1CC6"/>
    <w:rsid w:val="000E26B3"/>
    <w:rsid w:val="000E4257"/>
    <w:rsid w:val="000E4F32"/>
    <w:rsid w:val="000E5488"/>
    <w:rsid w:val="000E5760"/>
    <w:rsid w:val="000E5FE1"/>
    <w:rsid w:val="000E654A"/>
    <w:rsid w:val="000F01B2"/>
    <w:rsid w:val="000F041D"/>
    <w:rsid w:val="000F1693"/>
    <w:rsid w:val="000F3AD5"/>
    <w:rsid w:val="000F6427"/>
    <w:rsid w:val="001021B3"/>
    <w:rsid w:val="00103997"/>
    <w:rsid w:val="00103ED4"/>
    <w:rsid w:val="001045F3"/>
    <w:rsid w:val="00105089"/>
    <w:rsid w:val="00105443"/>
    <w:rsid w:val="00105DA1"/>
    <w:rsid w:val="00105DCF"/>
    <w:rsid w:val="001060E8"/>
    <w:rsid w:val="0011056D"/>
    <w:rsid w:val="00110B7B"/>
    <w:rsid w:val="00110C52"/>
    <w:rsid w:val="001113B2"/>
    <w:rsid w:val="00112ECE"/>
    <w:rsid w:val="00113326"/>
    <w:rsid w:val="00114A47"/>
    <w:rsid w:val="00117226"/>
    <w:rsid w:val="00117A52"/>
    <w:rsid w:val="00117E83"/>
    <w:rsid w:val="001207D0"/>
    <w:rsid w:val="00120B86"/>
    <w:rsid w:val="00120F8D"/>
    <w:rsid w:val="00121E7A"/>
    <w:rsid w:val="00122F45"/>
    <w:rsid w:val="00124D0D"/>
    <w:rsid w:val="00127079"/>
    <w:rsid w:val="001337DC"/>
    <w:rsid w:val="001338D4"/>
    <w:rsid w:val="00135755"/>
    <w:rsid w:val="00135B9A"/>
    <w:rsid w:val="00136A4A"/>
    <w:rsid w:val="00137162"/>
    <w:rsid w:val="00137890"/>
    <w:rsid w:val="00140836"/>
    <w:rsid w:val="00141F4F"/>
    <w:rsid w:val="0014304F"/>
    <w:rsid w:val="001441B7"/>
    <w:rsid w:val="001442F5"/>
    <w:rsid w:val="00145367"/>
    <w:rsid w:val="0014545A"/>
    <w:rsid w:val="00146C42"/>
    <w:rsid w:val="0015067C"/>
    <w:rsid w:val="0015186D"/>
    <w:rsid w:val="00151FA7"/>
    <w:rsid w:val="001525B7"/>
    <w:rsid w:val="00152E0C"/>
    <w:rsid w:val="00154C1A"/>
    <w:rsid w:val="00154DCE"/>
    <w:rsid w:val="001553AD"/>
    <w:rsid w:val="001559F2"/>
    <w:rsid w:val="00157769"/>
    <w:rsid w:val="00157AB8"/>
    <w:rsid w:val="00157E84"/>
    <w:rsid w:val="00160787"/>
    <w:rsid w:val="0016245E"/>
    <w:rsid w:val="00162E71"/>
    <w:rsid w:val="00164685"/>
    <w:rsid w:val="001658A1"/>
    <w:rsid w:val="00165AC3"/>
    <w:rsid w:val="00166AC7"/>
    <w:rsid w:val="00166B81"/>
    <w:rsid w:val="00167996"/>
    <w:rsid w:val="001706EE"/>
    <w:rsid w:val="00170788"/>
    <w:rsid w:val="00170AC3"/>
    <w:rsid w:val="00170F34"/>
    <w:rsid w:val="001727A2"/>
    <w:rsid w:val="00174867"/>
    <w:rsid w:val="00174CC9"/>
    <w:rsid w:val="00177D81"/>
    <w:rsid w:val="0018033F"/>
    <w:rsid w:val="00180A86"/>
    <w:rsid w:val="00181678"/>
    <w:rsid w:val="00181CF4"/>
    <w:rsid w:val="0018235D"/>
    <w:rsid w:val="0018270A"/>
    <w:rsid w:val="00182B3A"/>
    <w:rsid w:val="0018303A"/>
    <w:rsid w:val="0018340A"/>
    <w:rsid w:val="0018562D"/>
    <w:rsid w:val="00187C1E"/>
    <w:rsid w:val="00190142"/>
    <w:rsid w:val="00190A1B"/>
    <w:rsid w:val="00192005"/>
    <w:rsid w:val="00192244"/>
    <w:rsid w:val="001926E0"/>
    <w:rsid w:val="00193442"/>
    <w:rsid w:val="0019477F"/>
    <w:rsid w:val="00194EE1"/>
    <w:rsid w:val="00195047"/>
    <w:rsid w:val="001952A5"/>
    <w:rsid w:val="001960EB"/>
    <w:rsid w:val="00196B94"/>
    <w:rsid w:val="001972AE"/>
    <w:rsid w:val="001A03E6"/>
    <w:rsid w:val="001A0A5E"/>
    <w:rsid w:val="001A26DA"/>
    <w:rsid w:val="001A2ED1"/>
    <w:rsid w:val="001A4745"/>
    <w:rsid w:val="001A6624"/>
    <w:rsid w:val="001A718F"/>
    <w:rsid w:val="001B3431"/>
    <w:rsid w:val="001B60D1"/>
    <w:rsid w:val="001B694D"/>
    <w:rsid w:val="001B7F99"/>
    <w:rsid w:val="001C0B49"/>
    <w:rsid w:val="001C0BCD"/>
    <w:rsid w:val="001C1269"/>
    <w:rsid w:val="001C1F95"/>
    <w:rsid w:val="001C270F"/>
    <w:rsid w:val="001C34DB"/>
    <w:rsid w:val="001C3946"/>
    <w:rsid w:val="001C431D"/>
    <w:rsid w:val="001C4A7F"/>
    <w:rsid w:val="001C573B"/>
    <w:rsid w:val="001C6546"/>
    <w:rsid w:val="001C7BE1"/>
    <w:rsid w:val="001D02F3"/>
    <w:rsid w:val="001D0753"/>
    <w:rsid w:val="001D1B9F"/>
    <w:rsid w:val="001D1ED7"/>
    <w:rsid w:val="001D3131"/>
    <w:rsid w:val="001D3135"/>
    <w:rsid w:val="001D3911"/>
    <w:rsid w:val="001D4A43"/>
    <w:rsid w:val="001E089A"/>
    <w:rsid w:val="001E0BE7"/>
    <w:rsid w:val="001E26CF"/>
    <w:rsid w:val="001E2AA4"/>
    <w:rsid w:val="001E7075"/>
    <w:rsid w:val="001F0240"/>
    <w:rsid w:val="001F05B6"/>
    <w:rsid w:val="001F1995"/>
    <w:rsid w:val="001F19C5"/>
    <w:rsid w:val="001F2308"/>
    <w:rsid w:val="001F2F3E"/>
    <w:rsid w:val="001F3055"/>
    <w:rsid w:val="001F6A8A"/>
    <w:rsid w:val="00200E60"/>
    <w:rsid w:val="002014E0"/>
    <w:rsid w:val="00204793"/>
    <w:rsid w:val="0020578E"/>
    <w:rsid w:val="00205AB0"/>
    <w:rsid w:val="00207F43"/>
    <w:rsid w:val="00210057"/>
    <w:rsid w:val="00210DD4"/>
    <w:rsid w:val="002113CE"/>
    <w:rsid w:val="00211A64"/>
    <w:rsid w:val="00211A67"/>
    <w:rsid w:val="002144D9"/>
    <w:rsid w:val="00214B80"/>
    <w:rsid w:val="00215CA6"/>
    <w:rsid w:val="002166E9"/>
    <w:rsid w:val="00217DAC"/>
    <w:rsid w:val="00221915"/>
    <w:rsid w:val="00221C17"/>
    <w:rsid w:val="00224A78"/>
    <w:rsid w:val="00224E11"/>
    <w:rsid w:val="00224E44"/>
    <w:rsid w:val="0022788D"/>
    <w:rsid w:val="00230369"/>
    <w:rsid w:val="0023110C"/>
    <w:rsid w:val="00231902"/>
    <w:rsid w:val="0023256F"/>
    <w:rsid w:val="00232DE0"/>
    <w:rsid w:val="00233EF4"/>
    <w:rsid w:val="0023414A"/>
    <w:rsid w:val="002354F2"/>
    <w:rsid w:val="002359AA"/>
    <w:rsid w:val="00235B12"/>
    <w:rsid w:val="00236EC1"/>
    <w:rsid w:val="00240282"/>
    <w:rsid w:val="0024029B"/>
    <w:rsid w:val="002408FD"/>
    <w:rsid w:val="00240C3B"/>
    <w:rsid w:val="00242FC6"/>
    <w:rsid w:val="00244DAA"/>
    <w:rsid w:val="002468CB"/>
    <w:rsid w:val="002474A3"/>
    <w:rsid w:val="00247615"/>
    <w:rsid w:val="002477E5"/>
    <w:rsid w:val="00247BCF"/>
    <w:rsid w:val="002501CD"/>
    <w:rsid w:val="00250A8D"/>
    <w:rsid w:val="00251B7A"/>
    <w:rsid w:val="00253553"/>
    <w:rsid w:val="00254F1B"/>
    <w:rsid w:val="002562C3"/>
    <w:rsid w:val="00256AD7"/>
    <w:rsid w:val="002571D9"/>
    <w:rsid w:val="00257E2D"/>
    <w:rsid w:val="00260D3F"/>
    <w:rsid w:val="002623B1"/>
    <w:rsid w:val="002626AE"/>
    <w:rsid w:val="0026380E"/>
    <w:rsid w:val="00264259"/>
    <w:rsid w:val="00264F8C"/>
    <w:rsid w:val="00265B34"/>
    <w:rsid w:val="00270068"/>
    <w:rsid w:val="00270447"/>
    <w:rsid w:val="00273662"/>
    <w:rsid w:val="002746F5"/>
    <w:rsid w:val="00274D75"/>
    <w:rsid w:val="002770D8"/>
    <w:rsid w:val="00277A0A"/>
    <w:rsid w:val="002801B5"/>
    <w:rsid w:val="002806D2"/>
    <w:rsid w:val="00280D0F"/>
    <w:rsid w:val="00281BF4"/>
    <w:rsid w:val="00281EEE"/>
    <w:rsid w:val="00282A65"/>
    <w:rsid w:val="00282BEB"/>
    <w:rsid w:val="00284348"/>
    <w:rsid w:val="002848F7"/>
    <w:rsid w:val="00284E0B"/>
    <w:rsid w:val="00287842"/>
    <w:rsid w:val="00287FB2"/>
    <w:rsid w:val="00291250"/>
    <w:rsid w:val="002939F9"/>
    <w:rsid w:val="00293D3C"/>
    <w:rsid w:val="0029409F"/>
    <w:rsid w:val="00294D6B"/>
    <w:rsid w:val="00295BF4"/>
    <w:rsid w:val="0029610F"/>
    <w:rsid w:val="00296F47"/>
    <w:rsid w:val="00297E1A"/>
    <w:rsid w:val="002A034D"/>
    <w:rsid w:val="002A0FE4"/>
    <w:rsid w:val="002A2635"/>
    <w:rsid w:val="002A2EB4"/>
    <w:rsid w:val="002A5E49"/>
    <w:rsid w:val="002A73BA"/>
    <w:rsid w:val="002B02D9"/>
    <w:rsid w:val="002B1D88"/>
    <w:rsid w:val="002B25E0"/>
    <w:rsid w:val="002B3001"/>
    <w:rsid w:val="002B30C4"/>
    <w:rsid w:val="002B33C7"/>
    <w:rsid w:val="002B44F1"/>
    <w:rsid w:val="002B4ED6"/>
    <w:rsid w:val="002B4F39"/>
    <w:rsid w:val="002B50F3"/>
    <w:rsid w:val="002B5B10"/>
    <w:rsid w:val="002B6382"/>
    <w:rsid w:val="002B65E4"/>
    <w:rsid w:val="002B6F24"/>
    <w:rsid w:val="002B7110"/>
    <w:rsid w:val="002B73DD"/>
    <w:rsid w:val="002B7D24"/>
    <w:rsid w:val="002B7E4E"/>
    <w:rsid w:val="002C01A8"/>
    <w:rsid w:val="002C1EE2"/>
    <w:rsid w:val="002C3402"/>
    <w:rsid w:val="002C51EE"/>
    <w:rsid w:val="002C6DD9"/>
    <w:rsid w:val="002C7E41"/>
    <w:rsid w:val="002D09E6"/>
    <w:rsid w:val="002D0A2B"/>
    <w:rsid w:val="002D11D5"/>
    <w:rsid w:val="002D1BCB"/>
    <w:rsid w:val="002D34FD"/>
    <w:rsid w:val="002D35D8"/>
    <w:rsid w:val="002D417A"/>
    <w:rsid w:val="002D5347"/>
    <w:rsid w:val="002D7F9F"/>
    <w:rsid w:val="002E0252"/>
    <w:rsid w:val="002E0262"/>
    <w:rsid w:val="002E14A6"/>
    <w:rsid w:val="002E1760"/>
    <w:rsid w:val="002E282F"/>
    <w:rsid w:val="002E2CB0"/>
    <w:rsid w:val="002E4729"/>
    <w:rsid w:val="002E503E"/>
    <w:rsid w:val="002E620F"/>
    <w:rsid w:val="002E7319"/>
    <w:rsid w:val="002E7982"/>
    <w:rsid w:val="002F0679"/>
    <w:rsid w:val="002F2EFA"/>
    <w:rsid w:val="002F340B"/>
    <w:rsid w:val="002F3842"/>
    <w:rsid w:val="002F3901"/>
    <w:rsid w:val="002F3F62"/>
    <w:rsid w:val="002F4B62"/>
    <w:rsid w:val="002F55FF"/>
    <w:rsid w:val="002F61A4"/>
    <w:rsid w:val="002F6D95"/>
    <w:rsid w:val="002F7D4A"/>
    <w:rsid w:val="002F7E57"/>
    <w:rsid w:val="00300B42"/>
    <w:rsid w:val="00301EF3"/>
    <w:rsid w:val="00302267"/>
    <w:rsid w:val="00302AD7"/>
    <w:rsid w:val="0030309F"/>
    <w:rsid w:val="003055A3"/>
    <w:rsid w:val="00305938"/>
    <w:rsid w:val="00305A1D"/>
    <w:rsid w:val="00306207"/>
    <w:rsid w:val="0030692A"/>
    <w:rsid w:val="00306BEC"/>
    <w:rsid w:val="00307786"/>
    <w:rsid w:val="00307C18"/>
    <w:rsid w:val="0031351D"/>
    <w:rsid w:val="003153B4"/>
    <w:rsid w:val="00315938"/>
    <w:rsid w:val="00316704"/>
    <w:rsid w:val="003209B9"/>
    <w:rsid w:val="00321E5E"/>
    <w:rsid w:val="00322A74"/>
    <w:rsid w:val="00323D5F"/>
    <w:rsid w:val="00323DE2"/>
    <w:rsid w:val="003241C4"/>
    <w:rsid w:val="003257AD"/>
    <w:rsid w:val="00327978"/>
    <w:rsid w:val="00327F21"/>
    <w:rsid w:val="003304AB"/>
    <w:rsid w:val="00330B91"/>
    <w:rsid w:val="003310DA"/>
    <w:rsid w:val="003321A4"/>
    <w:rsid w:val="00333083"/>
    <w:rsid w:val="00333BA7"/>
    <w:rsid w:val="0033530E"/>
    <w:rsid w:val="003361A9"/>
    <w:rsid w:val="0033704B"/>
    <w:rsid w:val="00340916"/>
    <w:rsid w:val="00340CD0"/>
    <w:rsid w:val="00342673"/>
    <w:rsid w:val="00343746"/>
    <w:rsid w:val="00345A15"/>
    <w:rsid w:val="00345D2B"/>
    <w:rsid w:val="00347B81"/>
    <w:rsid w:val="00351037"/>
    <w:rsid w:val="00351FC7"/>
    <w:rsid w:val="0035217D"/>
    <w:rsid w:val="00353C85"/>
    <w:rsid w:val="00361490"/>
    <w:rsid w:val="00362557"/>
    <w:rsid w:val="00365172"/>
    <w:rsid w:val="00367668"/>
    <w:rsid w:val="00367CB9"/>
    <w:rsid w:val="00367F98"/>
    <w:rsid w:val="00371AAE"/>
    <w:rsid w:val="0037523A"/>
    <w:rsid w:val="003752D2"/>
    <w:rsid w:val="0037672F"/>
    <w:rsid w:val="00381145"/>
    <w:rsid w:val="00382AEE"/>
    <w:rsid w:val="00383213"/>
    <w:rsid w:val="00384B5B"/>
    <w:rsid w:val="00386B4F"/>
    <w:rsid w:val="00386D8E"/>
    <w:rsid w:val="00387561"/>
    <w:rsid w:val="0039123D"/>
    <w:rsid w:val="00391FAD"/>
    <w:rsid w:val="00392802"/>
    <w:rsid w:val="00392C3B"/>
    <w:rsid w:val="00394502"/>
    <w:rsid w:val="00395BC6"/>
    <w:rsid w:val="003964B2"/>
    <w:rsid w:val="003A057B"/>
    <w:rsid w:val="003A2C0F"/>
    <w:rsid w:val="003A2EB7"/>
    <w:rsid w:val="003A37C7"/>
    <w:rsid w:val="003A3A62"/>
    <w:rsid w:val="003A4A9F"/>
    <w:rsid w:val="003A4B43"/>
    <w:rsid w:val="003A51AC"/>
    <w:rsid w:val="003A598C"/>
    <w:rsid w:val="003A5C4E"/>
    <w:rsid w:val="003A674F"/>
    <w:rsid w:val="003A70D4"/>
    <w:rsid w:val="003A7282"/>
    <w:rsid w:val="003A78EA"/>
    <w:rsid w:val="003B01F6"/>
    <w:rsid w:val="003B12EC"/>
    <w:rsid w:val="003B167E"/>
    <w:rsid w:val="003B2020"/>
    <w:rsid w:val="003B3E7D"/>
    <w:rsid w:val="003B5DF3"/>
    <w:rsid w:val="003B691F"/>
    <w:rsid w:val="003B7198"/>
    <w:rsid w:val="003B743D"/>
    <w:rsid w:val="003C14CA"/>
    <w:rsid w:val="003C2D6A"/>
    <w:rsid w:val="003C2FB1"/>
    <w:rsid w:val="003C30AB"/>
    <w:rsid w:val="003C51F6"/>
    <w:rsid w:val="003C5304"/>
    <w:rsid w:val="003C689E"/>
    <w:rsid w:val="003C7197"/>
    <w:rsid w:val="003D16A2"/>
    <w:rsid w:val="003D25D8"/>
    <w:rsid w:val="003D7164"/>
    <w:rsid w:val="003D71DF"/>
    <w:rsid w:val="003D7C85"/>
    <w:rsid w:val="003E2343"/>
    <w:rsid w:val="003E32C7"/>
    <w:rsid w:val="003E39DC"/>
    <w:rsid w:val="003E3CF0"/>
    <w:rsid w:val="003E63BD"/>
    <w:rsid w:val="003E6441"/>
    <w:rsid w:val="003E681F"/>
    <w:rsid w:val="003F01B2"/>
    <w:rsid w:val="003F1199"/>
    <w:rsid w:val="003F1838"/>
    <w:rsid w:val="003F44A2"/>
    <w:rsid w:val="003F4B17"/>
    <w:rsid w:val="003F55D5"/>
    <w:rsid w:val="003F5704"/>
    <w:rsid w:val="00400173"/>
    <w:rsid w:val="0040041D"/>
    <w:rsid w:val="00400949"/>
    <w:rsid w:val="00401D63"/>
    <w:rsid w:val="00402213"/>
    <w:rsid w:val="004023FA"/>
    <w:rsid w:val="004026BF"/>
    <w:rsid w:val="00403D37"/>
    <w:rsid w:val="00404FF3"/>
    <w:rsid w:val="004066A4"/>
    <w:rsid w:val="00406E51"/>
    <w:rsid w:val="004100F9"/>
    <w:rsid w:val="0041271A"/>
    <w:rsid w:val="00413C0C"/>
    <w:rsid w:val="00413DAC"/>
    <w:rsid w:val="00413F41"/>
    <w:rsid w:val="00414241"/>
    <w:rsid w:val="00415350"/>
    <w:rsid w:val="00420424"/>
    <w:rsid w:val="004238F1"/>
    <w:rsid w:val="004242CA"/>
    <w:rsid w:val="0042618F"/>
    <w:rsid w:val="00430581"/>
    <w:rsid w:val="004316F0"/>
    <w:rsid w:val="00433D8C"/>
    <w:rsid w:val="0043623A"/>
    <w:rsid w:val="00440E82"/>
    <w:rsid w:val="0044162B"/>
    <w:rsid w:val="00441765"/>
    <w:rsid w:val="00441998"/>
    <w:rsid w:val="00442939"/>
    <w:rsid w:val="004443D7"/>
    <w:rsid w:val="00444702"/>
    <w:rsid w:val="004452D9"/>
    <w:rsid w:val="00445437"/>
    <w:rsid w:val="0044561F"/>
    <w:rsid w:val="00445CFE"/>
    <w:rsid w:val="00446998"/>
    <w:rsid w:val="004475C0"/>
    <w:rsid w:val="00447963"/>
    <w:rsid w:val="00450109"/>
    <w:rsid w:val="00450705"/>
    <w:rsid w:val="00450BAF"/>
    <w:rsid w:val="00452B2A"/>
    <w:rsid w:val="00452B8E"/>
    <w:rsid w:val="00452D5F"/>
    <w:rsid w:val="00453C10"/>
    <w:rsid w:val="0045495E"/>
    <w:rsid w:val="00454ADD"/>
    <w:rsid w:val="00454FAC"/>
    <w:rsid w:val="00455247"/>
    <w:rsid w:val="0045531A"/>
    <w:rsid w:val="00456D49"/>
    <w:rsid w:val="00461393"/>
    <w:rsid w:val="004616A5"/>
    <w:rsid w:val="0046172C"/>
    <w:rsid w:val="00462C7D"/>
    <w:rsid w:val="004636C7"/>
    <w:rsid w:val="004645A6"/>
    <w:rsid w:val="00465D60"/>
    <w:rsid w:val="004672EF"/>
    <w:rsid w:val="004734B6"/>
    <w:rsid w:val="0047364D"/>
    <w:rsid w:val="00474662"/>
    <w:rsid w:val="00475555"/>
    <w:rsid w:val="00475787"/>
    <w:rsid w:val="00477174"/>
    <w:rsid w:val="00477FE7"/>
    <w:rsid w:val="0048075D"/>
    <w:rsid w:val="0048475E"/>
    <w:rsid w:val="00485030"/>
    <w:rsid w:val="0048513B"/>
    <w:rsid w:val="00485354"/>
    <w:rsid w:val="00486885"/>
    <w:rsid w:val="004905D9"/>
    <w:rsid w:val="00490840"/>
    <w:rsid w:val="00490F18"/>
    <w:rsid w:val="004917B8"/>
    <w:rsid w:val="004922F6"/>
    <w:rsid w:val="00492A13"/>
    <w:rsid w:val="0049324F"/>
    <w:rsid w:val="0049482F"/>
    <w:rsid w:val="0049746C"/>
    <w:rsid w:val="004A10DB"/>
    <w:rsid w:val="004A2247"/>
    <w:rsid w:val="004A2B62"/>
    <w:rsid w:val="004A47A5"/>
    <w:rsid w:val="004A6DC4"/>
    <w:rsid w:val="004B006F"/>
    <w:rsid w:val="004B05B8"/>
    <w:rsid w:val="004B0AC6"/>
    <w:rsid w:val="004B0D1E"/>
    <w:rsid w:val="004B118E"/>
    <w:rsid w:val="004B1496"/>
    <w:rsid w:val="004B1AE7"/>
    <w:rsid w:val="004B2435"/>
    <w:rsid w:val="004B2461"/>
    <w:rsid w:val="004B29DF"/>
    <w:rsid w:val="004B3442"/>
    <w:rsid w:val="004B36FF"/>
    <w:rsid w:val="004B59C3"/>
    <w:rsid w:val="004B59CF"/>
    <w:rsid w:val="004B5A67"/>
    <w:rsid w:val="004B5AB8"/>
    <w:rsid w:val="004B6438"/>
    <w:rsid w:val="004B658F"/>
    <w:rsid w:val="004B6764"/>
    <w:rsid w:val="004B7256"/>
    <w:rsid w:val="004B7381"/>
    <w:rsid w:val="004B7728"/>
    <w:rsid w:val="004B7BEF"/>
    <w:rsid w:val="004C01DC"/>
    <w:rsid w:val="004C0C0C"/>
    <w:rsid w:val="004C13C1"/>
    <w:rsid w:val="004C3A2E"/>
    <w:rsid w:val="004C4171"/>
    <w:rsid w:val="004C459F"/>
    <w:rsid w:val="004C47B0"/>
    <w:rsid w:val="004C544C"/>
    <w:rsid w:val="004C5630"/>
    <w:rsid w:val="004C5FED"/>
    <w:rsid w:val="004C6633"/>
    <w:rsid w:val="004C7837"/>
    <w:rsid w:val="004D0D57"/>
    <w:rsid w:val="004D1291"/>
    <w:rsid w:val="004D22B0"/>
    <w:rsid w:val="004D2B6A"/>
    <w:rsid w:val="004D2C03"/>
    <w:rsid w:val="004D30EC"/>
    <w:rsid w:val="004D3331"/>
    <w:rsid w:val="004D42BC"/>
    <w:rsid w:val="004D4D88"/>
    <w:rsid w:val="004D4F4F"/>
    <w:rsid w:val="004D52D5"/>
    <w:rsid w:val="004D6025"/>
    <w:rsid w:val="004D636E"/>
    <w:rsid w:val="004D796F"/>
    <w:rsid w:val="004E24FB"/>
    <w:rsid w:val="004E2CBF"/>
    <w:rsid w:val="004E37E7"/>
    <w:rsid w:val="004E52C9"/>
    <w:rsid w:val="004E53BD"/>
    <w:rsid w:val="004E6170"/>
    <w:rsid w:val="004F1E60"/>
    <w:rsid w:val="004F28DF"/>
    <w:rsid w:val="004F361F"/>
    <w:rsid w:val="004F59C7"/>
    <w:rsid w:val="004F600B"/>
    <w:rsid w:val="004F6B66"/>
    <w:rsid w:val="004F6DE3"/>
    <w:rsid w:val="004F7C04"/>
    <w:rsid w:val="0050026D"/>
    <w:rsid w:val="00501390"/>
    <w:rsid w:val="00501B17"/>
    <w:rsid w:val="00501C6D"/>
    <w:rsid w:val="00501EE3"/>
    <w:rsid w:val="00502D55"/>
    <w:rsid w:val="00504658"/>
    <w:rsid w:val="0050739F"/>
    <w:rsid w:val="00507F76"/>
    <w:rsid w:val="00510039"/>
    <w:rsid w:val="00511CF0"/>
    <w:rsid w:val="00513C75"/>
    <w:rsid w:val="00514E9E"/>
    <w:rsid w:val="00515DC3"/>
    <w:rsid w:val="0051622C"/>
    <w:rsid w:val="005178BC"/>
    <w:rsid w:val="0052033F"/>
    <w:rsid w:val="005219F3"/>
    <w:rsid w:val="00521E7E"/>
    <w:rsid w:val="00526ED0"/>
    <w:rsid w:val="00526F95"/>
    <w:rsid w:val="005300BB"/>
    <w:rsid w:val="0053062F"/>
    <w:rsid w:val="00532C4A"/>
    <w:rsid w:val="00533F50"/>
    <w:rsid w:val="00534AF7"/>
    <w:rsid w:val="00535A61"/>
    <w:rsid w:val="00536EBB"/>
    <w:rsid w:val="005370E7"/>
    <w:rsid w:val="00537156"/>
    <w:rsid w:val="005375FF"/>
    <w:rsid w:val="0054170F"/>
    <w:rsid w:val="005419C9"/>
    <w:rsid w:val="00542F70"/>
    <w:rsid w:val="00543345"/>
    <w:rsid w:val="00543C76"/>
    <w:rsid w:val="005448CE"/>
    <w:rsid w:val="00545875"/>
    <w:rsid w:val="005467B0"/>
    <w:rsid w:val="00547129"/>
    <w:rsid w:val="005500CD"/>
    <w:rsid w:val="00550652"/>
    <w:rsid w:val="005519BE"/>
    <w:rsid w:val="0055223C"/>
    <w:rsid w:val="00552541"/>
    <w:rsid w:val="005526F6"/>
    <w:rsid w:val="005533D1"/>
    <w:rsid w:val="0055342F"/>
    <w:rsid w:val="00554AD1"/>
    <w:rsid w:val="00561F21"/>
    <w:rsid w:val="0056350F"/>
    <w:rsid w:val="005639E8"/>
    <w:rsid w:val="00570B08"/>
    <w:rsid w:val="00570E5D"/>
    <w:rsid w:val="00571AE4"/>
    <w:rsid w:val="0057305C"/>
    <w:rsid w:val="00573192"/>
    <w:rsid w:val="00576BB8"/>
    <w:rsid w:val="005779DF"/>
    <w:rsid w:val="005806A0"/>
    <w:rsid w:val="0058112E"/>
    <w:rsid w:val="00581873"/>
    <w:rsid w:val="00583BBD"/>
    <w:rsid w:val="005841EA"/>
    <w:rsid w:val="00585562"/>
    <w:rsid w:val="00586BB0"/>
    <w:rsid w:val="0059062C"/>
    <w:rsid w:val="00590BEE"/>
    <w:rsid w:val="0059185F"/>
    <w:rsid w:val="005947DC"/>
    <w:rsid w:val="00595140"/>
    <w:rsid w:val="00597376"/>
    <w:rsid w:val="005A10B2"/>
    <w:rsid w:val="005A15F8"/>
    <w:rsid w:val="005A16E9"/>
    <w:rsid w:val="005A1BAC"/>
    <w:rsid w:val="005A1F39"/>
    <w:rsid w:val="005A21A9"/>
    <w:rsid w:val="005A29B1"/>
    <w:rsid w:val="005A332C"/>
    <w:rsid w:val="005A376B"/>
    <w:rsid w:val="005A4197"/>
    <w:rsid w:val="005A739B"/>
    <w:rsid w:val="005B1B6B"/>
    <w:rsid w:val="005B2130"/>
    <w:rsid w:val="005B2286"/>
    <w:rsid w:val="005B3802"/>
    <w:rsid w:val="005B3DE5"/>
    <w:rsid w:val="005B434B"/>
    <w:rsid w:val="005B57A1"/>
    <w:rsid w:val="005B57BB"/>
    <w:rsid w:val="005B5A97"/>
    <w:rsid w:val="005B61AF"/>
    <w:rsid w:val="005B6684"/>
    <w:rsid w:val="005B7F73"/>
    <w:rsid w:val="005C038C"/>
    <w:rsid w:val="005C2483"/>
    <w:rsid w:val="005C387F"/>
    <w:rsid w:val="005C48A7"/>
    <w:rsid w:val="005C5CC8"/>
    <w:rsid w:val="005D3F4C"/>
    <w:rsid w:val="005D41B0"/>
    <w:rsid w:val="005D4758"/>
    <w:rsid w:val="005D50A7"/>
    <w:rsid w:val="005D5898"/>
    <w:rsid w:val="005D732F"/>
    <w:rsid w:val="005D76B9"/>
    <w:rsid w:val="005E02DD"/>
    <w:rsid w:val="005E07F6"/>
    <w:rsid w:val="005E1468"/>
    <w:rsid w:val="005E2A12"/>
    <w:rsid w:val="005E46C0"/>
    <w:rsid w:val="005E58E1"/>
    <w:rsid w:val="005E5C89"/>
    <w:rsid w:val="005F0287"/>
    <w:rsid w:val="005F0593"/>
    <w:rsid w:val="005F10D1"/>
    <w:rsid w:val="005F14C6"/>
    <w:rsid w:val="005F199E"/>
    <w:rsid w:val="005F2A37"/>
    <w:rsid w:val="005F2C53"/>
    <w:rsid w:val="005F3496"/>
    <w:rsid w:val="005F3D59"/>
    <w:rsid w:val="005F488B"/>
    <w:rsid w:val="005F5C5C"/>
    <w:rsid w:val="005F65DE"/>
    <w:rsid w:val="005F6994"/>
    <w:rsid w:val="005F71E3"/>
    <w:rsid w:val="0060091A"/>
    <w:rsid w:val="00602943"/>
    <w:rsid w:val="0060311E"/>
    <w:rsid w:val="00605ACE"/>
    <w:rsid w:val="00605C4E"/>
    <w:rsid w:val="00606700"/>
    <w:rsid w:val="006070A4"/>
    <w:rsid w:val="00610EBB"/>
    <w:rsid w:val="006114CA"/>
    <w:rsid w:val="006137CB"/>
    <w:rsid w:val="00613BBD"/>
    <w:rsid w:val="00613CBB"/>
    <w:rsid w:val="006150CF"/>
    <w:rsid w:val="0061747E"/>
    <w:rsid w:val="00620CC0"/>
    <w:rsid w:val="0062125B"/>
    <w:rsid w:val="0062272F"/>
    <w:rsid w:val="00622750"/>
    <w:rsid w:val="006228F0"/>
    <w:rsid w:val="006238B8"/>
    <w:rsid w:val="006270B1"/>
    <w:rsid w:val="0063264F"/>
    <w:rsid w:val="0063402A"/>
    <w:rsid w:val="00634387"/>
    <w:rsid w:val="0064010D"/>
    <w:rsid w:val="006402FB"/>
    <w:rsid w:val="006422BB"/>
    <w:rsid w:val="00642DE6"/>
    <w:rsid w:val="006448A7"/>
    <w:rsid w:val="00645429"/>
    <w:rsid w:val="00645B1D"/>
    <w:rsid w:val="00645F18"/>
    <w:rsid w:val="00646A48"/>
    <w:rsid w:val="00646DA9"/>
    <w:rsid w:val="00650246"/>
    <w:rsid w:val="00651EC2"/>
    <w:rsid w:val="00652221"/>
    <w:rsid w:val="0065259C"/>
    <w:rsid w:val="0065263B"/>
    <w:rsid w:val="00653866"/>
    <w:rsid w:val="0065417D"/>
    <w:rsid w:val="00654F08"/>
    <w:rsid w:val="0065561E"/>
    <w:rsid w:val="006572E6"/>
    <w:rsid w:val="006601D0"/>
    <w:rsid w:val="00660ABA"/>
    <w:rsid w:val="006625E2"/>
    <w:rsid w:val="00662708"/>
    <w:rsid w:val="00662A70"/>
    <w:rsid w:val="0066397F"/>
    <w:rsid w:val="00663B1C"/>
    <w:rsid w:val="00664397"/>
    <w:rsid w:val="0066528A"/>
    <w:rsid w:val="006666EE"/>
    <w:rsid w:val="00671F45"/>
    <w:rsid w:val="006721A0"/>
    <w:rsid w:val="0067232A"/>
    <w:rsid w:val="00673285"/>
    <w:rsid w:val="00673826"/>
    <w:rsid w:val="00675EE8"/>
    <w:rsid w:val="00677675"/>
    <w:rsid w:val="006808AB"/>
    <w:rsid w:val="006830EB"/>
    <w:rsid w:val="00683C70"/>
    <w:rsid w:val="00683FA0"/>
    <w:rsid w:val="00684584"/>
    <w:rsid w:val="00686711"/>
    <w:rsid w:val="00686D5D"/>
    <w:rsid w:val="00686D6E"/>
    <w:rsid w:val="0068732F"/>
    <w:rsid w:val="006877F9"/>
    <w:rsid w:val="0069006B"/>
    <w:rsid w:val="00690709"/>
    <w:rsid w:val="00690DED"/>
    <w:rsid w:val="00691151"/>
    <w:rsid w:val="00693CFD"/>
    <w:rsid w:val="00693E6A"/>
    <w:rsid w:val="0069604C"/>
    <w:rsid w:val="006969B1"/>
    <w:rsid w:val="00696C26"/>
    <w:rsid w:val="006A01F7"/>
    <w:rsid w:val="006A0768"/>
    <w:rsid w:val="006A0AC1"/>
    <w:rsid w:val="006A0B60"/>
    <w:rsid w:val="006A277B"/>
    <w:rsid w:val="006A491A"/>
    <w:rsid w:val="006A5018"/>
    <w:rsid w:val="006A615C"/>
    <w:rsid w:val="006A6E56"/>
    <w:rsid w:val="006A7921"/>
    <w:rsid w:val="006B0162"/>
    <w:rsid w:val="006B1C54"/>
    <w:rsid w:val="006B2404"/>
    <w:rsid w:val="006B5466"/>
    <w:rsid w:val="006B594A"/>
    <w:rsid w:val="006B5BE6"/>
    <w:rsid w:val="006B64D2"/>
    <w:rsid w:val="006B67E4"/>
    <w:rsid w:val="006B7AA1"/>
    <w:rsid w:val="006B7FF7"/>
    <w:rsid w:val="006C0374"/>
    <w:rsid w:val="006C1121"/>
    <w:rsid w:val="006C1875"/>
    <w:rsid w:val="006C257D"/>
    <w:rsid w:val="006C418C"/>
    <w:rsid w:val="006C4B5E"/>
    <w:rsid w:val="006C56D5"/>
    <w:rsid w:val="006C5B95"/>
    <w:rsid w:val="006D08C6"/>
    <w:rsid w:val="006D0BE9"/>
    <w:rsid w:val="006D0F07"/>
    <w:rsid w:val="006D434B"/>
    <w:rsid w:val="006D518F"/>
    <w:rsid w:val="006D552F"/>
    <w:rsid w:val="006D58BD"/>
    <w:rsid w:val="006D663F"/>
    <w:rsid w:val="006D731F"/>
    <w:rsid w:val="006E13AB"/>
    <w:rsid w:val="006E15DA"/>
    <w:rsid w:val="006E2B5E"/>
    <w:rsid w:val="006E3738"/>
    <w:rsid w:val="006E64A4"/>
    <w:rsid w:val="006E6957"/>
    <w:rsid w:val="006E6AC4"/>
    <w:rsid w:val="006F023B"/>
    <w:rsid w:val="006F0CEB"/>
    <w:rsid w:val="006F10D2"/>
    <w:rsid w:val="006F1567"/>
    <w:rsid w:val="006F2CDF"/>
    <w:rsid w:val="006F3551"/>
    <w:rsid w:val="006F4E6B"/>
    <w:rsid w:val="006F5722"/>
    <w:rsid w:val="006F667F"/>
    <w:rsid w:val="00701370"/>
    <w:rsid w:val="00702253"/>
    <w:rsid w:val="00702BAF"/>
    <w:rsid w:val="007043DF"/>
    <w:rsid w:val="0070486C"/>
    <w:rsid w:val="00706DE1"/>
    <w:rsid w:val="00706F08"/>
    <w:rsid w:val="007073C6"/>
    <w:rsid w:val="00707AF3"/>
    <w:rsid w:val="00707EA9"/>
    <w:rsid w:val="00714299"/>
    <w:rsid w:val="007147A8"/>
    <w:rsid w:val="00714D1C"/>
    <w:rsid w:val="00714E5E"/>
    <w:rsid w:val="007164A8"/>
    <w:rsid w:val="00716912"/>
    <w:rsid w:val="00716A1A"/>
    <w:rsid w:val="00716A48"/>
    <w:rsid w:val="0071707C"/>
    <w:rsid w:val="007174E2"/>
    <w:rsid w:val="0071765D"/>
    <w:rsid w:val="007176C7"/>
    <w:rsid w:val="007178B0"/>
    <w:rsid w:val="00717AB7"/>
    <w:rsid w:val="00720456"/>
    <w:rsid w:val="0072071C"/>
    <w:rsid w:val="007208EC"/>
    <w:rsid w:val="00721068"/>
    <w:rsid w:val="00721880"/>
    <w:rsid w:val="007237E2"/>
    <w:rsid w:val="00723EC7"/>
    <w:rsid w:val="0072414A"/>
    <w:rsid w:val="007246AF"/>
    <w:rsid w:val="0072479C"/>
    <w:rsid w:val="00724CF4"/>
    <w:rsid w:val="007301B5"/>
    <w:rsid w:val="007342C2"/>
    <w:rsid w:val="007356AF"/>
    <w:rsid w:val="00735FF4"/>
    <w:rsid w:val="00742BBD"/>
    <w:rsid w:val="007446E2"/>
    <w:rsid w:val="00744918"/>
    <w:rsid w:val="00744A8C"/>
    <w:rsid w:val="00745890"/>
    <w:rsid w:val="00746D42"/>
    <w:rsid w:val="00747533"/>
    <w:rsid w:val="007475E9"/>
    <w:rsid w:val="0075058B"/>
    <w:rsid w:val="0075276C"/>
    <w:rsid w:val="0075290A"/>
    <w:rsid w:val="00752913"/>
    <w:rsid w:val="00754D2B"/>
    <w:rsid w:val="007550C5"/>
    <w:rsid w:val="00755254"/>
    <w:rsid w:val="00755D85"/>
    <w:rsid w:val="00756E93"/>
    <w:rsid w:val="0075734A"/>
    <w:rsid w:val="00760C4A"/>
    <w:rsid w:val="0076114D"/>
    <w:rsid w:val="007625F8"/>
    <w:rsid w:val="00763B65"/>
    <w:rsid w:val="0077071B"/>
    <w:rsid w:val="00772652"/>
    <w:rsid w:val="00772FCE"/>
    <w:rsid w:val="007735C8"/>
    <w:rsid w:val="00773979"/>
    <w:rsid w:val="00773D6F"/>
    <w:rsid w:val="00773FE5"/>
    <w:rsid w:val="00774031"/>
    <w:rsid w:val="00774FA9"/>
    <w:rsid w:val="007756D7"/>
    <w:rsid w:val="0077797B"/>
    <w:rsid w:val="0078098A"/>
    <w:rsid w:val="00781972"/>
    <w:rsid w:val="00782C3C"/>
    <w:rsid w:val="00782C64"/>
    <w:rsid w:val="00783C7E"/>
    <w:rsid w:val="00783D33"/>
    <w:rsid w:val="00787CAC"/>
    <w:rsid w:val="00790186"/>
    <w:rsid w:val="0079062A"/>
    <w:rsid w:val="00792061"/>
    <w:rsid w:val="007926AD"/>
    <w:rsid w:val="00792EEE"/>
    <w:rsid w:val="00793D44"/>
    <w:rsid w:val="00794189"/>
    <w:rsid w:val="00794690"/>
    <w:rsid w:val="00794926"/>
    <w:rsid w:val="007954C2"/>
    <w:rsid w:val="0079594F"/>
    <w:rsid w:val="00796D1E"/>
    <w:rsid w:val="00797E9B"/>
    <w:rsid w:val="007A2707"/>
    <w:rsid w:val="007A276D"/>
    <w:rsid w:val="007A3E88"/>
    <w:rsid w:val="007A55BB"/>
    <w:rsid w:val="007A5822"/>
    <w:rsid w:val="007A6159"/>
    <w:rsid w:val="007A6BB9"/>
    <w:rsid w:val="007B0AE3"/>
    <w:rsid w:val="007B0CE5"/>
    <w:rsid w:val="007B116D"/>
    <w:rsid w:val="007B12C7"/>
    <w:rsid w:val="007B17FB"/>
    <w:rsid w:val="007B19DA"/>
    <w:rsid w:val="007B2DAC"/>
    <w:rsid w:val="007B5649"/>
    <w:rsid w:val="007B5965"/>
    <w:rsid w:val="007B5BBD"/>
    <w:rsid w:val="007B6DF3"/>
    <w:rsid w:val="007B7291"/>
    <w:rsid w:val="007C08CE"/>
    <w:rsid w:val="007C1A55"/>
    <w:rsid w:val="007C29F1"/>
    <w:rsid w:val="007C3E0D"/>
    <w:rsid w:val="007C4DD2"/>
    <w:rsid w:val="007C7703"/>
    <w:rsid w:val="007C7EDE"/>
    <w:rsid w:val="007D4005"/>
    <w:rsid w:val="007D7DE8"/>
    <w:rsid w:val="007E02C5"/>
    <w:rsid w:val="007E07C9"/>
    <w:rsid w:val="007E0E41"/>
    <w:rsid w:val="007E45D9"/>
    <w:rsid w:val="007E4C6A"/>
    <w:rsid w:val="007E663C"/>
    <w:rsid w:val="007E6708"/>
    <w:rsid w:val="007E6EDB"/>
    <w:rsid w:val="007F06D0"/>
    <w:rsid w:val="007F0779"/>
    <w:rsid w:val="007F0B8A"/>
    <w:rsid w:val="007F0CE2"/>
    <w:rsid w:val="007F2D30"/>
    <w:rsid w:val="007F4525"/>
    <w:rsid w:val="007F5383"/>
    <w:rsid w:val="007F60D0"/>
    <w:rsid w:val="007F6407"/>
    <w:rsid w:val="007F70C2"/>
    <w:rsid w:val="007F74E1"/>
    <w:rsid w:val="007F7D33"/>
    <w:rsid w:val="007F7D59"/>
    <w:rsid w:val="00800387"/>
    <w:rsid w:val="008009E4"/>
    <w:rsid w:val="00801679"/>
    <w:rsid w:val="00801C74"/>
    <w:rsid w:val="00801F46"/>
    <w:rsid w:val="00802A9E"/>
    <w:rsid w:val="008036E4"/>
    <w:rsid w:val="00805B0C"/>
    <w:rsid w:val="00805DBE"/>
    <w:rsid w:val="008067F7"/>
    <w:rsid w:val="00806AAF"/>
    <w:rsid w:val="008107B6"/>
    <w:rsid w:val="00811DB5"/>
    <w:rsid w:val="00813174"/>
    <w:rsid w:val="0081317B"/>
    <w:rsid w:val="00813A79"/>
    <w:rsid w:val="0081466A"/>
    <w:rsid w:val="0081486D"/>
    <w:rsid w:val="00815DFA"/>
    <w:rsid w:val="008168BA"/>
    <w:rsid w:val="0082028A"/>
    <w:rsid w:val="00820850"/>
    <w:rsid w:val="00820E3D"/>
    <w:rsid w:val="00821007"/>
    <w:rsid w:val="00822ED6"/>
    <w:rsid w:val="008232CC"/>
    <w:rsid w:val="00825390"/>
    <w:rsid w:val="00825B16"/>
    <w:rsid w:val="00827746"/>
    <w:rsid w:val="0082794B"/>
    <w:rsid w:val="0083108A"/>
    <w:rsid w:val="00831AAD"/>
    <w:rsid w:val="008326FC"/>
    <w:rsid w:val="008328EC"/>
    <w:rsid w:val="00833126"/>
    <w:rsid w:val="008334DF"/>
    <w:rsid w:val="008341D4"/>
    <w:rsid w:val="00835535"/>
    <w:rsid w:val="00836191"/>
    <w:rsid w:val="00837F0F"/>
    <w:rsid w:val="0084000A"/>
    <w:rsid w:val="0084033E"/>
    <w:rsid w:val="00842779"/>
    <w:rsid w:val="0084287C"/>
    <w:rsid w:val="0084354A"/>
    <w:rsid w:val="0084409C"/>
    <w:rsid w:val="0084428D"/>
    <w:rsid w:val="00844ABB"/>
    <w:rsid w:val="00845ACF"/>
    <w:rsid w:val="00845FC3"/>
    <w:rsid w:val="0084691B"/>
    <w:rsid w:val="00847643"/>
    <w:rsid w:val="008502BB"/>
    <w:rsid w:val="00850547"/>
    <w:rsid w:val="00850BF7"/>
    <w:rsid w:val="008510DE"/>
    <w:rsid w:val="008511C8"/>
    <w:rsid w:val="00851878"/>
    <w:rsid w:val="00852AA5"/>
    <w:rsid w:val="008539FA"/>
    <w:rsid w:val="0085407B"/>
    <w:rsid w:val="008544C0"/>
    <w:rsid w:val="00855B2B"/>
    <w:rsid w:val="00856668"/>
    <w:rsid w:val="008569F3"/>
    <w:rsid w:val="00857DDC"/>
    <w:rsid w:val="00861311"/>
    <w:rsid w:val="008629E5"/>
    <w:rsid w:val="00863B41"/>
    <w:rsid w:val="00864002"/>
    <w:rsid w:val="00870146"/>
    <w:rsid w:val="00870815"/>
    <w:rsid w:val="00870BD8"/>
    <w:rsid w:val="00871DAE"/>
    <w:rsid w:val="00872C0D"/>
    <w:rsid w:val="00874395"/>
    <w:rsid w:val="0087496A"/>
    <w:rsid w:val="0087674D"/>
    <w:rsid w:val="00880543"/>
    <w:rsid w:val="0088092D"/>
    <w:rsid w:val="008812F1"/>
    <w:rsid w:val="00882944"/>
    <w:rsid w:val="00882F23"/>
    <w:rsid w:val="0088536B"/>
    <w:rsid w:val="0088558A"/>
    <w:rsid w:val="00886DB5"/>
    <w:rsid w:val="00887168"/>
    <w:rsid w:val="00887A19"/>
    <w:rsid w:val="008906FE"/>
    <w:rsid w:val="00890AE8"/>
    <w:rsid w:val="00892DF1"/>
    <w:rsid w:val="00894B48"/>
    <w:rsid w:val="00895823"/>
    <w:rsid w:val="00895864"/>
    <w:rsid w:val="0089671B"/>
    <w:rsid w:val="00897E74"/>
    <w:rsid w:val="008A0F00"/>
    <w:rsid w:val="008A263D"/>
    <w:rsid w:val="008A3466"/>
    <w:rsid w:val="008A46F5"/>
    <w:rsid w:val="008A70B1"/>
    <w:rsid w:val="008A792B"/>
    <w:rsid w:val="008B053E"/>
    <w:rsid w:val="008B0C36"/>
    <w:rsid w:val="008B3656"/>
    <w:rsid w:val="008B36DC"/>
    <w:rsid w:val="008B5588"/>
    <w:rsid w:val="008B5606"/>
    <w:rsid w:val="008B580A"/>
    <w:rsid w:val="008B5951"/>
    <w:rsid w:val="008B5BC4"/>
    <w:rsid w:val="008B6970"/>
    <w:rsid w:val="008B742A"/>
    <w:rsid w:val="008C0D6A"/>
    <w:rsid w:val="008C1130"/>
    <w:rsid w:val="008C1CFE"/>
    <w:rsid w:val="008C1E44"/>
    <w:rsid w:val="008C2BAE"/>
    <w:rsid w:val="008C304A"/>
    <w:rsid w:val="008C3BD8"/>
    <w:rsid w:val="008C41CA"/>
    <w:rsid w:val="008C5DED"/>
    <w:rsid w:val="008C62FA"/>
    <w:rsid w:val="008C6ABB"/>
    <w:rsid w:val="008C6DC6"/>
    <w:rsid w:val="008C6FD9"/>
    <w:rsid w:val="008C798D"/>
    <w:rsid w:val="008D10CB"/>
    <w:rsid w:val="008D2B3F"/>
    <w:rsid w:val="008D54AD"/>
    <w:rsid w:val="008D5F6E"/>
    <w:rsid w:val="008D6DAE"/>
    <w:rsid w:val="008D7F7C"/>
    <w:rsid w:val="008E0BAB"/>
    <w:rsid w:val="008E1825"/>
    <w:rsid w:val="008E383D"/>
    <w:rsid w:val="008E39B8"/>
    <w:rsid w:val="008F0636"/>
    <w:rsid w:val="008F06B1"/>
    <w:rsid w:val="008F0D8C"/>
    <w:rsid w:val="008F1926"/>
    <w:rsid w:val="008F27F0"/>
    <w:rsid w:val="008F30FF"/>
    <w:rsid w:val="008F36EA"/>
    <w:rsid w:val="008F515F"/>
    <w:rsid w:val="008F5245"/>
    <w:rsid w:val="008F56B2"/>
    <w:rsid w:val="008F639F"/>
    <w:rsid w:val="008F7EED"/>
    <w:rsid w:val="009016A2"/>
    <w:rsid w:val="00901A9D"/>
    <w:rsid w:val="009038AF"/>
    <w:rsid w:val="00903D0C"/>
    <w:rsid w:val="00904F19"/>
    <w:rsid w:val="009056C4"/>
    <w:rsid w:val="00907AA2"/>
    <w:rsid w:val="0091069A"/>
    <w:rsid w:val="00910A8B"/>
    <w:rsid w:val="00912BFA"/>
    <w:rsid w:val="00912C49"/>
    <w:rsid w:val="009144F3"/>
    <w:rsid w:val="00916AE6"/>
    <w:rsid w:val="00916D59"/>
    <w:rsid w:val="0092121C"/>
    <w:rsid w:val="00921D06"/>
    <w:rsid w:val="0092214E"/>
    <w:rsid w:val="00922549"/>
    <w:rsid w:val="00922DD0"/>
    <w:rsid w:val="009239A7"/>
    <w:rsid w:val="00923B9D"/>
    <w:rsid w:val="00925DB8"/>
    <w:rsid w:val="0092642D"/>
    <w:rsid w:val="00926BDC"/>
    <w:rsid w:val="009278BB"/>
    <w:rsid w:val="00930339"/>
    <w:rsid w:val="0093085B"/>
    <w:rsid w:val="00930891"/>
    <w:rsid w:val="00930D22"/>
    <w:rsid w:val="00930D5B"/>
    <w:rsid w:val="00930E67"/>
    <w:rsid w:val="00931EF0"/>
    <w:rsid w:val="009340A0"/>
    <w:rsid w:val="009348D7"/>
    <w:rsid w:val="00936260"/>
    <w:rsid w:val="00936707"/>
    <w:rsid w:val="00937B62"/>
    <w:rsid w:val="009409CC"/>
    <w:rsid w:val="00940B47"/>
    <w:rsid w:val="00942F07"/>
    <w:rsid w:val="0094467C"/>
    <w:rsid w:val="009455CE"/>
    <w:rsid w:val="00945717"/>
    <w:rsid w:val="009511FE"/>
    <w:rsid w:val="0095228D"/>
    <w:rsid w:val="009529C3"/>
    <w:rsid w:val="00953D9E"/>
    <w:rsid w:val="0095497A"/>
    <w:rsid w:val="00955918"/>
    <w:rsid w:val="00956074"/>
    <w:rsid w:val="00957AB8"/>
    <w:rsid w:val="00960324"/>
    <w:rsid w:val="0096145A"/>
    <w:rsid w:val="009618E5"/>
    <w:rsid w:val="009625F6"/>
    <w:rsid w:val="0096342A"/>
    <w:rsid w:val="009636FD"/>
    <w:rsid w:val="00963DC9"/>
    <w:rsid w:val="009658A6"/>
    <w:rsid w:val="00966A71"/>
    <w:rsid w:val="00966E94"/>
    <w:rsid w:val="00970933"/>
    <w:rsid w:val="00971C60"/>
    <w:rsid w:val="00972F72"/>
    <w:rsid w:val="00973800"/>
    <w:rsid w:val="00974B2B"/>
    <w:rsid w:val="00974B8C"/>
    <w:rsid w:val="009761E3"/>
    <w:rsid w:val="009815C5"/>
    <w:rsid w:val="009828B9"/>
    <w:rsid w:val="00983FCE"/>
    <w:rsid w:val="009853EE"/>
    <w:rsid w:val="00985C3D"/>
    <w:rsid w:val="009866AF"/>
    <w:rsid w:val="00987016"/>
    <w:rsid w:val="009902AC"/>
    <w:rsid w:val="009909F2"/>
    <w:rsid w:val="00991C27"/>
    <w:rsid w:val="009922F4"/>
    <w:rsid w:val="009928AF"/>
    <w:rsid w:val="00993A99"/>
    <w:rsid w:val="00994249"/>
    <w:rsid w:val="00995765"/>
    <w:rsid w:val="009973B2"/>
    <w:rsid w:val="009A0255"/>
    <w:rsid w:val="009A0D48"/>
    <w:rsid w:val="009A2A34"/>
    <w:rsid w:val="009A2A8E"/>
    <w:rsid w:val="009A3D98"/>
    <w:rsid w:val="009A4A09"/>
    <w:rsid w:val="009A5E8F"/>
    <w:rsid w:val="009B033C"/>
    <w:rsid w:val="009B1376"/>
    <w:rsid w:val="009B169E"/>
    <w:rsid w:val="009B1A14"/>
    <w:rsid w:val="009B1A22"/>
    <w:rsid w:val="009B25BA"/>
    <w:rsid w:val="009B2ED7"/>
    <w:rsid w:val="009B3758"/>
    <w:rsid w:val="009B3A9C"/>
    <w:rsid w:val="009B3DB3"/>
    <w:rsid w:val="009B4821"/>
    <w:rsid w:val="009B589F"/>
    <w:rsid w:val="009C0212"/>
    <w:rsid w:val="009C08AD"/>
    <w:rsid w:val="009C0E5E"/>
    <w:rsid w:val="009C136D"/>
    <w:rsid w:val="009C3FFF"/>
    <w:rsid w:val="009C48EF"/>
    <w:rsid w:val="009C4B3C"/>
    <w:rsid w:val="009C5C0E"/>
    <w:rsid w:val="009C5C57"/>
    <w:rsid w:val="009C5E9A"/>
    <w:rsid w:val="009C61E3"/>
    <w:rsid w:val="009C747B"/>
    <w:rsid w:val="009C79F7"/>
    <w:rsid w:val="009D02EC"/>
    <w:rsid w:val="009D11F7"/>
    <w:rsid w:val="009D1F26"/>
    <w:rsid w:val="009D3731"/>
    <w:rsid w:val="009D3EB5"/>
    <w:rsid w:val="009D4D8D"/>
    <w:rsid w:val="009D553C"/>
    <w:rsid w:val="009D5E99"/>
    <w:rsid w:val="009D69F3"/>
    <w:rsid w:val="009E014B"/>
    <w:rsid w:val="009E08EF"/>
    <w:rsid w:val="009E0A16"/>
    <w:rsid w:val="009E0C3A"/>
    <w:rsid w:val="009E190B"/>
    <w:rsid w:val="009E1F46"/>
    <w:rsid w:val="009E241D"/>
    <w:rsid w:val="009E2DF5"/>
    <w:rsid w:val="009E3FA8"/>
    <w:rsid w:val="009E417A"/>
    <w:rsid w:val="009E4E7B"/>
    <w:rsid w:val="009E5A70"/>
    <w:rsid w:val="009E5B6C"/>
    <w:rsid w:val="009E68ED"/>
    <w:rsid w:val="009F0845"/>
    <w:rsid w:val="009F3093"/>
    <w:rsid w:val="009F5124"/>
    <w:rsid w:val="009F7713"/>
    <w:rsid w:val="00A00602"/>
    <w:rsid w:val="00A00818"/>
    <w:rsid w:val="00A01240"/>
    <w:rsid w:val="00A0173E"/>
    <w:rsid w:val="00A0193A"/>
    <w:rsid w:val="00A02A5E"/>
    <w:rsid w:val="00A036C4"/>
    <w:rsid w:val="00A12E13"/>
    <w:rsid w:val="00A13C6F"/>
    <w:rsid w:val="00A1444F"/>
    <w:rsid w:val="00A144C3"/>
    <w:rsid w:val="00A1497E"/>
    <w:rsid w:val="00A14A6D"/>
    <w:rsid w:val="00A17CB4"/>
    <w:rsid w:val="00A201C6"/>
    <w:rsid w:val="00A21948"/>
    <w:rsid w:val="00A2417F"/>
    <w:rsid w:val="00A245E9"/>
    <w:rsid w:val="00A257DF"/>
    <w:rsid w:val="00A27BAB"/>
    <w:rsid w:val="00A27F47"/>
    <w:rsid w:val="00A303E8"/>
    <w:rsid w:val="00A3112A"/>
    <w:rsid w:val="00A3147C"/>
    <w:rsid w:val="00A31D49"/>
    <w:rsid w:val="00A33B73"/>
    <w:rsid w:val="00A33B97"/>
    <w:rsid w:val="00A34AD7"/>
    <w:rsid w:val="00A35E62"/>
    <w:rsid w:val="00A361EF"/>
    <w:rsid w:val="00A36977"/>
    <w:rsid w:val="00A36C4D"/>
    <w:rsid w:val="00A37956"/>
    <w:rsid w:val="00A40574"/>
    <w:rsid w:val="00A40F58"/>
    <w:rsid w:val="00A41D0F"/>
    <w:rsid w:val="00A431DA"/>
    <w:rsid w:val="00A43251"/>
    <w:rsid w:val="00A432DD"/>
    <w:rsid w:val="00A436B2"/>
    <w:rsid w:val="00A43C45"/>
    <w:rsid w:val="00A4582C"/>
    <w:rsid w:val="00A45841"/>
    <w:rsid w:val="00A46495"/>
    <w:rsid w:val="00A46C6A"/>
    <w:rsid w:val="00A47EA5"/>
    <w:rsid w:val="00A5399D"/>
    <w:rsid w:val="00A549EB"/>
    <w:rsid w:val="00A54D3B"/>
    <w:rsid w:val="00A55D41"/>
    <w:rsid w:val="00A55DF4"/>
    <w:rsid w:val="00A56444"/>
    <w:rsid w:val="00A56AD4"/>
    <w:rsid w:val="00A570C7"/>
    <w:rsid w:val="00A571FD"/>
    <w:rsid w:val="00A5798F"/>
    <w:rsid w:val="00A60495"/>
    <w:rsid w:val="00A61155"/>
    <w:rsid w:val="00A612C9"/>
    <w:rsid w:val="00A623D6"/>
    <w:rsid w:val="00A62FA5"/>
    <w:rsid w:val="00A63514"/>
    <w:rsid w:val="00A6403F"/>
    <w:rsid w:val="00A65366"/>
    <w:rsid w:val="00A66C07"/>
    <w:rsid w:val="00A6740D"/>
    <w:rsid w:val="00A67A53"/>
    <w:rsid w:val="00A70B6F"/>
    <w:rsid w:val="00A71C27"/>
    <w:rsid w:val="00A73444"/>
    <w:rsid w:val="00A73D26"/>
    <w:rsid w:val="00A7415C"/>
    <w:rsid w:val="00A74784"/>
    <w:rsid w:val="00A74CDA"/>
    <w:rsid w:val="00A7532C"/>
    <w:rsid w:val="00A7592E"/>
    <w:rsid w:val="00A7647D"/>
    <w:rsid w:val="00A80353"/>
    <w:rsid w:val="00A80D74"/>
    <w:rsid w:val="00A81812"/>
    <w:rsid w:val="00A83D3D"/>
    <w:rsid w:val="00A84087"/>
    <w:rsid w:val="00A84263"/>
    <w:rsid w:val="00A8482E"/>
    <w:rsid w:val="00A849C2"/>
    <w:rsid w:val="00A855E0"/>
    <w:rsid w:val="00A85955"/>
    <w:rsid w:val="00A85E84"/>
    <w:rsid w:val="00A865D8"/>
    <w:rsid w:val="00A872CC"/>
    <w:rsid w:val="00A91E75"/>
    <w:rsid w:val="00A933D6"/>
    <w:rsid w:val="00A937CB"/>
    <w:rsid w:val="00A9498D"/>
    <w:rsid w:val="00A94B18"/>
    <w:rsid w:val="00A958EA"/>
    <w:rsid w:val="00A95CD7"/>
    <w:rsid w:val="00A95CF5"/>
    <w:rsid w:val="00AA0AF7"/>
    <w:rsid w:val="00AA226D"/>
    <w:rsid w:val="00AA2997"/>
    <w:rsid w:val="00AA29BC"/>
    <w:rsid w:val="00AA30D2"/>
    <w:rsid w:val="00AA3426"/>
    <w:rsid w:val="00AA3ED1"/>
    <w:rsid w:val="00AA44E7"/>
    <w:rsid w:val="00AA57BA"/>
    <w:rsid w:val="00AA6D09"/>
    <w:rsid w:val="00AA71BC"/>
    <w:rsid w:val="00AA71F7"/>
    <w:rsid w:val="00AA736F"/>
    <w:rsid w:val="00AB1C7A"/>
    <w:rsid w:val="00AB2859"/>
    <w:rsid w:val="00AB3044"/>
    <w:rsid w:val="00AB30A8"/>
    <w:rsid w:val="00AB7431"/>
    <w:rsid w:val="00AB74CB"/>
    <w:rsid w:val="00AB79F3"/>
    <w:rsid w:val="00AC01D4"/>
    <w:rsid w:val="00AC0984"/>
    <w:rsid w:val="00AC14DA"/>
    <w:rsid w:val="00AC1B95"/>
    <w:rsid w:val="00AC1EEC"/>
    <w:rsid w:val="00AC23D7"/>
    <w:rsid w:val="00AC25C4"/>
    <w:rsid w:val="00AC2A0D"/>
    <w:rsid w:val="00AC2C64"/>
    <w:rsid w:val="00AC2F95"/>
    <w:rsid w:val="00AC309D"/>
    <w:rsid w:val="00AC3391"/>
    <w:rsid w:val="00AC37CA"/>
    <w:rsid w:val="00AC3B1A"/>
    <w:rsid w:val="00AC595B"/>
    <w:rsid w:val="00AC6097"/>
    <w:rsid w:val="00AC6497"/>
    <w:rsid w:val="00AC7140"/>
    <w:rsid w:val="00AC72EF"/>
    <w:rsid w:val="00AD0DFB"/>
    <w:rsid w:val="00AD0EAB"/>
    <w:rsid w:val="00AD0FA0"/>
    <w:rsid w:val="00AD1C5F"/>
    <w:rsid w:val="00AD26D9"/>
    <w:rsid w:val="00AD2936"/>
    <w:rsid w:val="00AD29B1"/>
    <w:rsid w:val="00AD2DED"/>
    <w:rsid w:val="00AD370F"/>
    <w:rsid w:val="00AD509C"/>
    <w:rsid w:val="00AD6767"/>
    <w:rsid w:val="00AD6CF9"/>
    <w:rsid w:val="00AD7850"/>
    <w:rsid w:val="00AE0121"/>
    <w:rsid w:val="00AE21C0"/>
    <w:rsid w:val="00AE3098"/>
    <w:rsid w:val="00AE34B2"/>
    <w:rsid w:val="00AE4556"/>
    <w:rsid w:val="00AE4952"/>
    <w:rsid w:val="00AE50EA"/>
    <w:rsid w:val="00AE5397"/>
    <w:rsid w:val="00AE57FD"/>
    <w:rsid w:val="00AF02C1"/>
    <w:rsid w:val="00AF0E83"/>
    <w:rsid w:val="00AF3008"/>
    <w:rsid w:val="00AF32E5"/>
    <w:rsid w:val="00AF3903"/>
    <w:rsid w:val="00AF43C9"/>
    <w:rsid w:val="00AF5FBB"/>
    <w:rsid w:val="00AF624A"/>
    <w:rsid w:val="00AF66BC"/>
    <w:rsid w:val="00AF76B4"/>
    <w:rsid w:val="00AF7B96"/>
    <w:rsid w:val="00B000A9"/>
    <w:rsid w:val="00B00133"/>
    <w:rsid w:val="00B0157D"/>
    <w:rsid w:val="00B0470D"/>
    <w:rsid w:val="00B05579"/>
    <w:rsid w:val="00B05D26"/>
    <w:rsid w:val="00B06504"/>
    <w:rsid w:val="00B06A57"/>
    <w:rsid w:val="00B06C0E"/>
    <w:rsid w:val="00B07206"/>
    <w:rsid w:val="00B101E8"/>
    <w:rsid w:val="00B110A2"/>
    <w:rsid w:val="00B114A3"/>
    <w:rsid w:val="00B11701"/>
    <w:rsid w:val="00B127D1"/>
    <w:rsid w:val="00B12CC2"/>
    <w:rsid w:val="00B147B5"/>
    <w:rsid w:val="00B161F1"/>
    <w:rsid w:val="00B1652B"/>
    <w:rsid w:val="00B16600"/>
    <w:rsid w:val="00B166E2"/>
    <w:rsid w:val="00B17E3B"/>
    <w:rsid w:val="00B17F1E"/>
    <w:rsid w:val="00B2148D"/>
    <w:rsid w:val="00B21902"/>
    <w:rsid w:val="00B21CF7"/>
    <w:rsid w:val="00B21D4F"/>
    <w:rsid w:val="00B24773"/>
    <w:rsid w:val="00B25962"/>
    <w:rsid w:val="00B25CA4"/>
    <w:rsid w:val="00B273B8"/>
    <w:rsid w:val="00B27FDE"/>
    <w:rsid w:val="00B3039A"/>
    <w:rsid w:val="00B3137F"/>
    <w:rsid w:val="00B36932"/>
    <w:rsid w:val="00B36A95"/>
    <w:rsid w:val="00B36E1F"/>
    <w:rsid w:val="00B40E6A"/>
    <w:rsid w:val="00B42D3B"/>
    <w:rsid w:val="00B44EDE"/>
    <w:rsid w:val="00B461FE"/>
    <w:rsid w:val="00B4755D"/>
    <w:rsid w:val="00B47A5B"/>
    <w:rsid w:val="00B47C15"/>
    <w:rsid w:val="00B50B61"/>
    <w:rsid w:val="00B51AE4"/>
    <w:rsid w:val="00B51F7C"/>
    <w:rsid w:val="00B51FCB"/>
    <w:rsid w:val="00B52488"/>
    <w:rsid w:val="00B52497"/>
    <w:rsid w:val="00B52AC4"/>
    <w:rsid w:val="00B53768"/>
    <w:rsid w:val="00B54A54"/>
    <w:rsid w:val="00B55610"/>
    <w:rsid w:val="00B57244"/>
    <w:rsid w:val="00B621BC"/>
    <w:rsid w:val="00B632E7"/>
    <w:rsid w:val="00B641DB"/>
    <w:rsid w:val="00B64A20"/>
    <w:rsid w:val="00B64AD5"/>
    <w:rsid w:val="00B654F1"/>
    <w:rsid w:val="00B65C53"/>
    <w:rsid w:val="00B667F4"/>
    <w:rsid w:val="00B66B94"/>
    <w:rsid w:val="00B66BCA"/>
    <w:rsid w:val="00B672D5"/>
    <w:rsid w:val="00B67B2E"/>
    <w:rsid w:val="00B700D8"/>
    <w:rsid w:val="00B706B5"/>
    <w:rsid w:val="00B7156D"/>
    <w:rsid w:val="00B716DC"/>
    <w:rsid w:val="00B71C56"/>
    <w:rsid w:val="00B71CC6"/>
    <w:rsid w:val="00B725A5"/>
    <w:rsid w:val="00B72E96"/>
    <w:rsid w:val="00B7334A"/>
    <w:rsid w:val="00B75035"/>
    <w:rsid w:val="00B75520"/>
    <w:rsid w:val="00B817E4"/>
    <w:rsid w:val="00B82EDE"/>
    <w:rsid w:val="00B83E0A"/>
    <w:rsid w:val="00B8560B"/>
    <w:rsid w:val="00B8722D"/>
    <w:rsid w:val="00B87F27"/>
    <w:rsid w:val="00B87F39"/>
    <w:rsid w:val="00B90C58"/>
    <w:rsid w:val="00B92074"/>
    <w:rsid w:val="00B9423A"/>
    <w:rsid w:val="00B945AC"/>
    <w:rsid w:val="00B95184"/>
    <w:rsid w:val="00B9689E"/>
    <w:rsid w:val="00B97156"/>
    <w:rsid w:val="00B97346"/>
    <w:rsid w:val="00BA2292"/>
    <w:rsid w:val="00BA239A"/>
    <w:rsid w:val="00BA534F"/>
    <w:rsid w:val="00BA6559"/>
    <w:rsid w:val="00BA688F"/>
    <w:rsid w:val="00BA6DCB"/>
    <w:rsid w:val="00BB12AB"/>
    <w:rsid w:val="00BB1792"/>
    <w:rsid w:val="00BB1A78"/>
    <w:rsid w:val="00BB1DD6"/>
    <w:rsid w:val="00BB2399"/>
    <w:rsid w:val="00BB2708"/>
    <w:rsid w:val="00BB33EA"/>
    <w:rsid w:val="00BB342B"/>
    <w:rsid w:val="00BB41BD"/>
    <w:rsid w:val="00BB41D0"/>
    <w:rsid w:val="00BB4338"/>
    <w:rsid w:val="00BB4CAF"/>
    <w:rsid w:val="00BB5107"/>
    <w:rsid w:val="00BB541E"/>
    <w:rsid w:val="00BB76AC"/>
    <w:rsid w:val="00BB79B4"/>
    <w:rsid w:val="00BC05F9"/>
    <w:rsid w:val="00BC0DDF"/>
    <w:rsid w:val="00BC0E76"/>
    <w:rsid w:val="00BC119F"/>
    <w:rsid w:val="00BC1629"/>
    <w:rsid w:val="00BC2E8B"/>
    <w:rsid w:val="00BC47E4"/>
    <w:rsid w:val="00BC5592"/>
    <w:rsid w:val="00BC5C40"/>
    <w:rsid w:val="00BC686B"/>
    <w:rsid w:val="00BD179D"/>
    <w:rsid w:val="00BD1800"/>
    <w:rsid w:val="00BD2339"/>
    <w:rsid w:val="00BD2B8C"/>
    <w:rsid w:val="00BD4AA6"/>
    <w:rsid w:val="00BD5D77"/>
    <w:rsid w:val="00BD709C"/>
    <w:rsid w:val="00BD7836"/>
    <w:rsid w:val="00BE37FD"/>
    <w:rsid w:val="00BE3FC7"/>
    <w:rsid w:val="00BE4AA9"/>
    <w:rsid w:val="00BE5D62"/>
    <w:rsid w:val="00BE6750"/>
    <w:rsid w:val="00BE6AA4"/>
    <w:rsid w:val="00BE6FD6"/>
    <w:rsid w:val="00BE7D1E"/>
    <w:rsid w:val="00BF0AAF"/>
    <w:rsid w:val="00BF23D0"/>
    <w:rsid w:val="00BF25B0"/>
    <w:rsid w:val="00BF2A1E"/>
    <w:rsid w:val="00BF322F"/>
    <w:rsid w:val="00BF4097"/>
    <w:rsid w:val="00BF5C13"/>
    <w:rsid w:val="00BF5CEF"/>
    <w:rsid w:val="00BF69E2"/>
    <w:rsid w:val="00BF6AB1"/>
    <w:rsid w:val="00BF719D"/>
    <w:rsid w:val="00BF7238"/>
    <w:rsid w:val="00BF7A69"/>
    <w:rsid w:val="00BF7E56"/>
    <w:rsid w:val="00C005CC"/>
    <w:rsid w:val="00C00BB9"/>
    <w:rsid w:val="00C01678"/>
    <w:rsid w:val="00C02313"/>
    <w:rsid w:val="00C032CF"/>
    <w:rsid w:val="00C03713"/>
    <w:rsid w:val="00C03936"/>
    <w:rsid w:val="00C07FD4"/>
    <w:rsid w:val="00C10BBE"/>
    <w:rsid w:val="00C13E1B"/>
    <w:rsid w:val="00C143C9"/>
    <w:rsid w:val="00C15296"/>
    <w:rsid w:val="00C155BA"/>
    <w:rsid w:val="00C1688D"/>
    <w:rsid w:val="00C16A51"/>
    <w:rsid w:val="00C16C69"/>
    <w:rsid w:val="00C20A2B"/>
    <w:rsid w:val="00C20AD8"/>
    <w:rsid w:val="00C230FA"/>
    <w:rsid w:val="00C24A57"/>
    <w:rsid w:val="00C24C0C"/>
    <w:rsid w:val="00C26764"/>
    <w:rsid w:val="00C2676E"/>
    <w:rsid w:val="00C26D49"/>
    <w:rsid w:val="00C3066C"/>
    <w:rsid w:val="00C316A7"/>
    <w:rsid w:val="00C3171A"/>
    <w:rsid w:val="00C333ED"/>
    <w:rsid w:val="00C33C6A"/>
    <w:rsid w:val="00C33DEE"/>
    <w:rsid w:val="00C353EC"/>
    <w:rsid w:val="00C35C2B"/>
    <w:rsid w:val="00C37373"/>
    <w:rsid w:val="00C405AE"/>
    <w:rsid w:val="00C4084B"/>
    <w:rsid w:val="00C415D4"/>
    <w:rsid w:val="00C416D0"/>
    <w:rsid w:val="00C41A8E"/>
    <w:rsid w:val="00C43054"/>
    <w:rsid w:val="00C44BDB"/>
    <w:rsid w:val="00C45A2F"/>
    <w:rsid w:val="00C47023"/>
    <w:rsid w:val="00C47192"/>
    <w:rsid w:val="00C5077D"/>
    <w:rsid w:val="00C50A73"/>
    <w:rsid w:val="00C51189"/>
    <w:rsid w:val="00C515B9"/>
    <w:rsid w:val="00C516C8"/>
    <w:rsid w:val="00C52A0B"/>
    <w:rsid w:val="00C52A97"/>
    <w:rsid w:val="00C53A36"/>
    <w:rsid w:val="00C53AB2"/>
    <w:rsid w:val="00C574DC"/>
    <w:rsid w:val="00C5790E"/>
    <w:rsid w:val="00C60118"/>
    <w:rsid w:val="00C60BE4"/>
    <w:rsid w:val="00C615E1"/>
    <w:rsid w:val="00C62C20"/>
    <w:rsid w:val="00C6333E"/>
    <w:rsid w:val="00C6587C"/>
    <w:rsid w:val="00C65A7F"/>
    <w:rsid w:val="00C6646B"/>
    <w:rsid w:val="00C67CA7"/>
    <w:rsid w:val="00C706C7"/>
    <w:rsid w:val="00C71BEB"/>
    <w:rsid w:val="00C727AF"/>
    <w:rsid w:val="00C7379B"/>
    <w:rsid w:val="00C741A1"/>
    <w:rsid w:val="00C742EB"/>
    <w:rsid w:val="00C74D03"/>
    <w:rsid w:val="00C75779"/>
    <w:rsid w:val="00C76AC9"/>
    <w:rsid w:val="00C76FD1"/>
    <w:rsid w:val="00C7779D"/>
    <w:rsid w:val="00C77AD5"/>
    <w:rsid w:val="00C82D75"/>
    <w:rsid w:val="00C831E4"/>
    <w:rsid w:val="00C846E4"/>
    <w:rsid w:val="00C847AF"/>
    <w:rsid w:val="00C85575"/>
    <w:rsid w:val="00C8698C"/>
    <w:rsid w:val="00C87983"/>
    <w:rsid w:val="00C90132"/>
    <w:rsid w:val="00C92FE6"/>
    <w:rsid w:val="00C95666"/>
    <w:rsid w:val="00C95B76"/>
    <w:rsid w:val="00C9668C"/>
    <w:rsid w:val="00C96B64"/>
    <w:rsid w:val="00C96CA3"/>
    <w:rsid w:val="00C96EC8"/>
    <w:rsid w:val="00CA22FB"/>
    <w:rsid w:val="00CA2A08"/>
    <w:rsid w:val="00CA33A9"/>
    <w:rsid w:val="00CA4A42"/>
    <w:rsid w:val="00CA630E"/>
    <w:rsid w:val="00CA70E8"/>
    <w:rsid w:val="00CA7ACF"/>
    <w:rsid w:val="00CA7E83"/>
    <w:rsid w:val="00CB12AF"/>
    <w:rsid w:val="00CB294A"/>
    <w:rsid w:val="00CB3022"/>
    <w:rsid w:val="00CB3E6A"/>
    <w:rsid w:val="00CB457F"/>
    <w:rsid w:val="00CB4749"/>
    <w:rsid w:val="00CB621D"/>
    <w:rsid w:val="00CB66B2"/>
    <w:rsid w:val="00CB6E01"/>
    <w:rsid w:val="00CB7A1E"/>
    <w:rsid w:val="00CB7FBF"/>
    <w:rsid w:val="00CC000A"/>
    <w:rsid w:val="00CC18AB"/>
    <w:rsid w:val="00CC20BE"/>
    <w:rsid w:val="00CC29DC"/>
    <w:rsid w:val="00CC34A1"/>
    <w:rsid w:val="00CC574E"/>
    <w:rsid w:val="00CC6409"/>
    <w:rsid w:val="00CC6B6A"/>
    <w:rsid w:val="00CD04EE"/>
    <w:rsid w:val="00CD155A"/>
    <w:rsid w:val="00CD47EA"/>
    <w:rsid w:val="00CD4935"/>
    <w:rsid w:val="00CD52A4"/>
    <w:rsid w:val="00CD5408"/>
    <w:rsid w:val="00CD7839"/>
    <w:rsid w:val="00CE0928"/>
    <w:rsid w:val="00CE21D7"/>
    <w:rsid w:val="00CE235F"/>
    <w:rsid w:val="00CE4E62"/>
    <w:rsid w:val="00CF059A"/>
    <w:rsid w:val="00CF07F8"/>
    <w:rsid w:val="00CF16CA"/>
    <w:rsid w:val="00CF27D8"/>
    <w:rsid w:val="00CF3113"/>
    <w:rsid w:val="00CF680E"/>
    <w:rsid w:val="00CF6DFD"/>
    <w:rsid w:val="00D01F26"/>
    <w:rsid w:val="00D02067"/>
    <w:rsid w:val="00D026C7"/>
    <w:rsid w:val="00D0460F"/>
    <w:rsid w:val="00D04D29"/>
    <w:rsid w:val="00D04DA4"/>
    <w:rsid w:val="00D064E8"/>
    <w:rsid w:val="00D10209"/>
    <w:rsid w:val="00D10740"/>
    <w:rsid w:val="00D11219"/>
    <w:rsid w:val="00D113D7"/>
    <w:rsid w:val="00D117C0"/>
    <w:rsid w:val="00D126C8"/>
    <w:rsid w:val="00D12BA2"/>
    <w:rsid w:val="00D13112"/>
    <w:rsid w:val="00D135D6"/>
    <w:rsid w:val="00D1496C"/>
    <w:rsid w:val="00D14B8D"/>
    <w:rsid w:val="00D15243"/>
    <w:rsid w:val="00D161DD"/>
    <w:rsid w:val="00D17843"/>
    <w:rsid w:val="00D17CBC"/>
    <w:rsid w:val="00D20106"/>
    <w:rsid w:val="00D2043A"/>
    <w:rsid w:val="00D2093C"/>
    <w:rsid w:val="00D213AC"/>
    <w:rsid w:val="00D232B2"/>
    <w:rsid w:val="00D23371"/>
    <w:rsid w:val="00D257D1"/>
    <w:rsid w:val="00D26082"/>
    <w:rsid w:val="00D26532"/>
    <w:rsid w:val="00D2688C"/>
    <w:rsid w:val="00D26D65"/>
    <w:rsid w:val="00D273F2"/>
    <w:rsid w:val="00D31083"/>
    <w:rsid w:val="00D32238"/>
    <w:rsid w:val="00D35304"/>
    <w:rsid w:val="00D3545E"/>
    <w:rsid w:val="00D358AA"/>
    <w:rsid w:val="00D36529"/>
    <w:rsid w:val="00D36E63"/>
    <w:rsid w:val="00D4343C"/>
    <w:rsid w:val="00D43E3F"/>
    <w:rsid w:val="00D45A99"/>
    <w:rsid w:val="00D47A7A"/>
    <w:rsid w:val="00D5121A"/>
    <w:rsid w:val="00D516CB"/>
    <w:rsid w:val="00D5200F"/>
    <w:rsid w:val="00D5236A"/>
    <w:rsid w:val="00D53471"/>
    <w:rsid w:val="00D543B5"/>
    <w:rsid w:val="00D56564"/>
    <w:rsid w:val="00D57FB2"/>
    <w:rsid w:val="00D6072C"/>
    <w:rsid w:val="00D60CFA"/>
    <w:rsid w:val="00D61E0C"/>
    <w:rsid w:val="00D623AF"/>
    <w:rsid w:val="00D62488"/>
    <w:rsid w:val="00D626BD"/>
    <w:rsid w:val="00D627E1"/>
    <w:rsid w:val="00D64156"/>
    <w:rsid w:val="00D66416"/>
    <w:rsid w:val="00D6681C"/>
    <w:rsid w:val="00D672B2"/>
    <w:rsid w:val="00D6755F"/>
    <w:rsid w:val="00D70587"/>
    <w:rsid w:val="00D71B6A"/>
    <w:rsid w:val="00D71E38"/>
    <w:rsid w:val="00D73132"/>
    <w:rsid w:val="00D73504"/>
    <w:rsid w:val="00D73CFC"/>
    <w:rsid w:val="00D7410E"/>
    <w:rsid w:val="00D74262"/>
    <w:rsid w:val="00D7459D"/>
    <w:rsid w:val="00D75493"/>
    <w:rsid w:val="00D803E4"/>
    <w:rsid w:val="00D821FC"/>
    <w:rsid w:val="00D830D1"/>
    <w:rsid w:val="00D835AE"/>
    <w:rsid w:val="00D85919"/>
    <w:rsid w:val="00D86398"/>
    <w:rsid w:val="00D87875"/>
    <w:rsid w:val="00D87F42"/>
    <w:rsid w:val="00D93780"/>
    <w:rsid w:val="00D9387C"/>
    <w:rsid w:val="00D94441"/>
    <w:rsid w:val="00D94B64"/>
    <w:rsid w:val="00D95A9C"/>
    <w:rsid w:val="00D96B82"/>
    <w:rsid w:val="00D96FCD"/>
    <w:rsid w:val="00D9712D"/>
    <w:rsid w:val="00D9750C"/>
    <w:rsid w:val="00DA09F3"/>
    <w:rsid w:val="00DA2E40"/>
    <w:rsid w:val="00DA7792"/>
    <w:rsid w:val="00DA7C66"/>
    <w:rsid w:val="00DA7DC8"/>
    <w:rsid w:val="00DB1942"/>
    <w:rsid w:val="00DB1BEA"/>
    <w:rsid w:val="00DB291E"/>
    <w:rsid w:val="00DB3B4B"/>
    <w:rsid w:val="00DB3D8C"/>
    <w:rsid w:val="00DB5475"/>
    <w:rsid w:val="00DB5538"/>
    <w:rsid w:val="00DC12B2"/>
    <w:rsid w:val="00DC22E4"/>
    <w:rsid w:val="00DC27C9"/>
    <w:rsid w:val="00DC2A1D"/>
    <w:rsid w:val="00DC34CE"/>
    <w:rsid w:val="00DC5228"/>
    <w:rsid w:val="00DC5823"/>
    <w:rsid w:val="00DC6A5E"/>
    <w:rsid w:val="00DD2938"/>
    <w:rsid w:val="00DD34AD"/>
    <w:rsid w:val="00DE08E2"/>
    <w:rsid w:val="00DE0C49"/>
    <w:rsid w:val="00DE2084"/>
    <w:rsid w:val="00DE2E9D"/>
    <w:rsid w:val="00DE398E"/>
    <w:rsid w:val="00DE3B95"/>
    <w:rsid w:val="00DE611E"/>
    <w:rsid w:val="00DE72BD"/>
    <w:rsid w:val="00DE7BA1"/>
    <w:rsid w:val="00DF0700"/>
    <w:rsid w:val="00DF11CA"/>
    <w:rsid w:val="00DF1B76"/>
    <w:rsid w:val="00DF2B32"/>
    <w:rsid w:val="00DF31FB"/>
    <w:rsid w:val="00DF3D07"/>
    <w:rsid w:val="00DF547D"/>
    <w:rsid w:val="00DF5EC6"/>
    <w:rsid w:val="00DF6313"/>
    <w:rsid w:val="00DF65A6"/>
    <w:rsid w:val="00DF729F"/>
    <w:rsid w:val="00E01BED"/>
    <w:rsid w:val="00E0203D"/>
    <w:rsid w:val="00E027F0"/>
    <w:rsid w:val="00E02A35"/>
    <w:rsid w:val="00E0327E"/>
    <w:rsid w:val="00E048D9"/>
    <w:rsid w:val="00E059CA"/>
    <w:rsid w:val="00E06500"/>
    <w:rsid w:val="00E06FC1"/>
    <w:rsid w:val="00E0721E"/>
    <w:rsid w:val="00E102FB"/>
    <w:rsid w:val="00E1284F"/>
    <w:rsid w:val="00E13CA4"/>
    <w:rsid w:val="00E17E4F"/>
    <w:rsid w:val="00E2094A"/>
    <w:rsid w:val="00E2182E"/>
    <w:rsid w:val="00E21B9B"/>
    <w:rsid w:val="00E232D4"/>
    <w:rsid w:val="00E24299"/>
    <w:rsid w:val="00E2465C"/>
    <w:rsid w:val="00E258AE"/>
    <w:rsid w:val="00E27356"/>
    <w:rsid w:val="00E27E50"/>
    <w:rsid w:val="00E315D2"/>
    <w:rsid w:val="00E325CD"/>
    <w:rsid w:val="00E34272"/>
    <w:rsid w:val="00E34D07"/>
    <w:rsid w:val="00E3503A"/>
    <w:rsid w:val="00E35F61"/>
    <w:rsid w:val="00E35F65"/>
    <w:rsid w:val="00E369B3"/>
    <w:rsid w:val="00E36E4C"/>
    <w:rsid w:val="00E37847"/>
    <w:rsid w:val="00E4006B"/>
    <w:rsid w:val="00E41923"/>
    <w:rsid w:val="00E41ED7"/>
    <w:rsid w:val="00E4276E"/>
    <w:rsid w:val="00E437B1"/>
    <w:rsid w:val="00E43F0C"/>
    <w:rsid w:val="00E4485D"/>
    <w:rsid w:val="00E45A17"/>
    <w:rsid w:val="00E463EE"/>
    <w:rsid w:val="00E46EEA"/>
    <w:rsid w:val="00E46F6C"/>
    <w:rsid w:val="00E4725F"/>
    <w:rsid w:val="00E473D2"/>
    <w:rsid w:val="00E475CC"/>
    <w:rsid w:val="00E5035D"/>
    <w:rsid w:val="00E50485"/>
    <w:rsid w:val="00E50CEC"/>
    <w:rsid w:val="00E51C81"/>
    <w:rsid w:val="00E533F8"/>
    <w:rsid w:val="00E53965"/>
    <w:rsid w:val="00E53CD3"/>
    <w:rsid w:val="00E54252"/>
    <w:rsid w:val="00E55FB0"/>
    <w:rsid w:val="00E57388"/>
    <w:rsid w:val="00E637EA"/>
    <w:rsid w:val="00E63832"/>
    <w:rsid w:val="00E64B7E"/>
    <w:rsid w:val="00E6601C"/>
    <w:rsid w:val="00E6733B"/>
    <w:rsid w:val="00E7088A"/>
    <w:rsid w:val="00E72845"/>
    <w:rsid w:val="00E751A4"/>
    <w:rsid w:val="00E75513"/>
    <w:rsid w:val="00E7568B"/>
    <w:rsid w:val="00E764E2"/>
    <w:rsid w:val="00E7784C"/>
    <w:rsid w:val="00E82562"/>
    <w:rsid w:val="00E82FA2"/>
    <w:rsid w:val="00E8310F"/>
    <w:rsid w:val="00E8677D"/>
    <w:rsid w:val="00E875F4"/>
    <w:rsid w:val="00E87DA6"/>
    <w:rsid w:val="00E87DDD"/>
    <w:rsid w:val="00E91558"/>
    <w:rsid w:val="00E92AD8"/>
    <w:rsid w:val="00E93331"/>
    <w:rsid w:val="00E93A62"/>
    <w:rsid w:val="00E93D55"/>
    <w:rsid w:val="00E94350"/>
    <w:rsid w:val="00E964A3"/>
    <w:rsid w:val="00E964BD"/>
    <w:rsid w:val="00E96A61"/>
    <w:rsid w:val="00E96B96"/>
    <w:rsid w:val="00E96E4F"/>
    <w:rsid w:val="00E97885"/>
    <w:rsid w:val="00EA233B"/>
    <w:rsid w:val="00EA2FF1"/>
    <w:rsid w:val="00EA3310"/>
    <w:rsid w:val="00EA3934"/>
    <w:rsid w:val="00EA3D4D"/>
    <w:rsid w:val="00EA57D7"/>
    <w:rsid w:val="00EA5DCE"/>
    <w:rsid w:val="00EA7D02"/>
    <w:rsid w:val="00EB0577"/>
    <w:rsid w:val="00EB6C94"/>
    <w:rsid w:val="00EB7726"/>
    <w:rsid w:val="00EB7C77"/>
    <w:rsid w:val="00EC0B16"/>
    <w:rsid w:val="00EC1004"/>
    <w:rsid w:val="00EC44C3"/>
    <w:rsid w:val="00EC661D"/>
    <w:rsid w:val="00ED0194"/>
    <w:rsid w:val="00ED0753"/>
    <w:rsid w:val="00ED2428"/>
    <w:rsid w:val="00ED345B"/>
    <w:rsid w:val="00ED45B5"/>
    <w:rsid w:val="00ED4B6E"/>
    <w:rsid w:val="00ED507F"/>
    <w:rsid w:val="00ED6343"/>
    <w:rsid w:val="00ED6B2E"/>
    <w:rsid w:val="00ED6F40"/>
    <w:rsid w:val="00ED75D3"/>
    <w:rsid w:val="00EE02D2"/>
    <w:rsid w:val="00EE131A"/>
    <w:rsid w:val="00EE3278"/>
    <w:rsid w:val="00EE5477"/>
    <w:rsid w:val="00EE570A"/>
    <w:rsid w:val="00EE6082"/>
    <w:rsid w:val="00EE656A"/>
    <w:rsid w:val="00EE6F7C"/>
    <w:rsid w:val="00EE6FA5"/>
    <w:rsid w:val="00EE758B"/>
    <w:rsid w:val="00EE7DE6"/>
    <w:rsid w:val="00EF27F0"/>
    <w:rsid w:val="00EF448F"/>
    <w:rsid w:val="00EF6A72"/>
    <w:rsid w:val="00EF7A13"/>
    <w:rsid w:val="00F01647"/>
    <w:rsid w:val="00F0185B"/>
    <w:rsid w:val="00F041D7"/>
    <w:rsid w:val="00F043F9"/>
    <w:rsid w:val="00F05A21"/>
    <w:rsid w:val="00F06176"/>
    <w:rsid w:val="00F075E7"/>
    <w:rsid w:val="00F10406"/>
    <w:rsid w:val="00F11397"/>
    <w:rsid w:val="00F11579"/>
    <w:rsid w:val="00F1219E"/>
    <w:rsid w:val="00F132A6"/>
    <w:rsid w:val="00F13ABE"/>
    <w:rsid w:val="00F16066"/>
    <w:rsid w:val="00F164FB"/>
    <w:rsid w:val="00F17330"/>
    <w:rsid w:val="00F1749C"/>
    <w:rsid w:val="00F20779"/>
    <w:rsid w:val="00F2119F"/>
    <w:rsid w:val="00F220C4"/>
    <w:rsid w:val="00F22CA8"/>
    <w:rsid w:val="00F23DE6"/>
    <w:rsid w:val="00F24150"/>
    <w:rsid w:val="00F253E4"/>
    <w:rsid w:val="00F27B91"/>
    <w:rsid w:val="00F30333"/>
    <w:rsid w:val="00F321C0"/>
    <w:rsid w:val="00F3257F"/>
    <w:rsid w:val="00F32AC0"/>
    <w:rsid w:val="00F33063"/>
    <w:rsid w:val="00F34F2A"/>
    <w:rsid w:val="00F352EB"/>
    <w:rsid w:val="00F35E09"/>
    <w:rsid w:val="00F40473"/>
    <w:rsid w:val="00F41952"/>
    <w:rsid w:val="00F41BFE"/>
    <w:rsid w:val="00F41FB9"/>
    <w:rsid w:val="00F422C0"/>
    <w:rsid w:val="00F4239B"/>
    <w:rsid w:val="00F4313E"/>
    <w:rsid w:val="00F434F5"/>
    <w:rsid w:val="00F448A4"/>
    <w:rsid w:val="00F44DF1"/>
    <w:rsid w:val="00F454DB"/>
    <w:rsid w:val="00F45D45"/>
    <w:rsid w:val="00F4605B"/>
    <w:rsid w:val="00F47A67"/>
    <w:rsid w:val="00F47CAF"/>
    <w:rsid w:val="00F47D87"/>
    <w:rsid w:val="00F50AC7"/>
    <w:rsid w:val="00F51CED"/>
    <w:rsid w:val="00F51FF8"/>
    <w:rsid w:val="00F5711C"/>
    <w:rsid w:val="00F614A6"/>
    <w:rsid w:val="00F64BFB"/>
    <w:rsid w:val="00F66CDB"/>
    <w:rsid w:val="00F70244"/>
    <w:rsid w:val="00F719E2"/>
    <w:rsid w:val="00F71F30"/>
    <w:rsid w:val="00F72EB7"/>
    <w:rsid w:val="00F7324D"/>
    <w:rsid w:val="00F7345C"/>
    <w:rsid w:val="00F73EC2"/>
    <w:rsid w:val="00F75384"/>
    <w:rsid w:val="00F7599A"/>
    <w:rsid w:val="00F76D21"/>
    <w:rsid w:val="00F76E78"/>
    <w:rsid w:val="00F813C1"/>
    <w:rsid w:val="00F82FEA"/>
    <w:rsid w:val="00F832F7"/>
    <w:rsid w:val="00F8398F"/>
    <w:rsid w:val="00F84DA2"/>
    <w:rsid w:val="00F84F93"/>
    <w:rsid w:val="00F86460"/>
    <w:rsid w:val="00F90276"/>
    <w:rsid w:val="00F91879"/>
    <w:rsid w:val="00F940A2"/>
    <w:rsid w:val="00F94246"/>
    <w:rsid w:val="00F94855"/>
    <w:rsid w:val="00F94A25"/>
    <w:rsid w:val="00F957EB"/>
    <w:rsid w:val="00F95881"/>
    <w:rsid w:val="00F96EF0"/>
    <w:rsid w:val="00F97AF1"/>
    <w:rsid w:val="00FA137C"/>
    <w:rsid w:val="00FA3430"/>
    <w:rsid w:val="00FA3A82"/>
    <w:rsid w:val="00FA496F"/>
    <w:rsid w:val="00FA4C7E"/>
    <w:rsid w:val="00FA500E"/>
    <w:rsid w:val="00FA530F"/>
    <w:rsid w:val="00FA6250"/>
    <w:rsid w:val="00FA63B2"/>
    <w:rsid w:val="00FA66F5"/>
    <w:rsid w:val="00FA6E95"/>
    <w:rsid w:val="00FA7249"/>
    <w:rsid w:val="00FA7309"/>
    <w:rsid w:val="00FA7512"/>
    <w:rsid w:val="00FB0130"/>
    <w:rsid w:val="00FB06F3"/>
    <w:rsid w:val="00FB17F0"/>
    <w:rsid w:val="00FB2E14"/>
    <w:rsid w:val="00FB3CFF"/>
    <w:rsid w:val="00FB47D6"/>
    <w:rsid w:val="00FB72D0"/>
    <w:rsid w:val="00FB7F44"/>
    <w:rsid w:val="00FC1766"/>
    <w:rsid w:val="00FC1FA5"/>
    <w:rsid w:val="00FC2758"/>
    <w:rsid w:val="00FC30AD"/>
    <w:rsid w:val="00FC3A7C"/>
    <w:rsid w:val="00FC3DAC"/>
    <w:rsid w:val="00FC4940"/>
    <w:rsid w:val="00FC581F"/>
    <w:rsid w:val="00FC5FF2"/>
    <w:rsid w:val="00FC67C8"/>
    <w:rsid w:val="00FC6C53"/>
    <w:rsid w:val="00FC6FF0"/>
    <w:rsid w:val="00FC76CA"/>
    <w:rsid w:val="00FD0E3E"/>
    <w:rsid w:val="00FD116F"/>
    <w:rsid w:val="00FD43FE"/>
    <w:rsid w:val="00FD5717"/>
    <w:rsid w:val="00FD6407"/>
    <w:rsid w:val="00FD6962"/>
    <w:rsid w:val="00FE002B"/>
    <w:rsid w:val="00FE027C"/>
    <w:rsid w:val="00FE0B51"/>
    <w:rsid w:val="00FE23B7"/>
    <w:rsid w:val="00FE3CC0"/>
    <w:rsid w:val="00FE4667"/>
    <w:rsid w:val="00FE5E68"/>
    <w:rsid w:val="00FE6DC4"/>
    <w:rsid w:val="00FF0F2D"/>
    <w:rsid w:val="00FF184F"/>
    <w:rsid w:val="00FF20B7"/>
    <w:rsid w:val="00FF257F"/>
    <w:rsid w:val="00FF3516"/>
    <w:rsid w:val="00FF4891"/>
    <w:rsid w:val="00FF49A3"/>
    <w:rsid w:val="00FF4EBE"/>
    <w:rsid w:val="00FF5224"/>
    <w:rsid w:val="00FF6429"/>
    <w:rsid w:val="00FF69EA"/>
    <w:rsid w:val="030DD567"/>
    <w:rsid w:val="073A655F"/>
    <w:rsid w:val="0B316FCC"/>
    <w:rsid w:val="0BBBB4DF"/>
    <w:rsid w:val="0D00D173"/>
    <w:rsid w:val="0F347533"/>
    <w:rsid w:val="10AAA6FE"/>
    <w:rsid w:val="10B0ED96"/>
    <w:rsid w:val="11AC06AA"/>
    <w:rsid w:val="11F1B668"/>
    <w:rsid w:val="1421AABA"/>
    <w:rsid w:val="16100196"/>
    <w:rsid w:val="16226281"/>
    <w:rsid w:val="17B6455C"/>
    <w:rsid w:val="1AF5D3A4"/>
    <w:rsid w:val="1B86BC86"/>
    <w:rsid w:val="1DDB83A8"/>
    <w:rsid w:val="21040B74"/>
    <w:rsid w:val="22950E1C"/>
    <w:rsid w:val="23816F51"/>
    <w:rsid w:val="239AB491"/>
    <w:rsid w:val="251990D0"/>
    <w:rsid w:val="26E2A981"/>
    <w:rsid w:val="27A71162"/>
    <w:rsid w:val="27E4BE1B"/>
    <w:rsid w:val="2AFB5038"/>
    <w:rsid w:val="2D2A5BC9"/>
    <w:rsid w:val="364EAA15"/>
    <w:rsid w:val="365CBC7D"/>
    <w:rsid w:val="375F0F4F"/>
    <w:rsid w:val="382462FB"/>
    <w:rsid w:val="392BBEB9"/>
    <w:rsid w:val="3EB1A7CE"/>
    <w:rsid w:val="40470506"/>
    <w:rsid w:val="4169801F"/>
    <w:rsid w:val="42FC027A"/>
    <w:rsid w:val="4407C7B3"/>
    <w:rsid w:val="44F25089"/>
    <w:rsid w:val="490D5B12"/>
    <w:rsid w:val="4A148016"/>
    <w:rsid w:val="4A2A5E7B"/>
    <w:rsid w:val="4DEACFDA"/>
    <w:rsid w:val="4F1BADAF"/>
    <w:rsid w:val="53282EC9"/>
    <w:rsid w:val="5421FC84"/>
    <w:rsid w:val="57009287"/>
    <w:rsid w:val="571D1D34"/>
    <w:rsid w:val="5904A006"/>
    <w:rsid w:val="5A0C26FF"/>
    <w:rsid w:val="5A533BF1"/>
    <w:rsid w:val="61BA4AD8"/>
    <w:rsid w:val="6249F293"/>
    <w:rsid w:val="6CB604AC"/>
    <w:rsid w:val="6E6E9F18"/>
    <w:rsid w:val="6F742835"/>
    <w:rsid w:val="7357337C"/>
    <w:rsid w:val="74310195"/>
    <w:rsid w:val="74E7DACB"/>
    <w:rsid w:val="750201F4"/>
    <w:rsid w:val="76FE36C5"/>
    <w:rsid w:val="79202615"/>
    <w:rsid w:val="7998A8BE"/>
    <w:rsid w:val="7ED18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C027A"/>
  <w15:chartTrackingRefBased/>
  <w15:docId w15:val="{F3CB2BF3-2C0A-4417-9D2B-0C50F4B2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0B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0B6F"/>
    <w:rPr>
      <w:sz w:val="20"/>
      <w:szCs w:val="20"/>
    </w:rPr>
  </w:style>
  <w:style w:type="character" w:styleId="FootnoteReference">
    <w:name w:val="footnote reference"/>
    <w:basedOn w:val="DefaultParagraphFont"/>
    <w:uiPriority w:val="99"/>
    <w:semiHidden/>
    <w:unhideWhenUsed/>
    <w:rsid w:val="00A70B6F"/>
    <w:rPr>
      <w:vertAlign w:val="superscript"/>
    </w:rPr>
  </w:style>
  <w:style w:type="character" w:customStyle="1" w:styleId="normaltextrun">
    <w:name w:val="normaltextrun"/>
    <w:basedOn w:val="DefaultParagraphFont"/>
    <w:rsid w:val="00760C4A"/>
  </w:style>
  <w:style w:type="paragraph" w:styleId="ListParagraph">
    <w:name w:val="List Paragraph"/>
    <w:basedOn w:val="Normal"/>
    <w:uiPriority w:val="34"/>
    <w:qFormat/>
    <w:rsid w:val="00E93D55"/>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361490"/>
    <w:rPr>
      <w:color w:val="0563C1" w:themeColor="hyperlink"/>
      <w:u w:val="single"/>
    </w:rPr>
  </w:style>
  <w:style w:type="character" w:styleId="UnresolvedMention">
    <w:name w:val="Unresolved Mention"/>
    <w:basedOn w:val="DefaultParagraphFont"/>
    <w:uiPriority w:val="99"/>
    <w:semiHidden/>
    <w:unhideWhenUsed/>
    <w:rsid w:val="00361490"/>
    <w:rPr>
      <w:color w:val="605E5C"/>
      <w:shd w:val="clear" w:color="auto" w:fill="E1DFDD"/>
    </w:rPr>
  </w:style>
  <w:style w:type="character" w:styleId="FollowedHyperlink">
    <w:name w:val="FollowedHyperlink"/>
    <w:basedOn w:val="DefaultParagraphFont"/>
    <w:uiPriority w:val="99"/>
    <w:semiHidden/>
    <w:unhideWhenUsed/>
    <w:rsid w:val="00AB3044"/>
    <w:rPr>
      <w:color w:val="954F72" w:themeColor="followedHyperlink"/>
      <w:u w:val="single"/>
    </w:rPr>
  </w:style>
  <w:style w:type="paragraph" w:styleId="Header">
    <w:name w:val="header"/>
    <w:basedOn w:val="Normal"/>
    <w:link w:val="HeaderChar"/>
    <w:uiPriority w:val="99"/>
    <w:unhideWhenUsed/>
    <w:rsid w:val="00D6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6BD"/>
  </w:style>
  <w:style w:type="paragraph" w:styleId="Footer">
    <w:name w:val="footer"/>
    <w:basedOn w:val="Normal"/>
    <w:link w:val="FooterChar"/>
    <w:uiPriority w:val="99"/>
    <w:unhideWhenUsed/>
    <w:rsid w:val="00D6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6BD"/>
  </w:style>
  <w:style w:type="paragraph" w:styleId="CommentSubject">
    <w:name w:val="annotation subject"/>
    <w:basedOn w:val="CommentText"/>
    <w:next w:val="CommentText"/>
    <w:link w:val="CommentSubjectChar"/>
    <w:uiPriority w:val="99"/>
    <w:semiHidden/>
    <w:unhideWhenUsed/>
    <w:rsid w:val="002D5347"/>
    <w:rPr>
      <w:b/>
      <w:bCs/>
    </w:rPr>
  </w:style>
  <w:style w:type="character" w:customStyle="1" w:styleId="CommentSubjectChar">
    <w:name w:val="Comment Subject Char"/>
    <w:basedOn w:val="CommentTextChar"/>
    <w:link w:val="CommentSubject"/>
    <w:uiPriority w:val="99"/>
    <w:semiHidden/>
    <w:rsid w:val="002D5347"/>
    <w:rPr>
      <w:b/>
      <w:bCs/>
      <w:sz w:val="20"/>
      <w:szCs w:val="20"/>
    </w:rPr>
  </w:style>
  <w:style w:type="paragraph" w:styleId="Bibliography">
    <w:name w:val="Bibliography"/>
    <w:basedOn w:val="Normal"/>
    <w:next w:val="Normal"/>
    <w:uiPriority w:val="37"/>
    <w:unhideWhenUsed/>
    <w:rsid w:val="000A5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6057">
      <w:bodyDiv w:val="1"/>
      <w:marLeft w:val="0"/>
      <w:marRight w:val="0"/>
      <w:marTop w:val="0"/>
      <w:marBottom w:val="0"/>
      <w:divBdr>
        <w:top w:val="none" w:sz="0" w:space="0" w:color="auto"/>
        <w:left w:val="none" w:sz="0" w:space="0" w:color="auto"/>
        <w:bottom w:val="none" w:sz="0" w:space="0" w:color="auto"/>
        <w:right w:val="none" w:sz="0" w:space="0" w:color="auto"/>
      </w:divBdr>
    </w:div>
    <w:div w:id="137764144">
      <w:bodyDiv w:val="1"/>
      <w:marLeft w:val="0"/>
      <w:marRight w:val="0"/>
      <w:marTop w:val="0"/>
      <w:marBottom w:val="0"/>
      <w:divBdr>
        <w:top w:val="none" w:sz="0" w:space="0" w:color="auto"/>
        <w:left w:val="none" w:sz="0" w:space="0" w:color="auto"/>
        <w:bottom w:val="none" w:sz="0" w:space="0" w:color="auto"/>
        <w:right w:val="none" w:sz="0" w:space="0" w:color="auto"/>
      </w:divBdr>
    </w:div>
    <w:div w:id="364327560">
      <w:bodyDiv w:val="1"/>
      <w:marLeft w:val="0"/>
      <w:marRight w:val="0"/>
      <w:marTop w:val="0"/>
      <w:marBottom w:val="0"/>
      <w:divBdr>
        <w:top w:val="none" w:sz="0" w:space="0" w:color="auto"/>
        <w:left w:val="none" w:sz="0" w:space="0" w:color="auto"/>
        <w:bottom w:val="none" w:sz="0" w:space="0" w:color="auto"/>
        <w:right w:val="none" w:sz="0" w:space="0" w:color="auto"/>
      </w:divBdr>
    </w:div>
    <w:div w:id="407191187">
      <w:bodyDiv w:val="1"/>
      <w:marLeft w:val="0"/>
      <w:marRight w:val="0"/>
      <w:marTop w:val="0"/>
      <w:marBottom w:val="0"/>
      <w:divBdr>
        <w:top w:val="none" w:sz="0" w:space="0" w:color="auto"/>
        <w:left w:val="none" w:sz="0" w:space="0" w:color="auto"/>
        <w:bottom w:val="none" w:sz="0" w:space="0" w:color="auto"/>
        <w:right w:val="none" w:sz="0" w:space="0" w:color="auto"/>
      </w:divBdr>
    </w:div>
    <w:div w:id="414128094">
      <w:bodyDiv w:val="1"/>
      <w:marLeft w:val="0"/>
      <w:marRight w:val="0"/>
      <w:marTop w:val="0"/>
      <w:marBottom w:val="0"/>
      <w:divBdr>
        <w:top w:val="none" w:sz="0" w:space="0" w:color="auto"/>
        <w:left w:val="none" w:sz="0" w:space="0" w:color="auto"/>
        <w:bottom w:val="none" w:sz="0" w:space="0" w:color="auto"/>
        <w:right w:val="none" w:sz="0" w:space="0" w:color="auto"/>
      </w:divBdr>
    </w:div>
    <w:div w:id="1073233900">
      <w:bodyDiv w:val="1"/>
      <w:marLeft w:val="0"/>
      <w:marRight w:val="0"/>
      <w:marTop w:val="0"/>
      <w:marBottom w:val="0"/>
      <w:divBdr>
        <w:top w:val="none" w:sz="0" w:space="0" w:color="auto"/>
        <w:left w:val="none" w:sz="0" w:space="0" w:color="auto"/>
        <w:bottom w:val="none" w:sz="0" w:space="0" w:color="auto"/>
        <w:right w:val="none" w:sz="0" w:space="0" w:color="auto"/>
      </w:divBdr>
    </w:div>
    <w:div w:id="1350257197">
      <w:bodyDiv w:val="1"/>
      <w:marLeft w:val="0"/>
      <w:marRight w:val="0"/>
      <w:marTop w:val="0"/>
      <w:marBottom w:val="0"/>
      <w:divBdr>
        <w:top w:val="none" w:sz="0" w:space="0" w:color="auto"/>
        <w:left w:val="none" w:sz="0" w:space="0" w:color="auto"/>
        <w:bottom w:val="none" w:sz="0" w:space="0" w:color="auto"/>
        <w:right w:val="none" w:sz="0" w:space="0" w:color="auto"/>
      </w:divBdr>
    </w:div>
    <w:div w:id="1357854555">
      <w:bodyDiv w:val="1"/>
      <w:marLeft w:val="0"/>
      <w:marRight w:val="0"/>
      <w:marTop w:val="0"/>
      <w:marBottom w:val="0"/>
      <w:divBdr>
        <w:top w:val="none" w:sz="0" w:space="0" w:color="auto"/>
        <w:left w:val="none" w:sz="0" w:space="0" w:color="auto"/>
        <w:bottom w:val="none" w:sz="0" w:space="0" w:color="auto"/>
        <w:right w:val="none" w:sz="0" w:space="0" w:color="auto"/>
      </w:divBdr>
    </w:div>
    <w:div w:id="1374117407">
      <w:bodyDiv w:val="1"/>
      <w:marLeft w:val="0"/>
      <w:marRight w:val="0"/>
      <w:marTop w:val="0"/>
      <w:marBottom w:val="0"/>
      <w:divBdr>
        <w:top w:val="none" w:sz="0" w:space="0" w:color="auto"/>
        <w:left w:val="none" w:sz="0" w:space="0" w:color="auto"/>
        <w:bottom w:val="none" w:sz="0" w:space="0" w:color="auto"/>
        <w:right w:val="none" w:sz="0" w:space="0" w:color="auto"/>
      </w:divBdr>
    </w:div>
    <w:div w:id="1466968032">
      <w:bodyDiv w:val="1"/>
      <w:marLeft w:val="0"/>
      <w:marRight w:val="0"/>
      <w:marTop w:val="0"/>
      <w:marBottom w:val="0"/>
      <w:divBdr>
        <w:top w:val="none" w:sz="0" w:space="0" w:color="auto"/>
        <w:left w:val="none" w:sz="0" w:space="0" w:color="auto"/>
        <w:bottom w:val="none" w:sz="0" w:space="0" w:color="auto"/>
        <w:right w:val="none" w:sz="0" w:space="0" w:color="auto"/>
      </w:divBdr>
    </w:div>
    <w:div w:id="1592352949">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5553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yperlink" Target="https://doi.org/10.26300/76eq-hj32" TargetMode="External"/><Relationship Id="rId3" Type="http://schemas.openxmlformats.org/officeDocument/2006/relationships/customXml" Target="../customXml/item3.xml"/><Relationship Id="rId21" Type="http://schemas.openxmlformats.org/officeDocument/2006/relationships/hyperlink" Target="https://doi.org/10.26300/2xw0-v642" TargetMode="External"/><Relationship Id="rId7" Type="http://schemas.openxmlformats.org/officeDocument/2006/relationships/settings" Target="settings.xml"/><Relationship Id="rId12" Type="http://schemas.openxmlformats.org/officeDocument/2006/relationships/hyperlink" Target="mailto:patten.mahler@centre.edu" TargetMode="External"/><Relationship Id="rId17" Type="http://schemas.openxmlformats.org/officeDocument/2006/relationships/chart" Target="charts/chart2.xml"/><Relationship Id="rId25" Type="http://schemas.openxmlformats.org/officeDocument/2006/relationships/hyperlink" Target="https://www.nctq.org/yearbook/national/High--Need-Schools-and-Subjects-78"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jarroldgrapes@ftc.gov" TargetMode="External"/><Relationship Id="rId24" Type="http://schemas.openxmlformats.org/officeDocument/2006/relationships/hyperlink" Target="https://nces.ed.gov/whatsnew/press_releases/12_6_2022.asp" TargetMode="Externa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hyperlink" Target="https://dcps.dc.gov/page/impact-dcps-evaluation-and-feedback-system-school-based-personnel" TargetMode="External"/><Relationship Id="rId28" Type="http://schemas.openxmlformats.org/officeDocument/2006/relationships/hyperlink" Target="https://tsa.ed.gov/" TargetMode="Externa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thecommons.dpsk12.org/Page/2217" TargetMode="External"/><Relationship Id="rId27" Type="http://schemas.openxmlformats.org/officeDocument/2006/relationships/hyperlink" Target="https://pub.njleg.gov/bills/2020/S4000/3685_S4.HTM"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sumailsyr.sharepoint.com/sites/PattenRachelNCPaper/Shared%20Documents/General/Data%20Analysis%20for%20Paper%203-9-202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https://sumailsyr.sharepoint.com/sites/PattenRachelNCPaper/Shared%20Documents/General/Data%20Analysis%20for%20Paper%203-9-2023.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'Difference in Proportions'!$C$2</c:f>
              <c:strCache>
                <c:ptCount val="1"/>
                <c:pt idx="0">
                  <c:v>Percent RTW </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Garamond" panose="02020404030301010803"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'Difference in Proportions'!$C$3:$C$6</c:f>
              <c:numCache>
                <c:formatCode>General</c:formatCode>
                <c:ptCount val="4"/>
                <c:pt idx="0">
                  <c:v>20.73</c:v>
                </c:pt>
                <c:pt idx="1">
                  <c:v>23.31</c:v>
                </c:pt>
                <c:pt idx="2">
                  <c:v>25.32</c:v>
                </c:pt>
                <c:pt idx="3">
                  <c:v>29.56</c:v>
                </c:pt>
              </c:numCache>
            </c:numRef>
          </c:val>
          <c:extLst>
            <c:ext xmlns:c16="http://schemas.microsoft.com/office/drawing/2014/chart" uri="{C3380CC4-5D6E-409C-BE32-E72D297353CC}">
              <c16:uniqueId val="{00000000-EBD9-496C-9360-70487176E363}"/>
            </c:ext>
          </c:extLst>
        </c:ser>
        <c:dLbls>
          <c:showLegendKey val="0"/>
          <c:showVal val="0"/>
          <c:showCatName val="0"/>
          <c:showSerName val="0"/>
          <c:showPercent val="0"/>
          <c:showBubbleSize val="0"/>
        </c:dLbls>
        <c:gapWidth val="60"/>
        <c:axId val="876340864"/>
        <c:axId val="876347936"/>
      </c:barChart>
      <c:catAx>
        <c:axId val="876340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Times New Roman" panose="02020603050405020304" pitchFamily="18" charset="0"/>
                  </a:defRPr>
                </a:pPr>
                <a:r>
                  <a:rPr lang="en-US"/>
                  <a:t>Quartile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Times New Roman" panose="02020603050405020304" pitchFamily="18" charset="0"/>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Times New Roman" panose="02020603050405020304" pitchFamily="18" charset="0"/>
              </a:defRPr>
            </a:pPr>
            <a:endParaRPr lang="en-US"/>
          </a:p>
        </c:txPr>
        <c:crossAx val="876347936"/>
        <c:crosses val="autoZero"/>
        <c:auto val="1"/>
        <c:lblAlgn val="ctr"/>
        <c:lblOffset val="100"/>
        <c:noMultiLvlLbl val="0"/>
      </c:catAx>
      <c:valAx>
        <c:axId val="876347936"/>
        <c:scaling>
          <c:orientation val="minMax"/>
        </c:scaling>
        <c:delete val="1"/>
        <c:axPos val="l"/>
        <c:numFmt formatCode="General" sourceLinked="1"/>
        <c:majorTickMark val="none"/>
        <c:minorTickMark val="none"/>
        <c:tickLblPos val="nextTo"/>
        <c:crossAx val="876340864"/>
        <c:crosses val="autoZero"/>
        <c:crossBetween val="between"/>
      </c:valAx>
      <c:spPr>
        <a:noFill/>
        <a:ln w="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Garamond" panose="02020404030301010803" pitchFamily="18" charset="0"/>
          <a:cs typeface="Times New Roman" panose="02020603050405020304" pitchFamily="18" charset="0"/>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'Difference in Proportions'!$F$2</c:f>
              <c:strCache>
                <c:ptCount val="1"/>
                <c:pt idx="0">
                  <c:v>Percent RTW </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'Difference in Proportions'!$F$3:$F$6</c:f>
              <c:numCache>
                <c:formatCode>General</c:formatCode>
                <c:ptCount val="4"/>
                <c:pt idx="0">
                  <c:v>17.77</c:v>
                </c:pt>
                <c:pt idx="1">
                  <c:v>25.07</c:v>
                </c:pt>
                <c:pt idx="2">
                  <c:v>25.92</c:v>
                </c:pt>
                <c:pt idx="3">
                  <c:v>30.37</c:v>
                </c:pt>
              </c:numCache>
            </c:numRef>
          </c:val>
          <c:extLst>
            <c:ext xmlns:c16="http://schemas.microsoft.com/office/drawing/2014/chart" uri="{C3380CC4-5D6E-409C-BE32-E72D297353CC}">
              <c16:uniqueId val="{00000000-6A94-4DB2-A044-DD9BBAF897C4}"/>
            </c:ext>
          </c:extLst>
        </c:ser>
        <c:dLbls>
          <c:showLegendKey val="0"/>
          <c:showVal val="0"/>
          <c:showCatName val="0"/>
          <c:showSerName val="0"/>
          <c:showPercent val="0"/>
          <c:showBubbleSize val="0"/>
        </c:dLbls>
        <c:gapWidth val="60"/>
        <c:axId val="950746160"/>
        <c:axId val="950738672"/>
      </c:barChart>
      <c:catAx>
        <c:axId val="950746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US"/>
                  <a:t>Quartile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950738672"/>
        <c:crosses val="autoZero"/>
        <c:auto val="1"/>
        <c:lblAlgn val="ctr"/>
        <c:lblOffset val="100"/>
        <c:noMultiLvlLbl val="0"/>
      </c:catAx>
      <c:valAx>
        <c:axId val="950738672"/>
        <c:scaling>
          <c:orientation val="minMax"/>
        </c:scaling>
        <c:delete val="1"/>
        <c:axPos val="l"/>
        <c:numFmt formatCode="General" sourceLinked="1"/>
        <c:majorTickMark val="none"/>
        <c:minorTickMark val="none"/>
        <c:tickLblPos val="nextTo"/>
        <c:crossAx val="950746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Garamond" panose="02020404030301010803" pitchFamily="18"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0.0988</cdr:x>
      <cdr:y>0.82018</cdr:y>
    </cdr:from>
    <cdr:to>
      <cdr:x>0.30552</cdr:x>
      <cdr:y>0.95537</cdr:y>
    </cdr:to>
    <cdr:sp macro="" textlink="">
      <cdr:nvSpPr>
        <cdr:cNvPr id="2" name="TextBox 1">
          <a:extLst xmlns:a="http://schemas.openxmlformats.org/drawingml/2006/main">
            <a:ext uri="{FF2B5EF4-FFF2-40B4-BE49-F238E27FC236}">
              <a16:creationId xmlns:a16="http://schemas.microsoft.com/office/drawing/2014/main" id="{BD72C73C-760E-7022-0CC0-E2DCFDDE4247}"/>
            </a:ext>
          </a:extLst>
        </cdr:cNvPr>
        <cdr:cNvSpPr txBox="1"/>
      </cdr:nvSpPr>
      <cdr:spPr>
        <a:xfrm xmlns:a="http://schemas.openxmlformats.org/drawingml/2006/main">
          <a:off x="275169" y="1493692"/>
          <a:ext cx="575731" cy="24620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a:latin typeface="Garamond" panose="02020404030301010803" pitchFamily="18" charset="0"/>
              <a:cs typeface="Times New Roman" panose="02020603050405020304" pitchFamily="18" charset="0"/>
            </a:rPr>
            <a:t>Low</a:t>
          </a:r>
        </a:p>
      </cdr:txBody>
    </cdr:sp>
  </cdr:relSizeAnchor>
  <cdr:relSizeAnchor xmlns:cdr="http://schemas.openxmlformats.org/drawingml/2006/chartDrawing">
    <cdr:from>
      <cdr:x>0.75842</cdr:x>
      <cdr:y>0.8234</cdr:y>
    </cdr:from>
    <cdr:to>
      <cdr:x>0.92795</cdr:x>
      <cdr:y>0.95188</cdr:y>
    </cdr:to>
    <cdr:sp macro="" textlink="">
      <cdr:nvSpPr>
        <cdr:cNvPr id="4" name="TextBox 3">
          <a:extLst xmlns:a="http://schemas.openxmlformats.org/drawingml/2006/main">
            <a:ext uri="{FF2B5EF4-FFF2-40B4-BE49-F238E27FC236}">
              <a16:creationId xmlns:a16="http://schemas.microsoft.com/office/drawing/2014/main" id="{4D7B50CD-654E-48D4-028D-E0A46753E959}"/>
            </a:ext>
          </a:extLst>
        </cdr:cNvPr>
        <cdr:cNvSpPr txBox="1"/>
      </cdr:nvSpPr>
      <cdr:spPr>
        <a:xfrm xmlns:a="http://schemas.openxmlformats.org/drawingml/2006/main">
          <a:off x="2112284" y="1499563"/>
          <a:ext cx="472166" cy="2339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a:latin typeface="Garamond" panose="02020404030301010803" pitchFamily="18" charset="0"/>
              <a:cs typeface="Times New Roman" panose="02020603050405020304" pitchFamily="18" charset="0"/>
            </a:rPr>
            <a:t>High</a:t>
          </a:r>
        </a:p>
      </cdr:txBody>
    </cdr:sp>
  </cdr:relSizeAnchor>
</c:userShapes>
</file>

<file path=word/drawings/drawing2.xml><?xml version="1.0" encoding="utf-8"?>
<c:userShapes xmlns:c="http://schemas.openxmlformats.org/drawingml/2006/chart">
  <cdr:relSizeAnchor xmlns:cdr="http://schemas.openxmlformats.org/drawingml/2006/chartDrawing">
    <cdr:from>
      <cdr:x>0.10466</cdr:x>
      <cdr:y>0.83465</cdr:y>
    </cdr:from>
    <cdr:to>
      <cdr:x>0.22785</cdr:x>
      <cdr:y>0.96988</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315016" y="1526400"/>
          <a:ext cx="370784" cy="247317"/>
        </a:xfrm>
        <a:prstGeom xmlns:a="http://schemas.openxmlformats.org/drawingml/2006/main" prst="rect">
          <a:avLst/>
        </a:prstGeom>
      </cdr:spPr>
    </cdr:pic>
  </cdr:relSizeAnchor>
  <cdr:relSizeAnchor xmlns:cdr="http://schemas.openxmlformats.org/drawingml/2006/chartDrawing">
    <cdr:from>
      <cdr:x>0.77914</cdr:x>
      <cdr:y>0.83333</cdr:y>
    </cdr:from>
    <cdr:to>
      <cdr:x>0.92057</cdr:x>
      <cdr:y>0.97903</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345148" y="1524000"/>
          <a:ext cx="425686" cy="26645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Gar19</b:Tag>
    <b:SourceType>Report</b:SourceType>
    <b:Guid>{802429E9-5652-460C-A92C-55822F40FA4B}</b:Guid>
    <b:Title>The teacher shortage is real, large and growing, and worse than we thought</b:Title>
    <b:Year>2019</b:Year>
    <b:Author>
      <b:Author>
        <b:NameList>
          <b:Person>
            <b:Last>Garcia</b:Last>
            <b:First>Emma</b:First>
          </b:Person>
          <b:Person>
            <b:Last>Weiss</b:Last>
            <b:First>Elaine</b:First>
          </b:Person>
        </b:NameList>
      </b:Author>
    </b:Author>
    <b:Publisher>Economic Policy Institute</b:Publisher>
    <b:City>Washington D.C.</b:City>
    <b:RefOrder>2</b:RefOrder>
  </b:Source>
  <b:Source>
    <b:Tag>Nat17</b:Tag>
    <b:SourceType>InternetSite</b:SourceType>
    <b:Guid>{A45AAF83-40AC-45D8-9999-45C41507FA54}</b:Guid>
    <b:Title>High-Need Schools and Subjects National Results</b:Title>
    <b:Year>2017</b:Year>
    <b:Author>
      <b:Author>
        <b:Corporate>National Council on Teacher Quality</b:Corporate>
      </b:Author>
    </b:Author>
    <b:InternetSiteTitle>State Teacher Policy Database</b:InternetSiteTitle>
    <b:URL>https://www.nctq.org/yearbook/national/High--Need-Schools-and-Subjects-78</b:URL>
    <b:YearAccessed>2019</b:YearAccessed>
    <b:MonthAccessed>September</b:MonthAccessed>
    <b:DayAccessed>4</b:DayAccessed>
    <b:RefOrder>3</b:RefOrder>
  </b:Source>
  <b:Source>
    <b:Tag>Har19</b:Tag>
    <b:SourceType>InternetSite</b:SourceType>
    <b:Guid>{B179955F-4E88-4EDC-9199-7E201A5AA516}</b:Guid>
    <b:Title>Hard to Staff Incentive 2019-20</b:Title>
    <b:Year>2019</b:Year>
    <b:InternetSiteTitle>Denver Public Schools</b:InternetSiteTitle>
    <b:URL>http://thecommons.dpsk12.org/Page/2217</b:URL>
    <b:Author>
      <b:Author>
        <b:Corporate>Denver Public Schools</b:Corporate>
      </b:Author>
    </b:Author>
    <b:RefOrder>4</b:RefOrder>
  </b:Source>
  <b:Source xmlns:b="http://schemas.openxmlformats.org/officeDocument/2006/bibliography">
    <b:Tag>IMP19</b:Tag>
    <b:SourceType>InternetSite</b:SourceType>
    <b:Guid>{73073114-722E-42E0-B518-8F4046508138}</b:Guid>
    <b:Title>IMPACT: The DCPS Evaluation and Feedback System for School-Based Personnel</b:Title>
    <b:InternetSiteTitle>District of Columbia Public Schools</b:InternetSiteTitle>
    <b:Year>2019</b:Year>
    <b:URL>https://dcps.dc.gov/page/impact-dcps-evaluation-and-feedback-system-school-based-personnel</b:URL>
    <b:Author>
      <b:Author>
        <b:Corporate>District of Columbia Public Schools</b:Corporate>
      </b:Author>
    </b:Author>
    <b:RefOrder>5</b:RefOrder>
  </b:Source>
  <b:Source>
    <b:Tag>Clo08</b:Tag>
    <b:SourceType>JournalArticle</b:SourceType>
    <b:Guid>{E2736619-AA9F-4FBB-9F32-8769631930B4}</b:Guid>
    <b:Title>Would higher salaries keep teachers in high-poverty schools? Evidence from a policy intervention in North Carolina</b:Title>
    <b:JournalName>Journal of Public Economics</b:JournalName>
    <b:Year>2008</b:Year>
    <b:Pages>1352-1370</b:Pages>
    <b:Author>
      <b:Author>
        <b:NameList>
          <b:Person>
            <b:Last>Clotfelter</b:Last>
            <b:First>Charles</b:First>
          </b:Person>
          <b:Person>
            <b:Last>Glennie</b:Last>
            <b:First>Elizabeth</b:First>
          </b:Person>
          <b:Person>
            <b:Last>Ladd</b:Last>
            <b:First>Helen</b:First>
          </b:Person>
          <b:Person>
            <b:Last>Vigdor</b:Last>
            <b:First>Jacob</b:First>
          </b:Person>
        </b:NameList>
      </b:Author>
    </b:Author>
    <b:Volume>92</b:Volume>
    <b:RefOrder>8</b:RefOrder>
  </b:Source>
  <b:Source>
    <b:Tag>Adn17</b:Tag>
    <b:SourceType>JournalArticle</b:SourceType>
    <b:Guid>{E3DA5A45-15FB-485D-A1C1-0FD210FD171B}</b:Guid>
    <b:Author>
      <b:Author>
        <b:NameList>
          <b:Person>
            <b:Last>Adnot</b:Last>
            <b:First>M.</b:First>
          </b:Person>
          <b:Person>
            <b:Last>Dee</b:Last>
            <b:First>T.</b:First>
          </b:Person>
          <b:Person>
            <b:Last>Katz</b:Last>
            <b:First>V.</b:First>
          </b:Person>
          <b:Person>
            <b:Last>Wyckoff</b:Last>
            <b:First>J.</b:First>
          </b:Person>
        </b:NameList>
      </b:Author>
    </b:Author>
    <b:Title>Teacher Turnover, Teacher Quality, and Student Achievement in DCPS</b:Title>
    <b:JournalName>Educational Evaluation and Policy Analysis</b:JournalName>
    <b:Year>2017</b:Year>
    <b:Pages>54-76</b:Pages>
    <b:Volume>39</b:Volume>
    <b:Issue>1</b:Issue>
    <b:RefOrder>9</b:RefOrder>
  </b:Source>
  <b:Source>
    <b:Tag>Ing04</b:Tag>
    <b:SourceType>Report</b:SourceType>
    <b:Guid>{9FB4CE34-2D51-47F6-ABD0-0D0393F71F84}</b:Guid>
    <b:Title>Why Do High-Poverty Schools Have Difficulty Staffing Their Classroom with Qualified Teachers?</b:Title>
    <b:Year>2004</b:Year>
    <b:Author>
      <b:Author>
        <b:NameList>
          <b:Person>
            <b:Last>Ingersoll</b:Last>
            <b:First>Richard</b:First>
            <b:Middle>M.</b:Middle>
          </b:Person>
        </b:NameList>
      </b:Author>
    </b:Author>
    <b:Publisher>Renewing Our Schools, Securing Our Future - A National Task Force on Public Education; Joint Initiative of the Center for American Progress and the Institute for America's Future</b:Publisher>
    <b:RefOrder>6</b:RefOrder>
  </b:Source>
  <b:Source>
    <b:Tag>Han04</b:Tag>
    <b:SourceType>JournalArticle</b:SourceType>
    <b:Guid>{FB8D4167-15CA-4CFA-95CA-B749C4AE8D76}</b:Guid>
    <b:Title>Why Public Schools Lose Teacher</b:Title>
    <b:JournalName>Journal of Human Resources</b:JournalName>
    <b:Year>2004</b:Year>
    <b:Pages>326-354</b:Pages>
    <b:Author>
      <b:Author>
        <b:NameList>
          <b:Person>
            <b:Last>Hanushek</b:Last>
            <b:Middle>A.</b:Middle>
            <b:First>E.</b:First>
          </b:Person>
          <b:Person>
            <b:Last>Kain</b:Last>
            <b:Middle>F.</b:Middle>
            <b:First>J.</b:First>
          </b:Person>
          <b:Person>
            <b:Last>Rivkin</b:Last>
            <b:Middle>G.</b:Middle>
            <b:First>S.</b:First>
          </b:Person>
        </b:NameList>
      </b:Author>
    </b:Author>
    <b:Volume>39</b:Volume>
    <b:Issue>2</b:Issue>
    <b:RefOrder>7</b:RefOrder>
  </b:Source>
  <b:Source>
    <b:Tag>Fol17</b:Tag>
    <b:SourceType>Report</b:SourceType>
    <b:Guid>{AD3056D8-B4BA-4E21-A547-0C509A212AAC}</b:Guid>
    <b:Author>
      <b:Author>
        <b:NameList>
          <b:Person>
            <b:Last>Folwell</b:Last>
            <b:First>D.</b:First>
            <b:Middle>R.</b:Middle>
          </b:Person>
          <b:Person>
            <b:Last>Toole</b:Last>
            <b:First>S.</b:First>
            <b:Middle>C.</b:Middle>
          </b:Person>
        </b:NameList>
      </b:Author>
    </b:Author>
    <b:Title>Teachers' and State Employees' Retirement Systems: Your Retirement Benefits</b:Title>
    <b:Year>2017</b:Year>
    <b:Publisher>Department of State Treasurer</b:Publisher>
    <b:City>Raleigh</b:City>
    <b:RefOrder>10</b:RefOrder>
  </b:Source>
  <b:Source>
    <b:Tag>Cos09</b:Tag>
    <b:SourceType>JournalArticle</b:SourceType>
    <b:Guid>{7A326EFC-3E12-445D-B074-42D23317F019}</b:Guid>
    <b:Author>
      <b:Author>
        <b:NameList>
          <b:Person>
            <b:Last>Costrell</b:Last>
            <b:First>R.</b:First>
          </b:Person>
          <b:Person>
            <b:Last>Podgursky</b:Last>
            <b:First>M.</b:First>
          </b:Person>
        </b:NameList>
      </b:Author>
    </b:Author>
    <b:Title>Peaks, Cliffs, and Valleys: The Peculiar Incentives in Teacher Retirement Systems and their Consequences for School Staffing</b:Title>
    <b:JournalName>Education Finance and Policy</b:JournalName>
    <b:Year>2009</b:Year>
    <b:Pages>175-211</b:Pages>
    <b:Volume>4</b:Volume>
    <b:Issue>2</b:Issue>
    <b:RefOrder>11</b:RefOrder>
  </b:Source>
  <b:Source>
    <b:Tag>Cos10</b:Tag>
    <b:SourceType>JournalArticle</b:SourceType>
    <b:Guid>{F5841925-F146-46DC-8BAC-1C6A5F0F90C9}</b:Guid>
    <b:Author>
      <b:Author>
        <b:NameList>
          <b:Person>
            <b:Last>Costrell</b:Last>
            <b:First>R.</b:First>
          </b:Person>
          <b:Person>
            <b:Last>McGee</b:Last>
            <b:First>J.</b:First>
          </b:Person>
        </b:NameList>
      </b:Author>
    </b:Author>
    <b:Title>Teacher Pension Incentives, Retirement Behavior, and Potential for Reform in Arkansas</b:Title>
    <b:Year>2010</b:Year>
    <b:JournalName>Education Finance and Policy</b:JournalName>
    <b:Pages>492-518</b:Pages>
    <b:Volume>5</b:Volume>
    <b:Issue>4</b:Issue>
    <b:RefOrder>12</b:RefOrder>
  </b:Source>
  <b:Source>
    <b:Tag>Tea</b:Tag>
    <b:SourceType>InternetSite</b:SourceType>
    <b:Guid>{F866A284-8511-48E2-AC41-36295404CB82}</b:Guid>
    <b:Title>Teacher Shortage Areas</b:Title>
    <b:InternetSiteTitle>U.S. Department of Education</b:InternetSiteTitle>
    <b:URL>https://tsa.ed.gov/#/reports</b:URL>
    <b:Year>2022</b:Year>
    <b:RefOrder>1</b:RefOrder>
  </b:Source>
  <b:Source>
    <b:Tag>Gol07</b:Tag>
    <b:SourceType>JournalArticle</b:SourceType>
    <b:Guid>{B892EC86-8D69-48A9-AD6F-414009097B9D}</b:Guid>
    <b:Title>A descriptive analysis of the distribution of NBPTS-certified teachers in North Carolina</b:Title>
    <b:JournalName>Economics of Education Review</b:JournalName>
    <b:Year>2007</b:Year>
    <b:Pages>160-172</b:Pages>
    <b:Author>
      <b:Author>
        <b:NameList>
          <b:Person>
            <b:Last>Goldhaber</b:Last>
            <b:First>Dan</b:First>
          </b:Person>
          <b:Person>
            <b:Last>Choi</b:Last>
            <b:First>Hyung-Jai</b:First>
          </b:Person>
          <b:Person>
            <b:Last>Cramer</b:Last>
            <b:First>Lauren</b:First>
          </b:Person>
        </b:NameList>
      </b:Author>
    </b:Author>
    <b:Volume>16</b:Volume>
    <b:Issue>2</b:Issue>
    <b:RefOrder>14</b:RefOrder>
  </b:Source>
  <b:Source>
    <b:Tag>Clo05</b:Tag>
    <b:SourceType>JournalArticle</b:SourceType>
    <b:Guid>{64824927-55AB-41FA-85A2-A5CF34B683FF}</b:Guid>
    <b:Title>Who Teaches Whom? Race and the Distribution of Novice Teachers</b:Title>
    <b:Year>2005</b:Year>
    <b:JournalName>Economics of Education Review</b:JournalName>
    <b:Pages>377-392</b:Pages>
    <b:Author>
      <b:Author>
        <b:NameList>
          <b:Person>
            <b:Last>Clotfelter</b:Last>
            <b:Middle>T</b:Middle>
            <b:First>Charles</b:First>
          </b:Person>
          <b:Person>
            <b:Last>Ladd</b:Last>
            <b:First>Helen</b:First>
          </b:Person>
          <b:Person>
            <b:Last>Vigdor</b:Last>
            <b:First>Jacob</b:First>
          </b:Person>
        </b:NameList>
      </b:Author>
    </b:Author>
    <b:Volume>24</b:Volume>
    <b:Issue>4</b:Issue>
    <b:RefOrder>13</b:RefOrder>
  </b:Source>
  <b:Source>
    <b:Tag>Lan02</b:Tag>
    <b:SourceType>JournalArticle</b:SourceType>
    <b:Guid>{2660B326-6AA6-4961-A338-33F4F7B83C41}</b:Guid>
    <b:Title>Teacher Sorting and the Plight of Urban Schools: A Descriptive Analysis</b:Title>
    <b:JournalName>Educational Evaluation and Policy Analysis</b:JournalName>
    <b:Year>2002</b:Year>
    <b:Pages>37-62</b:Pages>
    <b:Author>
      <b:Author>
        <b:NameList>
          <b:Person>
            <b:Last>Lankford</b:Last>
            <b:First>H.</b:First>
          </b:Person>
          <b:Person>
            <b:Last>Loeb</b:Last>
            <b:First>S.</b:First>
          </b:Person>
          <b:Person>
            <b:Last>Wyckoff</b:Last>
            <b:First>J.</b:First>
          </b:Person>
        </b:NameList>
      </b:Author>
    </b:Author>
    <b:Volume>24</b:Volume>
    <b:Issue>1</b:Issue>
    <b:RefOrder>15</b:RefOrder>
  </b:Source>
  <b:Source>
    <b:Tag>Sas12</b:Tag>
    <b:SourceType>JournalArticle</b:SourceType>
    <b:Guid>{C24AFCC0-C4F7-432F-8A22-71313F9DA7F3}</b:Guid>
    <b:Title>Value added of teachers in high-poverty schools and lower poverty schools</b:Title>
    <b:JournalName>Journal of Urban Economics</b:JournalName>
    <b:Year>2012</b:Year>
    <b:Pages>104-122</b:Pages>
    <b:Author>
      <b:Author>
        <b:NameList>
          <b:Person>
            <b:Last>Sass</b:Last>
            <b:Middle>R.</b:Middle>
            <b:First>Tim</b:First>
          </b:Person>
          <b:Person>
            <b:Last>Hannaway</b:Last>
            <b:First>Jane</b:First>
          </b:Person>
          <b:Person>
            <b:Last>Xu</b:Last>
            <b:First>Zeyu</b:First>
          </b:Person>
          <b:Person>
            <b:Last>Figlio</b:Last>
            <b:Middle>N.</b:Middle>
            <b:First>David</b:First>
          </b:Person>
          <b:Person>
            <b:Last>Feng</b:Last>
            <b:First>Li</b:First>
          </b:Person>
        </b:NameList>
      </b:Author>
    </b:Author>
    <b:Volume>72</b:Volume>
    <b:Issue>2-3</b:Issue>
    <b:RefOrder>29</b:RefOrder>
  </b:Source>
  <b:Source>
    <b:Tag>Clo07</b:Tag>
    <b:SourceType>Report</b:SourceType>
    <b:Guid>{78225E53-F06D-42CE-B3BC-2AFB7BAF110D}</b:Guid>
    <b:Title>How and Why do Teacher Credentials Matter for Student Achievement?</b:Title>
    <b:Year>2007</b:Year>
    <b:Publisher>CALDER Working Paper 2</b:Publisher>
    <b:City>Washington, DC: The Urban Institute</b:City>
    <b:Author>
      <b:Author>
        <b:NameList>
          <b:Person>
            <b:Last>Clotfelter</b:Last>
            <b:Middle>T.</b:Middle>
            <b:First>C.</b:First>
          </b:Person>
          <b:Person>
            <b:Last>Ladd</b:Last>
            <b:Middle>F.</b:Middle>
            <b:First>H.</b:First>
          </b:Person>
          <b:Person>
            <b:Last>Vigdor</b:Last>
            <b:Middle>L.</b:Middle>
            <b:First>J.</b:First>
          </b:Person>
        </b:NameList>
      </b:Author>
    </b:Author>
    <b:RefOrder>8</b:RefOrder>
  </b:Source>
  <b:Source>
    <b:Tag>Boy08</b:Tag>
    <b:SourceType>JournalArticle</b:SourceType>
    <b:Guid>{AE1A0268-3B83-4DBA-B092-50265B7B3EF1}</b:Guid>
    <b:Title>The Narrowing Gap in New York City Teacher Qualifications and its Implications for Student Achievement</b:Title>
    <b:JournalName>Journal of Public Policy Analysis and Management</b:JournalName>
    <b:Year>2008</b:Year>
    <b:Pages>793-818</b:Pages>
    <b:Author>
      <b:Author>
        <b:NameList>
          <b:Person>
            <b:Last>Boyd</b:Last>
            <b:First>D.</b:First>
          </b:Person>
          <b:Person>
            <b:Last>Lankford</b:Last>
            <b:First>H.</b:First>
          </b:Person>
          <b:Person>
            <b:Last>Loeb</b:Last>
            <b:First>S.</b:First>
          </b:Person>
          <b:Person>
            <b:Last>Rockoff</b:Last>
            <b:First>J.</b:First>
          </b:Person>
          <b:Person>
            <b:Last>Wyckoff</b:Last>
            <b:First>J.</b:First>
          </b:Person>
        </b:NameList>
      </b:Author>
    </b:Author>
    <b:Volume>27</b:Volume>
    <b:Issue>4</b:Issue>
    <b:RefOrder>9</b:RefOrder>
  </b:Source>
  <b:Source>
    <b:Tag>Kin16</b:Tag>
    <b:SourceType>Report</b:SourceType>
    <b:Guid>{02494B29-5387-4FF4-A882-361F73647E98}</b:Guid>
    <b:Title>Does Teaching Experience Increase Teacher Effectiveness? A Review of the Research</b:Title>
    <b:Year>2016</b:Year>
    <b:Publisher>Learning Policy Institute</b:Publisher>
    <b:City>Palo Alto</b:City>
    <b:Author>
      <b:Author>
        <b:NameList>
          <b:Person>
            <b:Last>Kini</b:Last>
            <b:First>Tara</b:First>
          </b:Person>
          <b:Person>
            <b:Last>Podolsky</b:Last>
            <b:First>Anne</b:First>
          </b:Person>
        </b:NameList>
      </b:Author>
    </b:Author>
    <b:YearAccessed>2019</b:YearAccessed>
    <b:MonthAccessed>October</b:MonthAccessed>
    <b:DayAccessed>9</b:DayAccessed>
    <b:URL>https://learningpolicyinstitute.org/our-work/publications-resources/</b:URL>
    <b:RefOrder>10</b:RefOrder>
  </b:Source>
  <b:Source>
    <b:Tag>Bea95</b:Tag>
    <b:SourceType>JournalArticle</b:SourceType>
    <b:Guid>{E3695EBB-0C61-41DF-995C-55BCAE8ECFEB}</b:Guid>
    <b:Title>Former Teachers Who Return to Public Schools: District and Teacher Characteristics of Teachers Who Return to the Districts They Left</b:Title>
    <b:Year>1995</b:Year>
    <b:JournalName>Educational Evaluation and Policy Analysis</b:JournalName>
    <b:Pages>462-475</b:Pages>
    <b:Author>
      <b:Author>
        <b:NameList>
          <b:Person>
            <b:Last>Beaudin</b:Last>
            <b:Middle>Q</b:Middle>
            <b:First>Barbara</b:First>
          </b:Person>
        </b:NameList>
      </b:Author>
    </b:Author>
    <b:Volume>17</b:Volume>
    <b:Issue>4</b:Issue>
    <b:RefOrder>12</b:RefOrder>
  </b:Source>
  <b:Source>
    <b:Tag>Bea93</b:Tag>
    <b:SourceType>JournalArticle</b:SourceType>
    <b:Guid>{0FF3C67E-56C8-42FC-8E35-A31BFC3A6E84}</b:Guid>
    <b:Title>Teachers Who Interrupt Their Careers: Characteristics of Those Who Return to the Classroom</b:Title>
    <b:JournalName>Educational Evaluation and Policy Analysis</b:JournalName>
    <b:Year>1993</b:Year>
    <b:Pages>51-64</b:Pages>
    <b:Author>
      <b:Author>
        <b:NameList>
          <b:Person>
            <b:Last>Beaudin</b:Last>
            <b:Middle>Q.</b:Middle>
            <b:First>Barbara</b:First>
          </b:Person>
        </b:NameList>
      </b:Author>
    </b:Author>
    <b:Volume>15</b:Volume>
    <b:Issue>1</b:Issue>
    <b:RefOrder>11</b:RefOrder>
  </b:Source>
  <b:Source>
    <b:Tag>Placeholder1</b:Tag>
    <b:SourceType>InternetSite</b:SourceType>
    <b:Guid>{F5D2C6EA-1235-40B7-A571-B3274E520ED1}</b:Guid>
    <b:Title>Teacher Shortage Areas</b:Title>
    <b:InternetSiteTitle>U.S. Department of Education</b:InternetSiteTitle>
    <b:URL>https://tsa.ed.gov/#/reports</b:URL>
    <b:Year>2018</b:Year>
    <b:RefOrder>1</b:RefOrder>
  </b:Source>
  <b:Source>
    <b:Tag>Ang17</b:Tag>
    <b:SourceType>JournalArticle</b:SourceType>
    <b:Guid>{7E37006A-76C2-448F-B962-427EFF429CF7}</b:Guid>
    <b:Author>
      <b:Author>
        <b:NameList>
          <b:Person>
            <b:Last>Angrist</b:Last>
            <b:First>J.</b:First>
            <b:Middle>D.</b:Middle>
          </b:Person>
          <b:Person>
            <b:Last>Hull</b:Last>
            <b:First>P.</b:First>
            <b:Middle>D.</b:Middle>
          </b:Person>
          <b:Person>
            <b:Last>Pathak</b:Last>
            <b:First>P.</b:First>
            <b:Middle>A.</b:Middle>
          </b:Person>
          <b:Person>
            <b:Last>Walters</b:Last>
            <b:First>C.</b:First>
            <b:Middle>R.</b:Middle>
          </b:Person>
        </b:NameList>
      </b:Author>
    </b:Author>
    <b:Title>Leveraging Lotteries for School Value-Added: Testing and Estimation</b:Title>
    <b:JournalName>The Quarterly Journal of Economics</b:JournalName>
    <b:Year>2017</b:Year>
    <b:Pages>871-919</b:Pages>
    <b:Volume>132</b:Volume>
    <b:RefOrder>31</b:RefOrder>
  </b:Source>
  <b:Source>
    <b:Tag>Boy07</b:Tag>
    <b:SourceType>JournalArticle</b:SourceType>
    <b:Guid>{A7B8A1EC-D763-429A-B438-2798EEC8D592}</b:Guid>
    <b:Author>
      <b:Author>
        <b:NameList>
          <b:Person>
            <b:Last>Boyd</b:Last>
            <b:First>D.</b:First>
          </b:Person>
          <b:Person>
            <b:Last>Grossman</b:Last>
            <b:First>P.</b:First>
          </b:Person>
          <b:Person>
            <b:Last>Lankford</b:Last>
            <b:First>H.</b:First>
          </b:Person>
          <b:Person>
            <b:Last>Loeb</b:Last>
            <b:First>S.</b:First>
          </b:Person>
          <b:Person>
            <b:Last>Wyckoff</b:Last>
            <b:First>J.</b:First>
          </b:Person>
        </b:NameList>
      </b:Author>
    </b:Author>
    <b:Title>Who Leaves? Teacher Attrition and Student Achievement</b:Title>
    <b:JournalName>Working Paper</b:JournalName>
    <b:Year>2007</b:Year>
    <b:City>Albany</b:City>
    <b:Publisher>Teacher Policy Research</b:Publisher>
    <b:RefOrder>32</b:RefOrder>
  </b:Source>
  <b:Source>
    <b:Tag>Che14</b:Tag>
    <b:SourceType>JournalArticle</b:SourceType>
    <b:Guid>{A581F9CB-C9F4-478E-BF12-45F37B2CBC35}</b:Guid>
    <b:Author>
      <b:Author>
        <b:NameList>
          <b:Person>
            <b:Last>Chetty</b:Last>
            <b:First>R.</b:First>
          </b:Person>
          <b:Person>
            <b:Last>Friedman</b:Last>
            <b:First>J.</b:First>
            <b:Middle>N.</b:Middle>
          </b:Person>
          <b:Person>
            <b:Last>Rockoff</b:Last>
            <b:First>J.</b:First>
            <b:Middle>E.</b:Middle>
          </b:Person>
        </b:NameList>
      </b:Author>
    </b:Author>
    <b:Title>Measuring the Impacts of Teachers I: Evaluating Bias in Teacher Value-Added Estimates</b:Title>
    <b:JournalName>American Economic Review</b:JournalName>
    <b:Year>2014</b:Year>
    <b:Pages>2593-2632</b:Pages>
    <b:Volume>104</b:Volume>
    <b:RefOrder>30</b:RefOrder>
  </b:Source>
  <b:Source>
    <b:Tag>Clo06</b:Tag>
    <b:SourceType>JournalArticle</b:SourceType>
    <b:Guid>{F30C92E0-BD2E-4B48-8E90-311DC266ADBE}</b:Guid>
    <b:Author>
      <b:Author>
        <b:NameList>
          <b:Person>
            <b:Last>Clotfelter</b:Last>
            <b:First>C.</b:First>
            <b:Middle>T.</b:Middle>
          </b:Person>
          <b:Person>
            <b:Last>Ladd</b:Last>
            <b:First>H.</b:First>
            <b:Middle>F.</b:Middle>
          </b:Person>
          <b:Person>
            <b:Last>Vigdor</b:Last>
            <b:First>J.</b:First>
            <b:Middle>L.</b:Middle>
          </b:Person>
        </b:NameList>
      </b:Author>
    </b:Author>
    <b:Title>Teacher-Student Matching and the Assessment of Teacher Effectiveness</b:Title>
    <b:JournalName>Journal of Human Resources</b:JournalName>
    <b:Year>2006</b:Year>
    <b:Pages>778-820</b:Pages>
    <b:Volume>41</b:Volume>
    <b:RefOrder>33</b:RefOrder>
  </b:Source>
  <b:Source>
    <b:Tag>Kim17</b:Tag>
    <b:SourceType>JournalArticle</b:SourceType>
    <b:Guid>{2D1FBD84-B99E-408E-B8E8-D116AE4B6CC6}</b:Guid>
    <b:Author>
      <b:Author>
        <b:NameList>
          <b:Person>
            <b:Last>Kim</b:Last>
            <b:First>D.</b:First>
          </b:Person>
          <b:Person>
            <b:Last>Koedel</b:Last>
            <b:First>C.</b:First>
          </b:Person>
          <b:Person>
            <b:Last>Ni</b:Last>
            <b:First>S.</b:First>
          </b:Person>
          <b:Person>
            <b:Last>Podgursky</b:Last>
            <b:First>M.</b:First>
          </b:Person>
          <b:Person>
            <b:Last>Wu</b:Last>
            <b:First>W.</b:First>
          </b:Person>
        </b:NameList>
      </b:Author>
    </b:Author>
    <b:Title>Pensions and Late-Career Teacher Retention</b:Title>
    <b:JournalName>Working Paper</b:JournalName>
    <b:Year>2017</b:Year>
    <b:RefOrder>22</b:RefOrder>
  </b:Source>
  <b:Source>
    <b:Tag>Koe12</b:Tag>
    <b:SourceType>JournalArticle</b:SourceType>
    <b:Guid>{554B8CE5-A48B-4602-9322-71D29BEA5733}</b:Guid>
    <b:Author>
      <b:Author>
        <b:NameList>
          <b:Person>
            <b:Last>Koedel</b:Last>
            <b:First>C.</b:First>
          </b:Person>
          <b:Person>
            <b:Last>Ni</b:Last>
            <b:First>S.</b:First>
          </b:Person>
          <b:Person>
            <b:Last>Podgursky</b:Last>
            <b:First>M.</b:First>
          </b:Person>
        </b:NameList>
      </b:Author>
    </b:Author>
    <b:Title>Who Benefits from Pension Enhancements? </b:Title>
    <b:JournalName>CALDER Working Paper</b:JournalName>
    <b:Year>2012</b:Year>
    <b:RefOrder>23</b:RefOrder>
  </b:Source>
  <b:Source>
    <b:Tag>Koe13</b:Tag>
    <b:SourceType>JournalArticle</b:SourceType>
    <b:Guid>{CD36E221-3227-4748-AAAC-CDA7B6A19C49}</b:Guid>
    <b:Author>
      <b:Author>
        <b:NameList>
          <b:Person>
            <b:Last>Koedel</b:Last>
            <b:First>C.</b:First>
          </b:Person>
          <b:Person>
            <b:Last>Podgursky</b:Last>
            <b:First>M.</b:First>
          </b:Person>
          <b:Person>
            <b:Last>Shi</b:Last>
            <b:First>S.</b:First>
          </b:Person>
        </b:NameList>
      </b:Author>
    </b:Author>
    <b:Title>Teacher Pension Systems, the Composition of the Teaching Workforce, and Teacher Quality</b:Title>
    <b:JournalName>Journal of Policy Analysis and Management</b:JournalName>
    <b:Year>2013</b:Year>
    <b:Pages>574-596</b:Pages>
    <b:Volume>32</b:Volume>
    <b:Issue>3</b:Issue>
    <b:RefOrder>25</b:RefOrder>
  </b:Source>
  <b:Source>
    <b:Tag>Koe15</b:Tag>
    <b:SourceType>JournalArticle</b:SourceType>
    <b:Guid>{4E120099-48DF-4E13-8644-F2E35CD6C371}</b:Guid>
    <b:Author>
      <b:Author>
        <b:NameList>
          <b:Person>
            <b:Last>Koedel</b:Last>
            <b:First>C.</b:First>
          </b:Person>
          <b:Person>
            <b:Last>Xiang</b:Last>
            <b:First>P.</b:First>
            <b:Middle>B.</b:Middle>
          </b:Person>
        </b:NameList>
      </b:Author>
    </b:Author>
    <b:Title>Pension Enhancements and the Retention of Public Employees</b:Title>
    <b:JournalName>Working Paper</b:JournalName>
    <b:Year>2015</b:Year>
    <b:RefOrder>24</b:RefOrder>
  </b:Source>
  <b:Source>
    <b:Tag>XuZ08</b:Tag>
    <b:SourceType>JournalArticle</b:SourceType>
    <b:Guid>{3178E1A1-9C13-4809-A7F8-133E5A366F81}</b:Guid>
    <b:Author>
      <b:Author>
        <b:NameList>
          <b:Person>
            <b:Last>Xu</b:Last>
            <b:First>Z.</b:First>
          </b:Person>
          <b:Person>
            <b:Last>Hannaway</b:Last>
            <b:First>J.</b:First>
          </b:Person>
          <b:Person>
            <b:Last>Taylor</b:Last>
            <b:First>C.</b:First>
          </b:Person>
        </b:NameList>
      </b:Author>
    </b:Author>
    <b:Title>Making a Difference? The Effects of Teach for America in High School</b:Title>
    <b:JournalName>CALDER Working Paper 17</b:JournalName>
    <b:Year>2008</b:Year>
    <b:City>Washington D.C.</b:City>
    <b:Publisher>The Urban Institute</b:Publisher>
    <b:RefOrder>28</b:RefOrder>
  </b:Source>
  <b:Source>
    <b:Tag>Fit18</b:Tag>
    <b:SourceType>JournalArticle</b:SourceType>
    <b:Guid>{0ED84BF0-A97B-4063-8892-969ABFAF3B40}</b:Guid>
    <b:Author>
      <b:Author>
        <b:NameList>
          <b:Person>
            <b:Last>Fitzpatrick</b:Last>
            <b:First>M.</b:First>
            <b:Middle>D.</b:Middle>
          </b:Person>
        </b:NameList>
      </b:Author>
    </b:Author>
    <b:Title>Pension Reform and Return-to-Work Policies</b:Title>
    <b:JournalName>Journal of Pension Economics and Finance</b:JournalName>
    <b:Year>2019</b:Year>
    <b:Pages>500-514</b:Pages>
    <b:Issue>18</b:Issue>
    <b:RefOrder>26</b:RefOrder>
  </b:Source>
  <b:Source>
    <b:Tag>Ing09</b:Tag>
    <b:SourceType>Report</b:SourceType>
    <b:Guid>{129BE510-CE46-41A4-896C-5964918167DE}</b:Guid>
    <b:Author>
      <b:Author>
        <b:NameList>
          <b:Person>
            <b:Last>Ingersoll</b:Last>
            <b:First>R.</b:First>
          </b:Person>
          <b:Person>
            <b:Last>Perda</b:Last>
            <b:First>D.</b:First>
          </b:Person>
        </b:NameList>
      </b:Author>
    </b:Author>
    <b:Title>The Mathematics and Science Teacher Shortage: Fact and Myth</b:Title>
    <b:Year>2009</b:Year>
    <b:Publisher>CPRE Research Reports.</b:Publisher>
    <b:RefOrder>18</b:RefOrder>
  </b:Source>
  <b:Source>
    <b:Tag>Fen18</b:Tag>
    <b:SourceType>JournalArticle</b:SourceType>
    <b:Guid>{00B7E37A-04E8-4F8F-B977-66A779101E8C}</b:Guid>
    <b:Title>The Impact of Incentives to Recruit and Retain Teachers in “Hard-to-Staff” Subjects</b:Title>
    <b:Year>2018</b:Year>
    <b:Author>
      <b:Author>
        <b:NameList>
          <b:Person>
            <b:Last>Feng</b:Last>
            <b:First>L.</b:First>
          </b:Person>
          <b:Person>
            <b:Last>Sass</b:Last>
            <b:First>T.</b:First>
          </b:Person>
        </b:NameList>
      </b:Author>
    </b:Author>
    <b:JournalName>Journal of Policy Analysis and Management</b:JournalName>
    <b:Pages>112-135</b:Pages>
    <b:Volume>37</b:Volume>
    <b:Issue>1</b:Issue>
    <b:RefOrder>19</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B31354CC8B86354096C9C5309F906AD3" ma:contentTypeVersion="8" ma:contentTypeDescription="Create a new document." ma:contentTypeScope="" ma:versionID="e240ae0da1beb836e4a5919aa353de91">
  <xsd:schema xmlns:xsd="http://www.w3.org/2001/XMLSchema" xmlns:xs="http://www.w3.org/2001/XMLSchema" xmlns:p="http://schemas.microsoft.com/office/2006/metadata/properties" xmlns:ns2="589b04d2-fbfc-46b5-adb3-4ed8f65a23b4" xmlns:ns3="70e5b322-3c92-4bc9-a304-7d04cbafe78e" targetNamespace="http://schemas.microsoft.com/office/2006/metadata/properties" ma:root="true" ma:fieldsID="911914b5900786f5cef5564974092ad5" ns2:_="" ns3:_="">
    <xsd:import namespace="589b04d2-fbfc-46b5-adb3-4ed8f65a23b4"/>
    <xsd:import namespace="70e5b322-3c92-4bc9-a304-7d04cbafe78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b04d2-fbfc-46b5-adb3-4ed8f65a2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34dd798-54fc-4a98-a97f-5b734a12fa2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5b322-3c92-4bc9-a304-7d04cbafe78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7421151-4202-4b57-90d3-488c76598db5}" ma:internalName="TaxCatchAll" ma:showField="CatchAllData" ma:web="70e5b322-3c92-4bc9-a304-7d04cbafe7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89b04d2-fbfc-46b5-adb3-4ed8f65a23b4">
      <Terms xmlns="http://schemas.microsoft.com/office/infopath/2007/PartnerControls"/>
    </lcf76f155ced4ddcb4097134ff3c332f>
    <TaxCatchAll xmlns="70e5b322-3c92-4bc9-a304-7d04cbafe78e" xsi:nil="true"/>
  </documentManagement>
</p:properties>
</file>

<file path=customXml/itemProps1.xml><?xml version="1.0" encoding="utf-8"?>
<ds:datastoreItem xmlns:ds="http://schemas.openxmlformats.org/officeDocument/2006/customXml" ds:itemID="{3760238B-5519-4068-84D2-A4CA8D10CE51}">
  <ds:schemaRefs>
    <ds:schemaRef ds:uri="http://schemas.microsoft.com/sharepoint/v3/contenttype/forms"/>
  </ds:schemaRefs>
</ds:datastoreItem>
</file>

<file path=customXml/itemProps2.xml><?xml version="1.0" encoding="utf-8"?>
<ds:datastoreItem xmlns:ds="http://schemas.openxmlformats.org/officeDocument/2006/customXml" ds:itemID="{AA024FB6-A85F-472D-9A6B-C86941863437}">
  <ds:schemaRefs>
    <ds:schemaRef ds:uri="http://schemas.openxmlformats.org/officeDocument/2006/bibliography"/>
  </ds:schemaRefs>
</ds:datastoreItem>
</file>

<file path=customXml/itemProps3.xml><?xml version="1.0" encoding="utf-8"?>
<ds:datastoreItem xmlns:ds="http://schemas.openxmlformats.org/officeDocument/2006/customXml" ds:itemID="{0511A8B0-AC31-4046-94FA-ABA462E98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b04d2-fbfc-46b5-adb3-4ed8f65a23b4"/>
    <ds:schemaRef ds:uri="70e5b322-3c92-4bc9-a304-7d04cbafe7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07D6AD-3DCB-4FC1-B265-E18E64F998B0}">
  <ds:schemaRefs>
    <ds:schemaRef ds:uri="http://schemas.microsoft.com/office/2006/metadata/properties"/>
    <ds:schemaRef ds:uri="http://schemas.microsoft.com/office/infopath/2007/PartnerControls"/>
    <ds:schemaRef ds:uri="589b04d2-fbfc-46b5-adb3-4ed8f65a23b4"/>
    <ds:schemaRef ds:uri="70e5b322-3c92-4bc9-a304-7d04cbafe78e"/>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24</Pages>
  <Words>7088</Words>
  <Characters>40405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47399</CharactersWithSpaces>
  <SharedDoc>false</SharedDoc>
  <HLinks>
    <vt:vector size="42" baseType="variant">
      <vt:variant>
        <vt:i4>3801120</vt:i4>
      </vt:variant>
      <vt:variant>
        <vt:i4>18</vt:i4>
      </vt:variant>
      <vt:variant>
        <vt:i4>0</vt:i4>
      </vt:variant>
      <vt:variant>
        <vt:i4>5</vt:i4>
      </vt:variant>
      <vt:variant>
        <vt:lpwstr>https://tsa.ed.gov/</vt:lpwstr>
      </vt:variant>
      <vt:variant>
        <vt:lpwstr>/reports</vt:lpwstr>
      </vt:variant>
      <vt:variant>
        <vt:i4>1507445</vt:i4>
      </vt:variant>
      <vt:variant>
        <vt:i4>15</vt:i4>
      </vt:variant>
      <vt:variant>
        <vt:i4>0</vt:i4>
      </vt:variant>
      <vt:variant>
        <vt:i4>5</vt:i4>
      </vt:variant>
      <vt:variant>
        <vt:lpwstr>https://pub.njleg.gov/bills/2020/S4000/3685_S4.HTM</vt:lpwstr>
      </vt:variant>
      <vt:variant>
        <vt:lpwstr/>
      </vt:variant>
      <vt:variant>
        <vt:i4>2818159</vt:i4>
      </vt:variant>
      <vt:variant>
        <vt:i4>12</vt:i4>
      </vt:variant>
      <vt:variant>
        <vt:i4>0</vt:i4>
      </vt:variant>
      <vt:variant>
        <vt:i4>5</vt:i4>
      </vt:variant>
      <vt:variant>
        <vt:lpwstr>https://doi.org/10.26300/76eq-hj32</vt:lpwstr>
      </vt:variant>
      <vt:variant>
        <vt:lpwstr/>
      </vt:variant>
      <vt:variant>
        <vt:i4>5242883</vt:i4>
      </vt:variant>
      <vt:variant>
        <vt:i4>9</vt:i4>
      </vt:variant>
      <vt:variant>
        <vt:i4>0</vt:i4>
      </vt:variant>
      <vt:variant>
        <vt:i4>5</vt:i4>
      </vt:variant>
      <vt:variant>
        <vt:lpwstr>https://www.nctq.org/yearbook/national/High--Need-Schools-and-Subjects-78</vt:lpwstr>
      </vt:variant>
      <vt:variant>
        <vt:lpwstr/>
      </vt:variant>
      <vt:variant>
        <vt:i4>5439520</vt:i4>
      </vt:variant>
      <vt:variant>
        <vt:i4>6</vt:i4>
      </vt:variant>
      <vt:variant>
        <vt:i4>0</vt:i4>
      </vt:variant>
      <vt:variant>
        <vt:i4>5</vt:i4>
      </vt:variant>
      <vt:variant>
        <vt:lpwstr>https://nces.ed.gov/whatsnew/press_releases/12_6_2022.asp</vt:lpwstr>
      </vt:variant>
      <vt:variant>
        <vt:lpwstr>:~:text=As%20of%20October%202022%2C%204,had%20two%20vacant%20teaching%20positions</vt:lpwstr>
      </vt:variant>
      <vt:variant>
        <vt:i4>2359408</vt:i4>
      </vt:variant>
      <vt:variant>
        <vt:i4>3</vt:i4>
      </vt:variant>
      <vt:variant>
        <vt:i4>0</vt:i4>
      </vt:variant>
      <vt:variant>
        <vt:i4>5</vt:i4>
      </vt:variant>
      <vt:variant>
        <vt:lpwstr>https://epi.org/177726</vt:lpwstr>
      </vt:variant>
      <vt:variant>
        <vt:lpwstr/>
      </vt:variant>
      <vt:variant>
        <vt:i4>6291577</vt:i4>
      </vt:variant>
      <vt:variant>
        <vt:i4>0</vt:i4>
      </vt:variant>
      <vt:variant>
        <vt:i4>0</vt:i4>
      </vt:variant>
      <vt:variant>
        <vt:i4>5</vt:i4>
      </vt:variant>
      <vt:variant>
        <vt:lpwstr>https://doi.org/10.26300/2xw0-v642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Clare Jarrold-Grapes</dc:creator>
  <cp:keywords/>
  <dc:description/>
  <cp:lastModifiedBy>Jarrold-Grapes, Rachel</cp:lastModifiedBy>
  <cp:revision>16</cp:revision>
  <dcterms:created xsi:type="dcterms:W3CDTF">2023-06-06T20:28:00Z</dcterms:created>
  <dcterms:modified xsi:type="dcterms:W3CDTF">2023-06-07T14:38:00Z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0x010100B31354CC8B86354096C9C5309F906AD3</vt:lpwstr>
  </property>
  <property fmtid="{D5CDD505-2E9C-101B-9397-08002B2CF9AE}" pid="3" name="MediaServiceImageTags">
    <vt:lpwstr/>
  </property>
</Properties>
</file>