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9B1C1C"/>
          <w:sz w:val="24"/>
        </w:rPr>
        <w:t>ACCIDENT CLAIMS SCOTLAND</w:t>
      </w:r>
    </w:p>
    <w:p>
      <w:pPr>
        <w:spacing w:after="320"/>
        <w:jc w:val="center"/>
      </w:pPr>
      <w:r>
        <w:rPr>
          <w:b/>
          <w:color w:val="0B2545"/>
          <w:sz w:val="56"/>
        </w:rPr>
        <w:t>Full SEO, AI Search,</w:t>
        <w:br/>
        <w:t>Legal Content and Conversion Audit</w:t>
      </w:r>
    </w:p>
    <w:p>
      <w:pPr>
        <w:jc w:val="center"/>
      </w:pPr>
      <w:r>
        <w:rPr>
          <w:color w:val="1F4D78"/>
          <w:sz w:val="28"/>
        </w:rPr>
        <w:t>Revalidated 29 July 2026</w:t>
      </w:r>
    </w:p>
    <w:p>
      <w:pPr>
        <w:jc w:val="center"/>
      </w:pPr>
      <w:r>
        <w:rPr>
          <w:color w:val="5A636E"/>
          <w:sz w:val="21"/>
        </w:rPr>
        <w:t>Codebase, deployment configuration, public-search sample and authoritative-source review</w:t>
      </w:r>
    </w:p>
    <w:p>
      <w:r>
        <w:br w:type="page"/>
      </w:r>
    </w:p>
    <w:p>
      <w:pPr>
        <w:pStyle w:val="Heading1"/>
      </w:pPr>
      <w:r>
        <w:t>Revalidation update — 29 July 2026</w:t>
      </w:r>
    </w:p>
    <w:p>
      <w:r>
        <w:t>This update supersedes any conflicting finding in the 28 July audit reproduced after it. The full strategic, keyword, content, AI-search, competitor, schema, internal-linking and answer-block recommendations remain applicable unless expressly updated below.</w:t>
      </w:r>
    </w:p>
    <w:p>
      <w:pPr>
        <w:pStyle w:val="Heading2"/>
      </w:pPr>
      <w:r>
        <w:t>Current release position</w:t>
      </w:r>
    </w:p>
    <w:p>
      <w:r>
        <w:t xml:space="preserve">The codebase has materially improved since the original audit. Placeholder and unsupported regulatory-claim checks now pass; the enquiry form posts to a Cloudflare Worker that uses Resend; user-facing success and error states are truthful; the privacy notice names Ola Consultants Ltd as the recipient/controller; </w:t>
      </w:r>
      <w:r>
        <w:rPr>
          <w:rFonts w:ascii="Consolas" w:hAnsi="Consolas"/>
          <w:sz w:val="19"/>
        </w:rPr>
        <w:t>LocalBusiness</w:t>
      </w:r>
      <w:r>
        <w:t xml:space="preserve"> schema has been replaced with </w:t>
      </w:r>
      <w:r>
        <w:rPr>
          <w:rFonts w:ascii="Consolas" w:hAnsi="Consolas"/>
          <w:sz w:val="19"/>
        </w:rPr>
        <w:t>WebPage</w:t>
      </w:r>
      <w:r>
        <w:t xml:space="preserve">; the unsupported </w:t>
      </w:r>
      <w:r>
        <w:rPr>
          <w:rFonts w:ascii="Consolas" w:hAnsi="Consolas"/>
          <w:sz w:val="19"/>
        </w:rPr>
        <w:t>SearchAction</w:t>
      </w:r>
      <w:r>
        <w:t xml:space="preserve"> has been removed; a skip link is present; the sitemap now includes location and road-traffic detail pages; Cloudflare Pages and Worker configuration are committed; and lint and TypeScript checks pass.</w:t>
      </w:r>
    </w:p>
    <w:p>
      <w:r>
        <w:t>The site is still not ready to present itself as a Scottish personal-injury solicitor service without further verification. The About page says the website is an information resource and is not a regulated law firm, while titles, introductions, location descriptions and calls to action repeatedly promise or imply “our specialist solicitors”, “accident claims solicitors serving [city]”, and no-win-no-fee handling. The exact relationship between Ola Consultants Ltd, the website, any receiving solicitor practice, the referral/lead model, service acceptance, fees, and data sharing remains insufficiently explicit.</w:t>
      </w:r>
    </w:p>
    <w:p>
      <w:pPr>
        <w:pStyle w:val="Heading2"/>
      </w:pPr>
      <w:r>
        <w:t>Revalidated top priorities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start w:w="120" w:type="dxa"/>
              <w:bottom w:w="80" w:type="dxa"/>
              <w:end w:w="120" w:type="dxa"/>
            </w:tcMar>
            <w:shd w:fill="E8EEF5"/>
          </w:tcPr>
          <w:p>
            <w:pPr>
              <w:spacing w:after="0"/>
            </w:pPr>
            <w:r>
              <w:rPr>
                <w:b/>
                <w:color w:val="0B2545"/>
                <w:sz w:val="17"/>
              </w:rPr>
              <w:t>Priority</w:t>
            </w:r>
          </w:p>
        </w:tc>
        <w:tc>
          <w:tcPr>
            <w:tcW w:type="dxa" w:w="4680"/>
            <w:vAlign w:val="center"/>
            <w:tcMar>
              <w:top w:w="80" w:type="dxa"/>
              <w:start w:w="120" w:type="dxa"/>
              <w:bottom w:w="80" w:type="dxa"/>
              <w:end w:w="120" w:type="dxa"/>
            </w:tcMar>
            <w:shd w:fill="E8EEF5"/>
          </w:tcPr>
          <w:p>
            <w:pPr>
              <w:spacing w:after="0"/>
            </w:pPr>
            <w:r>
              <w:rPr>
                <w:b/>
                <w:color w:val="0B2545"/>
                <w:sz w:val="17"/>
              </w:rPr>
              <w:t>Current action</w:t>
            </w:r>
          </w:p>
        </w:tc>
        <w:tc>
          <w:tcPr>
            <w:tcW w:type="dxa" w:w="1656"/>
            <w:vAlign w:val="center"/>
            <w:tcMar>
              <w:top w:w="80" w:type="dxa"/>
              <w:start w:w="120" w:type="dxa"/>
              <w:bottom w:w="80" w:type="dxa"/>
              <w:end w:w="120" w:type="dxa"/>
            </w:tcMar>
            <w:shd w:fill="E8EEF5"/>
          </w:tcPr>
          <w:p>
            <w:pPr>
              <w:spacing w:after="0"/>
            </w:pPr>
            <w:r>
              <w:rPr>
                <w:b/>
                <w:color w:val="0B2545"/>
                <w:sz w:val="17"/>
              </w:rPr>
              <w:t>Severity</w:t>
            </w:r>
          </w:p>
        </w:tc>
        <w:tc>
          <w:tcPr>
            <w:tcW w:type="dxa" w:w="2232"/>
            <w:vAlign w:val="center"/>
            <w:tcMar>
              <w:top w:w="80" w:type="dxa"/>
              <w:start w:w="120" w:type="dxa"/>
              <w:bottom w:w="80" w:type="dxa"/>
              <w:end w:w="120" w:type="dxa"/>
            </w:tcMar>
            <w:shd w:fill="E8EEF5"/>
          </w:tcPr>
          <w:p>
            <w:pPr>
              <w:spacing w:after="0"/>
            </w:pPr>
            <w:r>
              <w:rPr>
                <w:b/>
                <w:color w:val="0B2545"/>
                <w:sz w:val="17"/>
              </w:rPr>
              <w:t>Owner</w:t>
            </w:r>
          </w:p>
        </w:tc>
      </w:tr>
      <w:tr>
        <w:tc>
          <w:tcPr>
            <w:tcW w:type="dxa" w:w="792"/>
            <w:vAlign w:val="center"/>
            <w:tcMar>
              <w:top w:w="80" w:type="dxa"/>
              <w:start w:w="120" w:type="dxa"/>
              <w:bottom w:w="80" w:type="dxa"/>
              <w:end w:w="120" w:type="dxa"/>
            </w:tcMar>
          </w:tcPr>
          <w:p>
            <w:pPr>
              <w:spacing w:after="0"/>
            </w:pPr>
            <w:r>
              <w:rPr>
                <w:sz w:val="17"/>
              </w:rPr>
              <w:t>1</w:t>
            </w:r>
          </w:p>
        </w:tc>
        <w:tc>
          <w:tcPr>
            <w:tcW w:type="dxa" w:w="4680"/>
            <w:vAlign w:val="center"/>
            <w:tcMar>
              <w:top w:w="80" w:type="dxa"/>
              <w:start w:w="120" w:type="dxa"/>
              <w:bottom w:w="80" w:type="dxa"/>
              <w:end w:w="120" w:type="dxa"/>
            </w:tcMar>
          </w:tcPr>
          <w:p>
            <w:pPr>
              <w:spacing w:after="0"/>
            </w:pPr>
            <w:r>
              <w:rPr>
                <w:sz w:val="17"/>
              </w:rPr>
              <w:t>Reconcile the business model sitewide. If this is an information/referral service, replace “our solicitors” and “we handle” with accurate wording; name every receiving provider before transfer and explain selection, responsibility and remuneration.</w:t>
            </w:r>
          </w:p>
        </w:tc>
        <w:tc>
          <w:tcPr>
            <w:tcW w:type="dxa" w:w="1656"/>
            <w:vAlign w:val="center"/>
            <w:tcMar>
              <w:top w:w="80" w:type="dxa"/>
              <w:start w:w="120" w:type="dxa"/>
              <w:bottom w:w="80" w:type="dxa"/>
              <w:end w:w="120" w:type="dxa"/>
            </w:tcMar>
          </w:tcPr>
          <w:p>
            <w:pPr>
              <w:spacing w:after="0"/>
            </w:pPr>
            <w:r>
              <w:rPr>
                <w:sz w:val="17"/>
              </w:rPr>
              <w:t>Critical</w:t>
            </w:r>
          </w:p>
        </w:tc>
        <w:tc>
          <w:tcPr>
            <w:tcW w:type="dxa" w:w="2232"/>
            <w:vAlign w:val="center"/>
            <w:tcMar>
              <w:top w:w="80" w:type="dxa"/>
              <w:start w:w="120" w:type="dxa"/>
              <w:bottom w:w="80" w:type="dxa"/>
              <w:end w:w="120" w:type="dxa"/>
            </w:tcMar>
          </w:tcPr>
          <w:p>
            <w:pPr>
              <w:spacing w:after="0"/>
            </w:pPr>
            <w:r>
              <w:rPr>
                <w:sz w:val="17"/>
              </w:rPr>
              <w:t>Compliance + content</w:t>
            </w:r>
          </w:p>
        </w:tc>
      </w:tr>
      <w:tr>
        <w:tc>
          <w:tcPr>
            <w:tcW w:type="dxa" w:w="792"/>
            <w:vAlign w:val="center"/>
            <w:tcMar>
              <w:top w:w="80" w:type="dxa"/>
              <w:start w:w="120" w:type="dxa"/>
              <w:bottom w:w="80" w:type="dxa"/>
              <w:end w:w="120" w:type="dxa"/>
            </w:tcMar>
          </w:tcPr>
          <w:p>
            <w:pPr>
              <w:spacing w:after="0"/>
            </w:pPr>
            <w:r>
              <w:rPr>
                <w:sz w:val="17"/>
              </w:rPr>
              <w:t>2</w:t>
            </w:r>
          </w:p>
        </w:tc>
        <w:tc>
          <w:tcPr>
            <w:tcW w:type="dxa" w:w="4680"/>
            <w:vAlign w:val="center"/>
            <w:tcMar>
              <w:top w:w="80" w:type="dxa"/>
              <w:start w:w="120" w:type="dxa"/>
              <w:bottom w:w="80" w:type="dxa"/>
              <w:end w:w="120" w:type="dxa"/>
            </w:tcMar>
          </w:tcPr>
          <w:p>
            <w:pPr>
              <w:spacing w:after="0"/>
            </w:pPr>
            <w:r>
              <w:rPr>
                <w:sz w:val="17"/>
              </w:rPr>
              <w:t>Verify Ola Consultants Ltd’s corporate identity, registered details, ICO position, lawful bases and special-category-data condition; publish the verified facts and retention schedule.</w:t>
            </w:r>
          </w:p>
        </w:tc>
        <w:tc>
          <w:tcPr>
            <w:tcW w:type="dxa" w:w="1656"/>
            <w:vAlign w:val="center"/>
            <w:tcMar>
              <w:top w:w="80" w:type="dxa"/>
              <w:start w:w="120" w:type="dxa"/>
              <w:bottom w:w="80" w:type="dxa"/>
              <w:end w:w="120" w:type="dxa"/>
            </w:tcMar>
          </w:tcPr>
          <w:p>
            <w:pPr>
              <w:spacing w:after="0"/>
            </w:pPr>
            <w:r>
              <w:rPr>
                <w:sz w:val="17"/>
              </w:rPr>
              <w:t>Critical</w:t>
            </w:r>
          </w:p>
        </w:tc>
        <w:tc>
          <w:tcPr>
            <w:tcW w:type="dxa" w:w="2232"/>
            <w:vAlign w:val="center"/>
            <w:tcMar>
              <w:top w:w="80" w:type="dxa"/>
              <w:start w:w="120" w:type="dxa"/>
              <w:bottom w:w="80" w:type="dxa"/>
              <w:end w:w="120" w:type="dxa"/>
            </w:tcMar>
          </w:tcPr>
          <w:p>
            <w:pPr>
              <w:spacing w:after="0"/>
            </w:pPr>
            <w:r>
              <w:rPr>
                <w:sz w:val="17"/>
              </w:rPr>
              <w:t>Privacy/compliance</w:t>
            </w:r>
          </w:p>
        </w:tc>
      </w:tr>
      <w:tr>
        <w:tc>
          <w:tcPr>
            <w:tcW w:type="dxa" w:w="792"/>
            <w:vAlign w:val="center"/>
            <w:tcMar>
              <w:top w:w="80" w:type="dxa"/>
              <w:start w:w="120" w:type="dxa"/>
              <w:bottom w:w="80" w:type="dxa"/>
              <w:end w:w="120" w:type="dxa"/>
            </w:tcMar>
          </w:tcPr>
          <w:p>
            <w:pPr>
              <w:spacing w:after="0"/>
            </w:pPr>
            <w:r>
              <w:rPr>
                <w:sz w:val="17"/>
              </w:rPr>
              <w:t>3</w:t>
            </w:r>
          </w:p>
        </w:tc>
        <w:tc>
          <w:tcPr>
            <w:tcW w:type="dxa" w:w="4680"/>
            <w:vAlign w:val="center"/>
            <w:tcMar>
              <w:top w:w="80" w:type="dxa"/>
              <w:start w:w="120" w:type="dxa"/>
              <w:bottom w:w="80" w:type="dxa"/>
              <w:end w:w="120" w:type="dxa"/>
            </w:tcMar>
          </w:tcPr>
          <w:p>
            <w:pPr>
              <w:spacing w:after="0"/>
            </w:pPr>
            <w:r>
              <w:rPr>
                <w:sz w:val="17"/>
              </w:rPr>
              <w:t>Complete end-to-end form testing in production: CORS, Worker secret, Resend delivery, mailbox monitoring, incident alerts, spam/rate limiting, response SLA and deletion/retention.</w:t>
            </w:r>
          </w:p>
        </w:tc>
        <w:tc>
          <w:tcPr>
            <w:tcW w:type="dxa" w:w="1656"/>
            <w:vAlign w:val="center"/>
            <w:tcMar>
              <w:top w:w="80" w:type="dxa"/>
              <w:start w:w="120" w:type="dxa"/>
              <w:bottom w:w="80" w:type="dxa"/>
              <w:end w:w="120" w:type="dxa"/>
            </w:tcMar>
          </w:tcPr>
          <w:p>
            <w:pPr>
              <w:spacing w:after="0"/>
            </w:pPr>
            <w:r>
              <w:rPr>
                <w:sz w:val="17"/>
              </w:rPr>
              <w:t>Critical</w:t>
            </w:r>
          </w:p>
        </w:tc>
        <w:tc>
          <w:tcPr>
            <w:tcW w:type="dxa" w:w="2232"/>
            <w:vAlign w:val="center"/>
            <w:tcMar>
              <w:top w:w="80" w:type="dxa"/>
              <w:start w:w="120" w:type="dxa"/>
              <w:bottom w:w="80" w:type="dxa"/>
              <w:end w:w="120" w:type="dxa"/>
            </w:tcMar>
          </w:tcPr>
          <w:p>
            <w:pPr>
              <w:spacing w:after="0"/>
            </w:pPr>
            <w:r>
              <w:rPr>
                <w:sz w:val="17"/>
              </w:rPr>
              <w:t>Developer + operations</w:t>
            </w:r>
          </w:p>
        </w:tc>
      </w:tr>
      <w:tr>
        <w:tc>
          <w:tcPr>
            <w:tcW w:type="dxa" w:w="792"/>
            <w:vAlign w:val="center"/>
            <w:tcMar>
              <w:top w:w="80" w:type="dxa"/>
              <w:start w:w="120" w:type="dxa"/>
              <w:bottom w:w="80" w:type="dxa"/>
              <w:end w:w="120" w:type="dxa"/>
            </w:tcMar>
          </w:tcPr>
          <w:p>
            <w:pPr>
              <w:spacing w:after="0"/>
            </w:pPr>
            <w:r>
              <w:rPr>
                <w:sz w:val="17"/>
              </w:rPr>
              <w:t>4</w:t>
            </w:r>
          </w:p>
        </w:tc>
        <w:tc>
          <w:tcPr>
            <w:tcW w:type="dxa" w:w="4680"/>
            <w:vAlign w:val="center"/>
            <w:tcMar>
              <w:top w:w="80" w:type="dxa"/>
              <w:start w:w="120" w:type="dxa"/>
              <w:bottom w:w="80" w:type="dxa"/>
              <w:end w:w="120" w:type="dxa"/>
            </w:tcMar>
          </w:tcPr>
          <w:p>
            <w:pPr>
              <w:spacing w:after="0"/>
            </w:pPr>
            <w:r>
              <w:rPr>
                <w:sz w:val="17"/>
              </w:rPr>
              <w:t>Prevent enquiries from being accepted when delivery or monitoring is unavailable; add a reference number and accessible focus movement to the success panel.</w:t>
            </w:r>
          </w:p>
        </w:tc>
        <w:tc>
          <w:tcPr>
            <w:tcW w:type="dxa" w:w="1656"/>
            <w:vAlign w:val="center"/>
            <w:tcMar>
              <w:top w:w="80" w:type="dxa"/>
              <w:start w:w="120" w:type="dxa"/>
              <w:bottom w:w="80" w:type="dxa"/>
              <w:end w:w="120" w:type="dxa"/>
            </w:tcMar>
          </w:tcPr>
          <w:p>
            <w:pPr>
              <w:spacing w:after="0"/>
            </w:pPr>
            <w:r>
              <w:rPr>
                <w:sz w:val="17"/>
              </w:rPr>
              <w:t>High</w:t>
            </w:r>
          </w:p>
        </w:tc>
        <w:tc>
          <w:tcPr>
            <w:tcW w:type="dxa" w:w="2232"/>
            <w:vAlign w:val="center"/>
            <w:tcMar>
              <w:top w:w="80" w:type="dxa"/>
              <w:start w:w="120" w:type="dxa"/>
              <w:bottom w:w="80" w:type="dxa"/>
              <w:end w:w="120" w:type="dxa"/>
            </w:tcMar>
          </w:tcPr>
          <w:p>
            <w:pPr>
              <w:spacing w:after="0"/>
            </w:pPr>
            <w:r>
              <w:rPr>
                <w:sz w:val="17"/>
              </w:rPr>
              <w:t>Developer</w:t>
            </w:r>
          </w:p>
        </w:tc>
      </w:tr>
      <w:tr>
        <w:tc>
          <w:tcPr>
            <w:tcW w:type="dxa" w:w="792"/>
            <w:vAlign w:val="center"/>
            <w:tcMar>
              <w:top w:w="80" w:type="dxa"/>
              <w:start w:w="120" w:type="dxa"/>
              <w:bottom w:w="80" w:type="dxa"/>
              <w:end w:w="120" w:type="dxa"/>
            </w:tcMar>
          </w:tcPr>
          <w:p>
            <w:pPr>
              <w:spacing w:after="0"/>
            </w:pPr>
            <w:r>
              <w:rPr>
                <w:sz w:val="17"/>
              </w:rPr>
              <w:t>5</w:t>
            </w:r>
          </w:p>
        </w:tc>
        <w:tc>
          <w:tcPr>
            <w:tcW w:type="dxa" w:w="4680"/>
            <w:vAlign w:val="center"/>
            <w:tcMar>
              <w:top w:w="80" w:type="dxa"/>
              <w:start w:w="120" w:type="dxa"/>
              <w:bottom w:w="80" w:type="dxa"/>
              <w:end w:w="120" w:type="dxa"/>
            </w:tcMar>
          </w:tcPr>
          <w:p>
            <w:pPr>
              <w:spacing w:after="0"/>
            </w:pPr>
            <w:r>
              <w:rPr>
                <w:sz w:val="17"/>
              </w:rPr>
              <w:t>Obtain page-by-page review from a named Scottish personal-injury solicitor and replace organisational authorship with real accountable authors/reviewers where appropriate.</w:t>
            </w:r>
          </w:p>
        </w:tc>
        <w:tc>
          <w:tcPr>
            <w:tcW w:type="dxa" w:w="1656"/>
            <w:vAlign w:val="center"/>
            <w:tcMar>
              <w:top w:w="80" w:type="dxa"/>
              <w:start w:w="120" w:type="dxa"/>
              <w:bottom w:w="80" w:type="dxa"/>
              <w:end w:w="120" w:type="dxa"/>
            </w:tcMar>
          </w:tcPr>
          <w:p>
            <w:pPr>
              <w:spacing w:after="0"/>
            </w:pPr>
            <w:r>
              <w:rPr>
                <w:sz w:val="17"/>
              </w:rPr>
              <w:t>High</w:t>
            </w:r>
          </w:p>
        </w:tc>
        <w:tc>
          <w:tcPr>
            <w:tcW w:type="dxa" w:w="2232"/>
            <w:vAlign w:val="center"/>
            <w:tcMar>
              <w:top w:w="80" w:type="dxa"/>
              <w:start w:w="120" w:type="dxa"/>
              <w:bottom w:w="80" w:type="dxa"/>
              <w:end w:w="120" w:type="dxa"/>
            </w:tcMar>
          </w:tcPr>
          <w:p>
            <w:pPr>
              <w:spacing w:after="0"/>
            </w:pPr>
            <w:r>
              <w:rPr>
                <w:sz w:val="17"/>
              </w:rPr>
              <w:t>Solicitor + content</w:t>
            </w:r>
          </w:p>
        </w:tc>
      </w:tr>
      <w:tr>
        <w:tc>
          <w:tcPr>
            <w:tcW w:type="dxa" w:w="792"/>
            <w:vAlign w:val="center"/>
            <w:tcMar>
              <w:top w:w="80" w:type="dxa"/>
              <w:start w:w="120" w:type="dxa"/>
              <w:bottom w:w="80" w:type="dxa"/>
              <w:end w:w="120" w:type="dxa"/>
            </w:tcMar>
          </w:tcPr>
          <w:p>
            <w:pPr>
              <w:spacing w:after="0"/>
            </w:pPr>
            <w:r>
              <w:rPr>
                <w:sz w:val="17"/>
              </w:rPr>
              <w:t>6</w:t>
            </w:r>
          </w:p>
        </w:tc>
        <w:tc>
          <w:tcPr>
            <w:tcW w:type="dxa" w:w="4680"/>
            <w:vAlign w:val="center"/>
            <w:tcMar>
              <w:top w:w="80" w:type="dxa"/>
              <w:start w:w="120" w:type="dxa"/>
              <w:bottom w:w="80" w:type="dxa"/>
              <w:end w:w="120" w:type="dxa"/>
            </w:tcMar>
          </w:tcPr>
          <w:p>
            <w:pPr>
              <w:spacing w:after="0"/>
            </w:pPr>
            <w:r>
              <w:rPr>
                <w:sz w:val="17"/>
              </w:rPr>
              <w:t>Rewrite no-win-no-fee content against the actual provider’s written agreement. Remove categorical “no financial risk” language and explain success fees, VAT, outlays, insurance, adverse expenses and termination.</w:t>
            </w:r>
          </w:p>
        </w:tc>
        <w:tc>
          <w:tcPr>
            <w:tcW w:type="dxa" w:w="1656"/>
            <w:vAlign w:val="center"/>
            <w:tcMar>
              <w:top w:w="80" w:type="dxa"/>
              <w:start w:w="120" w:type="dxa"/>
              <w:bottom w:w="80" w:type="dxa"/>
              <w:end w:w="120" w:type="dxa"/>
            </w:tcMar>
          </w:tcPr>
          <w:p>
            <w:pPr>
              <w:spacing w:after="0"/>
            </w:pPr>
            <w:r>
              <w:rPr>
                <w:sz w:val="17"/>
              </w:rPr>
              <w:t>High</w:t>
            </w:r>
          </w:p>
        </w:tc>
        <w:tc>
          <w:tcPr>
            <w:tcW w:type="dxa" w:w="2232"/>
            <w:vAlign w:val="center"/>
            <w:tcMar>
              <w:top w:w="80" w:type="dxa"/>
              <w:start w:w="120" w:type="dxa"/>
              <w:bottom w:w="80" w:type="dxa"/>
              <w:end w:w="120" w:type="dxa"/>
            </w:tcMar>
          </w:tcPr>
          <w:p>
            <w:pPr>
              <w:spacing w:after="0"/>
            </w:pPr>
            <w:r>
              <w:rPr>
                <w:sz w:val="17"/>
              </w:rPr>
              <w:t>Solicitor/compliance</w:t>
            </w:r>
          </w:p>
        </w:tc>
      </w:tr>
      <w:tr>
        <w:tc>
          <w:tcPr>
            <w:tcW w:type="dxa" w:w="792"/>
            <w:vAlign w:val="center"/>
            <w:tcMar>
              <w:top w:w="80" w:type="dxa"/>
              <w:start w:w="120" w:type="dxa"/>
              <w:bottom w:w="80" w:type="dxa"/>
              <w:end w:w="120" w:type="dxa"/>
            </w:tcMar>
          </w:tcPr>
          <w:p>
            <w:pPr>
              <w:spacing w:after="0"/>
            </w:pPr>
            <w:r>
              <w:rPr>
                <w:sz w:val="17"/>
              </w:rPr>
              <w:t>7</w:t>
            </w:r>
          </w:p>
        </w:tc>
        <w:tc>
          <w:tcPr>
            <w:tcW w:type="dxa" w:w="4680"/>
            <w:vAlign w:val="center"/>
            <w:tcMar>
              <w:top w:w="80" w:type="dxa"/>
              <w:start w:w="120" w:type="dxa"/>
              <w:bottom w:w="80" w:type="dxa"/>
              <w:end w:w="120" w:type="dxa"/>
            </w:tcMar>
          </w:tcPr>
          <w:p>
            <w:pPr>
              <w:spacing w:after="0"/>
            </w:pPr>
            <w:r>
              <w:rPr>
                <w:sz w:val="17"/>
              </w:rPr>
              <w:t>Noindex or consolidate city pages until each has distinct, evidenced local value; “serving” wording alone does not cure doorway-page risk.</w:t>
            </w:r>
          </w:p>
        </w:tc>
        <w:tc>
          <w:tcPr>
            <w:tcW w:type="dxa" w:w="1656"/>
            <w:vAlign w:val="center"/>
            <w:tcMar>
              <w:top w:w="80" w:type="dxa"/>
              <w:start w:w="120" w:type="dxa"/>
              <w:bottom w:w="80" w:type="dxa"/>
              <w:end w:w="120" w:type="dxa"/>
            </w:tcMar>
          </w:tcPr>
          <w:p>
            <w:pPr>
              <w:spacing w:after="0"/>
            </w:pPr>
            <w:r>
              <w:rPr>
                <w:sz w:val="17"/>
              </w:rPr>
              <w:t>High</w:t>
            </w:r>
          </w:p>
        </w:tc>
        <w:tc>
          <w:tcPr>
            <w:tcW w:type="dxa" w:w="2232"/>
            <w:vAlign w:val="center"/>
            <w:tcMar>
              <w:top w:w="80" w:type="dxa"/>
              <w:start w:w="120" w:type="dxa"/>
              <w:bottom w:w="80" w:type="dxa"/>
              <w:end w:w="120" w:type="dxa"/>
            </w:tcMar>
          </w:tcPr>
          <w:p>
            <w:pPr>
              <w:spacing w:after="0"/>
            </w:pPr>
            <w:r>
              <w:rPr>
                <w:sz w:val="17"/>
              </w:rPr>
              <w:t>SEO + content</w:t>
            </w:r>
          </w:p>
        </w:tc>
      </w:tr>
      <w:tr>
        <w:tc>
          <w:tcPr>
            <w:tcW w:type="dxa" w:w="792"/>
            <w:vAlign w:val="center"/>
            <w:tcMar>
              <w:top w:w="80" w:type="dxa"/>
              <w:start w:w="120" w:type="dxa"/>
              <w:bottom w:w="80" w:type="dxa"/>
              <w:end w:w="120" w:type="dxa"/>
            </w:tcMar>
          </w:tcPr>
          <w:p>
            <w:pPr>
              <w:spacing w:after="0"/>
            </w:pPr>
            <w:r>
              <w:rPr>
                <w:sz w:val="17"/>
              </w:rPr>
              <w:t>8</w:t>
            </w:r>
          </w:p>
        </w:tc>
        <w:tc>
          <w:tcPr>
            <w:tcW w:type="dxa" w:w="4680"/>
            <w:vAlign w:val="center"/>
            <w:tcMar>
              <w:top w:w="80" w:type="dxa"/>
              <w:start w:w="120" w:type="dxa"/>
              <w:bottom w:w="80" w:type="dxa"/>
              <w:end w:w="120" w:type="dxa"/>
            </w:tcMar>
          </w:tcPr>
          <w:p>
            <w:pPr>
              <w:spacing w:after="0"/>
            </w:pPr>
            <w:r>
              <w:rPr>
                <w:sz w:val="17"/>
              </w:rPr>
              <w:t>Remove or merge same-intent guide/service duplicates identified in the URL map; implement 301 redirects and update internal links and sitemap entries.</w:t>
            </w:r>
          </w:p>
        </w:tc>
        <w:tc>
          <w:tcPr>
            <w:tcW w:type="dxa" w:w="1656"/>
            <w:vAlign w:val="center"/>
            <w:tcMar>
              <w:top w:w="80" w:type="dxa"/>
              <w:start w:w="120" w:type="dxa"/>
              <w:bottom w:w="80" w:type="dxa"/>
              <w:end w:w="120" w:type="dxa"/>
            </w:tcMar>
          </w:tcPr>
          <w:p>
            <w:pPr>
              <w:spacing w:after="0"/>
            </w:pPr>
            <w:r>
              <w:rPr>
                <w:sz w:val="17"/>
              </w:rPr>
              <w:t>High</w:t>
            </w:r>
          </w:p>
        </w:tc>
        <w:tc>
          <w:tcPr>
            <w:tcW w:type="dxa" w:w="2232"/>
            <w:vAlign w:val="center"/>
            <w:tcMar>
              <w:top w:w="80" w:type="dxa"/>
              <w:start w:w="120" w:type="dxa"/>
              <w:bottom w:w="80" w:type="dxa"/>
              <w:end w:w="120" w:type="dxa"/>
            </w:tcMar>
          </w:tcPr>
          <w:p>
            <w:pPr>
              <w:spacing w:after="0"/>
            </w:pPr>
            <w:r>
              <w:rPr>
                <w:sz w:val="17"/>
              </w:rPr>
              <w:t>SEO + developer</w:t>
            </w:r>
          </w:p>
        </w:tc>
      </w:tr>
      <w:tr>
        <w:tc>
          <w:tcPr>
            <w:tcW w:type="dxa" w:w="792"/>
            <w:vAlign w:val="center"/>
            <w:tcMar>
              <w:top w:w="80" w:type="dxa"/>
              <w:start w:w="120" w:type="dxa"/>
              <w:bottom w:w="80" w:type="dxa"/>
              <w:end w:w="120" w:type="dxa"/>
            </w:tcMar>
          </w:tcPr>
          <w:p>
            <w:pPr>
              <w:spacing w:after="0"/>
            </w:pPr>
            <w:r>
              <w:rPr>
                <w:sz w:val="17"/>
              </w:rPr>
              <w:t>9</w:t>
            </w:r>
          </w:p>
        </w:tc>
        <w:tc>
          <w:tcPr>
            <w:tcW w:type="dxa" w:w="4680"/>
            <w:vAlign w:val="center"/>
            <w:tcMar>
              <w:top w:w="80" w:type="dxa"/>
              <w:start w:w="120" w:type="dxa"/>
              <w:bottom w:w="80" w:type="dxa"/>
              <w:end w:w="120" w:type="dxa"/>
            </w:tcMar>
          </w:tcPr>
          <w:p>
            <w:pPr>
              <w:spacing w:after="0"/>
            </w:pPr>
            <w:r>
              <w:rPr>
                <w:sz w:val="17"/>
              </w:rPr>
              <w:t>Replace blanket/future content dates with a verified publication and legal-review register. Update lastmod only after material review.</w:t>
            </w:r>
          </w:p>
        </w:tc>
        <w:tc>
          <w:tcPr>
            <w:tcW w:type="dxa" w:w="1656"/>
            <w:vAlign w:val="center"/>
            <w:tcMar>
              <w:top w:w="80" w:type="dxa"/>
              <w:start w:w="120" w:type="dxa"/>
              <w:bottom w:w="80" w:type="dxa"/>
              <w:end w:w="120" w:type="dxa"/>
            </w:tcMar>
          </w:tcPr>
          <w:p>
            <w:pPr>
              <w:spacing w:after="0"/>
            </w:pPr>
            <w:r>
              <w:rPr>
                <w:sz w:val="17"/>
              </w:rPr>
              <w:t>Medium</w:t>
            </w:r>
          </w:p>
        </w:tc>
        <w:tc>
          <w:tcPr>
            <w:tcW w:type="dxa" w:w="2232"/>
            <w:vAlign w:val="center"/>
            <w:tcMar>
              <w:top w:w="80" w:type="dxa"/>
              <w:start w:w="120" w:type="dxa"/>
              <w:bottom w:w="80" w:type="dxa"/>
              <w:end w:w="120" w:type="dxa"/>
            </w:tcMar>
          </w:tcPr>
          <w:p>
            <w:pPr>
              <w:spacing w:after="0"/>
            </w:pPr>
            <w:r>
              <w:rPr>
                <w:sz w:val="17"/>
              </w:rPr>
              <w:t>Content + developer</w:t>
            </w:r>
          </w:p>
        </w:tc>
      </w:tr>
      <w:tr>
        <w:tc>
          <w:tcPr>
            <w:tcW w:type="dxa" w:w="792"/>
            <w:vAlign w:val="center"/>
            <w:tcMar>
              <w:top w:w="80" w:type="dxa"/>
              <w:start w:w="120" w:type="dxa"/>
              <w:bottom w:w="80" w:type="dxa"/>
              <w:end w:w="120" w:type="dxa"/>
            </w:tcMar>
          </w:tcPr>
          <w:p>
            <w:pPr>
              <w:spacing w:after="0"/>
            </w:pPr>
            <w:r>
              <w:rPr>
                <w:sz w:val="17"/>
              </w:rPr>
              <w:t>10</w:t>
            </w:r>
          </w:p>
        </w:tc>
        <w:tc>
          <w:tcPr>
            <w:tcW w:type="dxa" w:w="4680"/>
            <w:vAlign w:val="center"/>
            <w:tcMar>
              <w:top w:w="80" w:type="dxa"/>
              <w:start w:w="120" w:type="dxa"/>
              <w:bottom w:w="80" w:type="dxa"/>
              <w:end w:w="120" w:type="dxa"/>
            </w:tcMar>
          </w:tcPr>
          <w:p>
            <w:pPr>
              <w:spacing w:after="0"/>
            </w:pPr>
            <w:r>
              <w:rPr>
                <w:sz w:val="17"/>
              </w:rPr>
              <w:t>Establish measurement after lawful consent: Search Console, Bing Webmaster Tools, analytics, CRM/call outcomes and server/CDN logs.</w:t>
            </w:r>
          </w:p>
        </w:tc>
        <w:tc>
          <w:tcPr>
            <w:tcW w:type="dxa" w:w="1656"/>
            <w:vAlign w:val="center"/>
            <w:tcMar>
              <w:top w:w="80" w:type="dxa"/>
              <w:start w:w="120" w:type="dxa"/>
              <w:bottom w:w="80" w:type="dxa"/>
              <w:end w:w="120" w:type="dxa"/>
            </w:tcMar>
          </w:tcPr>
          <w:p>
            <w:pPr>
              <w:spacing w:after="0"/>
            </w:pPr>
            <w:r>
              <w:rPr>
                <w:sz w:val="17"/>
              </w:rPr>
              <w:t>High</w:t>
            </w:r>
          </w:p>
        </w:tc>
        <w:tc>
          <w:tcPr>
            <w:tcW w:type="dxa" w:w="2232"/>
            <w:vAlign w:val="center"/>
            <w:tcMar>
              <w:top w:w="80" w:type="dxa"/>
              <w:start w:w="120" w:type="dxa"/>
              <w:bottom w:w="80" w:type="dxa"/>
              <w:end w:w="120" w:type="dxa"/>
            </w:tcMar>
          </w:tcPr>
          <w:p>
            <w:pPr>
              <w:spacing w:after="0"/>
            </w:pPr>
            <w:r>
              <w:rPr>
                <w:sz w:val="17"/>
              </w:rPr>
              <w:t>Analytics + privacy</w:t>
            </w:r>
          </w:p>
        </w:tc>
      </w:tr>
    </w:tbl>
    <w:p>
      <w:pPr>
        <w:spacing w:after="0"/>
      </w:pPr>
    </w:p>
    <w:p>
      <w:pPr>
        <w:pStyle w:val="Heading2"/>
      </w:pPr>
      <w:r>
        <w:t>Confirmed changes since the original audit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pPr>
            <w:r>
              <w:rPr>
                <w:b/>
                <w:color w:val="0B2545"/>
                <w:sz w:val="17"/>
              </w:rPr>
              <w:t>Original issue</w:t>
            </w:r>
          </w:p>
        </w:tc>
        <w:tc>
          <w:tcPr>
            <w:tcW w:type="dxa" w:w="3816"/>
            <w:vAlign w:val="center"/>
            <w:tcMar>
              <w:top w:w="80" w:type="dxa"/>
              <w:start w:w="120" w:type="dxa"/>
              <w:bottom w:w="80" w:type="dxa"/>
              <w:end w:w="120" w:type="dxa"/>
            </w:tcMar>
            <w:shd w:fill="E8EEF5"/>
          </w:tcPr>
          <w:p>
            <w:pPr>
              <w:spacing w:after="0"/>
            </w:pPr>
            <w:r>
              <w:rPr>
                <w:b/>
                <w:color w:val="0B2545"/>
                <w:sz w:val="17"/>
              </w:rPr>
              <w:t>Revalidated status</w:t>
            </w:r>
          </w:p>
        </w:tc>
        <w:tc>
          <w:tcPr>
            <w:tcW w:type="dxa" w:w="3456"/>
            <w:vAlign w:val="center"/>
            <w:tcMar>
              <w:top w:w="80" w:type="dxa"/>
              <w:start w:w="120" w:type="dxa"/>
              <w:bottom w:w="80" w:type="dxa"/>
              <w:end w:w="120" w:type="dxa"/>
            </w:tcMar>
            <w:shd w:fill="E8EEF5"/>
          </w:tcPr>
          <w:p>
            <w:pPr>
              <w:spacing w:after="0"/>
            </w:pPr>
            <w:r>
              <w:rPr>
                <w:b/>
                <w:color w:val="0B2545"/>
                <w:sz w:val="17"/>
              </w:rPr>
              <w:t>Evidence</w:t>
            </w:r>
          </w:p>
        </w:tc>
      </w:tr>
      <w:tr>
        <w:tc>
          <w:tcPr>
            <w:tcW w:type="dxa" w:w="2088"/>
            <w:vAlign w:val="center"/>
            <w:tcMar>
              <w:top w:w="80" w:type="dxa"/>
              <w:start w:w="120" w:type="dxa"/>
              <w:bottom w:w="80" w:type="dxa"/>
              <w:end w:w="120" w:type="dxa"/>
            </w:tcMar>
          </w:tcPr>
          <w:p>
            <w:pPr>
              <w:spacing w:after="0"/>
            </w:pPr>
            <w:r>
              <w:rPr>
                <w:sz w:val="17"/>
              </w:rPr>
              <w:t>Placeholder data on production</w:t>
            </w:r>
          </w:p>
        </w:tc>
        <w:tc>
          <w:tcPr>
            <w:tcW w:type="dxa" w:w="3816"/>
            <w:vAlign w:val="center"/>
            <w:tcMar>
              <w:top w:w="80" w:type="dxa"/>
              <w:start w:w="120" w:type="dxa"/>
              <w:bottom w:w="80" w:type="dxa"/>
              <w:end w:w="120" w:type="dxa"/>
            </w:tcMar>
          </w:tcPr>
          <w:p>
            <w:pPr>
              <w:spacing w:after="0"/>
            </w:pPr>
            <w:r>
              <w:rPr>
                <w:sz w:val="17"/>
              </w:rPr>
              <w:t>Fixed in code</w:t>
            </w:r>
          </w:p>
        </w:tc>
        <w:tc>
          <w:tcPr>
            <w:tcW w:type="dxa" w:w="3456"/>
            <w:vAlign w:val="center"/>
            <w:tcMar>
              <w:top w:w="80" w:type="dxa"/>
              <w:start w:w="120" w:type="dxa"/>
              <w:bottom w:w="80" w:type="dxa"/>
              <w:end w:w="120" w:type="dxa"/>
            </w:tcMar>
          </w:tcPr>
          <w:p>
            <w:pPr>
              <w:spacing w:after="0"/>
            </w:pPr>
            <w:r>
              <w:rPr>
                <w:sz w:val="17"/>
              </w:rPr>
              <w:t>scripts/check-placeholders.mjs passes; siteConfig.ts contains no placeholder contact or regulator data</w:t>
            </w:r>
          </w:p>
        </w:tc>
      </w:tr>
      <w:tr>
        <w:tc>
          <w:tcPr>
            <w:tcW w:type="dxa" w:w="2088"/>
            <w:vAlign w:val="center"/>
            <w:tcMar>
              <w:top w:w="80" w:type="dxa"/>
              <w:start w:w="120" w:type="dxa"/>
              <w:bottom w:w="80" w:type="dxa"/>
              <w:end w:w="120" w:type="dxa"/>
            </w:tcMar>
          </w:tcPr>
          <w:p>
            <w:pPr>
              <w:spacing w:after="0"/>
            </w:pPr>
            <w:r>
              <w:rPr>
                <w:sz w:val="17"/>
              </w:rPr>
              <w:t>Simulated form success</w:t>
            </w:r>
          </w:p>
        </w:tc>
        <w:tc>
          <w:tcPr>
            <w:tcW w:type="dxa" w:w="3816"/>
            <w:vAlign w:val="center"/>
            <w:tcMar>
              <w:top w:w="80" w:type="dxa"/>
              <w:start w:w="120" w:type="dxa"/>
              <w:bottom w:w="80" w:type="dxa"/>
              <w:end w:w="120" w:type="dxa"/>
            </w:tcMar>
          </w:tcPr>
          <w:p>
            <w:pPr>
              <w:spacing w:after="0"/>
            </w:pPr>
            <w:r>
              <w:rPr>
                <w:sz w:val="17"/>
              </w:rPr>
              <w:t>Fixed in code, production delivery still requires operational proof</w:t>
            </w:r>
          </w:p>
        </w:tc>
        <w:tc>
          <w:tcPr>
            <w:tcW w:type="dxa" w:w="3456"/>
            <w:vAlign w:val="center"/>
            <w:tcMar>
              <w:top w:w="80" w:type="dxa"/>
              <w:start w:w="120" w:type="dxa"/>
              <w:bottom w:w="80" w:type="dxa"/>
              <w:end w:w="120" w:type="dxa"/>
            </w:tcMar>
          </w:tcPr>
          <w:p>
            <w:pPr>
              <w:spacing w:after="0"/>
            </w:pPr>
            <w:r>
              <w:rPr>
                <w:sz w:val="17"/>
              </w:rPr>
              <w:t>ClaimForm.tsx posts JSON to the Worker and shows success only on an OK response</w:t>
            </w:r>
          </w:p>
        </w:tc>
      </w:tr>
      <w:tr>
        <w:tc>
          <w:tcPr>
            <w:tcW w:type="dxa" w:w="2088"/>
            <w:vAlign w:val="center"/>
            <w:tcMar>
              <w:top w:w="80" w:type="dxa"/>
              <w:start w:w="120" w:type="dxa"/>
              <w:bottom w:w="80" w:type="dxa"/>
              <w:end w:w="120" w:type="dxa"/>
            </w:tcMar>
          </w:tcPr>
          <w:p>
            <w:pPr>
              <w:spacing w:after="0"/>
            </w:pPr>
            <w:r>
              <w:rPr>
                <w:sz w:val="17"/>
              </w:rPr>
              <w:t>No server-side validation/abuse controls</w:t>
            </w:r>
          </w:p>
        </w:tc>
        <w:tc>
          <w:tcPr>
            <w:tcW w:type="dxa" w:w="3816"/>
            <w:vAlign w:val="center"/>
            <w:tcMar>
              <w:top w:w="80" w:type="dxa"/>
              <w:start w:w="120" w:type="dxa"/>
              <w:bottom w:w="80" w:type="dxa"/>
              <w:end w:w="120" w:type="dxa"/>
            </w:tcMar>
          </w:tcPr>
          <w:p>
            <w:pPr>
              <w:spacing w:after="0"/>
            </w:pPr>
            <w:r>
              <w:rPr>
                <w:sz w:val="17"/>
              </w:rPr>
              <w:t>Partly fixed</w:t>
            </w:r>
          </w:p>
        </w:tc>
        <w:tc>
          <w:tcPr>
            <w:tcW w:type="dxa" w:w="3456"/>
            <w:vAlign w:val="center"/>
            <w:tcMar>
              <w:top w:w="80" w:type="dxa"/>
              <w:start w:w="120" w:type="dxa"/>
              <w:bottom w:w="80" w:type="dxa"/>
              <w:end w:w="120" w:type="dxa"/>
            </w:tcMar>
          </w:tcPr>
          <w:p>
            <w:pPr>
              <w:spacing w:after="0"/>
            </w:pPr>
            <w:r>
              <w:rPr>
                <w:sz w:val="17"/>
              </w:rPr>
              <w:t>workers/enquiry.js validates origin, required fields and lengths, includes a honeypot and sends through Resend; rate limiting and operational alerting are not demonstrated</w:t>
            </w:r>
          </w:p>
        </w:tc>
      </w:tr>
      <w:tr>
        <w:tc>
          <w:tcPr>
            <w:tcW w:type="dxa" w:w="2088"/>
            <w:vAlign w:val="center"/>
            <w:tcMar>
              <w:top w:w="80" w:type="dxa"/>
              <w:start w:w="120" w:type="dxa"/>
              <w:bottom w:w="80" w:type="dxa"/>
              <w:end w:w="120" w:type="dxa"/>
            </w:tcMar>
          </w:tcPr>
          <w:p>
            <w:pPr>
              <w:spacing w:after="0"/>
            </w:pPr>
            <w:r>
              <w:rPr>
                <w:sz w:val="17"/>
              </w:rPr>
              <w:t>Unnamed data controller</w:t>
            </w:r>
          </w:p>
        </w:tc>
        <w:tc>
          <w:tcPr>
            <w:tcW w:type="dxa" w:w="3816"/>
            <w:vAlign w:val="center"/>
            <w:tcMar>
              <w:top w:w="80" w:type="dxa"/>
              <w:start w:w="120" w:type="dxa"/>
              <w:bottom w:w="80" w:type="dxa"/>
              <w:end w:w="120" w:type="dxa"/>
            </w:tcMar>
          </w:tcPr>
          <w:p>
            <w:pPr>
              <w:spacing w:after="0"/>
            </w:pPr>
            <w:r>
              <w:rPr>
                <w:sz w:val="17"/>
              </w:rPr>
              <w:t>Partly fixed</w:t>
            </w:r>
          </w:p>
        </w:tc>
        <w:tc>
          <w:tcPr>
            <w:tcW w:type="dxa" w:w="3456"/>
            <w:vAlign w:val="center"/>
            <w:tcMar>
              <w:top w:w="80" w:type="dxa"/>
              <w:start w:w="120" w:type="dxa"/>
              <w:bottom w:w="80" w:type="dxa"/>
              <w:end w:w="120" w:type="dxa"/>
            </w:tcMar>
          </w:tcPr>
          <w:p>
            <w:pPr>
              <w:spacing w:after="0"/>
            </w:pPr>
            <w:r>
              <w:rPr>
                <w:sz w:val="17"/>
              </w:rPr>
              <w:t>Privacy page names Ola Consultants Ltd, but corporate/ICO details and the full Article 9 basis need verification</w:t>
            </w:r>
          </w:p>
        </w:tc>
      </w:tr>
      <w:tr>
        <w:tc>
          <w:tcPr>
            <w:tcW w:type="dxa" w:w="2088"/>
            <w:vAlign w:val="center"/>
            <w:tcMar>
              <w:top w:w="80" w:type="dxa"/>
              <w:start w:w="120" w:type="dxa"/>
              <w:bottom w:w="80" w:type="dxa"/>
              <w:end w:w="120" w:type="dxa"/>
            </w:tcMar>
          </w:tcPr>
          <w:p>
            <w:pPr>
              <w:spacing w:after="0"/>
            </w:pPr>
            <w:r>
              <w:rPr>
                <w:sz w:val="17"/>
              </w:rPr>
              <w:t>Fabricated LocalBusiness schema</w:t>
            </w:r>
          </w:p>
        </w:tc>
        <w:tc>
          <w:tcPr>
            <w:tcW w:type="dxa" w:w="3816"/>
            <w:vAlign w:val="center"/>
            <w:tcMar>
              <w:top w:w="80" w:type="dxa"/>
              <w:start w:w="120" w:type="dxa"/>
              <w:bottom w:w="80" w:type="dxa"/>
              <w:end w:w="120" w:type="dxa"/>
            </w:tcMar>
          </w:tcPr>
          <w:p>
            <w:pPr>
              <w:spacing w:after="0"/>
            </w:pPr>
            <w:r>
              <w:rPr>
                <w:sz w:val="17"/>
              </w:rPr>
              <w:t>Fixed</w:t>
            </w:r>
          </w:p>
        </w:tc>
        <w:tc>
          <w:tcPr>
            <w:tcW w:type="dxa" w:w="3456"/>
            <w:vAlign w:val="center"/>
            <w:tcMar>
              <w:top w:w="80" w:type="dxa"/>
              <w:start w:w="120" w:type="dxa"/>
              <w:bottom w:w="80" w:type="dxa"/>
              <w:end w:w="120" w:type="dxa"/>
            </w:tcMar>
          </w:tcPr>
          <w:p>
            <w:pPr>
              <w:spacing w:after="0"/>
            </w:pPr>
            <w:r>
              <w:rPr>
                <w:sz w:val="17"/>
              </w:rPr>
              <w:t>Location pages now emit WebPage schema without local addresses</w:t>
            </w:r>
          </w:p>
        </w:tc>
      </w:tr>
      <w:tr>
        <w:tc>
          <w:tcPr>
            <w:tcW w:type="dxa" w:w="2088"/>
            <w:vAlign w:val="center"/>
            <w:tcMar>
              <w:top w:w="80" w:type="dxa"/>
              <w:start w:w="120" w:type="dxa"/>
              <w:bottom w:w="80" w:type="dxa"/>
              <w:end w:w="120" w:type="dxa"/>
            </w:tcMar>
          </w:tcPr>
          <w:p>
            <w:pPr>
              <w:spacing w:after="0"/>
            </w:pPr>
            <w:r>
              <w:rPr>
                <w:sz w:val="17"/>
              </w:rPr>
              <w:t>Unsupported SearchAction</w:t>
            </w:r>
          </w:p>
        </w:tc>
        <w:tc>
          <w:tcPr>
            <w:tcW w:type="dxa" w:w="3816"/>
            <w:vAlign w:val="center"/>
            <w:tcMar>
              <w:top w:w="80" w:type="dxa"/>
              <w:start w:w="120" w:type="dxa"/>
              <w:bottom w:w="80" w:type="dxa"/>
              <w:end w:w="120" w:type="dxa"/>
            </w:tcMar>
          </w:tcPr>
          <w:p>
            <w:pPr>
              <w:spacing w:after="0"/>
            </w:pPr>
            <w:r>
              <w:rPr>
                <w:sz w:val="17"/>
              </w:rPr>
              <w:t>Fixed</w:t>
            </w:r>
          </w:p>
        </w:tc>
        <w:tc>
          <w:tcPr>
            <w:tcW w:type="dxa" w:w="3456"/>
            <w:vAlign w:val="center"/>
            <w:tcMar>
              <w:top w:w="80" w:type="dxa"/>
              <w:start w:w="120" w:type="dxa"/>
              <w:bottom w:w="80" w:type="dxa"/>
              <w:end w:w="120" w:type="dxa"/>
            </w:tcMar>
          </w:tcPr>
          <w:p>
            <w:pPr>
              <w:spacing w:after="0"/>
            </w:pPr>
            <w:r>
              <w:rPr>
                <w:sz w:val="17"/>
              </w:rPr>
              <w:t>WebSite schema no longer declares site search</w:t>
            </w:r>
          </w:p>
        </w:tc>
      </w:tr>
      <w:tr>
        <w:tc>
          <w:tcPr>
            <w:tcW w:type="dxa" w:w="2088"/>
            <w:vAlign w:val="center"/>
            <w:tcMar>
              <w:top w:w="80" w:type="dxa"/>
              <w:start w:w="120" w:type="dxa"/>
              <w:bottom w:w="80" w:type="dxa"/>
              <w:end w:w="120" w:type="dxa"/>
            </w:tcMar>
          </w:tcPr>
          <w:p>
            <w:pPr>
              <w:spacing w:after="0"/>
            </w:pPr>
            <w:r>
              <w:rPr>
                <w:sz w:val="17"/>
              </w:rPr>
              <w:t>Missing skip link</w:t>
            </w:r>
          </w:p>
        </w:tc>
        <w:tc>
          <w:tcPr>
            <w:tcW w:type="dxa" w:w="3816"/>
            <w:vAlign w:val="center"/>
            <w:tcMar>
              <w:top w:w="80" w:type="dxa"/>
              <w:start w:w="120" w:type="dxa"/>
              <w:bottom w:w="80" w:type="dxa"/>
              <w:end w:w="120" w:type="dxa"/>
            </w:tcMar>
          </w:tcPr>
          <w:p>
            <w:pPr>
              <w:spacing w:after="0"/>
            </w:pPr>
            <w:r>
              <w:rPr>
                <w:sz w:val="17"/>
              </w:rPr>
              <w:t>Fixed</w:t>
            </w:r>
          </w:p>
        </w:tc>
        <w:tc>
          <w:tcPr>
            <w:tcW w:type="dxa" w:w="3456"/>
            <w:vAlign w:val="center"/>
            <w:tcMar>
              <w:top w:w="80" w:type="dxa"/>
              <w:start w:w="120" w:type="dxa"/>
              <w:bottom w:w="80" w:type="dxa"/>
              <w:end w:w="120" w:type="dxa"/>
            </w:tcMar>
          </w:tcPr>
          <w:p>
            <w:pPr>
              <w:spacing w:after="0"/>
            </w:pPr>
            <w:r>
              <w:rPr>
                <w:sz w:val="17"/>
              </w:rPr>
              <w:t>Root layout includes “Skip to main content”</w:t>
            </w:r>
          </w:p>
        </w:tc>
      </w:tr>
      <w:tr>
        <w:tc>
          <w:tcPr>
            <w:tcW w:type="dxa" w:w="2088"/>
            <w:vAlign w:val="center"/>
            <w:tcMar>
              <w:top w:w="80" w:type="dxa"/>
              <w:start w:w="120" w:type="dxa"/>
              <w:bottom w:w="80" w:type="dxa"/>
              <w:end w:w="120" w:type="dxa"/>
            </w:tcMar>
          </w:tcPr>
          <w:p>
            <w:pPr>
              <w:spacing w:after="0"/>
            </w:pPr>
            <w:r>
              <w:rPr>
                <w:sz w:val="17"/>
              </w:rPr>
              <w:t>Missing sitemap dates/routes</w:t>
            </w:r>
          </w:p>
        </w:tc>
        <w:tc>
          <w:tcPr>
            <w:tcW w:type="dxa" w:w="3816"/>
            <w:vAlign w:val="center"/>
            <w:tcMar>
              <w:top w:w="80" w:type="dxa"/>
              <w:start w:w="120" w:type="dxa"/>
              <w:bottom w:w="80" w:type="dxa"/>
              <w:end w:w="120" w:type="dxa"/>
            </w:tcMar>
          </w:tcPr>
          <w:p>
            <w:pPr>
              <w:spacing w:after="0"/>
            </w:pPr>
            <w:r>
              <w:rPr>
                <w:sz w:val="17"/>
              </w:rPr>
              <w:t>Partly fixed</w:t>
            </w:r>
          </w:p>
        </w:tc>
        <w:tc>
          <w:tcPr>
            <w:tcW w:type="dxa" w:w="3456"/>
            <w:vAlign w:val="center"/>
            <w:tcMar>
              <w:top w:w="80" w:type="dxa"/>
              <w:start w:w="120" w:type="dxa"/>
              <w:bottom w:w="80" w:type="dxa"/>
              <w:end w:w="120" w:type="dxa"/>
            </w:tcMar>
          </w:tcPr>
          <w:p>
            <w:pPr>
              <w:spacing w:after="0"/>
            </w:pPr>
            <w:r>
              <w:rPr>
                <w:sz w:val="17"/>
              </w:rPr>
              <w:t>Static, location, guide and road-traffic detail URLs have lastModified; dates still need a verified editorial basis</w:t>
            </w:r>
          </w:p>
        </w:tc>
      </w:tr>
      <w:tr>
        <w:tc>
          <w:tcPr>
            <w:tcW w:type="dxa" w:w="2088"/>
            <w:vAlign w:val="center"/>
            <w:tcMar>
              <w:top w:w="80" w:type="dxa"/>
              <w:start w:w="120" w:type="dxa"/>
              <w:bottom w:w="80" w:type="dxa"/>
              <w:end w:w="120" w:type="dxa"/>
            </w:tcMar>
          </w:tcPr>
          <w:p>
            <w:pPr>
              <w:spacing w:after="0"/>
            </w:pPr>
            <w:r>
              <w:rPr>
                <w:sz w:val="17"/>
              </w:rPr>
              <w:t>Lint errors</w:t>
            </w:r>
          </w:p>
        </w:tc>
        <w:tc>
          <w:tcPr>
            <w:tcW w:type="dxa" w:w="3816"/>
            <w:vAlign w:val="center"/>
            <w:tcMar>
              <w:top w:w="80" w:type="dxa"/>
              <w:start w:w="120" w:type="dxa"/>
              <w:bottom w:w="80" w:type="dxa"/>
              <w:end w:w="120" w:type="dxa"/>
            </w:tcMar>
          </w:tcPr>
          <w:p>
            <w:pPr>
              <w:spacing w:after="0"/>
            </w:pPr>
            <w:r>
              <w:rPr>
                <w:sz w:val="17"/>
              </w:rPr>
              <w:t>Fixed</w:t>
            </w:r>
          </w:p>
        </w:tc>
        <w:tc>
          <w:tcPr>
            <w:tcW w:type="dxa" w:w="3456"/>
            <w:vAlign w:val="center"/>
            <w:tcMar>
              <w:top w:w="80" w:type="dxa"/>
              <w:start w:w="120" w:type="dxa"/>
              <w:bottom w:w="80" w:type="dxa"/>
              <w:end w:w="120" w:type="dxa"/>
            </w:tcMar>
          </w:tcPr>
          <w:p>
            <w:pPr>
              <w:spacing w:after="0"/>
            </w:pPr>
            <w:r>
              <w:rPr>
                <w:sz w:val="17"/>
              </w:rPr>
              <w:t>ESLint and TypeScript completed successfully on 29 July 2026</w:t>
            </w:r>
          </w:p>
        </w:tc>
      </w:tr>
      <w:tr>
        <w:tc>
          <w:tcPr>
            <w:tcW w:type="dxa" w:w="2088"/>
            <w:vAlign w:val="center"/>
            <w:tcMar>
              <w:top w:w="80" w:type="dxa"/>
              <w:start w:w="120" w:type="dxa"/>
              <w:bottom w:w="80" w:type="dxa"/>
              <w:end w:w="120" w:type="dxa"/>
            </w:tcMar>
          </w:tcPr>
          <w:p>
            <w:pPr>
              <w:spacing w:after="0"/>
            </w:pPr>
            <w:r>
              <w:rPr>
                <w:sz w:val="17"/>
              </w:rPr>
              <w:t>Build failure</w:t>
            </w:r>
          </w:p>
        </w:tc>
        <w:tc>
          <w:tcPr>
            <w:tcW w:type="dxa" w:w="3816"/>
            <w:vAlign w:val="center"/>
            <w:tcMar>
              <w:top w:w="80" w:type="dxa"/>
              <w:start w:w="120" w:type="dxa"/>
              <w:bottom w:w="80" w:type="dxa"/>
              <w:end w:w="120" w:type="dxa"/>
            </w:tcMar>
          </w:tcPr>
          <w:p>
            <w:pPr>
              <w:spacing w:after="0"/>
            </w:pPr>
            <w:r>
              <w:rPr>
                <w:sz w:val="17"/>
              </w:rPr>
              <w:t>Environment-limited, not a confirmed code defect</w:t>
            </w:r>
          </w:p>
        </w:tc>
        <w:tc>
          <w:tcPr>
            <w:tcW w:type="dxa" w:w="3456"/>
            <w:vAlign w:val="center"/>
            <w:tcMar>
              <w:top w:w="80" w:type="dxa"/>
              <w:start w:w="120" w:type="dxa"/>
              <w:bottom w:w="80" w:type="dxa"/>
              <w:end w:w="120" w:type="dxa"/>
            </w:tcMar>
          </w:tcPr>
          <w:p>
            <w:pPr>
              <w:spacing w:after="0"/>
            </w:pPr>
            <w:r>
              <w:rPr>
                <w:sz w:val="17"/>
              </w:rPr>
              <w:t>The production build reached Turbopack but the sandbox prevented a helper process binding to a port (EPERM)</w:t>
            </w:r>
          </w:p>
        </w:tc>
      </w:tr>
      <w:tr>
        <w:tc>
          <w:tcPr>
            <w:tcW w:type="dxa" w:w="2088"/>
            <w:vAlign w:val="center"/>
            <w:tcMar>
              <w:top w:w="80" w:type="dxa"/>
              <w:start w:w="120" w:type="dxa"/>
              <w:bottom w:w="80" w:type="dxa"/>
              <w:end w:w="120" w:type="dxa"/>
            </w:tcMar>
          </w:tcPr>
          <w:p>
            <w:pPr>
              <w:spacing w:after="0"/>
            </w:pPr>
            <w:r>
              <w:rPr>
                <w:sz w:val="17"/>
              </w:rPr>
              <w:t>Deployment unknown</w:t>
            </w:r>
          </w:p>
        </w:tc>
        <w:tc>
          <w:tcPr>
            <w:tcW w:type="dxa" w:w="3816"/>
            <w:vAlign w:val="center"/>
            <w:tcMar>
              <w:top w:w="80" w:type="dxa"/>
              <w:start w:w="120" w:type="dxa"/>
              <w:bottom w:w="80" w:type="dxa"/>
              <w:end w:w="120" w:type="dxa"/>
            </w:tcMar>
          </w:tcPr>
          <w:p>
            <w:pPr>
              <w:spacing w:after="0"/>
            </w:pPr>
            <w:r>
              <w:rPr>
                <w:sz w:val="17"/>
              </w:rPr>
              <w:t>Clarified in repository</w:t>
            </w:r>
          </w:p>
        </w:tc>
        <w:tc>
          <w:tcPr>
            <w:tcW w:type="dxa" w:w="3456"/>
            <w:vAlign w:val="center"/>
            <w:tcMar>
              <w:top w:w="80" w:type="dxa"/>
              <w:start w:w="120" w:type="dxa"/>
              <w:bottom w:w="80" w:type="dxa"/>
              <w:end w:w="120" w:type="dxa"/>
            </w:tcMar>
          </w:tcPr>
          <w:p>
            <w:pPr>
              <w:spacing w:after="0"/>
            </w:pPr>
            <w:r>
              <w:rPr>
                <w:sz w:val="17"/>
              </w:rPr>
              <w:t>wrangler.toml configures Cloudflare Pages static output; wrangler.enquiry.toml configures the enquiry Worker</w:t>
            </w:r>
          </w:p>
        </w:tc>
      </w:tr>
      <w:tr>
        <w:tc>
          <w:tcPr>
            <w:tcW w:type="dxa" w:w="2088"/>
            <w:vAlign w:val="center"/>
            <w:tcMar>
              <w:top w:w="80" w:type="dxa"/>
              <w:start w:w="120" w:type="dxa"/>
              <w:bottom w:w="80" w:type="dxa"/>
              <w:end w:w="120" w:type="dxa"/>
            </w:tcMar>
          </w:tcPr>
          <w:p>
            <w:pPr>
              <w:spacing w:after="0"/>
            </w:pPr>
            <w:r>
              <w:rPr>
                <w:sz w:val="17"/>
              </w:rPr>
              <w:t>Canonical host conflict</w:t>
            </w:r>
          </w:p>
        </w:tc>
        <w:tc>
          <w:tcPr>
            <w:tcW w:type="dxa" w:w="3816"/>
            <w:vAlign w:val="center"/>
            <w:tcMar>
              <w:top w:w="80" w:type="dxa"/>
              <w:start w:w="120" w:type="dxa"/>
              <w:bottom w:w="80" w:type="dxa"/>
              <w:end w:w="120" w:type="dxa"/>
            </w:tcMar>
          </w:tcPr>
          <w:p>
            <w:pPr>
              <w:spacing w:after="0"/>
            </w:pPr>
            <w:r>
              <w:rPr>
                <w:sz w:val="17"/>
              </w:rPr>
              <w:t>Code is internally consistent on www; live redirect/canonical behaviour still needs independent verification</w:t>
            </w:r>
          </w:p>
        </w:tc>
        <w:tc>
          <w:tcPr>
            <w:tcW w:type="dxa" w:w="3456"/>
            <w:vAlign w:val="center"/>
            <w:tcMar>
              <w:top w:w="80" w:type="dxa"/>
              <w:start w:w="120" w:type="dxa"/>
              <w:bottom w:w="80" w:type="dxa"/>
              <w:end w:w="120" w:type="dxa"/>
            </w:tcMar>
          </w:tcPr>
          <w:p>
            <w:pPr>
              <w:spacing w:after="0"/>
            </w:pPr>
            <w:r>
              <w:rPr>
                <w:sz w:val="17"/>
              </w:rPr>
              <w:t>SITE.url, robots.txt, sitemap and generated URLs use https://www.accident-claims-scotland.com</w:t>
            </w:r>
          </w:p>
        </w:tc>
      </w:tr>
    </w:tbl>
    <w:p>
      <w:pPr>
        <w:spacing w:after="0"/>
      </w:pPr>
    </w:p>
    <w:p>
      <w:pPr>
        <w:pStyle w:val="Heading2"/>
      </w:pPr>
      <w:r>
        <w:t>New or continuing confirmed issues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start w:w="120" w:type="dxa"/>
              <w:bottom w:w="80" w:type="dxa"/>
              <w:end w:w="120" w:type="dxa"/>
            </w:tcMar>
            <w:shd w:fill="E8EEF5"/>
          </w:tcPr>
          <w:p>
            <w:pPr>
              <w:spacing w:after="0"/>
            </w:pPr>
            <w:r>
              <w:rPr>
                <w:b/>
                <w:color w:val="0B2545"/>
                <w:sz w:val="17"/>
              </w:rPr>
              <w:t>Finding</w:t>
            </w:r>
          </w:p>
        </w:tc>
        <w:tc>
          <w:tcPr>
            <w:tcW w:type="dxa" w:w="4680"/>
            <w:vAlign w:val="center"/>
            <w:tcMar>
              <w:top w:w="80" w:type="dxa"/>
              <w:start w:w="120" w:type="dxa"/>
              <w:bottom w:w="80" w:type="dxa"/>
              <w:end w:w="120" w:type="dxa"/>
            </w:tcMar>
            <w:shd w:fill="E8EEF5"/>
          </w:tcPr>
          <w:p>
            <w:pPr>
              <w:spacing w:after="0"/>
            </w:pPr>
            <w:r>
              <w:rPr>
                <w:b/>
                <w:color w:val="0B2545"/>
                <w:sz w:val="17"/>
              </w:rPr>
              <w:t>Status</w:t>
            </w:r>
          </w:p>
        </w:tc>
        <w:tc>
          <w:tcPr>
            <w:tcW w:type="dxa" w:w="1656"/>
            <w:vAlign w:val="center"/>
            <w:tcMar>
              <w:top w:w="80" w:type="dxa"/>
              <w:start w:w="120" w:type="dxa"/>
              <w:bottom w:w="80" w:type="dxa"/>
              <w:end w:w="120" w:type="dxa"/>
            </w:tcMar>
            <w:shd w:fill="E8EEF5"/>
          </w:tcPr>
          <w:p>
            <w:pPr>
              <w:spacing w:after="0"/>
            </w:pPr>
            <w:r>
              <w:rPr>
                <w:b/>
                <w:color w:val="0B2545"/>
                <w:sz w:val="17"/>
              </w:rPr>
              <w:t>Why it matters</w:t>
            </w:r>
          </w:p>
        </w:tc>
        <w:tc>
          <w:tcPr>
            <w:tcW w:type="dxa" w:w="2232"/>
            <w:vAlign w:val="center"/>
            <w:tcMar>
              <w:top w:w="80" w:type="dxa"/>
              <w:start w:w="120" w:type="dxa"/>
              <w:bottom w:w="80" w:type="dxa"/>
              <w:end w:w="120" w:type="dxa"/>
            </w:tcMar>
            <w:shd w:fill="E8EEF5"/>
          </w:tcPr>
          <w:p>
            <w:pPr>
              <w:spacing w:after="0"/>
            </w:pPr>
            <w:r>
              <w:rPr>
                <w:b/>
                <w:color w:val="0B2545"/>
                <w:sz w:val="17"/>
              </w:rPr>
              <w:t>Exact fix</w:t>
            </w:r>
          </w:p>
        </w:tc>
      </w:tr>
      <w:tr>
        <w:tc>
          <w:tcPr>
            <w:tcW w:type="dxa" w:w="792"/>
            <w:vAlign w:val="center"/>
            <w:tcMar>
              <w:top w:w="80" w:type="dxa"/>
              <w:start w:w="120" w:type="dxa"/>
              <w:bottom w:w="80" w:type="dxa"/>
              <w:end w:w="120" w:type="dxa"/>
            </w:tcMar>
          </w:tcPr>
          <w:p>
            <w:pPr>
              <w:spacing w:after="0"/>
            </w:pPr>
            <w:r>
              <w:rPr>
                <w:sz w:val="17"/>
              </w:rPr>
              <w:t>Identity and proposition conflict</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About says information site/not a law firm; commercial templates imply the site’s own solicitors and legal service</w:t>
            </w:r>
          </w:p>
        </w:tc>
        <w:tc>
          <w:tcPr>
            <w:tcW w:type="dxa" w:w="2232"/>
            <w:vAlign w:val="center"/>
            <w:tcMar>
              <w:top w:w="80" w:type="dxa"/>
              <w:start w:w="120" w:type="dxa"/>
              <w:bottom w:w="80" w:type="dxa"/>
              <w:end w:w="120" w:type="dxa"/>
            </w:tcMar>
          </w:tcPr>
          <w:p>
            <w:pPr>
              <w:spacing w:after="0"/>
            </w:pPr>
            <w:r>
              <w:rPr>
                <w:sz w:val="17"/>
              </w:rPr>
              <w:t>Create one verified entity/service statement and apply it to titles, metadata, hero copy, forms, footer, legal pages and schema</w:t>
            </w:r>
          </w:p>
        </w:tc>
      </w:tr>
      <w:tr>
        <w:tc>
          <w:tcPr>
            <w:tcW w:type="dxa" w:w="792"/>
            <w:vAlign w:val="center"/>
            <w:tcMar>
              <w:top w:w="80" w:type="dxa"/>
              <w:start w:w="120" w:type="dxa"/>
              <w:bottom w:w="80" w:type="dxa"/>
              <w:end w:w="120" w:type="dxa"/>
            </w:tcMar>
          </w:tcPr>
          <w:p>
            <w:pPr>
              <w:spacing w:after="0"/>
            </w:pPr>
            <w:r>
              <w:rPr>
                <w:sz w:val="17"/>
              </w:rPr>
              <w:t>No-win-no-fee wording is too categorical</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“No financial risk” and “will not pay” statements may omit provider-specific exceptions, outlays, insurance and termination consequences</w:t>
            </w:r>
          </w:p>
        </w:tc>
        <w:tc>
          <w:tcPr>
            <w:tcW w:type="dxa" w:w="2232"/>
            <w:vAlign w:val="center"/>
            <w:tcMar>
              <w:top w:w="80" w:type="dxa"/>
              <w:start w:w="120" w:type="dxa"/>
              <w:bottom w:w="80" w:type="dxa"/>
              <w:end w:w="120" w:type="dxa"/>
            </w:tcMar>
          </w:tcPr>
          <w:p>
            <w:pPr>
              <w:spacing w:after="0"/>
            </w:pPr>
            <w:r>
              <w:rPr>
                <w:sz w:val="17"/>
              </w:rPr>
              <w:t>Use the actual written funding agreement; qualify every summary and identify the provider</w:t>
            </w:r>
          </w:p>
        </w:tc>
      </w:tr>
      <w:tr>
        <w:tc>
          <w:tcPr>
            <w:tcW w:type="dxa" w:w="792"/>
            <w:vAlign w:val="center"/>
            <w:tcMar>
              <w:top w:w="80" w:type="dxa"/>
              <w:start w:w="120" w:type="dxa"/>
              <w:bottom w:w="80" w:type="dxa"/>
              <w:end w:w="120" w:type="dxa"/>
            </w:tcMar>
          </w:tcPr>
          <w:p>
            <w:pPr>
              <w:spacing w:after="0"/>
            </w:pPr>
            <w:r>
              <w:rPr>
                <w:sz w:val="17"/>
              </w:rPr>
              <w:t>Location pages remain highly templated</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Doorway/thin-content risk persists despite safer schema</w:t>
            </w:r>
          </w:p>
        </w:tc>
        <w:tc>
          <w:tcPr>
            <w:tcW w:type="dxa" w:w="2232"/>
            <w:vAlign w:val="center"/>
            <w:tcMar>
              <w:top w:w="80" w:type="dxa"/>
              <w:start w:w="120" w:type="dxa"/>
              <w:bottom w:w="80" w:type="dxa"/>
              <w:end w:w="120" w:type="dxa"/>
            </w:tcMar>
          </w:tcPr>
          <w:p>
            <w:pPr>
              <w:spacing w:after="0"/>
            </w:pPr>
            <w:r>
              <w:rPr>
                <w:sz w:val="17"/>
              </w:rPr>
              <w:t>Noindex/merge until each page has genuine distinct usefulness and no false office implication</w:t>
            </w:r>
          </w:p>
        </w:tc>
      </w:tr>
      <w:tr>
        <w:tc>
          <w:tcPr>
            <w:tcW w:type="dxa" w:w="792"/>
            <w:vAlign w:val="center"/>
            <w:tcMar>
              <w:top w:w="80" w:type="dxa"/>
              <w:start w:w="120" w:type="dxa"/>
              <w:bottom w:w="80" w:type="dxa"/>
              <w:end w:w="120" w:type="dxa"/>
            </w:tcMar>
          </w:tcPr>
          <w:p>
            <w:pPr>
              <w:spacing w:after="0"/>
            </w:pPr>
            <w:r>
              <w:rPr>
                <w:sz w:val="17"/>
              </w:rPr>
              <w:t>Organisational authorship without named legal reviewer</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Weak YMYL accountability and AI trust</w:t>
            </w:r>
          </w:p>
        </w:tc>
        <w:tc>
          <w:tcPr>
            <w:tcW w:type="dxa" w:w="2232"/>
            <w:vAlign w:val="center"/>
            <w:tcMar>
              <w:top w:w="80" w:type="dxa"/>
              <w:start w:w="120" w:type="dxa"/>
              <w:bottom w:w="80" w:type="dxa"/>
              <w:end w:w="120" w:type="dxa"/>
            </w:tcMar>
          </w:tcPr>
          <w:p>
            <w:pPr>
              <w:spacing w:after="0"/>
            </w:pPr>
            <w:r>
              <w:rPr>
                <w:sz w:val="17"/>
              </w:rPr>
              <w:t>Add verified author/reviewer profiles, credentials, jurisdiction and real review dates</w:t>
            </w:r>
          </w:p>
        </w:tc>
      </w:tr>
      <w:tr>
        <w:tc>
          <w:tcPr>
            <w:tcW w:type="dxa" w:w="792"/>
            <w:vAlign w:val="center"/>
            <w:tcMar>
              <w:top w:w="80" w:type="dxa"/>
              <w:start w:w="120" w:type="dxa"/>
              <w:bottom w:w="80" w:type="dxa"/>
              <w:end w:w="120" w:type="dxa"/>
            </w:tcMar>
          </w:tcPr>
          <w:p>
            <w:pPr>
              <w:spacing w:after="0"/>
            </w:pPr>
            <w:r>
              <w:rPr>
                <w:sz w:val="17"/>
              </w:rPr>
              <w:t>Metadata still describes “solicitors” as the site proposition</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Search snippets can contradict the About disclosure</w:t>
            </w:r>
          </w:p>
        </w:tc>
        <w:tc>
          <w:tcPr>
            <w:tcW w:type="dxa" w:w="2232"/>
            <w:vAlign w:val="center"/>
            <w:tcMar>
              <w:top w:w="80" w:type="dxa"/>
              <w:start w:w="120" w:type="dxa"/>
              <w:bottom w:w="80" w:type="dxa"/>
              <w:end w:w="120" w:type="dxa"/>
            </w:tcMar>
          </w:tcPr>
          <w:p>
            <w:pPr>
              <w:spacing w:after="0"/>
            </w:pPr>
            <w:r>
              <w:rPr>
                <w:sz w:val="17"/>
              </w:rPr>
              <w:t>Rewrite root and route metadata to match the verified referral/information model</w:t>
            </w:r>
          </w:p>
        </w:tc>
      </w:tr>
      <w:tr>
        <w:tc>
          <w:tcPr>
            <w:tcW w:type="dxa" w:w="792"/>
            <w:vAlign w:val="center"/>
            <w:tcMar>
              <w:top w:w="80" w:type="dxa"/>
              <w:start w:w="120" w:type="dxa"/>
              <w:bottom w:w="80" w:type="dxa"/>
              <w:end w:w="120" w:type="dxa"/>
            </w:tcMar>
          </w:tcPr>
          <w:p>
            <w:pPr>
              <w:spacing w:after="0"/>
            </w:pPr>
            <w:r>
              <w:rPr>
                <w:sz w:val="17"/>
              </w:rPr>
              <w:t>Form endpoint is cross-origin and publicly callable</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Availability, abuse and privacy depend on the Worker configuration</w:t>
            </w:r>
          </w:p>
        </w:tc>
        <w:tc>
          <w:tcPr>
            <w:tcW w:type="dxa" w:w="2232"/>
            <w:vAlign w:val="center"/>
            <w:tcMar>
              <w:top w:w="80" w:type="dxa"/>
              <w:start w:w="120" w:type="dxa"/>
              <w:bottom w:w="80" w:type="dxa"/>
              <w:end w:w="120" w:type="dxa"/>
            </w:tcMar>
          </w:tcPr>
          <w:p>
            <w:pPr>
              <w:spacing w:after="0"/>
            </w:pPr>
            <w:r>
              <w:rPr>
                <w:sz w:val="17"/>
              </w:rPr>
              <w:t>Restrict allowed origins, rate-limit, log minimally, monitor delivery and publish processor/retention facts</w:t>
            </w:r>
          </w:p>
        </w:tc>
      </w:tr>
      <w:tr>
        <w:tc>
          <w:tcPr>
            <w:tcW w:type="dxa" w:w="792"/>
            <w:vAlign w:val="center"/>
            <w:tcMar>
              <w:top w:w="80" w:type="dxa"/>
              <w:start w:w="120" w:type="dxa"/>
              <w:bottom w:w="80" w:type="dxa"/>
              <w:end w:w="120" w:type="dxa"/>
            </w:tcMar>
          </w:tcPr>
          <w:p>
            <w:pPr>
              <w:spacing w:after="0"/>
            </w:pPr>
            <w:r>
              <w:rPr>
                <w:sz w:val="17"/>
              </w:rPr>
              <w:t>Blanket sitemap lastModified date</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Gives an unreliable freshness signal if pages were not substantively reviewed that day</w:t>
            </w:r>
          </w:p>
        </w:tc>
        <w:tc>
          <w:tcPr>
            <w:tcW w:type="dxa" w:w="2232"/>
            <w:vAlign w:val="center"/>
            <w:tcMar>
              <w:top w:w="80" w:type="dxa"/>
              <w:start w:w="120" w:type="dxa"/>
              <w:bottom w:w="80" w:type="dxa"/>
              <w:end w:w="120" w:type="dxa"/>
            </w:tcMar>
          </w:tcPr>
          <w:p>
            <w:pPr>
              <w:spacing w:after="0"/>
            </w:pPr>
            <w:r>
              <w:rPr>
                <w:sz w:val="17"/>
              </w:rPr>
              <w:t>Generate dates from a reviewed-content registry or source-control/content workflow</w:t>
            </w:r>
          </w:p>
        </w:tc>
      </w:tr>
      <w:tr>
        <w:tc>
          <w:tcPr>
            <w:tcW w:type="dxa" w:w="792"/>
            <w:vAlign w:val="center"/>
            <w:tcMar>
              <w:top w:w="80" w:type="dxa"/>
              <w:start w:w="120" w:type="dxa"/>
              <w:bottom w:w="80" w:type="dxa"/>
              <w:end w:w="120" w:type="dxa"/>
            </w:tcMar>
          </w:tcPr>
          <w:p>
            <w:pPr>
              <w:spacing w:after="0"/>
            </w:pPr>
            <w:r>
              <w:rPr>
                <w:sz w:val="17"/>
              </w:rPr>
              <w:t>Search visibility not established</w:t>
            </w:r>
          </w:p>
        </w:tc>
        <w:tc>
          <w:tcPr>
            <w:tcW w:type="dxa" w:w="4680"/>
            <w:vAlign w:val="center"/>
            <w:tcMar>
              <w:top w:w="80" w:type="dxa"/>
              <w:start w:w="120" w:type="dxa"/>
              <w:bottom w:w="80" w:type="dxa"/>
              <w:end w:w="120" w:type="dxa"/>
            </w:tcMar>
          </w:tcPr>
          <w:p>
            <w:pPr>
              <w:spacing w:after="0"/>
            </w:pPr>
            <w:r>
              <w:rPr>
                <w:sz w:val="17"/>
              </w:rPr>
              <w:t>Confirmed from current public search sample</w:t>
            </w:r>
          </w:p>
        </w:tc>
        <w:tc>
          <w:tcPr>
            <w:tcW w:type="dxa" w:w="1656"/>
            <w:vAlign w:val="center"/>
            <w:tcMar>
              <w:top w:w="80" w:type="dxa"/>
              <w:start w:w="120" w:type="dxa"/>
              <w:bottom w:w="80" w:type="dxa"/>
              <w:end w:w="120" w:type="dxa"/>
            </w:tcMar>
          </w:tcPr>
          <w:p>
            <w:pPr>
              <w:spacing w:after="0"/>
            </w:pPr>
            <w:r>
              <w:rPr>
                <w:sz w:val="17"/>
              </w:rPr>
              <w:t>Exact-domain searches did not surface the target site in the sampled results</w:t>
            </w:r>
          </w:p>
        </w:tc>
        <w:tc>
          <w:tcPr>
            <w:tcW w:type="dxa" w:w="2232"/>
            <w:vAlign w:val="center"/>
            <w:tcMar>
              <w:top w:w="80" w:type="dxa"/>
              <w:start w:w="120" w:type="dxa"/>
              <w:bottom w:w="80" w:type="dxa"/>
              <w:end w:w="120" w:type="dxa"/>
            </w:tcMar>
          </w:tcPr>
          <w:p>
            <w:pPr>
              <w:spacing w:after="0"/>
            </w:pPr>
            <w:r>
              <w:rPr>
                <w:sz w:val="17"/>
              </w:rPr>
              <w:t>Submit/verify in GSC and Bing, inspect indexing/canonical selection, then prioritise content based on real query data</w:t>
            </w:r>
          </w:p>
        </w:tc>
      </w:tr>
    </w:tbl>
    <w:p>
      <w:pPr>
        <w:spacing w:after="0"/>
      </w:pPr>
    </w:p>
    <w:p>
      <w:pPr>
        <w:pStyle w:val="Heading2"/>
      </w:pPr>
      <w:r>
        <w:t>Live-search and legal-source note</w:t>
      </w:r>
    </w:p>
    <w:p>
      <w:r>
        <w:t xml:space="preserve">Public search checks were repeated on 29 July 2026. The sampled results showed active Scottish competition from Winn Solicitors (Scotland), Scottish Accident, Lawford Kidd, Scottish Claims Helpline, Accident Claims Scotland </w:t>
      </w:r>
      <w:r>
        <w:rPr>
          <w:rFonts w:ascii="Consolas" w:hAnsi="Consolas"/>
          <w:sz w:val="19"/>
        </w:rPr>
        <w:t>.co.uk</w:t>
      </w:r>
      <w:r>
        <w:t xml:space="preserve">, Scotland Claims and other lead-generation/information sites. Exact searches for the target </w:t>
      </w:r>
      <w:r>
        <w:rPr>
          <w:rFonts w:ascii="Consolas" w:hAnsi="Consolas"/>
          <w:sz w:val="19"/>
        </w:rPr>
        <w:t>.com</w:t>
      </w:r>
      <w:r>
        <w:t xml:space="preserve"> domain did not return the site in the sampled results; this is not proof of non-indexation and must be verified in Search Console and Bing Webmaster Tools.</w:t>
      </w:r>
    </w:p>
    <w:p>
      <w:r>
        <w:t>Current legal review should continue to anchor limitation wording in sections 17–19A of the Prescription and Limitation (Scotland) Act 1973; funding in the Civil Litigation (Expenses and Group Proceedings) (Scotland) Act 2018 and the applicable success-fee regulations/agreement; CICA content in the current Criminal Injuries Compensation Scheme and official guidance; and procedural statements in current Scottish Courts and Tribunals Service rules and guidance. Nothing in this audit is individual legal advice.</w:t>
      </w:r>
    </w:p>
    <w:p>
      <w:pPr>
        <w:pStyle w:val="Heading2"/>
      </w:pPr>
      <w:r>
        <w:t>Release recommendation</w:t>
      </w:r>
    </w:p>
    <w:p>
      <w:r>
        <w:t>Keep the site in an information-only, carefully qualified state until the provider/referral model and operational enquiry handling are independently verified. Do not activate solicitor-led claims language merely because form delivery works. The commercially strongest next move is to establish a transparent, named and accountable service chain, then align every page, schema object and conversion step with that reality.</w:t>
      </w:r>
    </w:p>
    <w:p>
      <w:r>
        <w:br w:type="page"/>
      </w:r>
    </w:p>
    <w:p>
      <w:pPr>
        <w:pStyle w:val="Heading1"/>
      </w:pPr>
      <w:r>
        <w:t>Original full audit — 28 July 2026</w:t>
      </w:r>
    </w:p>
    <w:p>
      <w:r>
        <w:rPr>
          <w:b/>
        </w:rPr>
        <w:t>Audit date:</w:t>
      </w:r>
      <w:r>
        <w:t xml:space="preserve"> 28 July 2026</w:t>
      </w:r>
    </w:p>
    <w:p>
      <w:r>
        <w:rPr>
          <w:b/>
        </w:rPr>
        <w:t>Live check:</w:t>
      </w:r>
      <w:r>
        <w:t xml:space="preserve"> 28 July 2026, approximately 14:00–15:00 BST</w:t>
      </w:r>
    </w:p>
    <w:p>
      <w:r>
        <w:rPr>
          <w:b/>
        </w:rPr>
        <w:t>Codebase:</w:t>
      </w:r>
      <w:r>
        <w:t xml:space="preserve"> </w:t>
      </w:r>
      <w:r>
        <w:rPr>
          <w:rFonts w:ascii="Consolas" w:hAnsi="Consolas"/>
          <w:sz w:val="19"/>
        </w:rPr>
        <w:t>/Users/rickgregory/Desktop/accident-claims-scotland</w:t>
      </w:r>
    </w:p>
    <w:p>
      <w:r>
        <w:rPr>
          <w:b/>
        </w:rPr>
        <w:t>Live declared canonical:</w:t>
      </w:r>
      <w:r>
        <w:t xml:space="preserve"> </w:t>
      </w:r>
      <w:r>
        <w:rPr>
          <w:rFonts w:ascii="Consolas" w:hAnsi="Consolas"/>
          <w:sz w:val="19"/>
        </w:rPr>
        <w:t>https://accident-claims-scotland.com</w:t>
      </w:r>
      <w:r>
        <w:t xml:space="preserve"> (non-</w:t>
      </w:r>
      <w:r>
        <w:rPr>
          <w:rFonts w:ascii="Consolas" w:hAnsi="Consolas"/>
          <w:sz w:val="19"/>
        </w:rPr>
        <w:t>www</w:t>
      </w:r>
      <w:r>
        <w:t>)</w:t>
      </w:r>
    </w:p>
    <w:p>
      <w:r>
        <w:rPr>
          <w:b/>
        </w:rPr>
        <w:t>Repository base URL:</w:t>
      </w:r>
      <w:r>
        <w:t xml:space="preserve"> </w:t>
      </w:r>
      <w:r>
        <w:rPr>
          <w:rFonts w:ascii="Consolas" w:hAnsi="Consolas"/>
          <w:sz w:val="19"/>
        </w:rPr>
        <w:t>https://www.accident-claims-scotland.com</w:t>
      </w:r>
      <w:r>
        <w:t xml:space="preserve"> (</w:t>
      </w:r>
      <w:r>
        <w:rPr>
          <w:rFonts w:ascii="Consolas" w:hAnsi="Consolas"/>
          <w:sz w:val="19"/>
        </w:rPr>
        <w:t>www</w:t>
      </w:r>
      <w:r>
        <w:t>) — this conflicts with the deployed canonical and sitemap/robots configuration</w:t>
      </w:r>
    </w:p>
    <w:p>
      <w:r>
        <w:rPr>
          <w:b/>
        </w:rPr>
        <w:t>Scope:</w:t>
      </w:r>
      <w:r>
        <w:t xml:space="preserve"> repository inspection, production rendering, live DOM checks, public search results, local build/lint checks and authoritative-source review.</w:t>
      </w:r>
    </w:p>
    <w:p>
      <w:r>
        <w:rPr>
          <w:b/>
        </w:rPr>
        <w:t>Important:</w:t>
      </w:r>
      <w:r>
        <w:t xml:space="preserve"> This is a marketing/content/technical audit, not legal advice. Every substantive legal statement must be approved by a suitably qualified Scottish solicitor before publication.</w:t>
      </w:r>
    </w:p>
    <w:p>
      <w:pPr>
        <w:pStyle w:val="Heading2"/>
      </w:pPr>
      <w:r>
        <w:t>1. Executive summary</w:t>
      </w:r>
    </w:p>
    <w:p>
      <w:pPr>
        <w:pStyle w:val="Heading3"/>
      </w:pPr>
      <w:r>
        <w:t>Current position</w:t>
      </w:r>
    </w:p>
    <w:p>
      <w:r>
        <w:t>The site has a promising information architecture, a broad set of Scotland-specific service pages, useful direct-answer components, crawlable server-rendered content, breadcrumbs, a sitemap and a sizeable guide library. Its strongest strategic idea is to answer genuinely useful Scottish claimant questions instead of publishing only generic sales copy.</w:t>
      </w:r>
    </w:p>
    <w:p>
      <w:r>
        <w:t xml:space="preserve">It is nevertheless </w:t>
      </w:r>
      <w:r>
        <w:rPr>
          <w:b/>
        </w:rPr>
        <w:t>not safe or commercially ready in its present public state</w:t>
      </w:r>
      <w:r>
        <w:t>. The production homepage presents the website as a regulated Scottish legal practice while publishing unresolved placeholders for the firm name, phone, email, office address, membership number, solicitor reviewer and review dates. The structured data repeats those placeholders. The enquiry form does not transmit an enquiry: it waits 800 ms and displays “Enquiry Received”. A potential claimant can therefore believe that sensitive legal/medical information has reached a regulated solicitor when it has not. This is the highest-priority trust, conversion and potential consumer/compliance risk.</w:t>
      </w:r>
    </w:p>
    <w:p>
      <w:r>
        <w:t>The site’s owner, operator, controller, regulated provider and actual business model cannot be identified from the inspected live content or code. It is not possible to verify whether this is a law firm, a trading style, a marketing/referral service or a lead generator. Until those facts are supplied and independently verified, claims such as “our Scottish claims solicitors”, “regulated Scottish practice”, “solicitor-led claims”, “we handle” and “regulated by the Law Society of Scotland” are unsupported.</w:t>
      </w:r>
    </w:p>
    <w:p>
      <w:r>
        <w:t>The content has good topical breadth but insufficient demonstrated expertise. Articles use future or unverified dates, have no named authors or reviewers, cite almost no primary sources, and make legal assertions across clinical negligence, industrial disease, fatal claims, offshore work, CICA and children’s claims without an accountable expert. AI systems can extract the copy, but they cannot reliably resolve who wrote it, who reviewed it, what entity stands behind it or why it should be trusted.</w:t>
      </w:r>
    </w:p>
    <w:p>
      <w:r>
        <w:t xml:space="preserve">The ten city pages are largely generated from one template. Some city-specific wording exists, but most pages are too similar and do not prove offices, local teams, local casework or unique local usefulness. Their </w:t>
      </w:r>
      <w:r>
        <w:rPr>
          <w:rFonts w:ascii="Consolas" w:hAnsi="Consolas"/>
          <w:sz w:val="19"/>
        </w:rPr>
        <w:t>LegalService</w:t>
      </w:r>
      <w:r>
        <w:t xml:space="preserve"> + </w:t>
      </w:r>
      <w:r>
        <w:rPr>
          <w:rFonts w:ascii="Consolas" w:hAnsi="Consolas"/>
          <w:sz w:val="19"/>
        </w:rPr>
        <w:t>LocalBusiness</w:t>
      </w:r>
      <w:r>
        <w:t xml:space="preserve"> markup implies a local business in each place without a verified address. This creates material doorway-page and misleading-schema risk.</w:t>
      </w:r>
    </w:p>
    <w:p>
      <w:pPr>
        <w:pStyle w:val="Heading3"/>
      </w:pPr>
      <w:r>
        <w:t>What the site does well</w:t>
      </w:r>
    </w:p>
    <w:p>
      <w:pPr>
        <w:pStyle w:val="ListBullet"/>
      </w:pPr>
      <w:r>
        <w:t>Clear Scotland-wide subject and predominantly Scots-law terminology.</w:t>
      </w:r>
    </w:p>
    <w:p>
      <w:pPr>
        <w:pStyle w:val="ListBullet"/>
      </w:pPr>
      <w:r>
        <w:t>Logical commercial pillars for personal injury, road traffic, work, public place, medical negligence, serious injury, industrial disease, CICA, compensation, process, limitation and funding.</w:t>
      </w:r>
    </w:p>
    <w:p>
      <w:pPr>
        <w:pStyle w:val="ListBullet"/>
      </w:pPr>
      <w:r>
        <w:t>App Router pages render core text in HTML; only interactive components need client JavaScript.</w:t>
      </w:r>
    </w:p>
    <w:p>
      <w:pPr>
        <w:pStyle w:val="ListBullet"/>
      </w:pPr>
      <w:r>
        <w:t>Useful answer boxes, TL;DR panels, FAQs, breadcrumbs and related-content modules.</w:t>
      </w:r>
    </w:p>
    <w:p>
      <w:pPr>
        <w:pStyle w:val="ListBullet"/>
      </w:pPr>
      <w:r>
        <w:t>Descriptive, human-readable URLs and mostly one H1 per template.</w:t>
      </w:r>
    </w:p>
    <w:p>
      <w:pPr>
        <w:pStyle w:val="ListBullet"/>
      </w:pPr>
      <w:r>
        <w:t xml:space="preserve">Sitemap and permissive </w:t>
      </w:r>
      <w:r>
        <w:rPr>
          <w:rFonts w:ascii="Consolas" w:hAnsi="Consolas"/>
          <w:sz w:val="19"/>
        </w:rPr>
        <w:t>robots.txt</w:t>
      </w:r>
      <w:r>
        <w:t xml:space="preserve"> are present.</w:t>
      </w:r>
    </w:p>
    <w:p>
      <w:pPr>
        <w:pStyle w:val="ListBullet"/>
      </w:pPr>
      <w:r>
        <w:t>No intrusive pop-up or observable third-party tracker was encountered in the rendered homepage check.</w:t>
      </w:r>
    </w:p>
    <w:p>
      <w:pPr>
        <w:pStyle w:val="ListBullet"/>
      </w:pPr>
      <w:r>
        <w:t>Consent checkbox and privacy link appear on the enquiry form.</w:t>
      </w:r>
    </w:p>
    <w:p>
      <w:pPr>
        <w:pStyle w:val="ListBullet"/>
      </w:pPr>
      <w:r>
        <w:t>Copy commonly qualifies outcomes and mentions evidence, liability and causation.</w:t>
      </w:r>
    </w:p>
    <w:p>
      <w:pPr>
        <w:pStyle w:val="Heading3"/>
      </w:pPr>
      <w:r>
        <w:t>What is holding it back</w:t>
      </w:r>
    </w:p>
    <w:p>
      <w:pPr>
        <w:pStyle w:val="ListNumber"/>
      </w:pPr>
      <w:r>
        <w:t>Unverified identity and regulatory claims on a YMYL website.</w:t>
      </w:r>
    </w:p>
    <w:p>
      <w:pPr>
        <w:pStyle w:val="ListNumber"/>
      </w:pPr>
      <w:r>
        <w:t>A fake-success enquiry form that sends nothing.</w:t>
      </w:r>
    </w:p>
    <w:p>
      <w:pPr>
        <w:pStyle w:val="ListNumber"/>
      </w:pPr>
      <w:r>
        <w:t>Placeholder contact, complaints, privacy, author, review-date and schema data on production.</w:t>
      </w:r>
    </w:p>
    <w:p>
      <w:pPr>
        <w:pStyle w:val="ListNumber"/>
      </w:pPr>
      <w:r>
        <w:t>Location pages and local schema that imply unverified local operations.</w:t>
      </w:r>
    </w:p>
    <w:p>
      <w:pPr>
        <w:pStyle w:val="ListNumber"/>
      </w:pPr>
      <w:r>
        <w:t>Unsupported service-scope and funding claims.</w:t>
      </w:r>
    </w:p>
    <w:p>
      <w:pPr>
        <w:pStyle w:val="ListNumber"/>
      </w:pPr>
      <w:r>
        <w:t>No real solicitor authorship, review trail, credentials or source citations.</w:t>
      </w:r>
    </w:p>
    <w:p>
      <w:pPr>
        <w:pStyle w:val="ListNumber"/>
      </w:pPr>
      <w:r>
        <w:t>Overlapping guide and service-page intents.</w:t>
      </w:r>
    </w:p>
    <w:p>
      <w:pPr>
        <w:pStyle w:val="ListNumber"/>
      </w:pPr>
      <w:r>
        <w:t>Repetitive location and service templates with limited original evidence.</w:t>
      </w:r>
    </w:p>
    <w:p>
      <w:pPr>
        <w:pStyle w:val="ListNumber"/>
      </w:pPr>
      <w:r>
        <w:t>Global metadata supplies a homepage canonical to pages that do not override it; current pages mostly override it, but this is fragile.</w:t>
      </w:r>
    </w:p>
    <w:p>
      <w:pPr>
        <w:pStyle w:val="ListNumber"/>
      </w:pPr>
      <w:r>
        <w:t>Technical QA is failing: ESLint reports 26 errors.</w:t>
      </w:r>
    </w:p>
    <w:p>
      <w:pPr>
        <w:pStyle w:val="Heading3"/>
      </w:pPr>
      <w:r>
        <w:t>Trust verdict</w:t>
      </w:r>
    </w:p>
    <w:p>
      <w:r>
        <w:rPr>
          <w:b/>
        </w:rPr>
        <w:t>No.</w:t>
      </w:r>
      <w:r>
        <w:t xml:space="preserve"> An injured person should not be asked to trust this site until the operator, legal provider, regulatory status, data controller, contact routes, fee model, complaints path and form delivery are all real, visible and verified. The visual design looks plausible, but the unresolved placeholders and unsupported regulatory assertions undermine it immediately.</w:t>
      </w:r>
    </w:p>
    <w:p>
      <w:pPr>
        <w:pStyle w:val="Heading3"/>
      </w:pPr>
      <w:r>
        <w:t>Can search and AI systems identify the essential entities?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pPr>
            <w:r>
              <w:rPr>
                <w:b/>
                <w:color w:val="0B2545"/>
                <w:sz w:val="17"/>
              </w:rPr>
              <w:t>Entity/fact</w:t>
            </w:r>
          </w:p>
        </w:tc>
        <w:tc>
          <w:tcPr>
            <w:tcW w:type="dxa" w:w="3816"/>
            <w:vAlign w:val="center"/>
            <w:tcMar>
              <w:top w:w="80" w:type="dxa"/>
              <w:start w:w="120" w:type="dxa"/>
              <w:bottom w:w="80" w:type="dxa"/>
              <w:end w:w="120" w:type="dxa"/>
            </w:tcMar>
            <w:shd w:fill="E8EEF5"/>
          </w:tcPr>
          <w:p>
            <w:pPr>
              <w:spacing w:after="0"/>
            </w:pPr>
            <w:r>
              <w:rPr>
                <w:b/>
                <w:color w:val="0B2545"/>
                <w:sz w:val="17"/>
              </w:rPr>
              <w:t>Verdict</w:t>
            </w:r>
          </w:p>
        </w:tc>
        <w:tc>
          <w:tcPr>
            <w:tcW w:type="dxa" w:w="3456"/>
            <w:vAlign w:val="center"/>
            <w:tcMar>
              <w:top w:w="80" w:type="dxa"/>
              <w:start w:w="120" w:type="dxa"/>
              <w:bottom w:w="80" w:type="dxa"/>
              <w:end w:w="120" w:type="dxa"/>
            </w:tcMar>
            <w:shd w:fill="E8EEF5"/>
          </w:tcPr>
          <w:p>
            <w:pPr>
              <w:spacing w:after="0"/>
            </w:pPr>
            <w:r>
              <w:rPr>
                <w:b/>
                <w:color w:val="0B2545"/>
                <w:sz w:val="17"/>
              </w:rPr>
              <w:t>Evidence</w:t>
            </w:r>
          </w:p>
        </w:tc>
      </w:tr>
      <w:tr>
        <w:tc>
          <w:tcPr>
            <w:tcW w:type="dxa" w:w="2088"/>
            <w:vAlign w:val="center"/>
            <w:tcMar>
              <w:top w:w="80" w:type="dxa"/>
              <w:start w:w="120" w:type="dxa"/>
              <w:bottom w:w="80" w:type="dxa"/>
              <w:end w:w="120" w:type="dxa"/>
            </w:tcMar>
          </w:tcPr>
          <w:p>
            <w:pPr>
              <w:spacing w:after="0"/>
            </w:pPr>
            <w:r>
              <w:rPr>
                <w:sz w:val="17"/>
              </w:rPr>
              <w:t>Website owner/operator</w:t>
            </w:r>
          </w:p>
        </w:tc>
        <w:tc>
          <w:tcPr>
            <w:tcW w:type="dxa" w:w="3816"/>
            <w:vAlign w:val="center"/>
            <w:tcMar>
              <w:top w:w="80" w:type="dxa"/>
              <w:start w:w="120" w:type="dxa"/>
              <w:bottom w:w="80" w:type="dxa"/>
              <w:end w:w="120" w:type="dxa"/>
            </w:tcMar>
          </w:tcPr>
          <w:p>
            <w:pPr>
              <w:spacing w:after="0"/>
            </w:pPr>
            <w:r>
              <w:rPr>
                <w:sz w:val="17"/>
              </w:rPr>
              <w:t>No</w:t>
            </w:r>
          </w:p>
        </w:tc>
        <w:tc>
          <w:tcPr>
            <w:tcW w:type="dxa" w:w="3456"/>
            <w:vAlign w:val="center"/>
            <w:tcMar>
              <w:top w:w="80" w:type="dxa"/>
              <w:start w:w="120" w:type="dxa"/>
              <w:bottom w:w="80" w:type="dxa"/>
              <w:end w:w="120" w:type="dxa"/>
            </w:tcMar>
          </w:tcPr>
          <w:p>
            <w:pPr>
              <w:spacing w:after="0"/>
            </w:pPr>
            <w:r>
              <w:rPr>
                <w:sz w:val="17"/>
              </w:rPr>
              <w:t>No verified legal entity in siteConfig.ts, About, footer or legal pages</w:t>
            </w:r>
          </w:p>
        </w:tc>
      </w:tr>
      <w:tr>
        <w:tc>
          <w:tcPr>
            <w:tcW w:type="dxa" w:w="2088"/>
            <w:vAlign w:val="center"/>
            <w:tcMar>
              <w:top w:w="80" w:type="dxa"/>
              <w:start w:w="120" w:type="dxa"/>
              <w:bottom w:w="80" w:type="dxa"/>
              <w:end w:w="120" w:type="dxa"/>
            </w:tcMar>
          </w:tcPr>
          <w:p>
            <w:pPr>
              <w:spacing w:after="0"/>
            </w:pPr>
            <w:r>
              <w:rPr>
                <w:sz w:val="17"/>
              </w:rPr>
              <w:t>Regulated provider</w:t>
            </w:r>
          </w:p>
        </w:tc>
        <w:tc>
          <w:tcPr>
            <w:tcW w:type="dxa" w:w="3816"/>
            <w:vAlign w:val="center"/>
            <w:tcMar>
              <w:top w:w="80" w:type="dxa"/>
              <w:start w:w="120" w:type="dxa"/>
              <w:bottom w:w="80" w:type="dxa"/>
              <w:end w:w="120" w:type="dxa"/>
            </w:tcMar>
          </w:tcPr>
          <w:p>
            <w:pPr>
              <w:spacing w:after="0"/>
            </w:pPr>
            <w:r>
              <w:rPr>
                <w:sz w:val="17"/>
              </w:rPr>
              <w:t>No</w:t>
            </w:r>
          </w:p>
        </w:tc>
        <w:tc>
          <w:tcPr>
            <w:tcW w:type="dxa" w:w="3456"/>
            <w:vAlign w:val="center"/>
            <w:tcMar>
              <w:top w:w="80" w:type="dxa"/>
              <w:start w:w="120" w:type="dxa"/>
              <w:bottom w:w="80" w:type="dxa"/>
              <w:end w:w="120" w:type="dxa"/>
            </w:tcMar>
          </w:tcPr>
          <w:p>
            <w:pPr>
              <w:spacing w:after="0"/>
            </w:pPr>
            <w:r>
              <w:rPr>
                <w:sz w:val="17"/>
              </w:rPr>
              <w:t>[LAW FIRM NAME] and [Law Society of Scotland Membership Number]</w:t>
            </w:r>
          </w:p>
        </w:tc>
      </w:tr>
      <w:tr>
        <w:tc>
          <w:tcPr>
            <w:tcW w:type="dxa" w:w="2088"/>
            <w:vAlign w:val="center"/>
            <w:tcMar>
              <w:top w:w="80" w:type="dxa"/>
              <w:start w:w="120" w:type="dxa"/>
              <w:bottom w:w="80" w:type="dxa"/>
              <w:end w:w="120" w:type="dxa"/>
            </w:tcMar>
          </w:tcPr>
          <w:p>
            <w:pPr>
              <w:spacing w:after="0"/>
            </w:pPr>
            <w:r>
              <w:rPr>
                <w:sz w:val="17"/>
              </w:rPr>
              <w:t>Service/referral model</w:t>
            </w:r>
          </w:p>
        </w:tc>
        <w:tc>
          <w:tcPr>
            <w:tcW w:type="dxa" w:w="3816"/>
            <w:vAlign w:val="center"/>
            <w:tcMar>
              <w:top w:w="80" w:type="dxa"/>
              <w:start w:w="120" w:type="dxa"/>
              <w:bottom w:w="80" w:type="dxa"/>
              <w:end w:w="120" w:type="dxa"/>
            </w:tcMar>
          </w:tcPr>
          <w:p>
            <w:pPr>
              <w:spacing w:after="0"/>
            </w:pPr>
            <w:r>
              <w:rPr>
                <w:sz w:val="17"/>
              </w:rPr>
              <w:t>No</w:t>
            </w:r>
          </w:p>
        </w:tc>
        <w:tc>
          <w:tcPr>
            <w:tcW w:type="dxa" w:w="3456"/>
            <w:vAlign w:val="center"/>
            <w:tcMar>
              <w:top w:w="80" w:type="dxa"/>
              <w:start w:w="120" w:type="dxa"/>
              <w:bottom w:w="80" w:type="dxa"/>
              <w:end w:w="120" w:type="dxa"/>
            </w:tcMar>
          </w:tcPr>
          <w:p>
            <w:pPr>
              <w:spacing w:after="0"/>
            </w:pPr>
            <w:r>
              <w:rPr>
                <w:sz w:val="17"/>
              </w:rPr>
              <w:t>Copy alternates between “our solicitors”, “claims service” and “practice”</w:t>
            </w:r>
          </w:p>
        </w:tc>
      </w:tr>
      <w:tr>
        <w:tc>
          <w:tcPr>
            <w:tcW w:type="dxa" w:w="2088"/>
            <w:vAlign w:val="center"/>
            <w:tcMar>
              <w:top w:w="80" w:type="dxa"/>
              <w:start w:w="120" w:type="dxa"/>
              <w:bottom w:w="80" w:type="dxa"/>
              <w:end w:w="120" w:type="dxa"/>
            </w:tcMar>
          </w:tcPr>
          <w:p>
            <w:pPr>
              <w:spacing w:after="0"/>
            </w:pPr>
            <w:r>
              <w:rPr>
                <w:sz w:val="17"/>
              </w:rPr>
              <w:t>Jurisdiction</w:t>
            </w:r>
          </w:p>
        </w:tc>
        <w:tc>
          <w:tcPr>
            <w:tcW w:type="dxa" w:w="3816"/>
            <w:vAlign w:val="center"/>
            <w:tcMar>
              <w:top w:w="80" w:type="dxa"/>
              <w:start w:w="120" w:type="dxa"/>
              <w:bottom w:w="80" w:type="dxa"/>
              <w:end w:w="120" w:type="dxa"/>
            </w:tcMar>
          </w:tcPr>
          <w:p>
            <w:pPr>
              <w:spacing w:after="0"/>
            </w:pPr>
            <w:r>
              <w:rPr>
                <w:sz w:val="17"/>
              </w:rPr>
              <w:t>Partly</w:t>
            </w:r>
          </w:p>
        </w:tc>
        <w:tc>
          <w:tcPr>
            <w:tcW w:type="dxa" w:w="3456"/>
            <w:vAlign w:val="center"/>
            <w:tcMar>
              <w:top w:w="80" w:type="dxa"/>
              <w:start w:w="120" w:type="dxa"/>
              <w:bottom w:w="80" w:type="dxa"/>
              <w:end w:w="120" w:type="dxa"/>
            </w:tcMar>
          </w:tcPr>
          <w:p>
            <w:pPr>
              <w:spacing w:after="0"/>
            </w:pPr>
            <w:r>
              <w:rPr>
                <w:sz w:val="17"/>
              </w:rPr>
              <w:t>Scotland and Scots law are stated, but cross-border limits are not consistently defined</w:t>
            </w:r>
          </w:p>
        </w:tc>
      </w:tr>
      <w:tr>
        <w:tc>
          <w:tcPr>
            <w:tcW w:type="dxa" w:w="2088"/>
            <w:vAlign w:val="center"/>
            <w:tcMar>
              <w:top w:w="80" w:type="dxa"/>
              <w:start w:w="120" w:type="dxa"/>
              <w:bottom w:w="80" w:type="dxa"/>
              <w:end w:w="120" w:type="dxa"/>
            </w:tcMar>
          </w:tcPr>
          <w:p>
            <w:pPr>
              <w:spacing w:after="0"/>
            </w:pPr>
            <w:r>
              <w:rPr>
                <w:sz w:val="17"/>
              </w:rPr>
              <w:t>Claim types</w:t>
            </w:r>
          </w:p>
        </w:tc>
        <w:tc>
          <w:tcPr>
            <w:tcW w:type="dxa" w:w="3816"/>
            <w:vAlign w:val="center"/>
            <w:tcMar>
              <w:top w:w="80" w:type="dxa"/>
              <w:start w:w="120" w:type="dxa"/>
              <w:bottom w:w="80" w:type="dxa"/>
              <w:end w:w="120" w:type="dxa"/>
            </w:tcMar>
          </w:tcPr>
          <w:p>
            <w:pPr>
              <w:spacing w:after="0"/>
            </w:pPr>
            <w:r>
              <w:rPr>
                <w:sz w:val="17"/>
              </w:rPr>
              <w:t>Yes, as assertions</w:t>
            </w:r>
          </w:p>
        </w:tc>
        <w:tc>
          <w:tcPr>
            <w:tcW w:type="dxa" w:w="3456"/>
            <w:vAlign w:val="center"/>
            <w:tcMar>
              <w:top w:w="80" w:type="dxa"/>
              <w:start w:w="120" w:type="dxa"/>
              <w:bottom w:w="80" w:type="dxa"/>
              <w:end w:w="120" w:type="dxa"/>
            </w:tcMar>
          </w:tcPr>
          <w:p>
            <w:pPr>
              <w:spacing w:after="0"/>
            </w:pPr>
            <w:r>
              <w:rPr>
                <w:sz w:val="17"/>
              </w:rPr>
              <w:t>Clear navigation and pages, but actual provider scope is unverified</w:t>
            </w:r>
          </w:p>
        </w:tc>
      </w:tr>
      <w:tr>
        <w:tc>
          <w:tcPr>
            <w:tcW w:type="dxa" w:w="2088"/>
            <w:vAlign w:val="center"/>
            <w:tcMar>
              <w:top w:w="80" w:type="dxa"/>
              <w:start w:w="120" w:type="dxa"/>
              <w:bottom w:w="80" w:type="dxa"/>
              <w:end w:w="120" w:type="dxa"/>
            </w:tcMar>
          </w:tcPr>
          <w:p>
            <w:pPr>
              <w:spacing w:after="0"/>
            </w:pPr>
            <w:r>
              <w:rPr>
                <w:sz w:val="17"/>
              </w:rPr>
              <w:t>Authors/reviewers</w:t>
            </w:r>
          </w:p>
        </w:tc>
        <w:tc>
          <w:tcPr>
            <w:tcW w:type="dxa" w:w="3816"/>
            <w:vAlign w:val="center"/>
            <w:tcMar>
              <w:top w:w="80" w:type="dxa"/>
              <w:start w:w="120" w:type="dxa"/>
              <w:bottom w:w="80" w:type="dxa"/>
              <w:end w:w="120" w:type="dxa"/>
            </w:tcMar>
          </w:tcPr>
          <w:p>
            <w:pPr>
              <w:spacing w:after="0"/>
            </w:pPr>
            <w:r>
              <w:rPr>
                <w:sz w:val="17"/>
              </w:rPr>
              <w:t>No</w:t>
            </w:r>
          </w:p>
        </w:tc>
        <w:tc>
          <w:tcPr>
            <w:tcW w:type="dxa" w:w="3456"/>
            <w:vAlign w:val="center"/>
            <w:tcMar>
              <w:top w:w="80" w:type="dxa"/>
              <w:start w:w="120" w:type="dxa"/>
              <w:bottom w:w="80" w:type="dxa"/>
              <w:end w:w="120" w:type="dxa"/>
            </w:tcMar>
          </w:tcPr>
          <w:p>
            <w:pPr>
              <w:spacing w:after="0"/>
            </w:pPr>
            <w:r>
              <w:rPr>
                <w:sz w:val="17"/>
              </w:rPr>
              <w:t>[SOLICITOR NAME] and [DATE]</w:t>
            </w:r>
          </w:p>
        </w:tc>
      </w:tr>
      <w:tr>
        <w:tc>
          <w:tcPr>
            <w:tcW w:type="dxa" w:w="2088"/>
            <w:vAlign w:val="center"/>
            <w:tcMar>
              <w:top w:w="80" w:type="dxa"/>
              <w:start w:w="120" w:type="dxa"/>
              <w:bottom w:w="80" w:type="dxa"/>
              <w:end w:w="120" w:type="dxa"/>
            </w:tcMar>
          </w:tcPr>
          <w:p>
            <w:pPr>
              <w:spacing w:after="0"/>
            </w:pPr>
            <w:r>
              <w:rPr>
                <w:sz w:val="17"/>
              </w:rPr>
              <w:t>Contact details/location</w:t>
            </w:r>
          </w:p>
        </w:tc>
        <w:tc>
          <w:tcPr>
            <w:tcW w:type="dxa" w:w="3816"/>
            <w:vAlign w:val="center"/>
            <w:tcMar>
              <w:top w:w="80" w:type="dxa"/>
              <w:start w:w="120" w:type="dxa"/>
              <w:bottom w:w="80" w:type="dxa"/>
              <w:end w:w="120" w:type="dxa"/>
            </w:tcMar>
          </w:tcPr>
          <w:p>
            <w:pPr>
              <w:spacing w:after="0"/>
            </w:pPr>
            <w:r>
              <w:rPr>
                <w:sz w:val="17"/>
              </w:rPr>
              <w:t>No</w:t>
            </w:r>
          </w:p>
        </w:tc>
        <w:tc>
          <w:tcPr>
            <w:tcW w:type="dxa" w:w="3456"/>
            <w:vAlign w:val="center"/>
            <w:tcMar>
              <w:top w:w="80" w:type="dxa"/>
              <w:start w:w="120" w:type="dxa"/>
              <w:bottom w:w="80" w:type="dxa"/>
              <w:end w:w="120" w:type="dxa"/>
            </w:tcMar>
          </w:tcPr>
          <w:p>
            <w:pPr>
              <w:spacing w:after="0"/>
            </w:pPr>
            <w:r>
              <w:rPr>
                <w:sz w:val="17"/>
              </w:rPr>
              <w:t>Placeholder phone, email and address</w:t>
            </w:r>
          </w:p>
        </w:tc>
      </w:tr>
      <w:tr>
        <w:tc>
          <w:tcPr>
            <w:tcW w:type="dxa" w:w="2088"/>
            <w:vAlign w:val="center"/>
            <w:tcMar>
              <w:top w:w="80" w:type="dxa"/>
              <w:start w:w="120" w:type="dxa"/>
              <w:bottom w:w="80" w:type="dxa"/>
              <w:end w:w="120" w:type="dxa"/>
            </w:tcMar>
          </w:tcPr>
          <w:p>
            <w:pPr>
              <w:spacing w:after="0"/>
            </w:pPr>
            <w:r>
              <w:rPr>
                <w:sz w:val="17"/>
              </w:rPr>
              <w:t>Funding/fees</w:t>
            </w:r>
          </w:p>
        </w:tc>
        <w:tc>
          <w:tcPr>
            <w:tcW w:type="dxa" w:w="3816"/>
            <w:vAlign w:val="center"/>
            <w:tcMar>
              <w:top w:w="80" w:type="dxa"/>
              <w:start w:w="120" w:type="dxa"/>
              <w:bottom w:w="80" w:type="dxa"/>
              <w:end w:w="120" w:type="dxa"/>
            </w:tcMar>
          </w:tcPr>
          <w:p>
            <w:pPr>
              <w:spacing w:after="0"/>
            </w:pPr>
            <w:r>
              <w:rPr>
                <w:sz w:val="17"/>
              </w:rPr>
              <w:t>Partly</w:t>
            </w:r>
          </w:p>
        </w:tc>
        <w:tc>
          <w:tcPr>
            <w:tcW w:type="dxa" w:w="3456"/>
            <w:vAlign w:val="center"/>
            <w:tcMar>
              <w:top w:w="80" w:type="dxa"/>
              <w:start w:w="120" w:type="dxa"/>
              <w:bottom w:w="80" w:type="dxa"/>
              <w:end w:w="120" w:type="dxa"/>
            </w:tcMar>
          </w:tcPr>
          <w:p>
            <w:pPr>
              <w:spacing w:after="0"/>
            </w:pPr>
            <w:r>
              <w:rPr>
                <w:sz w:val="17"/>
              </w:rPr>
              <w:t>General explanation exists; actual agreement, deductions, outlays and provider terms are unknown</w:t>
            </w:r>
          </w:p>
        </w:tc>
      </w:tr>
      <w:tr>
        <w:tc>
          <w:tcPr>
            <w:tcW w:type="dxa" w:w="2088"/>
            <w:vAlign w:val="center"/>
            <w:tcMar>
              <w:top w:w="80" w:type="dxa"/>
              <w:start w:w="120" w:type="dxa"/>
              <w:bottom w:w="80" w:type="dxa"/>
              <w:end w:w="120" w:type="dxa"/>
            </w:tcMar>
          </w:tcPr>
          <w:p>
            <w:pPr>
              <w:spacing w:after="0"/>
            </w:pPr>
            <w:r>
              <w:rPr>
                <w:sz w:val="17"/>
              </w:rPr>
              <w:t>Eligibility/deadlines/process</w:t>
            </w:r>
          </w:p>
        </w:tc>
        <w:tc>
          <w:tcPr>
            <w:tcW w:type="dxa" w:w="3816"/>
            <w:vAlign w:val="center"/>
            <w:tcMar>
              <w:top w:w="80" w:type="dxa"/>
              <w:start w:w="120" w:type="dxa"/>
              <w:bottom w:w="80" w:type="dxa"/>
              <w:end w:w="120" w:type="dxa"/>
            </w:tcMar>
          </w:tcPr>
          <w:p>
            <w:pPr>
              <w:spacing w:after="0"/>
            </w:pPr>
            <w:r>
              <w:rPr>
                <w:sz w:val="17"/>
              </w:rPr>
              <w:t>Partly</w:t>
            </w:r>
          </w:p>
        </w:tc>
        <w:tc>
          <w:tcPr>
            <w:tcW w:type="dxa" w:w="3456"/>
            <w:vAlign w:val="center"/>
            <w:tcMar>
              <w:top w:w="80" w:type="dxa"/>
              <w:start w:w="120" w:type="dxa"/>
              <w:bottom w:w="80" w:type="dxa"/>
              <w:end w:w="120" w:type="dxa"/>
            </w:tcMar>
          </w:tcPr>
          <w:p>
            <w:pPr>
              <w:spacing w:after="0"/>
            </w:pPr>
            <w:r>
              <w:rPr>
                <w:sz w:val="17"/>
              </w:rPr>
              <w:t>Strong discoverability, but several summaries oversimplify limitation and special routes</w:t>
            </w:r>
          </w:p>
        </w:tc>
      </w:tr>
    </w:tbl>
    <w:p>
      <w:pPr>
        <w:spacing w:after="0"/>
      </w:pPr>
    </w:p>
    <w:p>
      <w:pPr>
        <w:pStyle w:val="Heading3"/>
      </w:pPr>
      <w:r>
        <w:t>Top 10 actions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shd w:fill="E8EEF5"/>
          </w:tcPr>
          <w:p>
            <w:pPr>
              <w:spacing w:after="0"/>
            </w:pPr>
            <w:r>
              <w:rPr>
                <w:b/>
                <w:color w:val="0B2545"/>
                <w:sz w:val="17"/>
              </w:rPr>
              <w:t>Priority</w:t>
            </w:r>
          </w:p>
        </w:tc>
        <w:tc>
          <w:tcPr>
            <w:tcW w:type="dxa" w:w="1872"/>
            <w:vAlign w:val="center"/>
            <w:tcMar>
              <w:top w:w="80" w:type="dxa"/>
              <w:start w:w="120" w:type="dxa"/>
              <w:bottom w:w="80" w:type="dxa"/>
              <w:end w:w="120" w:type="dxa"/>
            </w:tcMar>
            <w:shd w:fill="E8EEF5"/>
          </w:tcPr>
          <w:p>
            <w:pPr>
              <w:spacing w:after="0"/>
            </w:pPr>
            <w:r>
              <w:rPr>
                <w:b/>
                <w:color w:val="0B2545"/>
                <w:sz w:val="17"/>
              </w:rPr>
              <w:t>Action</w:t>
            </w:r>
          </w:p>
        </w:tc>
        <w:tc>
          <w:tcPr>
            <w:tcW w:type="dxa" w:w="1872"/>
            <w:vAlign w:val="center"/>
            <w:tcMar>
              <w:top w:w="80" w:type="dxa"/>
              <w:start w:w="120" w:type="dxa"/>
              <w:bottom w:w="80" w:type="dxa"/>
              <w:end w:w="120" w:type="dxa"/>
            </w:tcMar>
            <w:shd w:fill="E8EEF5"/>
          </w:tcPr>
          <w:p>
            <w:pPr>
              <w:spacing w:after="0"/>
            </w:pPr>
            <w:r>
              <w:rPr>
                <w:b/>
                <w:color w:val="0B2545"/>
                <w:sz w:val="17"/>
              </w:rPr>
              <w:t>Impact</w:t>
            </w:r>
          </w:p>
        </w:tc>
        <w:tc>
          <w:tcPr>
            <w:tcW w:type="dxa" w:w="1872"/>
            <w:vAlign w:val="center"/>
            <w:tcMar>
              <w:top w:w="80" w:type="dxa"/>
              <w:start w:w="120" w:type="dxa"/>
              <w:bottom w:w="80" w:type="dxa"/>
              <w:end w:w="120" w:type="dxa"/>
            </w:tcMar>
            <w:shd w:fill="E8EEF5"/>
          </w:tcPr>
          <w:p>
            <w:pPr>
              <w:spacing w:after="0"/>
            </w:pPr>
            <w:r>
              <w:rPr>
                <w:b/>
                <w:color w:val="0B2545"/>
                <w:sz w:val="17"/>
              </w:rPr>
              <w:t>Effort</w:t>
            </w:r>
          </w:p>
        </w:tc>
        <w:tc>
          <w:tcPr>
            <w:tcW w:type="dxa" w:w="1872"/>
            <w:vAlign w:val="center"/>
            <w:tcMar>
              <w:top w:w="80" w:type="dxa"/>
              <w:start w:w="120" w:type="dxa"/>
              <w:bottom w:w="80" w:type="dxa"/>
              <w:end w:w="120" w:type="dxa"/>
            </w:tcMar>
            <w:shd w:fill="E8EEF5"/>
          </w:tcPr>
          <w:p>
            <w:pPr>
              <w:spacing w:after="0"/>
            </w:pPr>
            <w:r>
              <w:rPr>
                <w:b/>
                <w:color w:val="0B2545"/>
                <w:sz w:val="17"/>
              </w:rPr>
              <w:t>Owner</w:t>
            </w:r>
          </w:p>
        </w:tc>
      </w:tr>
      <w:tr>
        <w:tc>
          <w:tcPr>
            <w:tcW w:type="dxa" w:w="1872"/>
            <w:vAlign w:val="center"/>
            <w:tcMar>
              <w:top w:w="80" w:type="dxa"/>
              <w:start w:w="120" w:type="dxa"/>
              <w:bottom w:w="80" w:type="dxa"/>
              <w:end w:w="120" w:type="dxa"/>
            </w:tcMar>
          </w:tcPr>
          <w:p>
            <w:pPr>
              <w:spacing w:after="0"/>
            </w:pPr>
            <w:r>
              <w:rPr>
                <w:sz w:val="17"/>
              </w:rPr>
              <w:t>1</w:t>
            </w:r>
          </w:p>
        </w:tc>
        <w:tc>
          <w:tcPr>
            <w:tcW w:type="dxa" w:w="1872"/>
            <w:vAlign w:val="center"/>
            <w:tcMar>
              <w:top w:w="80" w:type="dxa"/>
              <w:start w:w="120" w:type="dxa"/>
              <w:bottom w:w="80" w:type="dxa"/>
              <w:end w:w="120" w:type="dxa"/>
            </w:tcMar>
          </w:tcPr>
          <w:p>
            <w:pPr>
              <w:spacing w:after="0"/>
            </w:pPr>
            <w:r>
              <w:rPr>
                <w:sz w:val="17"/>
              </w:rPr>
              <w:t>Immediately take the public site out of lead-generation mode: disable forms and unsupported regulated/legal-service assertions or place the site behind a noindex maintenance page until verified facts are supplied.</w:t>
            </w:r>
          </w:p>
        </w:tc>
        <w:tc>
          <w:tcPr>
            <w:tcW w:type="dxa" w:w="1872"/>
            <w:vAlign w:val="center"/>
            <w:tcMar>
              <w:top w:w="80" w:type="dxa"/>
              <w:start w:w="120" w:type="dxa"/>
              <w:bottom w:w="80" w:type="dxa"/>
              <w:end w:w="120" w:type="dxa"/>
            </w:tcMar>
          </w:tcPr>
          <w:p>
            <w:pPr>
              <w:spacing w:after="0"/>
            </w:pPr>
            <w:r>
              <w:rPr>
                <w:sz w:val="17"/>
              </w:rPr>
              <w:t>Critical compliance/trust</w:t>
            </w:r>
          </w:p>
        </w:tc>
        <w:tc>
          <w:tcPr>
            <w:tcW w:type="dxa" w:w="1872"/>
            <w:vAlign w:val="center"/>
            <w:tcMar>
              <w:top w:w="80" w:type="dxa"/>
              <w:start w:w="120" w:type="dxa"/>
              <w:bottom w:w="80" w:type="dxa"/>
              <w:end w:w="120" w:type="dxa"/>
            </w:tcMar>
          </w:tcPr>
          <w:p>
            <w:pPr>
              <w:spacing w:after="0"/>
            </w:pPr>
            <w:r>
              <w:rPr>
                <w:sz w:val="17"/>
              </w:rPr>
              <w:t>Low</w:t>
            </w:r>
          </w:p>
        </w:tc>
        <w:tc>
          <w:tcPr>
            <w:tcW w:type="dxa" w:w="1872"/>
            <w:vAlign w:val="center"/>
            <w:tcMar>
              <w:top w:w="80" w:type="dxa"/>
              <w:start w:w="120" w:type="dxa"/>
              <w:bottom w:w="80" w:type="dxa"/>
              <w:end w:w="120" w:type="dxa"/>
            </w:tcMar>
          </w:tcPr>
          <w:p>
            <w:pPr>
              <w:spacing w:after="0"/>
            </w:pPr>
            <w:r>
              <w:rPr>
                <w:sz w:val="17"/>
              </w:rPr>
              <w:t>Compliance + developer</w:t>
            </w:r>
          </w:p>
        </w:tc>
      </w:tr>
      <w:tr>
        <w:tc>
          <w:tcPr>
            <w:tcW w:type="dxa" w:w="1872"/>
            <w:vAlign w:val="center"/>
            <w:tcMar>
              <w:top w:w="80" w:type="dxa"/>
              <w:start w:w="120" w:type="dxa"/>
              <w:bottom w:w="80" w:type="dxa"/>
              <w:end w:w="120" w:type="dxa"/>
            </w:tcMar>
          </w:tcPr>
          <w:p>
            <w:pPr>
              <w:spacing w:after="0"/>
            </w:pPr>
            <w:r>
              <w:rPr>
                <w:sz w:val="17"/>
              </w:rPr>
              <w:t>2</w:t>
            </w:r>
          </w:p>
        </w:tc>
        <w:tc>
          <w:tcPr>
            <w:tcW w:type="dxa" w:w="1872"/>
            <w:vAlign w:val="center"/>
            <w:tcMar>
              <w:top w:w="80" w:type="dxa"/>
              <w:start w:w="120" w:type="dxa"/>
              <w:bottom w:w="80" w:type="dxa"/>
              <w:end w:w="120" w:type="dxa"/>
            </w:tcMar>
          </w:tcPr>
          <w:p>
            <w:pPr>
              <w:spacing w:after="0"/>
            </w:pPr>
            <w:r>
              <w:rPr>
                <w:sz w:val="17"/>
              </w:rPr>
              <w:t>Verify and publish operator, data controller, legal provider, regulator/membership link, registered address, real phone/email, service model and geographic scope.</w:t>
            </w:r>
          </w:p>
        </w:tc>
        <w:tc>
          <w:tcPr>
            <w:tcW w:type="dxa" w:w="1872"/>
            <w:vAlign w:val="center"/>
            <w:tcMar>
              <w:top w:w="80" w:type="dxa"/>
              <w:start w:w="120" w:type="dxa"/>
              <w:bottom w:w="80" w:type="dxa"/>
              <w:end w:w="120" w:type="dxa"/>
            </w:tcMar>
          </w:tcPr>
          <w:p>
            <w:pPr>
              <w:spacing w:after="0"/>
            </w:pPr>
            <w:r>
              <w:rPr>
                <w:sz w:val="17"/>
              </w:rPr>
              <w:t>Critical compliance/conversion/AI</w:t>
            </w:r>
          </w:p>
        </w:tc>
        <w:tc>
          <w:tcPr>
            <w:tcW w:type="dxa" w:w="1872"/>
            <w:vAlign w:val="center"/>
            <w:tcMar>
              <w:top w:w="80" w:type="dxa"/>
              <w:start w:w="120" w:type="dxa"/>
              <w:bottom w:w="80" w:type="dxa"/>
              <w:end w:w="120" w:type="dxa"/>
            </w:tcMar>
          </w:tcPr>
          <w:p>
            <w:pPr>
              <w:spacing w:after="0"/>
            </w:pPr>
            <w:r>
              <w:rPr>
                <w:sz w:val="17"/>
              </w:rPr>
              <w:t>Medium</w:t>
            </w:r>
          </w:p>
        </w:tc>
        <w:tc>
          <w:tcPr>
            <w:tcW w:type="dxa" w:w="1872"/>
            <w:vAlign w:val="center"/>
            <w:tcMar>
              <w:top w:w="80" w:type="dxa"/>
              <w:start w:w="120" w:type="dxa"/>
              <w:bottom w:w="80" w:type="dxa"/>
              <w:end w:w="120" w:type="dxa"/>
            </w:tcMar>
          </w:tcPr>
          <w:p>
            <w:pPr>
              <w:spacing w:after="0"/>
            </w:pPr>
            <w:r>
              <w:rPr>
                <w:sz w:val="17"/>
              </w:rPr>
              <w:t>Directors + solicitor</w:t>
            </w:r>
          </w:p>
        </w:tc>
      </w:tr>
      <w:tr>
        <w:tc>
          <w:tcPr>
            <w:tcW w:type="dxa" w:w="1872"/>
            <w:vAlign w:val="center"/>
            <w:tcMar>
              <w:top w:w="80" w:type="dxa"/>
              <w:start w:w="120" w:type="dxa"/>
              <w:bottom w:w="80" w:type="dxa"/>
              <w:end w:w="120" w:type="dxa"/>
            </w:tcMar>
          </w:tcPr>
          <w:p>
            <w:pPr>
              <w:spacing w:after="0"/>
            </w:pPr>
            <w:r>
              <w:rPr>
                <w:sz w:val="17"/>
              </w:rPr>
              <w:t>3</w:t>
            </w:r>
          </w:p>
        </w:tc>
        <w:tc>
          <w:tcPr>
            <w:tcW w:type="dxa" w:w="1872"/>
            <w:vAlign w:val="center"/>
            <w:tcMar>
              <w:top w:w="80" w:type="dxa"/>
              <w:start w:w="120" w:type="dxa"/>
              <w:bottom w:w="80" w:type="dxa"/>
              <w:end w:w="120" w:type="dxa"/>
            </w:tcMar>
          </w:tcPr>
          <w:p>
            <w:pPr>
              <w:spacing w:after="0"/>
            </w:pPr>
            <w:r>
              <w:rPr>
                <w:sz w:val="17"/>
              </w:rPr>
              <w:t>Replace simulated form success with secure delivery, server-side validation, spam protection, logging, error recovery and a truthful acknowledgement. Test end to end.</w:t>
            </w:r>
          </w:p>
        </w:tc>
        <w:tc>
          <w:tcPr>
            <w:tcW w:type="dxa" w:w="1872"/>
            <w:vAlign w:val="center"/>
            <w:tcMar>
              <w:top w:w="80" w:type="dxa"/>
              <w:start w:w="120" w:type="dxa"/>
              <w:bottom w:w="80" w:type="dxa"/>
              <w:end w:w="120" w:type="dxa"/>
            </w:tcMar>
          </w:tcPr>
          <w:p>
            <w:pPr>
              <w:spacing w:after="0"/>
            </w:pPr>
            <w:r>
              <w:rPr>
                <w:sz w:val="17"/>
              </w:rPr>
              <w:t>Critical conversion/data</w:t>
            </w:r>
          </w:p>
        </w:tc>
        <w:tc>
          <w:tcPr>
            <w:tcW w:type="dxa" w:w="1872"/>
            <w:vAlign w:val="center"/>
            <w:tcMar>
              <w:top w:w="80" w:type="dxa"/>
              <w:start w:w="120" w:type="dxa"/>
              <w:bottom w:w="80" w:type="dxa"/>
              <w:end w:w="120" w:type="dxa"/>
            </w:tcMar>
          </w:tcPr>
          <w:p>
            <w:pPr>
              <w:spacing w:after="0"/>
            </w:pPr>
            <w:r>
              <w:rPr>
                <w:sz w:val="17"/>
              </w:rPr>
              <w:t>Medium</w:t>
            </w:r>
          </w:p>
        </w:tc>
        <w:tc>
          <w:tcPr>
            <w:tcW w:type="dxa" w:w="1872"/>
            <w:vAlign w:val="center"/>
            <w:tcMar>
              <w:top w:w="80" w:type="dxa"/>
              <w:start w:w="120" w:type="dxa"/>
              <w:bottom w:w="80" w:type="dxa"/>
              <w:end w:w="120" w:type="dxa"/>
            </w:tcMar>
          </w:tcPr>
          <w:p>
            <w:pPr>
              <w:spacing w:after="0"/>
            </w:pPr>
            <w:r>
              <w:rPr>
                <w:sz w:val="17"/>
              </w:rPr>
              <w:t>Developer + operations</w:t>
            </w:r>
          </w:p>
        </w:tc>
      </w:tr>
      <w:tr>
        <w:tc>
          <w:tcPr>
            <w:tcW w:type="dxa" w:w="1872"/>
            <w:vAlign w:val="center"/>
            <w:tcMar>
              <w:top w:w="80" w:type="dxa"/>
              <w:start w:w="120" w:type="dxa"/>
              <w:bottom w:w="80" w:type="dxa"/>
              <w:end w:w="120" w:type="dxa"/>
            </w:tcMar>
          </w:tcPr>
          <w:p>
            <w:pPr>
              <w:spacing w:after="0"/>
            </w:pPr>
            <w:r>
              <w:rPr>
                <w:sz w:val="17"/>
              </w:rPr>
              <w:t>4</w:t>
            </w:r>
          </w:p>
        </w:tc>
        <w:tc>
          <w:tcPr>
            <w:tcW w:type="dxa" w:w="1872"/>
            <w:vAlign w:val="center"/>
            <w:tcMar>
              <w:top w:w="80" w:type="dxa"/>
              <w:start w:w="120" w:type="dxa"/>
              <w:bottom w:w="80" w:type="dxa"/>
              <w:end w:w="120" w:type="dxa"/>
            </w:tcMar>
          </w:tcPr>
          <w:p>
            <w:pPr>
              <w:spacing w:after="0"/>
            </w:pPr>
            <w:r>
              <w:rPr>
                <w:sz w:val="17"/>
              </w:rPr>
              <w:t>Have a Scottish personal-injury solicitor review every legal/service page; add named author/reviewer profiles, credentials, dates and material source citations.</w:t>
            </w:r>
          </w:p>
        </w:tc>
        <w:tc>
          <w:tcPr>
            <w:tcW w:type="dxa" w:w="1872"/>
            <w:vAlign w:val="center"/>
            <w:tcMar>
              <w:top w:w="80" w:type="dxa"/>
              <w:start w:w="120" w:type="dxa"/>
              <w:bottom w:w="80" w:type="dxa"/>
              <w:end w:w="120" w:type="dxa"/>
            </w:tcMar>
          </w:tcPr>
          <w:p>
            <w:pPr>
              <w:spacing w:after="0"/>
            </w:pPr>
            <w:r>
              <w:rPr>
                <w:sz w:val="17"/>
              </w:rPr>
              <w:t>High trust/SEO/AI</w:t>
            </w:r>
          </w:p>
        </w:tc>
        <w:tc>
          <w:tcPr>
            <w:tcW w:type="dxa" w:w="1872"/>
            <w:vAlign w:val="center"/>
            <w:tcMar>
              <w:top w:w="80" w:type="dxa"/>
              <w:start w:w="120" w:type="dxa"/>
              <w:bottom w:w="80" w:type="dxa"/>
              <w:end w:w="120" w:type="dxa"/>
            </w:tcMar>
          </w:tcPr>
          <w:p>
            <w:pPr>
              <w:spacing w:after="0"/>
            </w:pPr>
            <w:r>
              <w:rPr>
                <w:sz w:val="17"/>
              </w:rPr>
              <w:t>High</w:t>
            </w:r>
          </w:p>
        </w:tc>
        <w:tc>
          <w:tcPr>
            <w:tcW w:type="dxa" w:w="1872"/>
            <w:vAlign w:val="center"/>
            <w:tcMar>
              <w:top w:w="80" w:type="dxa"/>
              <w:start w:w="120" w:type="dxa"/>
              <w:bottom w:w="80" w:type="dxa"/>
              <w:end w:w="120" w:type="dxa"/>
            </w:tcMar>
          </w:tcPr>
          <w:p>
            <w:pPr>
              <w:spacing w:after="0"/>
            </w:pPr>
            <w:r>
              <w:rPr>
                <w:sz w:val="17"/>
              </w:rPr>
              <w:t>Solicitor + content</w:t>
            </w:r>
          </w:p>
        </w:tc>
      </w:tr>
      <w:tr>
        <w:tc>
          <w:tcPr>
            <w:tcW w:type="dxa" w:w="1872"/>
            <w:vAlign w:val="center"/>
            <w:tcMar>
              <w:top w:w="80" w:type="dxa"/>
              <w:start w:w="120" w:type="dxa"/>
              <w:bottom w:w="80" w:type="dxa"/>
              <w:end w:w="120" w:type="dxa"/>
            </w:tcMar>
          </w:tcPr>
          <w:p>
            <w:pPr>
              <w:spacing w:after="0"/>
            </w:pPr>
            <w:r>
              <w:rPr>
                <w:sz w:val="17"/>
              </w:rPr>
              <w:t>5</w:t>
            </w:r>
          </w:p>
        </w:tc>
        <w:tc>
          <w:tcPr>
            <w:tcW w:type="dxa" w:w="1872"/>
            <w:vAlign w:val="center"/>
            <w:tcMar>
              <w:top w:w="80" w:type="dxa"/>
              <w:start w:w="120" w:type="dxa"/>
              <w:bottom w:w="80" w:type="dxa"/>
              <w:end w:w="120" w:type="dxa"/>
            </w:tcMar>
          </w:tcPr>
          <w:p>
            <w:pPr>
              <w:spacing w:after="0"/>
            </w:pPr>
            <w:r>
              <w:rPr>
                <w:sz w:val="17"/>
              </w:rPr>
              <w:t>Remove all placeholder and future/unverified dates from live HTML and JSON-LD; prevent deployment when placeholder tokens remain.</w:t>
            </w:r>
          </w:p>
        </w:tc>
        <w:tc>
          <w:tcPr>
            <w:tcW w:type="dxa" w:w="1872"/>
            <w:vAlign w:val="center"/>
            <w:tcMar>
              <w:top w:w="80" w:type="dxa"/>
              <w:start w:w="120" w:type="dxa"/>
              <w:bottom w:w="80" w:type="dxa"/>
              <w:end w:w="120" w:type="dxa"/>
            </w:tcMar>
          </w:tcPr>
          <w:p>
            <w:pPr>
              <w:spacing w:after="0"/>
            </w:pPr>
            <w:r>
              <w:rPr>
                <w:sz w:val="17"/>
              </w:rPr>
              <w:t>High trust/quality</w:t>
            </w:r>
          </w:p>
        </w:tc>
        <w:tc>
          <w:tcPr>
            <w:tcW w:type="dxa" w:w="1872"/>
            <w:vAlign w:val="center"/>
            <w:tcMar>
              <w:top w:w="80" w:type="dxa"/>
              <w:start w:w="120" w:type="dxa"/>
              <w:bottom w:w="80" w:type="dxa"/>
              <w:end w:w="120" w:type="dxa"/>
            </w:tcMar>
          </w:tcPr>
          <w:p>
            <w:pPr>
              <w:spacing w:after="0"/>
            </w:pPr>
            <w:r>
              <w:rPr>
                <w:sz w:val="17"/>
              </w:rPr>
              <w:t>Low</w:t>
            </w:r>
          </w:p>
        </w:tc>
        <w:tc>
          <w:tcPr>
            <w:tcW w:type="dxa" w:w="1872"/>
            <w:vAlign w:val="center"/>
            <w:tcMar>
              <w:top w:w="80" w:type="dxa"/>
              <w:start w:w="120" w:type="dxa"/>
              <w:bottom w:w="80" w:type="dxa"/>
              <w:end w:w="120" w:type="dxa"/>
            </w:tcMar>
          </w:tcPr>
          <w:p>
            <w:pPr>
              <w:spacing w:after="0"/>
            </w:pPr>
            <w:r>
              <w:rPr>
                <w:sz w:val="17"/>
              </w:rPr>
              <w:t>Developer</w:t>
            </w:r>
          </w:p>
        </w:tc>
      </w:tr>
      <w:tr>
        <w:tc>
          <w:tcPr>
            <w:tcW w:type="dxa" w:w="1872"/>
            <w:vAlign w:val="center"/>
            <w:tcMar>
              <w:top w:w="80" w:type="dxa"/>
              <w:start w:w="120" w:type="dxa"/>
              <w:bottom w:w="80" w:type="dxa"/>
              <w:end w:w="120" w:type="dxa"/>
            </w:tcMar>
          </w:tcPr>
          <w:p>
            <w:pPr>
              <w:spacing w:after="0"/>
            </w:pPr>
            <w:r>
              <w:rPr>
                <w:sz w:val="17"/>
              </w:rPr>
              <w:t>6</w:t>
            </w:r>
          </w:p>
        </w:tc>
        <w:tc>
          <w:tcPr>
            <w:tcW w:type="dxa" w:w="1872"/>
            <w:vAlign w:val="center"/>
            <w:tcMar>
              <w:top w:w="80" w:type="dxa"/>
              <w:start w:w="120" w:type="dxa"/>
              <w:bottom w:w="80" w:type="dxa"/>
              <w:end w:w="120" w:type="dxa"/>
            </w:tcMar>
          </w:tcPr>
          <w:p>
            <w:pPr>
              <w:spacing w:after="0"/>
            </w:pPr>
            <w:r>
              <w:rPr>
                <w:sz w:val="17"/>
              </w:rPr>
              <w:t>Remove LocalBusiness schema from city pages and noindex most city pages until each has verifiable, distinct value. Never imply an office that does not exist.</w:t>
            </w:r>
          </w:p>
        </w:tc>
        <w:tc>
          <w:tcPr>
            <w:tcW w:type="dxa" w:w="1872"/>
            <w:vAlign w:val="center"/>
            <w:tcMar>
              <w:top w:w="80" w:type="dxa"/>
              <w:start w:w="120" w:type="dxa"/>
              <w:bottom w:w="80" w:type="dxa"/>
              <w:end w:w="120" w:type="dxa"/>
            </w:tcMar>
          </w:tcPr>
          <w:p>
            <w:pPr>
              <w:spacing w:after="0"/>
            </w:pPr>
            <w:r>
              <w:rPr>
                <w:sz w:val="17"/>
              </w:rPr>
              <w:t>High SEO/compliance</w:t>
            </w:r>
          </w:p>
        </w:tc>
        <w:tc>
          <w:tcPr>
            <w:tcW w:type="dxa" w:w="1872"/>
            <w:vAlign w:val="center"/>
            <w:tcMar>
              <w:top w:w="80" w:type="dxa"/>
              <w:start w:w="120" w:type="dxa"/>
              <w:bottom w:w="80" w:type="dxa"/>
              <w:end w:w="120" w:type="dxa"/>
            </w:tcMar>
          </w:tcPr>
          <w:p>
            <w:pPr>
              <w:spacing w:after="0"/>
            </w:pPr>
            <w:r>
              <w:rPr>
                <w:sz w:val="17"/>
              </w:rPr>
              <w:t>Low</w:t>
            </w:r>
          </w:p>
        </w:tc>
        <w:tc>
          <w:tcPr>
            <w:tcW w:type="dxa" w:w="1872"/>
            <w:vAlign w:val="center"/>
            <w:tcMar>
              <w:top w:w="80" w:type="dxa"/>
              <w:start w:w="120" w:type="dxa"/>
              <w:bottom w:w="80" w:type="dxa"/>
              <w:end w:w="120" w:type="dxa"/>
            </w:tcMar>
          </w:tcPr>
          <w:p>
            <w:pPr>
              <w:spacing w:after="0"/>
            </w:pPr>
            <w:r>
              <w:rPr>
                <w:sz w:val="17"/>
              </w:rPr>
              <w:t>SEO + developer</w:t>
            </w:r>
          </w:p>
        </w:tc>
      </w:tr>
      <w:tr>
        <w:tc>
          <w:tcPr>
            <w:tcW w:type="dxa" w:w="1872"/>
            <w:vAlign w:val="center"/>
            <w:tcMar>
              <w:top w:w="80" w:type="dxa"/>
              <w:start w:w="120" w:type="dxa"/>
              <w:bottom w:w="80" w:type="dxa"/>
              <w:end w:w="120" w:type="dxa"/>
            </w:tcMar>
          </w:tcPr>
          <w:p>
            <w:pPr>
              <w:spacing w:after="0"/>
            </w:pPr>
            <w:r>
              <w:rPr>
                <w:sz w:val="17"/>
              </w:rPr>
              <w:t>7</w:t>
            </w:r>
          </w:p>
        </w:tc>
        <w:tc>
          <w:tcPr>
            <w:tcW w:type="dxa" w:w="1872"/>
            <w:vAlign w:val="center"/>
            <w:tcMar>
              <w:top w:w="80" w:type="dxa"/>
              <w:start w:w="120" w:type="dxa"/>
              <w:bottom w:w="80" w:type="dxa"/>
              <w:end w:w="120" w:type="dxa"/>
            </w:tcMar>
          </w:tcPr>
          <w:p>
            <w:pPr>
              <w:spacing w:after="0"/>
            </w:pPr>
            <w:r>
              <w:rPr>
                <w:sz w:val="17"/>
              </w:rPr>
              <w:t>Consolidate overlapping guide/service intents, especially limitation, road traffic, accident at work, no-win-no-fee and compensation.</w:t>
            </w:r>
          </w:p>
        </w:tc>
        <w:tc>
          <w:tcPr>
            <w:tcW w:type="dxa" w:w="1872"/>
            <w:vAlign w:val="center"/>
            <w:tcMar>
              <w:top w:w="80" w:type="dxa"/>
              <w:start w:w="120" w:type="dxa"/>
              <w:bottom w:w="80" w:type="dxa"/>
              <w:end w:w="120" w:type="dxa"/>
            </w:tcMar>
          </w:tcPr>
          <w:p>
            <w:pPr>
              <w:spacing w:after="0"/>
            </w:pPr>
            <w:r>
              <w:rPr>
                <w:sz w:val="17"/>
              </w:rPr>
              <w:t>High SEO/AI</w:t>
            </w:r>
          </w:p>
        </w:tc>
        <w:tc>
          <w:tcPr>
            <w:tcW w:type="dxa" w:w="1872"/>
            <w:vAlign w:val="center"/>
            <w:tcMar>
              <w:top w:w="80" w:type="dxa"/>
              <w:start w:w="120" w:type="dxa"/>
              <w:bottom w:w="80" w:type="dxa"/>
              <w:end w:w="120" w:type="dxa"/>
            </w:tcMar>
          </w:tcPr>
          <w:p>
            <w:pPr>
              <w:spacing w:after="0"/>
            </w:pPr>
            <w:r>
              <w:rPr>
                <w:sz w:val="17"/>
              </w:rPr>
              <w:t>Medium</w:t>
            </w:r>
          </w:p>
        </w:tc>
        <w:tc>
          <w:tcPr>
            <w:tcW w:type="dxa" w:w="1872"/>
            <w:vAlign w:val="center"/>
            <w:tcMar>
              <w:top w:w="80" w:type="dxa"/>
              <w:start w:w="120" w:type="dxa"/>
              <w:bottom w:w="80" w:type="dxa"/>
              <w:end w:w="120" w:type="dxa"/>
            </w:tcMar>
          </w:tcPr>
          <w:p>
            <w:pPr>
              <w:spacing w:after="0"/>
            </w:pPr>
            <w:r>
              <w:rPr>
                <w:sz w:val="17"/>
              </w:rPr>
              <w:t>SEO + content</w:t>
            </w:r>
          </w:p>
        </w:tc>
      </w:tr>
      <w:tr>
        <w:tc>
          <w:tcPr>
            <w:tcW w:type="dxa" w:w="1872"/>
            <w:vAlign w:val="center"/>
            <w:tcMar>
              <w:top w:w="80" w:type="dxa"/>
              <w:start w:w="120" w:type="dxa"/>
              <w:bottom w:w="80" w:type="dxa"/>
              <w:end w:w="120" w:type="dxa"/>
            </w:tcMar>
          </w:tcPr>
          <w:p>
            <w:pPr>
              <w:spacing w:after="0"/>
            </w:pPr>
            <w:r>
              <w:rPr>
                <w:sz w:val="17"/>
              </w:rPr>
              <w:t>8</w:t>
            </w:r>
          </w:p>
        </w:tc>
        <w:tc>
          <w:tcPr>
            <w:tcW w:type="dxa" w:w="1872"/>
            <w:vAlign w:val="center"/>
            <w:tcMar>
              <w:top w:w="80" w:type="dxa"/>
              <w:start w:w="120" w:type="dxa"/>
              <w:bottom w:w="80" w:type="dxa"/>
              <w:end w:w="120" w:type="dxa"/>
            </w:tcMar>
          </w:tcPr>
          <w:p>
            <w:pPr>
              <w:spacing w:after="0"/>
            </w:pPr>
            <w:r>
              <w:rPr>
                <w:sz w:val="17"/>
              </w:rPr>
              <w:t>Rewrite limitation, CICA, fatal-claim, medical-negligence, industrial-disease and funding content against primary sources; distinguish raising court proceedings from merely contacting a solicitor.</w:t>
            </w:r>
          </w:p>
        </w:tc>
        <w:tc>
          <w:tcPr>
            <w:tcW w:type="dxa" w:w="1872"/>
            <w:vAlign w:val="center"/>
            <w:tcMar>
              <w:top w:w="80" w:type="dxa"/>
              <w:start w:w="120" w:type="dxa"/>
              <w:bottom w:w="80" w:type="dxa"/>
              <w:end w:w="120" w:type="dxa"/>
            </w:tcMar>
          </w:tcPr>
          <w:p>
            <w:pPr>
              <w:spacing w:after="0"/>
            </w:pPr>
            <w:r>
              <w:rPr>
                <w:sz w:val="17"/>
              </w:rPr>
              <w:t>High legal/trust</w:t>
            </w:r>
          </w:p>
        </w:tc>
        <w:tc>
          <w:tcPr>
            <w:tcW w:type="dxa" w:w="1872"/>
            <w:vAlign w:val="center"/>
            <w:tcMar>
              <w:top w:w="80" w:type="dxa"/>
              <w:start w:w="120" w:type="dxa"/>
              <w:bottom w:w="80" w:type="dxa"/>
              <w:end w:w="120" w:type="dxa"/>
            </w:tcMar>
          </w:tcPr>
          <w:p>
            <w:pPr>
              <w:spacing w:after="0"/>
            </w:pPr>
            <w:r>
              <w:rPr>
                <w:sz w:val="17"/>
              </w:rPr>
              <w:t>High</w:t>
            </w:r>
          </w:p>
        </w:tc>
        <w:tc>
          <w:tcPr>
            <w:tcW w:type="dxa" w:w="1872"/>
            <w:vAlign w:val="center"/>
            <w:tcMar>
              <w:top w:w="80" w:type="dxa"/>
              <w:start w:w="120" w:type="dxa"/>
              <w:bottom w:w="80" w:type="dxa"/>
              <w:end w:w="120" w:type="dxa"/>
            </w:tcMar>
          </w:tcPr>
          <w:p>
            <w:pPr>
              <w:spacing w:after="0"/>
            </w:pPr>
            <w:r>
              <w:rPr>
                <w:sz w:val="17"/>
              </w:rPr>
              <w:t>Solicitor</w:t>
            </w:r>
          </w:p>
        </w:tc>
      </w:tr>
      <w:tr>
        <w:tc>
          <w:tcPr>
            <w:tcW w:type="dxa" w:w="1872"/>
            <w:vAlign w:val="center"/>
            <w:tcMar>
              <w:top w:w="80" w:type="dxa"/>
              <w:start w:w="120" w:type="dxa"/>
              <w:bottom w:w="80" w:type="dxa"/>
              <w:end w:w="120" w:type="dxa"/>
            </w:tcMar>
          </w:tcPr>
          <w:p>
            <w:pPr>
              <w:spacing w:after="0"/>
            </w:pPr>
            <w:r>
              <w:rPr>
                <w:sz w:val="17"/>
              </w:rPr>
              <w:t>9</w:t>
            </w:r>
          </w:p>
        </w:tc>
        <w:tc>
          <w:tcPr>
            <w:tcW w:type="dxa" w:w="1872"/>
            <w:vAlign w:val="center"/>
            <w:tcMar>
              <w:top w:w="80" w:type="dxa"/>
              <w:start w:w="120" w:type="dxa"/>
              <w:bottom w:w="80" w:type="dxa"/>
              <w:end w:w="120" w:type="dxa"/>
            </w:tcMar>
          </w:tcPr>
          <w:p>
            <w:pPr>
              <w:spacing w:after="0"/>
            </w:pPr>
            <w:r>
              <w:rPr>
                <w:sz w:val="17"/>
              </w:rPr>
              <w:t>Fix lint errors; add CI checks for build, lint, broken links, placeholder tokens, schema and sitemap/canonical consistency.</w:t>
            </w:r>
          </w:p>
        </w:tc>
        <w:tc>
          <w:tcPr>
            <w:tcW w:type="dxa" w:w="1872"/>
            <w:vAlign w:val="center"/>
            <w:tcMar>
              <w:top w:w="80" w:type="dxa"/>
              <w:start w:w="120" w:type="dxa"/>
              <w:bottom w:w="80" w:type="dxa"/>
              <w:end w:w="120" w:type="dxa"/>
            </w:tcMar>
          </w:tcPr>
          <w:p>
            <w:pPr>
              <w:spacing w:after="0"/>
            </w:pPr>
            <w:r>
              <w:rPr>
                <w:sz w:val="17"/>
              </w:rPr>
              <w:t>Medium technical</w:t>
            </w:r>
          </w:p>
        </w:tc>
        <w:tc>
          <w:tcPr>
            <w:tcW w:type="dxa" w:w="1872"/>
            <w:vAlign w:val="center"/>
            <w:tcMar>
              <w:top w:w="80" w:type="dxa"/>
              <w:start w:w="120" w:type="dxa"/>
              <w:bottom w:w="80" w:type="dxa"/>
              <w:end w:w="120" w:type="dxa"/>
            </w:tcMar>
          </w:tcPr>
          <w:p>
            <w:pPr>
              <w:spacing w:after="0"/>
            </w:pPr>
            <w:r>
              <w:rPr>
                <w:sz w:val="17"/>
              </w:rPr>
              <w:t>Medium</w:t>
            </w:r>
          </w:p>
        </w:tc>
        <w:tc>
          <w:tcPr>
            <w:tcW w:type="dxa" w:w="1872"/>
            <w:vAlign w:val="center"/>
            <w:tcMar>
              <w:top w:w="80" w:type="dxa"/>
              <w:start w:w="120" w:type="dxa"/>
              <w:bottom w:w="80" w:type="dxa"/>
              <w:end w:w="120" w:type="dxa"/>
            </w:tcMar>
          </w:tcPr>
          <w:p>
            <w:pPr>
              <w:spacing w:after="0"/>
            </w:pPr>
            <w:r>
              <w:rPr>
                <w:sz w:val="17"/>
              </w:rPr>
              <w:t>Developer</w:t>
            </w:r>
          </w:p>
        </w:tc>
      </w:tr>
      <w:tr>
        <w:tc>
          <w:tcPr>
            <w:tcW w:type="dxa" w:w="1872"/>
            <w:vAlign w:val="center"/>
            <w:tcMar>
              <w:top w:w="80" w:type="dxa"/>
              <w:start w:w="120" w:type="dxa"/>
              <w:bottom w:w="80" w:type="dxa"/>
              <w:end w:w="120" w:type="dxa"/>
            </w:tcMar>
          </w:tcPr>
          <w:p>
            <w:pPr>
              <w:spacing w:after="0"/>
            </w:pPr>
            <w:r>
              <w:rPr>
                <w:sz w:val="17"/>
              </w:rPr>
              <w:t>10</w:t>
            </w:r>
          </w:p>
        </w:tc>
        <w:tc>
          <w:tcPr>
            <w:tcW w:type="dxa" w:w="1872"/>
            <w:vAlign w:val="center"/>
            <w:tcMar>
              <w:top w:w="80" w:type="dxa"/>
              <w:start w:w="120" w:type="dxa"/>
              <w:bottom w:w="80" w:type="dxa"/>
              <w:end w:w="120" w:type="dxa"/>
            </w:tcMar>
          </w:tcPr>
          <w:p>
            <w:pPr>
              <w:spacing w:after="0"/>
            </w:pPr>
            <w:r>
              <w:rPr>
                <w:sz w:val="17"/>
              </w:rPr>
              <w:t>After relaunch, connect Search Console, Bing Webmaster Tools, GA4 (or privacy-respecting analytics), consent, CRM and call tracking with documented events and retention rules.</w:t>
            </w:r>
          </w:p>
        </w:tc>
        <w:tc>
          <w:tcPr>
            <w:tcW w:type="dxa" w:w="1872"/>
            <w:vAlign w:val="center"/>
            <w:tcMar>
              <w:top w:w="80" w:type="dxa"/>
              <w:start w:w="120" w:type="dxa"/>
              <w:bottom w:w="80" w:type="dxa"/>
              <w:end w:w="120" w:type="dxa"/>
            </w:tcMar>
          </w:tcPr>
          <w:p>
            <w:pPr>
              <w:spacing w:after="0"/>
            </w:pPr>
            <w:r>
              <w:rPr>
                <w:sz w:val="17"/>
              </w:rPr>
              <w:t>High measurement</w:t>
            </w:r>
          </w:p>
        </w:tc>
        <w:tc>
          <w:tcPr>
            <w:tcW w:type="dxa" w:w="1872"/>
            <w:vAlign w:val="center"/>
            <w:tcMar>
              <w:top w:w="80" w:type="dxa"/>
              <w:start w:w="120" w:type="dxa"/>
              <w:bottom w:w="80" w:type="dxa"/>
              <w:end w:w="120" w:type="dxa"/>
            </w:tcMar>
          </w:tcPr>
          <w:p>
            <w:pPr>
              <w:spacing w:after="0"/>
            </w:pPr>
            <w:r>
              <w:rPr>
                <w:sz w:val="17"/>
              </w:rPr>
              <w:t>Medium</w:t>
            </w:r>
          </w:p>
        </w:tc>
        <w:tc>
          <w:tcPr>
            <w:tcW w:type="dxa" w:w="1872"/>
            <w:vAlign w:val="center"/>
            <w:tcMar>
              <w:top w:w="80" w:type="dxa"/>
              <w:start w:w="120" w:type="dxa"/>
              <w:bottom w:w="80" w:type="dxa"/>
              <w:end w:w="120" w:type="dxa"/>
            </w:tcMar>
          </w:tcPr>
          <w:p>
            <w:pPr>
              <w:spacing w:after="0"/>
            </w:pPr>
            <w:r>
              <w:rPr>
                <w:sz w:val="17"/>
              </w:rPr>
              <w:t>Analytics + privacy</w:t>
            </w:r>
          </w:p>
        </w:tc>
      </w:tr>
    </w:tbl>
    <w:p>
      <w:pPr>
        <w:spacing w:after="0"/>
      </w:pPr>
    </w:p>
    <w:p>
      <w:pPr>
        <w:pStyle w:val="Heading2"/>
      </w:pPr>
      <w:r>
        <w:t>2. Confirmed findings and access-dependent checks</w:t>
      </w:r>
    </w:p>
    <w:p>
      <w:pPr>
        <w:pStyle w:val="Heading3"/>
      </w:pPr>
      <w:r>
        <w:t>Confirmed findings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start w:w="120" w:type="dxa"/>
              <w:bottom w:w="80" w:type="dxa"/>
              <w:end w:w="120" w:type="dxa"/>
            </w:tcMar>
            <w:shd w:fill="E8EEF5"/>
          </w:tcPr>
          <w:p>
            <w:pPr>
              <w:spacing w:after="0"/>
            </w:pPr>
            <w:r>
              <w:rPr>
                <w:b/>
                <w:color w:val="0B2545"/>
                <w:sz w:val="17"/>
              </w:rPr>
              <w:t>Finding</w:t>
            </w:r>
          </w:p>
        </w:tc>
        <w:tc>
          <w:tcPr>
            <w:tcW w:type="dxa" w:w="4680"/>
            <w:vAlign w:val="center"/>
            <w:tcMar>
              <w:top w:w="80" w:type="dxa"/>
              <w:start w:w="120" w:type="dxa"/>
              <w:bottom w:w="80" w:type="dxa"/>
              <w:end w:w="120" w:type="dxa"/>
            </w:tcMar>
            <w:shd w:fill="E8EEF5"/>
          </w:tcPr>
          <w:p>
            <w:pPr>
              <w:spacing w:after="0"/>
            </w:pPr>
            <w:r>
              <w:rPr>
                <w:b/>
                <w:color w:val="0B2545"/>
                <w:sz w:val="17"/>
              </w:rPr>
              <w:t>Status</w:t>
            </w:r>
          </w:p>
        </w:tc>
        <w:tc>
          <w:tcPr>
            <w:tcW w:type="dxa" w:w="1656"/>
            <w:vAlign w:val="center"/>
            <w:tcMar>
              <w:top w:w="80" w:type="dxa"/>
              <w:start w:w="120" w:type="dxa"/>
              <w:bottom w:w="80" w:type="dxa"/>
              <w:end w:w="120" w:type="dxa"/>
            </w:tcMar>
            <w:shd w:fill="E8EEF5"/>
          </w:tcPr>
          <w:p>
            <w:pPr>
              <w:spacing w:after="0"/>
            </w:pPr>
            <w:r>
              <w:rPr>
                <w:b/>
                <w:color w:val="0B2545"/>
                <w:sz w:val="17"/>
              </w:rPr>
              <w:t>Evidence</w:t>
            </w:r>
          </w:p>
        </w:tc>
        <w:tc>
          <w:tcPr>
            <w:tcW w:type="dxa" w:w="2232"/>
            <w:vAlign w:val="center"/>
            <w:tcMar>
              <w:top w:w="80" w:type="dxa"/>
              <w:start w:w="120" w:type="dxa"/>
              <w:bottom w:w="80" w:type="dxa"/>
              <w:end w:w="120" w:type="dxa"/>
            </w:tcMar>
            <w:shd w:fill="E8EEF5"/>
          </w:tcPr>
          <w:p>
            <w:pPr>
              <w:spacing w:after="0"/>
            </w:pPr>
            <w:r>
              <w:rPr>
                <w:b/>
                <w:color w:val="0B2545"/>
                <w:sz w:val="17"/>
              </w:rPr>
              <w:t>Severity</w:t>
            </w:r>
          </w:p>
        </w:tc>
      </w:tr>
      <w:tr>
        <w:tc>
          <w:tcPr>
            <w:tcW w:type="dxa" w:w="792"/>
            <w:vAlign w:val="center"/>
            <w:tcMar>
              <w:top w:w="80" w:type="dxa"/>
              <w:start w:w="120" w:type="dxa"/>
              <w:bottom w:w="80" w:type="dxa"/>
              <w:end w:w="120" w:type="dxa"/>
            </w:tcMar>
          </w:tcPr>
          <w:p>
            <w:pPr>
              <w:spacing w:after="0"/>
            </w:pPr>
            <w:r>
              <w:rPr>
                <w:sz w:val="17"/>
              </w:rPr>
              <w:t>Host/canonical signals conflict</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Requested/live browser URL remained https://www.accident-claims-scotland.com/, while homepage declared canonical and og:url as https://accident-claims-scotland.com; About and Glasgow also canonically declare non-www; repository SITE.url, sitemap and robots use www</w:t>
            </w:r>
          </w:p>
        </w:tc>
        <w:tc>
          <w:tcPr>
            <w:tcW w:type="dxa" w:w="2232"/>
            <w:vAlign w:val="center"/>
            <w:tcMar>
              <w:top w:w="80" w:type="dxa"/>
              <w:start w:w="120" w:type="dxa"/>
              <w:bottom w:w="80" w:type="dxa"/>
              <w:end w:w="120" w:type="dxa"/>
            </w:tcMar>
          </w:tcPr>
          <w:p>
            <w:pPr>
              <w:spacing w:after="0"/>
            </w:pPr>
            <w:r>
              <w:rPr>
                <w:sz w:val="17"/>
              </w:rPr>
              <w:t>High</w:t>
            </w:r>
          </w:p>
        </w:tc>
      </w:tr>
      <w:tr>
        <w:tc>
          <w:tcPr>
            <w:tcW w:type="dxa" w:w="792"/>
            <w:vAlign w:val="center"/>
            <w:tcMar>
              <w:top w:w="80" w:type="dxa"/>
              <w:start w:w="120" w:type="dxa"/>
              <w:bottom w:w="80" w:type="dxa"/>
              <w:end w:w="120" w:type="dxa"/>
            </w:tcMar>
          </w:tcPr>
          <w:p>
            <w:pPr>
              <w:spacing w:after="0"/>
            </w:pPr>
            <w:r>
              <w:rPr>
                <w:sz w:val="17"/>
              </w:rPr>
              <w:t>Placeholder phone is visible and linked</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Live header/hero; src/data/siteConfig.ts:5; ClaimForm.tsx:43–45</w:t>
            </w:r>
          </w:p>
        </w:tc>
        <w:tc>
          <w:tcPr>
            <w:tcW w:type="dxa" w:w="2232"/>
            <w:vAlign w:val="center"/>
            <w:tcMar>
              <w:top w:w="80" w:type="dxa"/>
              <w:start w:w="120" w:type="dxa"/>
              <w:bottom w:w="80" w:type="dxa"/>
              <w:end w:w="120" w:type="dxa"/>
            </w:tcMar>
          </w:tcPr>
          <w:p>
            <w:pPr>
              <w:spacing w:after="0"/>
            </w:pPr>
            <w:r>
              <w:rPr>
                <w:sz w:val="17"/>
              </w:rPr>
              <w:t>Critical</w:t>
            </w:r>
          </w:p>
        </w:tc>
      </w:tr>
      <w:tr>
        <w:tc>
          <w:tcPr>
            <w:tcW w:type="dxa" w:w="792"/>
            <w:vAlign w:val="center"/>
            <w:tcMar>
              <w:top w:w="80" w:type="dxa"/>
              <w:start w:w="120" w:type="dxa"/>
              <w:bottom w:w="80" w:type="dxa"/>
              <w:end w:w="120" w:type="dxa"/>
            </w:tcMar>
          </w:tcPr>
          <w:p>
            <w:pPr>
              <w:spacing w:after="0"/>
            </w:pPr>
            <w:r>
              <w:rPr>
                <w:sz w:val="17"/>
              </w:rPr>
              <w:t>Unsupported Law Society regulation statements are public</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Live header, hero and footer; siteConfig.ts; page.tsx; no firm/member identity supplied</w:t>
            </w:r>
          </w:p>
        </w:tc>
        <w:tc>
          <w:tcPr>
            <w:tcW w:type="dxa" w:w="2232"/>
            <w:vAlign w:val="center"/>
            <w:tcMar>
              <w:top w:w="80" w:type="dxa"/>
              <w:start w:w="120" w:type="dxa"/>
              <w:bottom w:w="80" w:type="dxa"/>
              <w:end w:w="120" w:type="dxa"/>
            </w:tcMar>
          </w:tcPr>
          <w:p>
            <w:pPr>
              <w:spacing w:after="0"/>
            </w:pPr>
            <w:r>
              <w:rPr>
                <w:sz w:val="17"/>
              </w:rPr>
              <w:t>Critical</w:t>
            </w:r>
          </w:p>
        </w:tc>
      </w:tr>
      <w:tr>
        <w:tc>
          <w:tcPr>
            <w:tcW w:type="dxa" w:w="792"/>
            <w:vAlign w:val="center"/>
            <w:tcMar>
              <w:top w:w="80" w:type="dxa"/>
              <w:start w:w="120" w:type="dxa"/>
              <w:bottom w:w="80" w:type="dxa"/>
              <w:end w:w="120" w:type="dxa"/>
            </w:tcMar>
          </w:tcPr>
          <w:p>
            <w:pPr>
              <w:spacing w:after="0"/>
            </w:pPr>
            <w:r>
              <w:rPr>
                <w:sz w:val="17"/>
              </w:rPr>
              <w:t>Form does not send data but reports success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ClaimForm.tsx:25–30: timeout followed by setSubmitted(true); no API call</w:t>
            </w:r>
          </w:p>
        </w:tc>
        <w:tc>
          <w:tcPr>
            <w:tcW w:type="dxa" w:w="2232"/>
            <w:vAlign w:val="center"/>
            <w:tcMar>
              <w:top w:w="80" w:type="dxa"/>
              <w:start w:w="120" w:type="dxa"/>
              <w:bottom w:w="80" w:type="dxa"/>
              <w:end w:w="120" w:type="dxa"/>
            </w:tcMar>
          </w:tcPr>
          <w:p>
            <w:pPr>
              <w:spacing w:after="0"/>
            </w:pPr>
            <w:r>
              <w:rPr>
                <w:sz w:val="17"/>
              </w:rPr>
              <w:t>Critical</w:t>
            </w:r>
          </w:p>
        </w:tc>
      </w:tr>
      <w:tr>
        <w:tc>
          <w:tcPr>
            <w:tcW w:type="dxa" w:w="792"/>
            <w:vAlign w:val="center"/>
            <w:tcMar>
              <w:top w:w="80" w:type="dxa"/>
              <w:start w:w="120" w:type="dxa"/>
              <w:bottom w:w="80" w:type="dxa"/>
              <w:end w:w="120" w:type="dxa"/>
            </w:tcMar>
          </w:tcPr>
          <w:p>
            <w:pPr>
              <w:spacing w:after="0"/>
            </w:pPr>
            <w:r>
              <w:rPr>
                <w:sz w:val="17"/>
              </w:rPr>
              <w:t>Placeholder firm/address/email/member data are emitted in organisation schema</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src/lib/schema.ts:3–49 plus siteConfig.ts</w:t>
            </w:r>
          </w:p>
        </w:tc>
        <w:tc>
          <w:tcPr>
            <w:tcW w:type="dxa" w:w="2232"/>
            <w:vAlign w:val="center"/>
            <w:tcMar>
              <w:top w:w="80" w:type="dxa"/>
              <w:start w:w="120" w:type="dxa"/>
              <w:bottom w:w="80" w:type="dxa"/>
              <w:end w:w="120" w:type="dxa"/>
            </w:tcMar>
          </w:tcPr>
          <w:p>
            <w:pPr>
              <w:spacing w:after="0"/>
            </w:pPr>
            <w:r>
              <w:rPr>
                <w:sz w:val="17"/>
              </w:rPr>
              <w:t>Critical</w:t>
            </w:r>
          </w:p>
        </w:tc>
      </w:tr>
      <w:tr>
        <w:tc>
          <w:tcPr>
            <w:tcW w:type="dxa" w:w="792"/>
            <w:vAlign w:val="center"/>
            <w:tcMar>
              <w:top w:w="80" w:type="dxa"/>
              <w:start w:w="120" w:type="dxa"/>
              <w:bottom w:w="80" w:type="dxa"/>
              <w:end w:w="120" w:type="dxa"/>
            </w:tcMar>
          </w:tcPr>
          <w:p>
            <w:pPr>
              <w:spacing w:after="0"/>
            </w:pPr>
            <w:r>
              <w:rPr>
                <w:sz w:val="17"/>
              </w:rPr>
              <w:t>City pages emit LocalBusiness without a verified local address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localBusinessSchema() and LocationPageTemplate.tsx</w:t>
            </w:r>
          </w:p>
        </w:tc>
        <w:tc>
          <w:tcPr>
            <w:tcW w:type="dxa" w:w="2232"/>
            <w:vAlign w:val="center"/>
            <w:tcMar>
              <w:top w:w="80" w:type="dxa"/>
              <w:start w:w="120" w:type="dxa"/>
              <w:bottom w:w="80" w:type="dxa"/>
              <w:end w:w="120" w:type="dxa"/>
            </w:tcMar>
          </w:tcPr>
          <w:p>
            <w:pPr>
              <w:spacing w:after="0"/>
            </w:pPr>
            <w:r>
              <w:rPr>
                <w:sz w:val="17"/>
              </w:rPr>
              <w:t>High</w:t>
            </w:r>
          </w:p>
        </w:tc>
      </w:tr>
      <w:tr>
        <w:tc>
          <w:tcPr>
            <w:tcW w:type="dxa" w:w="792"/>
            <w:vAlign w:val="center"/>
            <w:tcMar>
              <w:top w:w="80" w:type="dxa"/>
              <w:start w:w="120" w:type="dxa"/>
              <w:bottom w:w="80" w:type="dxa"/>
              <w:end w:w="120" w:type="dxa"/>
            </w:tcMar>
          </w:tcPr>
          <w:p>
            <w:pPr>
              <w:spacing w:after="0"/>
            </w:pPr>
            <w:r>
              <w:rPr>
                <w:sz w:val="17"/>
              </w:rPr>
              <w:t>Published/reviewed dates and solicitor names are placeholders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Claim template and location template; legal pages also contain [DATE]</w:t>
            </w:r>
          </w:p>
        </w:tc>
        <w:tc>
          <w:tcPr>
            <w:tcW w:type="dxa" w:w="2232"/>
            <w:vAlign w:val="center"/>
            <w:tcMar>
              <w:top w:w="80" w:type="dxa"/>
              <w:start w:w="120" w:type="dxa"/>
              <w:bottom w:w="80" w:type="dxa"/>
              <w:end w:w="120" w:type="dxa"/>
            </w:tcMar>
          </w:tcPr>
          <w:p>
            <w:pPr>
              <w:spacing w:after="0"/>
            </w:pPr>
            <w:r>
              <w:rPr>
                <w:sz w:val="17"/>
              </w:rPr>
              <w:t>High</w:t>
            </w:r>
          </w:p>
        </w:tc>
      </w:tr>
      <w:tr>
        <w:tc>
          <w:tcPr>
            <w:tcW w:type="dxa" w:w="792"/>
            <w:vAlign w:val="center"/>
            <w:tcMar>
              <w:top w:w="80" w:type="dxa"/>
              <w:start w:w="120" w:type="dxa"/>
              <w:bottom w:w="80" w:type="dxa"/>
              <w:end w:w="120" w:type="dxa"/>
            </w:tcMar>
          </w:tcPr>
          <w:p>
            <w:pPr>
              <w:spacing w:after="0"/>
            </w:pPr>
            <w:r>
              <w:rPr>
                <w:sz w:val="17"/>
              </w:rPr>
              <w:t>Core content is server-rendered/static-capable</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Next.js App Router server components; client boundary limited to form/header/FAQ; live DOM contains full text</w:t>
            </w:r>
          </w:p>
        </w:tc>
        <w:tc>
          <w:tcPr>
            <w:tcW w:type="dxa" w:w="2232"/>
            <w:vAlign w:val="center"/>
            <w:tcMar>
              <w:top w:w="80" w:type="dxa"/>
              <w:start w:w="120" w:type="dxa"/>
              <w:bottom w:w="80" w:type="dxa"/>
              <w:end w:w="120" w:type="dxa"/>
            </w:tcMar>
          </w:tcPr>
          <w:p>
            <w:pPr>
              <w:spacing w:after="0"/>
            </w:pPr>
            <w:r>
              <w:rPr>
                <w:sz w:val="17"/>
              </w:rPr>
              <w:t>Positive</w:t>
            </w:r>
          </w:p>
        </w:tc>
      </w:tr>
      <w:tr>
        <w:tc>
          <w:tcPr>
            <w:tcW w:type="dxa" w:w="792"/>
            <w:vAlign w:val="center"/>
            <w:tcMar>
              <w:top w:w="80" w:type="dxa"/>
              <w:start w:w="120" w:type="dxa"/>
              <w:bottom w:w="80" w:type="dxa"/>
              <w:end w:w="120" w:type="dxa"/>
            </w:tcMar>
          </w:tcPr>
          <w:p>
            <w:pPr>
              <w:spacing w:after="0"/>
            </w:pPr>
            <w:r>
              <w:rPr>
                <w:sz w:val="17"/>
              </w:rPr>
              <w:t>Framework is Next.js 16.2.9 / React 19.2.4</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package.json; App Router under src/app</w:t>
            </w:r>
          </w:p>
        </w:tc>
        <w:tc>
          <w:tcPr>
            <w:tcW w:type="dxa" w:w="2232"/>
            <w:vAlign w:val="center"/>
            <w:tcMar>
              <w:top w:w="80" w:type="dxa"/>
              <w:start w:w="120" w:type="dxa"/>
              <w:bottom w:w="80" w:type="dxa"/>
              <w:end w:w="120" w:type="dxa"/>
            </w:tcMar>
          </w:tcPr>
          <w:p>
            <w:pPr>
              <w:spacing w:after="0"/>
            </w:pPr>
            <w:r>
              <w:rPr>
                <w:sz w:val="17"/>
              </w:rPr>
              <w:t>Informational</w:t>
            </w:r>
          </w:p>
        </w:tc>
      </w:tr>
      <w:tr>
        <w:tc>
          <w:tcPr>
            <w:tcW w:type="dxa" w:w="792"/>
            <w:vAlign w:val="center"/>
            <w:tcMar>
              <w:top w:w="80" w:type="dxa"/>
              <w:start w:w="120" w:type="dxa"/>
              <w:bottom w:w="80" w:type="dxa"/>
              <w:end w:w="120" w:type="dxa"/>
            </w:tcMar>
          </w:tcPr>
          <w:p>
            <w:pPr>
              <w:spacing w:after="0"/>
            </w:pPr>
            <w:r>
              <w:rPr>
                <w:sz w:val="17"/>
              </w:rPr>
              <w:t>Deployment is consistent with Vercel but not proven</w:t>
            </w:r>
          </w:p>
        </w:tc>
        <w:tc>
          <w:tcPr>
            <w:tcW w:type="dxa" w:w="4680"/>
            <w:vAlign w:val="center"/>
            <w:tcMar>
              <w:top w:w="80" w:type="dxa"/>
              <w:start w:w="120" w:type="dxa"/>
              <w:bottom w:w="80" w:type="dxa"/>
              <w:end w:w="120" w:type="dxa"/>
            </w:tcMar>
          </w:tcPr>
          <w:p>
            <w:pPr>
              <w:spacing w:after="0"/>
            </w:pPr>
            <w:r>
              <w:rPr>
                <w:sz w:val="17"/>
              </w:rPr>
              <w:t>Inference</w:t>
            </w:r>
          </w:p>
        </w:tc>
        <w:tc>
          <w:tcPr>
            <w:tcW w:type="dxa" w:w="1656"/>
            <w:vAlign w:val="center"/>
            <w:tcMar>
              <w:top w:w="80" w:type="dxa"/>
              <w:start w:w="120" w:type="dxa"/>
              <w:bottom w:w="80" w:type="dxa"/>
              <w:end w:w="120" w:type="dxa"/>
            </w:tcMar>
          </w:tcPr>
          <w:p>
            <w:pPr>
              <w:spacing w:after="0"/>
            </w:pPr>
            <w:r>
              <w:rPr>
                <w:sz w:val="17"/>
              </w:rPr>
              <w:t>Vercel response behaviour/assets and README; no vercel.json or hosting configuration in repository</w:t>
            </w:r>
          </w:p>
        </w:tc>
        <w:tc>
          <w:tcPr>
            <w:tcW w:type="dxa" w:w="2232"/>
            <w:vAlign w:val="center"/>
            <w:tcMar>
              <w:top w:w="80" w:type="dxa"/>
              <w:start w:w="120" w:type="dxa"/>
              <w:bottom w:w="80" w:type="dxa"/>
              <w:end w:w="120" w:type="dxa"/>
            </w:tcMar>
          </w:tcPr>
          <w:p>
            <w:pPr>
              <w:spacing w:after="0"/>
            </w:pPr>
            <w:r>
              <w:rPr>
                <w:sz w:val="17"/>
              </w:rPr>
              <w:t>Low</w:t>
            </w:r>
          </w:p>
        </w:tc>
      </w:tr>
      <w:tr>
        <w:tc>
          <w:tcPr>
            <w:tcW w:type="dxa" w:w="792"/>
            <w:vAlign w:val="center"/>
            <w:tcMar>
              <w:top w:w="80" w:type="dxa"/>
              <w:start w:w="120" w:type="dxa"/>
              <w:bottom w:w="80" w:type="dxa"/>
              <w:end w:w="120" w:type="dxa"/>
            </w:tcMar>
          </w:tcPr>
          <w:p>
            <w:pPr>
              <w:spacing w:after="0"/>
            </w:pPr>
            <w:r>
              <w:rPr>
                <w:sz w:val="17"/>
              </w:rPr>
              <w:t>Sitemap contains all service, location, guide and legal routes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src/app/sitemap.ts; live sitemap endpoint configured</w:t>
            </w:r>
          </w:p>
        </w:tc>
        <w:tc>
          <w:tcPr>
            <w:tcW w:type="dxa" w:w="2232"/>
            <w:vAlign w:val="center"/>
            <w:tcMar>
              <w:top w:w="80" w:type="dxa"/>
              <w:start w:w="120" w:type="dxa"/>
              <w:bottom w:w="80" w:type="dxa"/>
              <w:end w:w="120" w:type="dxa"/>
            </w:tcMar>
          </w:tcPr>
          <w:p>
            <w:pPr>
              <w:spacing w:after="0"/>
            </w:pPr>
            <w:r>
              <w:rPr>
                <w:sz w:val="17"/>
              </w:rPr>
              <w:t>Positive</w:t>
            </w:r>
          </w:p>
        </w:tc>
      </w:tr>
      <w:tr>
        <w:tc>
          <w:tcPr>
            <w:tcW w:type="dxa" w:w="792"/>
            <w:vAlign w:val="center"/>
            <w:tcMar>
              <w:top w:w="80" w:type="dxa"/>
              <w:start w:w="120" w:type="dxa"/>
              <w:bottom w:w="80" w:type="dxa"/>
              <w:end w:w="120" w:type="dxa"/>
            </w:tcMar>
          </w:tcPr>
          <w:p>
            <w:pPr>
              <w:spacing w:after="0"/>
            </w:pPr>
            <w:r>
              <w:rPr>
                <w:sz w:val="17"/>
              </w:rPr>
              <w:t>Static sitemap pages omit lastModified</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Only guides receive lastModified; service/legal/location pages do not</w:t>
            </w:r>
          </w:p>
        </w:tc>
        <w:tc>
          <w:tcPr>
            <w:tcW w:type="dxa" w:w="2232"/>
            <w:vAlign w:val="center"/>
            <w:tcMar>
              <w:top w:w="80" w:type="dxa"/>
              <w:start w:w="120" w:type="dxa"/>
              <w:bottom w:w="80" w:type="dxa"/>
              <w:end w:w="120" w:type="dxa"/>
            </w:tcMar>
          </w:tcPr>
          <w:p>
            <w:pPr>
              <w:spacing w:after="0"/>
            </w:pPr>
            <w:r>
              <w:rPr>
                <w:sz w:val="17"/>
              </w:rPr>
              <w:t>Low</w:t>
            </w:r>
          </w:p>
        </w:tc>
      </w:tr>
      <w:tr>
        <w:tc>
          <w:tcPr>
            <w:tcW w:type="dxa" w:w="792"/>
            <w:vAlign w:val="center"/>
            <w:tcMar>
              <w:top w:w="80" w:type="dxa"/>
              <w:start w:w="120" w:type="dxa"/>
              <w:bottom w:w="80" w:type="dxa"/>
              <w:end w:w="120" w:type="dxa"/>
            </w:tcMar>
          </w:tcPr>
          <w:p>
            <w:pPr>
              <w:spacing w:after="0"/>
            </w:pPr>
            <w:r>
              <w:rPr>
                <w:sz w:val="17"/>
              </w:rPr>
              <w:t>robots.txt allows all crawlers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public/robots.txt</w:t>
            </w:r>
          </w:p>
        </w:tc>
        <w:tc>
          <w:tcPr>
            <w:tcW w:type="dxa" w:w="2232"/>
            <w:vAlign w:val="center"/>
            <w:tcMar>
              <w:top w:w="80" w:type="dxa"/>
              <w:start w:w="120" w:type="dxa"/>
              <w:bottom w:w="80" w:type="dxa"/>
              <w:end w:w="120" w:type="dxa"/>
            </w:tcMar>
          </w:tcPr>
          <w:p>
            <w:pPr>
              <w:spacing w:after="0"/>
            </w:pPr>
            <w:r>
              <w:rPr>
                <w:sz w:val="17"/>
              </w:rPr>
              <w:t>Positive/monitor</w:t>
            </w:r>
          </w:p>
        </w:tc>
      </w:tr>
      <w:tr>
        <w:tc>
          <w:tcPr>
            <w:tcW w:type="dxa" w:w="792"/>
            <w:vAlign w:val="center"/>
            <w:tcMar>
              <w:top w:w="80" w:type="dxa"/>
              <w:start w:w="120" w:type="dxa"/>
              <w:bottom w:w="80" w:type="dxa"/>
              <w:end w:w="120" w:type="dxa"/>
            </w:tcMar>
          </w:tcPr>
          <w:p>
            <w:pPr>
              <w:spacing w:after="0"/>
            </w:pPr>
            <w:r>
              <w:rPr>
                <w:sz w:val="17"/>
              </w:rPr>
              <w:t>SearchAction points to a non-existent search function</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schema.ts points to /guides?search=...; guides page has no demonstrated search feature</w:t>
            </w:r>
          </w:p>
        </w:tc>
        <w:tc>
          <w:tcPr>
            <w:tcW w:type="dxa" w:w="2232"/>
            <w:vAlign w:val="center"/>
            <w:tcMar>
              <w:top w:w="80" w:type="dxa"/>
              <w:start w:w="120" w:type="dxa"/>
              <w:bottom w:w="80" w:type="dxa"/>
              <w:end w:w="120" w:type="dxa"/>
            </w:tcMar>
          </w:tcPr>
          <w:p>
            <w:pPr>
              <w:spacing w:after="0"/>
            </w:pPr>
            <w:r>
              <w:rPr>
                <w:sz w:val="17"/>
              </w:rPr>
              <w:t>Medium</w:t>
            </w:r>
          </w:p>
        </w:tc>
      </w:tr>
      <w:tr>
        <w:tc>
          <w:tcPr>
            <w:tcW w:type="dxa" w:w="792"/>
            <w:vAlign w:val="center"/>
            <w:tcMar>
              <w:top w:w="80" w:type="dxa"/>
              <w:start w:w="120" w:type="dxa"/>
              <w:bottom w:w="80" w:type="dxa"/>
              <w:end w:w="120" w:type="dxa"/>
            </w:tcMar>
          </w:tcPr>
          <w:p>
            <w:pPr>
              <w:spacing w:after="0"/>
            </w:pPr>
            <w:r>
              <w:rPr>
                <w:sz w:val="17"/>
              </w:rPr>
              <w:t>Lint fails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26 react/no-unescaped-entities errors on 28 July 2026</w:t>
            </w:r>
          </w:p>
        </w:tc>
        <w:tc>
          <w:tcPr>
            <w:tcW w:type="dxa" w:w="2232"/>
            <w:vAlign w:val="center"/>
            <w:tcMar>
              <w:top w:w="80" w:type="dxa"/>
              <w:start w:w="120" w:type="dxa"/>
              <w:bottom w:w="80" w:type="dxa"/>
              <w:end w:w="120" w:type="dxa"/>
            </w:tcMar>
          </w:tcPr>
          <w:p>
            <w:pPr>
              <w:spacing w:after="0"/>
            </w:pPr>
            <w:r>
              <w:rPr>
                <w:sz w:val="17"/>
              </w:rPr>
              <w:t>Medium</w:t>
            </w:r>
          </w:p>
        </w:tc>
      </w:tr>
      <w:tr>
        <w:tc>
          <w:tcPr>
            <w:tcW w:type="dxa" w:w="792"/>
            <w:vAlign w:val="center"/>
            <w:tcMar>
              <w:top w:w="80" w:type="dxa"/>
              <w:start w:w="120" w:type="dxa"/>
              <w:bottom w:w="80" w:type="dxa"/>
              <w:end w:w="120" w:type="dxa"/>
            </w:tcMar>
          </w:tcPr>
          <w:p>
            <w:pPr>
              <w:spacing w:after="0"/>
            </w:pPr>
            <w:r>
              <w:rPr>
                <w:sz w:val="17"/>
              </w:rPr>
              <w:t>The repository has extensive uncommitted work</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git status --short shows most routes/components untracked plus modified core files</w:t>
            </w:r>
          </w:p>
        </w:tc>
        <w:tc>
          <w:tcPr>
            <w:tcW w:type="dxa" w:w="2232"/>
            <w:vAlign w:val="center"/>
            <w:tcMar>
              <w:top w:w="80" w:type="dxa"/>
              <w:start w:w="120" w:type="dxa"/>
              <w:bottom w:w="80" w:type="dxa"/>
              <w:end w:w="120" w:type="dxa"/>
            </w:tcMar>
          </w:tcPr>
          <w:p>
            <w:pPr>
              <w:spacing w:after="0"/>
            </w:pPr>
            <w:r>
              <w:rPr>
                <w:sz w:val="17"/>
              </w:rPr>
              <w:t>Medium deployment risk</w:t>
            </w:r>
          </w:p>
        </w:tc>
      </w:tr>
      <w:tr>
        <w:tc>
          <w:tcPr>
            <w:tcW w:type="dxa" w:w="792"/>
            <w:vAlign w:val="center"/>
            <w:tcMar>
              <w:top w:w="80" w:type="dxa"/>
              <w:start w:w="120" w:type="dxa"/>
              <w:bottom w:w="80" w:type="dxa"/>
              <w:end w:w="120" w:type="dxa"/>
            </w:tcMar>
          </w:tcPr>
          <w:p>
            <w:pPr>
              <w:spacing w:after="0"/>
            </w:pPr>
            <w:r>
              <w:rPr>
                <w:sz w:val="17"/>
              </w:rPr>
              <w:t>Location content is heavily templated</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Ten pages use LocationPageTemplate; eight are ~363 source words and share near-identical copy/FAQs</w:t>
            </w:r>
          </w:p>
        </w:tc>
        <w:tc>
          <w:tcPr>
            <w:tcW w:type="dxa" w:w="2232"/>
            <w:vAlign w:val="center"/>
            <w:tcMar>
              <w:top w:w="80" w:type="dxa"/>
              <w:start w:w="120" w:type="dxa"/>
              <w:bottom w:w="80" w:type="dxa"/>
              <w:end w:w="120" w:type="dxa"/>
            </w:tcMar>
          </w:tcPr>
          <w:p>
            <w:pPr>
              <w:spacing w:after="0"/>
            </w:pPr>
            <w:r>
              <w:rPr>
                <w:sz w:val="17"/>
              </w:rPr>
              <w:t>High</w:t>
            </w:r>
          </w:p>
        </w:tc>
      </w:tr>
      <w:tr>
        <w:tc>
          <w:tcPr>
            <w:tcW w:type="dxa" w:w="792"/>
            <w:vAlign w:val="center"/>
            <w:tcMar>
              <w:top w:w="80" w:type="dxa"/>
              <w:start w:w="120" w:type="dxa"/>
              <w:bottom w:w="80" w:type="dxa"/>
              <w:end w:w="120" w:type="dxa"/>
            </w:tcMar>
          </w:tcPr>
          <w:p>
            <w:pPr>
              <w:spacing w:after="0"/>
            </w:pPr>
            <w:r>
              <w:rPr>
                <w:sz w:val="17"/>
              </w:rPr>
              <w:t>No Open Graph image is configured</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Root metadata has OG/Twitter text but no image; no route OG image file</w:t>
            </w:r>
          </w:p>
        </w:tc>
        <w:tc>
          <w:tcPr>
            <w:tcW w:type="dxa" w:w="2232"/>
            <w:vAlign w:val="center"/>
            <w:tcMar>
              <w:top w:w="80" w:type="dxa"/>
              <w:start w:w="120" w:type="dxa"/>
              <w:bottom w:w="80" w:type="dxa"/>
              <w:end w:w="120" w:type="dxa"/>
            </w:tcMar>
          </w:tcPr>
          <w:p>
            <w:pPr>
              <w:spacing w:after="0"/>
            </w:pPr>
            <w:r>
              <w:rPr>
                <w:sz w:val="17"/>
              </w:rPr>
              <w:t>Medium</w:t>
            </w:r>
          </w:p>
        </w:tc>
      </w:tr>
      <w:tr>
        <w:tc>
          <w:tcPr>
            <w:tcW w:type="dxa" w:w="792"/>
            <w:vAlign w:val="center"/>
            <w:tcMar>
              <w:top w:w="80" w:type="dxa"/>
              <w:start w:w="120" w:type="dxa"/>
              <w:bottom w:w="80" w:type="dxa"/>
              <w:end w:w="120" w:type="dxa"/>
            </w:tcMar>
          </w:tcPr>
          <w:p>
            <w:pPr>
              <w:spacing w:after="0"/>
            </w:pPr>
            <w:r>
              <w:rPr>
                <w:sz w:val="17"/>
              </w:rPr>
              <w:t>Site uses no content images beyond icons/emoji in inspected routes</w:t>
            </w:r>
          </w:p>
        </w:tc>
        <w:tc>
          <w:tcPr>
            <w:tcW w:type="dxa" w:w="4680"/>
            <w:vAlign w:val="center"/>
            <w:tcMar>
              <w:top w:w="80" w:type="dxa"/>
              <w:start w:w="120" w:type="dxa"/>
              <w:bottom w:w="80" w:type="dxa"/>
              <w:end w:w="120" w:type="dxa"/>
            </w:tcMar>
          </w:tcPr>
          <w:p>
            <w:pPr>
              <w:spacing w:after="0"/>
            </w:pPr>
            <w:r>
              <w:rPr>
                <w:sz w:val="17"/>
              </w:rPr>
              <w:t>Confirmed</w:t>
            </w:r>
          </w:p>
        </w:tc>
        <w:tc>
          <w:tcPr>
            <w:tcW w:type="dxa" w:w="1656"/>
            <w:vAlign w:val="center"/>
            <w:tcMar>
              <w:top w:w="80" w:type="dxa"/>
              <w:start w:w="120" w:type="dxa"/>
              <w:bottom w:w="80" w:type="dxa"/>
              <w:end w:w="120" w:type="dxa"/>
            </w:tcMar>
          </w:tcPr>
          <w:p>
            <w:pPr>
              <w:spacing w:after="0"/>
            </w:pPr>
            <w:r>
              <w:rPr>
                <w:sz w:val="17"/>
              </w:rPr>
              <w:t>Public assets are starter SVGs/favicon; content is text/emoji</w:t>
            </w:r>
          </w:p>
        </w:tc>
        <w:tc>
          <w:tcPr>
            <w:tcW w:type="dxa" w:w="2232"/>
            <w:vAlign w:val="center"/>
            <w:tcMar>
              <w:top w:w="80" w:type="dxa"/>
              <w:start w:w="120" w:type="dxa"/>
              <w:bottom w:w="80" w:type="dxa"/>
              <w:end w:w="120" w:type="dxa"/>
            </w:tcMar>
          </w:tcPr>
          <w:p>
            <w:pPr>
              <w:spacing w:after="0"/>
            </w:pPr>
            <w:r>
              <w:rPr>
                <w:sz w:val="17"/>
              </w:rPr>
              <w:t>Low performance, medium credibility</w:t>
            </w:r>
          </w:p>
        </w:tc>
      </w:tr>
    </w:tbl>
    <w:p>
      <w:pPr>
        <w:spacing w:after="0"/>
      </w:pPr>
    </w:p>
    <w:p>
      <w:pPr>
        <w:pStyle w:val="Heading3"/>
      </w:pPr>
      <w:r>
        <w:t>Access-dependent checks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pPr>
            <w:r>
              <w:rPr>
                <w:b/>
                <w:color w:val="0B2545"/>
                <w:sz w:val="17"/>
              </w:rPr>
              <w:t>System</w:t>
            </w:r>
          </w:p>
        </w:tc>
        <w:tc>
          <w:tcPr>
            <w:tcW w:type="dxa" w:w="3816"/>
            <w:vAlign w:val="center"/>
            <w:tcMar>
              <w:top w:w="80" w:type="dxa"/>
              <w:start w:w="120" w:type="dxa"/>
              <w:bottom w:w="80" w:type="dxa"/>
              <w:end w:w="120" w:type="dxa"/>
            </w:tcMar>
            <w:shd w:fill="E8EEF5"/>
          </w:tcPr>
          <w:p>
            <w:pPr>
              <w:spacing w:after="0"/>
            </w:pPr>
            <w:r>
              <w:rPr>
                <w:b/>
                <w:color w:val="0B2545"/>
                <w:sz w:val="17"/>
              </w:rPr>
              <w:t>Required report/evidence</w:t>
            </w:r>
          </w:p>
        </w:tc>
        <w:tc>
          <w:tcPr>
            <w:tcW w:type="dxa" w:w="3456"/>
            <w:vAlign w:val="center"/>
            <w:tcMar>
              <w:top w:w="80" w:type="dxa"/>
              <w:start w:w="120" w:type="dxa"/>
              <w:bottom w:w="80" w:type="dxa"/>
              <w:end w:w="120" w:type="dxa"/>
            </w:tcMar>
            <w:shd w:fill="E8EEF5"/>
          </w:tcPr>
          <w:p>
            <w:pPr>
              <w:spacing w:after="0"/>
            </w:pPr>
            <w:r>
              <w:rPr>
                <w:b/>
                <w:color w:val="0B2545"/>
                <w:sz w:val="17"/>
              </w:rPr>
              <w:t>Decision informed</w:t>
            </w:r>
          </w:p>
        </w:tc>
      </w:tr>
      <w:tr>
        <w:tc>
          <w:tcPr>
            <w:tcW w:type="dxa" w:w="2088"/>
            <w:vAlign w:val="center"/>
            <w:tcMar>
              <w:top w:w="80" w:type="dxa"/>
              <w:start w:w="120" w:type="dxa"/>
              <w:bottom w:w="80" w:type="dxa"/>
              <w:end w:w="120" w:type="dxa"/>
            </w:tcMar>
          </w:tcPr>
          <w:p>
            <w:pPr>
              <w:spacing w:after="0"/>
            </w:pPr>
            <w:r>
              <w:rPr>
                <w:sz w:val="17"/>
              </w:rPr>
              <w:t>Google Search Console</w:t>
            </w:r>
          </w:p>
        </w:tc>
        <w:tc>
          <w:tcPr>
            <w:tcW w:type="dxa" w:w="3816"/>
            <w:vAlign w:val="center"/>
            <w:tcMar>
              <w:top w:w="80" w:type="dxa"/>
              <w:start w:w="120" w:type="dxa"/>
              <w:bottom w:w="80" w:type="dxa"/>
              <w:end w:w="120" w:type="dxa"/>
            </w:tcMar>
          </w:tcPr>
          <w:p>
            <w:pPr>
              <w:spacing w:after="0"/>
            </w:pPr>
            <w:r>
              <w:rPr>
                <w:sz w:val="17"/>
              </w:rPr>
              <w:t>Page indexing, sitemap status, canonical selected by Google, crawl stats, HTTPS, manual actions/security, Core Web Vitals, search results by page/query/device/country, links</w:t>
            </w:r>
          </w:p>
        </w:tc>
        <w:tc>
          <w:tcPr>
            <w:tcW w:type="dxa" w:w="3456"/>
            <w:vAlign w:val="center"/>
            <w:tcMar>
              <w:top w:w="80" w:type="dxa"/>
              <w:start w:w="120" w:type="dxa"/>
              <w:bottom w:w="80" w:type="dxa"/>
              <w:end w:w="120" w:type="dxa"/>
            </w:tcMar>
          </w:tcPr>
          <w:p>
            <w:pPr>
              <w:spacing w:after="0"/>
            </w:pPr>
            <w:r>
              <w:rPr>
                <w:sz w:val="17"/>
              </w:rPr>
              <w:t>Which URLs are indexed; cannibalisation; real query demand; CWV priorities; penalties</w:t>
            </w:r>
          </w:p>
        </w:tc>
      </w:tr>
      <w:tr>
        <w:tc>
          <w:tcPr>
            <w:tcW w:type="dxa" w:w="2088"/>
            <w:vAlign w:val="center"/>
            <w:tcMar>
              <w:top w:w="80" w:type="dxa"/>
              <w:start w:w="120" w:type="dxa"/>
              <w:bottom w:w="80" w:type="dxa"/>
              <w:end w:w="120" w:type="dxa"/>
            </w:tcMar>
          </w:tcPr>
          <w:p>
            <w:pPr>
              <w:spacing w:after="0"/>
            </w:pPr>
            <w:r>
              <w:rPr>
                <w:sz w:val="17"/>
              </w:rPr>
              <w:t>Bing Webmaster Tools</w:t>
            </w:r>
          </w:p>
        </w:tc>
        <w:tc>
          <w:tcPr>
            <w:tcW w:type="dxa" w:w="3816"/>
            <w:vAlign w:val="center"/>
            <w:tcMar>
              <w:top w:w="80" w:type="dxa"/>
              <w:start w:w="120" w:type="dxa"/>
              <w:bottom w:w="80" w:type="dxa"/>
              <w:end w:w="120" w:type="dxa"/>
            </w:tcMar>
          </w:tcPr>
          <w:p>
            <w:pPr>
              <w:spacing w:after="0"/>
            </w:pPr>
            <w:r>
              <w:rPr>
                <w:sz w:val="17"/>
              </w:rPr>
              <w:t>Index Explorer, Site Scan, crawl errors, search keywords/pages, backlinks, IndexNow status</w:t>
            </w:r>
          </w:p>
        </w:tc>
        <w:tc>
          <w:tcPr>
            <w:tcW w:type="dxa" w:w="3456"/>
            <w:vAlign w:val="center"/>
            <w:tcMar>
              <w:top w:w="80" w:type="dxa"/>
              <w:start w:w="120" w:type="dxa"/>
              <w:bottom w:w="80" w:type="dxa"/>
              <w:end w:w="120" w:type="dxa"/>
            </w:tcMar>
          </w:tcPr>
          <w:p>
            <w:pPr>
              <w:spacing w:after="0"/>
            </w:pPr>
            <w:r>
              <w:rPr>
                <w:sz w:val="17"/>
              </w:rPr>
              <w:t>Bing indexation and technical defects; whether IndexNow is worthwhile</w:t>
            </w:r>
          </w:p>
        </w:tc>
      </w:tr>
      <w:tr>
        <w:tc>
          <w:tcPr>
            <w:tcW w:type="dxa" w:w="2088"/>
            <w:vAlign w:val="center"/>
            <w:tcMar>
              <w:top w:w="80" w:type="dxa"/>
              <w:start w:w="120" w:type="dxa"/>
              <w:bottom w:w="80" w:type="dxa"/>
              <w:end w:w="120" w:type="dxa"/>
            </w:tcMar>
          </w:tcPr>
          <w:p>
            <w:pPr>
              <w:spacing w:after="0"/>
            </w:pPr>
            <w:r>
              <w:rPr>
                <w:sz w:val="17"/>
              </w:rPr>
              <w:t>GA4/analytics</w:t>
            </w:r>
          </w:p>
        </w:tc>
        <w:tc>
          <w:tcPr>
            <w:tcW w:type="dxa" w:w="3816"/>
            <w:vAlign w:val="center"/>
            <w:tcMar>
              <w:top w:w="80" w:type="dxa"/>
              <w:start w:w="120" w:type="dxa"/>
              <w:bottom w:w="80" w:type="dxa"/>
              <w:end w:w="120" w:type="dxa"/>
            </w:tcMar>
          </w:tcPr>
          <w:p>
            <w:pPr>
              <w:spacing w:after="0"/>
            </w:pPr>
            <w:r>
              <w:rPr>
                <w:sz w:val="17"/>
              </w:rPr>
              <w:t>Landing pages, engaged sessions, form-start/form-error/form-success/call/email events, device, source/medium, consent state</w:t>
            </w:r>
          </w:p>
        </w:tc>
        <w:tc>
          <w:tcPr>
            <w:tcW w:type="dxa" w:w="3456"/>
            <w:vAlign w:val="center"/>
            <w:tcMar>
              <w:top w:w="80" w:type="dxa"/>
              <w:start w:w="120" w:type="dxa"/>
              <w:bottom w:w="80" w:type="dxa"/>
              <w:end w:w="120" w:type="dxa"/>
            </w:tcMar>
          </w:tcPr>
          <w:p>
            <w:pPr>
              <w:spacing w:after="0"/>
            </w:pPr>
            <w:r>
              <w:rPr>
                <w:sz w:val="17"/>
              </w:rPr>
              <w:t>Conversion funnel, mobile friction, content value, paid/organic quality</w:t>
            </w:r>
          </w:p>
        </w:tc>
      </w:tr>
      <w:tr>
        <w:tc>
          <w:tcPr>
            <w:tcW w:type="dxa" w:w="2088"/>
            <w:vAlign w:val="center"/>
            <w:tcMar>
              <w:top w:w="80" w:type="dxa"/>
              <w:start w:w="120" w:type="dxa"/>
              <w:bottom w:w="80" w:type="dxa"/>
              <w:end w:w="120" w:type="dxa"/>
            </w:tcMar>
          </w:tcPr>
          <w:p>
            <w:pPr>
              <w:spacing w:after="0"/>
            </w:pPr>
            <w:r>
              <w:rPr>
                <w:sz w:val="17"/>
              </w:rPr>
              <w:t>Consent platform</w:t>
            </w:r>
          </w:p>
        </w:tc>
        <w:tc>
          <w:tcPr>
            <w:tcW w:type="dxa" w:w="3816"/>
            <w:vAlign w:val="center"/>
            <w:tcMar>
              <w:top w:w="80" w:type="dxa"/>
              <w:start w:w="120" w:type="dxa"/>
              <w:bottom w:w="80" w:type="dxa"/>
              <w:end w:w="120" w:type="dxa"/>
            </w:tcMar>
          </w:tcPr>
          <w:p>
            <w:pPr>
              <w:spacing w:after="0"/>
            </w:pPr>
            <w:r>
              <w:rPr>
                <w:sz w:val="17"/>
              </w:rPr>
              <w:t>Cookie inventory, categories, default state, consent logs, tag firing before/after choice, withdrawal</w:t>
            </w:r>
          </w:p>
        </w:tc>
        <w:tc>
          <w:tcPr>
            <w:tcW w:type="dxa" w:w="3456"/>
            <w:vAlign w:val="center"/>
            <w:tcMar>
              <w:top w:w="80" w:type="dxa"/>
              <w:start w:w="120" w:type="dxa"/>
              <w:bottom w:w="80" w:type="dxa"/>
              <w:end w:w="120" w:type="dxa"/>
            </w:tcMar>
          </w:tcPr>
          <w:p>
            <w:pPr>
              <w:spacing w:after="0"/>
            </w:pPr>
            <w:r>
              <w:rPr>
                <w:sz w:val="17"/>
              </w:rPr>
              <w:t>PECR/UK GDPR compliance and whether analytics data is lawful/reliable</w:t>
            </w:r>
          </w:p>
        </w:tc>
      </w:tr>
      <w:tr>
        <w:tc>
          <w:tcPr>
            <w:tcW w:type="dxa" w:w="2088"/>
            <w:vAlign w:val="center"/>
            <w:tcMar>
              <w:top w:w="80" w:type="dxa"/>
              <w:start w:w="120" w:type="dxa"/>
              <w:bottom w:w="80" w:type="dxa"/>
              <w:end w:w="120" w:type="dxa"/>
            </w:tcMar>
          </w:tcPr>
          <w:p>
            <w:pPr>
              <w:spacing w:after="0"/>
            </w:pPr>
            <w:r>
              <w:rPr>
                <w:sz w:val="17"/>
              </w:rPr>
              <w:t>CRM/form system</w:t>
            </w:r>
          </w:p>
        </w:tc>
        <w:tc>
          <w:tcPr>
            <w:tcW w:type="dxa" w:w="3816"/>
            <w:vAlign w:val="center"/>
            <w:tcMar>
              <w:top w:w="80" w:type="dxa"/>
              <w:start w:w="120" w:type="dxa"/>
              <w:bottom w:w="80" w:type="dxa"/>
              <w:end w:w="120" w:type="dxa"/>
            </w:tcMar>
          </w:tcPr>
          <w:p>
            <w:pPr>
              <w:spacing w:after="0"/>
            </w:pPr>
            <w:r>
              <w:rPr>
                <w:sz w:val="17"/>
              </w:rPr>
              <w:t>Test submissions with timestamps, field mapping, delivery logs, duplicate/spam handling, acknowledgement, response SLA, lawful-basis/retention records</w:t>
            </w:r>
          </w:p>
        </w:tc>
        <w:tc>
          <w:tcPr>
            <w:tcW w:type="dxa" w:w="3456"/>
            <w:vAlign w:val="center"/>
            <w:tcMar>
              <w:top w:w="80" w:type="dxa"/>
              <w:start w:w="120" w:type="dxa"/>
              <w:bottom w:w="80" w:type="dxa"/>
              <w:end w:w="120" w:type="dxa"/>
            </w:tcMar>
          </w:tcPr>
          <w:p>
            <w:pPr>
              <w:spacing w:after="0"/>
            </w:pPr>
            <w:r>
              <w:rPr>
                <w:sz w:val="17"/>
              </w:rPr>
              <w:t>Whether enquiries arrive and receive appropriate handling</w:t>
            </w:r>
          </w:p>
        </w:tc>
      </w:tr>
      <w:tr>
        <w:tc>
          <w:tcPr>
            <w:tcW w:type="dxa" w:w="2088"/>
            <w:vAlign w:val="center"/>
            <w:tcMar>
              <w:top w:w="80" w:type="dxa"/>
              <w:start w:w="120" w:type="dxa"/>
              <w:bottom w:w="80" w:type="dxa"/>
              <w:end w:w="120" w:type="dxa"/>
            </w:tcMar>
          </w:tcPr>
          <w:p>
            <w:pPr>
              <w:spacing w:after="0"/>
            </w:pPr>
            <w:r>
              <w:rPr>
                <w:sz w:val="17"/>
              </w:rPr>
              <w:t>Call tracking</w:t>
            </w:r>
          </w:p>
        </w:tc>
        <w:tc>
          <w:tcPr>
            <w:tcW w:type="dxa" w:w="3816"/>
            <w:vAlign w:val="center"/>
            <w:tcMar>
              <w:top w:w="80" w:type="dxa"/>
              <w:start w:w="120" w:type="dxa"/>
              <w:bottom w:w="80" w:type="dxa"/>
              <w:end w:w="120" w:type="dxa"/>
            </w:tcMar>
          </w:tcPr>
          <w:p>
            <w:pPr>
              <w:spacing w:after="0"/>
            </w:pPr>
            <w:r>
              <w:rPr>
                <w:sz w:val="17"/>
              </w:rPr>
              <w:t>Number ownership, dynamic-number insertion, consent, recordings, missed calls, qualification/outcomes</w:t>
            </w:r>
          </w:p>
        </w:tc>
        <w:tc>
          <w:tcPr>
            <w:tcW w:type="dxa" w:w="3456"/>
            <w:vAlign w:val="center"/>
            <w:tcMar>
              <w:top w:w="80" w:type="dxa"/>
              <w:start w:w="120" w:type="dxa"/>
              <w:bottom w:w="80" w:type="dxa"/>
              <w:end w:w="120" w:type="dxa"/>
            </w:tcMar>
          </w:tcPr>
          <w:p>
            <w:pPr>
              <w:spacing w:after="0"/>
            </w:pPr>
            <w:r>
              <w:rPr>
                <w:sz w:val="17"/>
              </w:rPr>
              <w:t>Phone conversion and privacy risk</w:t>
            </w:r>
          </w:p>
        </w:tc>
      </w:tr>
      <w:tr>
        <w:tc>
          <w:tcPr>
            <w:tcW w:type="dxa" w:w="2088"/>
            <w:vAlign w:val="center"/>
            <w:tcMar>
              <w:top w:w="80" w:type="dxa"/>
              <w:start w:w="120" w:type="dxa"/>
              <w:bottom w:w="80" w:type="dxa"/>
              <w:end w:w="120" w:type="dxa"/>
            </w:tcMar>
          </w:tcPr>
          <w:p>
            <w:pPr>
              <w:spacing w:after="0"/>
            </w:pPr>
            <w:r>
              <w:rPr>
                <w:sz w:val="17"/>
              </w:rPr>
              <w:t>Server/CDN logs</w:t>
            </w:r>
          </w:p>
        </w:tc>
        <w:tc>
          <w:tcPr>
            <w:tcW w:type="dxa" w:w="3816"/>
            <w:vAlign w:val="center"/>
            <w:tcMar>
              <w:top w:w="80" w:type="dxa"/>
              <w:start w:w="120" w:type="dxa"/>
              <w:bottom w:w="80" w:type="dxa"/>
              <w:end w:w="120" w:type="dxa"/>
            </w:tcMar>
          </w:tcPr>
          <w:p>
            <w:pPr>
              <w:spacing w:after="0"/>
            </w:pPr>
            <w:r>
              <w:rPr>
                <w:sz w:val="17"/>
              </w:rPr>
              <w:t>Bot/user-agent requests, status codes, cache hits, 404s, query parameters, staging hosts</w:t>
            </w:r>
          </w:p>
        </w:tc>
        <w:tc>
          <w:tcPr>
            <w:tcW w:type="dxa" w:w="3456"/>
            <w:vAlign w:val="center"/>
            <w:tcMar>
              <w:top w:w="80" w:type="dxa"/>
              <w:start w:w="120" w:type="dxa"/>
              <w:bottom w:w="80" w:type="dxa"/>
              <w:end w:w="120" w:type="dxa"/>
            </w:tcMar>
          </w:tcPr>
          <w:p>
            <w:pPr>
              <w:spacing w:after="0"/>
            </w:pPr>
            <w:r>
              <w:rPr>
                <w:sz w:val="17"/>
              </w:rPr>
              <w:t>Crawl waste, soft 404s, AI crawler access, caching and unwanted hosts</w:t>
            </w:r>
          </w:p>
        </w:tc>
      </w:tr>
      <w:tr>
        <w:tc>
          <w:tcPr>
            <w:tcW w:type="dxa" w:w="2088"/>
            <w:vAlign w:val="center"/>
            <w:tcMar>
              <w:top w:w="80" w:type="dxa"/>
              <w:start w:w="120" w:type="dxa"/>
              <w:bottom w:w="80" w:type="dxa"/>
              <w:end w:w="120" w:type="dxa"/>
            </w:tcMar>
          </w:tcPr>
          <w:p>
            <w:pPr>
              <w:spacing w:after="0"/>
            </w:pPr>
            <w:r>
              <w:rPr>
                <w:sz w:val="17"/>
              </w:rPr>
              <w:t>Hosting/deployment</w:t>
            </w:r>
          </w:p>
        </w:tc>
        <w:tc>
          <w:tcPr>
            <w:tcW w:type="dxa" w:w="3816"/>
            <w:vAlign w:val="center"/>
            <w:tcMar>
              <w:top w:w="80" w:type="dxa"/>
              <w:start w:w="120" w:type="dxa"/>
              <w:bottom w:w="80" w:type="dxa"/>
              <w:end w:w="120" w:type="dxa"/>
            </w:tcMar>
          </w:tcPr>
          <w:p>
            <w:pPr>
              <w:spacing w:after="0"/>
            </w:pPr>
            <w:r>
              <w:rPr>
                <w:sz w:val="17"/>
              </w:rPr>
              <w:t>Vercel/project ownership, production domains, preview deployment protection, environment variables, deployment history, rollback, headers</w:t>
            </w:r>
          </w:p>
        </w:tc>
        <w:tc>
          <w:tcPr>
            <w:tcW w:type="dxa" w:w="3456"/>
            <w:vAlign w:val="center"/>
            <w:tcMar>
              <w:top w:w="80" w:type="dxa"/>
              <w:start w:w="120" w:type="dxa"/>
              <w:bottom w:w="80" w:type="dxa"/>
              <w:end w:w="120" w:type="dxa"/>
            </w:tcMar>
          </w:tcPr>
          <w:p>
            <w:pPr>
              <w:spacing w:after="0"/>
            </w:pPr>
            <w:r>
              <w:rPr>
                <w:sz w:val="17"/>
              </w:rPr>
              <w:t>Confirm host, stop preview indexation, secure secrets and forms</w:t>
            </w:r>
          </w:p>
        </w:tc>
      </w:tr>
      <w:tr>
        <w:tc>
          <w:tcPr>
            <w:tcW w:type="dxa" w:w="2088"/>
            <w:vAlign w:val="center"/>
            <w:tcMar>
              <w:top w:w="80" w:type="dxa"/>
              <w:start w:w="120" w:type="dxa"/>
              <w:bottom w:w="80" w:type="dxa"/>
              <w:end w:w="120" w:type="dxa"/>
            </w:tcMar>
          </w:tcPr>
          <w:p>
            <w:pPr>
              <w:spacing w:after="0"/>
            </w:pPr>
            <w:r>
              <w:rPr>
                <w:sz w:val="17"/>
              </w:rPr>
              <w:t>Backlink tool</w:t>
            </w:r>
          </w:p>
        </w:tc>
        <w:tc>
          <w:tcPr>
            <w:tcW w:type="dxa" w:w="3816"/>
            <w:vAlign w:val="center"/>
            <w:tcMar>
              <w:top w:w="80" w:type="dxa"/>
              <w:start w:w="120" w:type="dxa"/>
              <w:bottom w:w="80" w:type="dxa"/>
              <w:end w:w="120" w:type="dxa"/>
            </w:tcMar>
          </w:tcPr>
          <w:p>
            <w:pPr>
              <w:spacing w:after="0"/>
            </w:pPr>
            <w:r>
              <w:rPr>
                <w:sz w:val="17"/>
              </w:rPr>
              <w:t>Referring domains/pages, anchors, lost links, toxic/manual patterns, competitor link intersections</w:t>
            </w:r>
          </w:p>
        </w:tc>
        <w:tc>
          <w:tcPr>
            <w:tcW w:type="dxa" w:w="3456"/>
            <w:vAlign w:val="center"/>
            <w:tcMar>
              <w:top w:w="80" w:type="dxa"/>
              <w:start w:w="120" w:type="dxa"/>
              <w:bottom w:w="80" w:type="dxa"/>
              <w:end w:w="120" w:type="dxa"/>
            </w:tcMar>
          </w:tcPr>
          <w:p>
            <w:pPr>
              <w:spacing w:after="0"/>
            </w:pPr>
            <w:r>
              <w:rPr>
                <w:sz w:val="17"/>
              </w:rPr>
              <w:t>Digital PR priorities; do not infer authority without it</w:t>
            </w:r>
          </w:p>
        </w:tc>
      </w:tr>
      <w:tr>
        <w:tc>
          <w:tcPr>
            <w:tcW w:type="dxa" w:w="2088"/>
            <w:vAlign w:val="center"/>
            <w:tcMar>
              <w:top w:w="80" w:type="dxa"/>
              <w:start w:w="120" w:type="dxa"/>
              <w:bottom w:w="80" w:type="dxa"/>
              <w:end w:w="120" w:type="dxa"/>
            </w:tcMar>
          </w:tcPr>
          <w:p>
            <w:pPr>
              <w:spacing w:after="0"/>
            </w:pPr>
            <w:r>
              <w:rPr>
                <w:sz w:val="17"/>
              </w:rPr>
              <w:t>Rank tracker</w:t>
            </w:r>
          </w:p>
        </w:tc>
        <w:tc>
          <w:tcPr>
            <w:tcW w:type="dxa" w:w="3816"/>
            <w:vAlign w:val="center"/>
            <w:tcMar>
              <w:top w:w="80" w:type="dxa"/>
              <w:start w:w="120" w:type="dxa"/>
              <w:bottom w:w="80" w:type="dxa"/>
              <w:end w:w="120" w:type="dxa"/>
            </w:tcMar>
          </w:tcPr>
          <w:p>
            <w:pPr>
              <w:spacing w:after="0"/>
            </w:pPr>
            <w:r>
              <w:rPr>
                <w:sz w:val="17"/>
              </w:rPr>
              <w:t>Agreed Scotland/UK location, mobile/desktop, exact query set, SERP features</w:t>
            </w:r>
          </w:p>
        </w:tc>
        <w:tc>
          <w:tcPr>
            <w:tcW w:type="dxa" w:w="3456"/>
            <w:vAlign w:val="center"/>
            <w:tcMar>
              <w:top w:w="80" w:type="dxa"/>
              <w:start w:w="120" w:type="dxa"/>
              <w:bottom w:w="80" w:type="dxa"/>
              <w:end w:w="120" w:type="dxa"/>
            </w:tcMar>
          </w:tcPr>
          <w:p>
            <w:pPr>
              <w:spacing w:after="0"/>
            </w:pPr>
            <w:r>
              <w:rPr>
                <w:sz w:val="17"/>
              </w:rPr>
              <w:t>Baseline share of voice and whether city pages merit investment</w:t>
            </w:r>
          </w:p>
        </w:tc>
      </w:tr>
      <w:tr>
        <w:tc>
          <w:tcPr>
            <w:tcW w:type="dxa" w:w="2088"/>
            <w:vAlign w:val="center"/>
            <w:tcMar>
              <w:top w:w="80" w:type="dxa"/>
              <w:start w:w="120" w:type="dxa"/>
              <w:bottom w:w="80" w:type="dxa"/>
              <w:end w:w="120" w:type="dxa"/>
            </w:tcMar>
          </w:tcPr>
          <w:p>
            <w:pPr>
              <w:spacing w:after="0"/>
            </w:pPr>
            <w:r>
              <w:rPr>
                <w:sz w:val="17"/>
              </w:rPr>
              <w:t>Email system</w:t>
            </w:r>
          </w:p>
        </w:tc>
        <w:tc>
          <w:tcPr>
            <w:tcW w:type="dxa" w:w="3816"/>
            <w:vAlign w:val="center"/>
            <w:tcMar>
              <w:top w:w="80" w:type="dxa"/>
              <w:start w:w="120" w:type="dxa"/>
              <w:bottom w:w="80" w:type="dxa"/>
              <w:end w:w="120" w:type="dxa"/>
            </w:tcMar>
          </w:tcPr>
          <w:p>
            <w:pPr>
              <w:spacing w:after="0"/>
            </w:pPr>
            <w:r>
              <w:rPr>
                <w:sz w:val="17"/>
              </w:rPr>
              <w:t>SPF, DKIM, DMARC, inbound alias, ticketing/CRM routing and monitored mailbox</w:t>
            </w:r>
          </w:p>
        </w:tc>
        <w:tc>
          <w:tcPr>
            <w:tcW w:type="dxa" w:w="3456"/>
            <w:vAlign w:val="center"/>
            <w:tcMar>
              <w:top w:w="80" w:type="dxa"/>
              <w:start w:w="120" w:type="dxa"/>
              <w:bottom w:w="80" w:type="dxa"/>
              <w:end w:w="120" w:type="dxa"/>
            </w:tcMar>
          </w:tcPr>
          <w:p>
            <w:pPr>
              <w:spacing w:after="0"/>
            </w:pPr>
            <w:r>
              <w:rPr>
                <w:sz w:val="17"/>
              </w:rPr>
              <w:t>Form acknowledgement/delivery reliability and impersonation risk</w:t>
            </w:r>
          </w:p>
        </w:tc>
      </w:tr>
    </w:tbl>
    <w:p>
      <w:pPr>
        <w:spacing w:after="0"/>
      </w:pPr>
    </w:p>
    <w:p>
      <w:pPr>
        <w:pStyle w:val="Heading2"/>
      </w:pPr>
      <w:r>
        <w:t>3. Technical SEO, accessibility and performance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tcMar>
              <w:top w:w="80" w:type="dxa"/>
              <w:start w:w="120" w:type="dxa"/>
              <w:bottom w:w="80" w:type="dxa"/>
              <w:end w:w="120" w:type="dxa"/>
            </w:tcMar>
            <w:shd w:fill="E8EEF5"/>
          </w:tcPr>
          <w:p>
            <w:pPr>
              <w:spacing w:after="0"/>
            </w:pPr>
            <w:r>
              <w:rPr>
                <w:b/>
                <w:color w:val="0B2545"/>
                <w:sz w:val="17"/>
              </w:rPr>
              <w:t>Finding</w:t>
            </w:r>
          </w:p>
        </w:tc>
        <w:tc>
          <w:tcPr>
            <w:tcW w:type="dxa" w:w="1170"/>
            <w:vAlign w:val="center"/>
            <w:tcMar>
              <w:top w:w="80" w:type="dxa"/>
              <w:start w:w="120" w:type="dxa"/>
              <w:bottom w:w="80" w:type="dxa"/>
              <w:end w:w="120" w:type="dxa"/>
            </w:tcMar>
            <w:shd w:fill="E8EEF5"/>
          </w:tcPr>
          <w:p>
            <w:pPr>
              <w:spacing w:after="0"/>
            </w:pPr>
            <w:r>
              <w:rPr>
                <w:b/>
                <w:color w:val="0B2545"/>
                <w:sz w:val="17"/>
              </w:rPr>
              <w:t>Status</w:t>
            </w:r>
          </w:p>
        </w:tc>
        <w:tc>
          <w:tcPr>
            <w:tcW w:type="dxa" w:w="1170"/>
            <w:vAlign w:val="center"/>
            <w:tcMar>
              <w:top w:w="80" w:type="dxa"/>
              <w:start w:w="120" w:type="dxa"/>
              <w:bottom w:w="80" w:type="dxa"/>
              <w:end w:w="120" w:type="dxa"/>
            </w:tcMar>
            <w:shd w:fill="E8EEF5"/>
          </w:tcPr>
          <w:p>
            <w:pPr>
              <w:spacing w:after="0"/>
            </w:pPr>
            <w:r>
              <w:rPr>
                <w:b/>
                <w:color w:val="0B2545"/>
                <w:sz w:val="17"/>
              </w:rPr>
              <w:t>Evidence/affected area</w:t>
            </w:r>
          </w:p>
        </w:tc>
        <w:tc>
          <w:tcPr>
            <w:tcW w:type="dxa" w:w="1170"/>
            <w:vAlign w:val="center"/>
            <w:tcMar>
              <w:top w:w="80" w:type="dxa"/>
              <w:start w:w="120" w:type="dxa"/>
              <w:bottom w:w="80" w:type="dxa"/>
              <w:end w:w="120" w:type="dxa"/>
            </w:tcMar>
            <w:shd w:fill="E8EEF5"/>
          </w:tcPr>
          <w:p>
            <w:pPr>
              <w:spacing w:after="0"/>
            </w:pPr>
            <w:r>
              <w:rPr>
                <w:b/>
                <w:color w:val="0B2545"/>
                <w:sz w:val="17"/>
              </w:rPr>
              <w:t>Why it matters</w:t>
            </w:r>
          </w:p>
        </w:tc>
        <w:tc>
          <w:tcPr>
            <w:tcW w:type="dxa" w:w="1170"/>
            <w:vAlign w:val="center"/>
            <w:tcMar>
              <w:top w:w="80" w:type="dxa"/>
              <w:start w:w="120" w:type="dxa"/>
              <w:bottom w:w="80" w:type="dxa"/>
              <w:end w:w="120" w:type="dxa"/>
            </w:tcMar>
            <w:shd w:fill="E8EEF5"/>
          </w:tcPr>
          <w:p>
            <w:pPr>
              <w:spacing w:after="0"/>
            </w:pPr>
            <w:r>
              <w:rPr>
                <w:b/>
                <w:color w:val="0B2545"/>
                <w:sz w:val="17"/>
              </w:rPr>
              <w:t>Severity</w:t>
            </w:r>
          </w:p>
        </w:tc>
        <w:tc>
          <w:tcPr>
            <w:tcW w:type="dxa" w:w="1170"/>
            <w:vAlign w:val="center"/>
            <w:tcMar>
              <w:top w:w="80" w:type="dxa"/>
              <w:start w:w="120" w:type="dxa"/>
              <w:bottom w:w="80" w:type="dxa"/>
              <w:end w:w="120" w:type="dxa"/>
            </w:tcMar>
            <w:shd w:fill="E8EEF5"/>
          </w:tcPr>
          <w:p>
            <w:pPr>
              <w:spacing w:after="0"/>
            </w:pPr>
            <w:r>
              <w:rPr>
                <w:b/>
                <w:color w:val="0B2545"/>
                <w:sz w:val="17"/>
              </w:rPr>
              <w:t>Exact fix</w:t>
            </w:r>
          </w:p>
        </w:tc>
        <w:tc>
          <w:tcPr>
            <w:tcW w:type="dxa" w:w="1170"/>
            <w:vAlign w:val="center"/>
            <w:tcMar>
              <w:top w:w="80" w:type="dxa"/>
              <w:start w:w="120" w:type="dxa"/>
              <w:bottom w:w="80" w:type="dxa"/>
              <w:end w:w="120" w:type="dxa"/>
            </w:tcMar>
            <w:shd w:fill="E8EEF5"/>
          </w:tcPr>
          <w:p>
            <w:pPr>
              <w:spacing w:after="0"/>
            </w:pPr>
            <w:r>
              <w:rPr>
                <w:b/>
                <w:color w:val="0B2545"/>
                <w:sz w:val="17"/>
              </w:rPr>
              <w:t>Impact</w:t>
            </w:r>
          </w:p>
        </w:tc>
        <w:tc>
          <w:tcPr>
            <w:tcW w:type="dxa" w:w="1170"/>
            <w:vAlign w:val="center"/>
            <w:tcMar>
              <w:top w:w="80" w:type="dxa"/>
              <w:start w:w="120" w:type="dxa"/>
              <w:bottom w:w="80" w:type="dxa"/>
              <w:end w:w="120" w:type="dxa"/>
            </w:tcMar>
            <w:shd w:fill="E8EEF5"/>
          </w:tcPr>
          <w:p>
            <w:pPr>
              <w:spacing w:after="0"/>
            </w:pPr>
            <w:r>
              <w:rPr>
                <w:b/>
                <w:color w:val="0B2545"/>
                <w:sz w:val="17"/>
              </w:rPr>
              <w:t>Owner</w:t>
            </w:r>
          </w:p>
        </w:tc>
      </w:tr>
      <w:tr>
        <w:tc>
          <w:tcPr>
            <w:tcW w:type="dxa" w:w="1170"/>
            <w:vAlign w:val="center"/>
            <w:tcMar>
              <w:top w:w="80" w:type="dxa"/>
              <w:start w:w="120" w:type="dxa"/>
              <w:bottom w:w="80" w:type="dxa"/>
              <w:end w:w="120" w:type="dxa"/>
            </w:tcMar>
          </w:tcPr>
          <w:p>
            <w:pPr>
              <w:spacing w:after="0"/>
            </w:pPr>
            <w:r>
              <w:rPr>
                <w:sz w:val="17"/>
              </w:rPr>
              <w:t>Public YMYL pages contain placeholders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Sitewide templates, legal pages, schema</w:t>
            </w:r>
          </w:p>
        </w:tc>
        <w:tc>
          <w:tcPr>
            <w:tcW w:type="dxa" w:w="1170"/>
            <w:vAlign w:val="center"/>
            <w:tcMar>
              <w:top w:w="80" w:type="dxa"/>
              <w:start w:w="120" w:type="dxa"/>
              <w:bottom w:w="80" w:type="dxa"/>
              <w:end w:w="120" w:type="dxa"/>
            </w:tcMar>
          </w:tcPr>
          <w:p>
            <w:pPr>
              <w:spacing w:after="0"/>
            </w:pPr>
            <w:r>
              <w:rPr>
                <w:sz w:val="17"/>
              </w:rPr>
              <w:t>Destroys trust; may mislead users/crawlers</w:t>
            </w:r>
          </w:p>
        </w:tc>
        <w:tc>
          <w:tcPr>
            <w:tcW w:type="dxa" w:w="1170"/>
            <w:vAlign w:val="center"/>
            <w:tcMar>
              <w:top w:w="80" w:type="dxa"/>
              <w:start w:w="120" w:type="dxa"/>
              <w:bottom w:w="80" w:type="dxa"/>
              <w:end w:w="120" w:type="dxa"/>
            </w:tcMar>
          </w:tcPr>
          <w:p>
            <w:pPr>
              <w:spacing w:after="0"/>
            </w:pPr>
            <w:r>
              <w:rPr>
                <w:sz w:val="17"/>
              </w:rPr>
              <w:t>Critical</w:t>
            </w:r>
          </w:p>
        </w:tc>
        <w:tc>
          <w:tcPr>
            <w:tcW w:type="dxa" w:w="1170"/>
            <w:vAlign w:val="center"/>
            <w:tcMar>
              <w:top w:w="80" w:type="dxa"/>
              <w:start w:w="120" w:type="dxa"/>
              <w:bottom w:w="80" w:type="dxa"/>
              <w:end w:w="120" w:type="dxa"/>
            </w:tcMar>
          </w:tcPr>
          <w:p>
            <w:pPr>
              <w:spacing w:after="0"/>
            </w:pPr>
            <w:r>
              <w:rPr>
                <w:sz w:val="17"/>
              </w:rPr>
              <w:t>Block deployment on regex \[[A-Z][^]]+\]; replace only with verified facts; otherwise noindex/maintenance</w:t>
            </w:r>
          </w:p>
        </w:tc>
        <w:tc>
          <w:tcPr>
            <w:tcW w:type="dxa" w:w="1170"/>
            <w:vAlign w:val="center"/>
            <w:tcMar>
              <w:top w:w="80" w:type="dxa"/>
              <w:start w:w="120" w:type="dxa"/>
              <w:bottom w:w="80" w:type="dxa"/>
              <w:end w:w="120" w:type="dxa"/>
            </w:tcMar>
          </w:tcPr>
          <w:p>
            <w:pPr>
              <w:spacing w:after="0"/>
            </w:pPr>
            <w:r>
              <w:rPr>
                <w:sz w:val="17"/>
              </w:rPr>
              <w:t>Trust/compliance/SEO</w:t>
            </w:r>
          </w:p>
        </w:tc>
        <w:tc>
          <w:tcPr>
            <w:tcW w:type="dxa" w:w="1170"/>
            <w:vAlign w:val="center"/>
            <w:tcMar>
              <w:top w:w="80" w:type="dxa"/>
              <w:start w:w="120" w:type="dxa"/>
              <w:bottom w:w="80" w:type="dxa"/>
              <w:end w:w="120" w:type="dxa"/>
            </w:tcMar>
          </w:tcPr>
          <w:p>
            <w:pPr>
              <w:spacing w:after="0"/>
            </w:pPr>
            <w:r>
              <w:rPr>
                <w:sz w:val="17"/>
              </w:rPr>
              <w:t>Developer + compliance</w:t>
            </w:r>
          </w:p>
        </w:tc>
      </w:tr>
      <w:tr>
        <w:tc>
          <w:tcPr>
            <w:tcW w:type="dxa" w:w="1170"/>
            <w:vAlign w:val="center"/>
            <w:tcMar>
              <w:top w:w="80" w:type="dxa"/>
              <w:start w:w="120" w:type="dxa"/>
              <w:bottom w:w="80" w:type="dxa"/>
              <w:end w:w="120" w:type="dxa"/>
            </w:tcMar>
          </w:tcPr>
          <w:p>
            <w:pPr>
              <w:spacing w:after="0"/>
            </w:pPr>
            <w:r>
              <w:rPr>
                <w:sz w:val="17"/>
              </w:rPr>
              <w:t>Form gives false success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ClaimForm.tsx</w:t>
            </w:r>
          </w:p>
        </w:tc>
        <w:tc>
          <w:tcPr>
            <w:tcW w:type="dxa" w:w="1170"/>
            <w:vAlign w:val="center"/>
            <w:tcMar>
              <w:top w:w="80" w:type="dxa"/>
              <w:start w:w="120" w:type="dxa"/>
              <w:bottom w:w="80" w:type="dxa"/>
              <w:end w:w="120" w:type="dxa"/>
            </w:tcMar>
          </w:tcPr>
          <w:p>
            <w:pPr>
              <w:spacing w:after="0"/>
            </w:pPr>
            <w:r>
              <w:rPr>
                <w:sz w:val="17"/>
              </w:rPr>
              <w:t>Lost claims and potentially missed deadlines</w:t>
            </w:r>
          </w:p>
        </w:tc>
        <w:tc>
          <w:tcPr>
            <w:tcW w:type="dxa" w:w="1170"/>
            <w:vAlign w:val="center"/>
            <w:tcMar>
              <w:top w:w="80" w:type="dxa"/>
              <w:start w:w="120" w:type="dxa"/>
              <w:bottom w:w="80" w:type="dxa"/>
              <w:end w:w="120" w:type="dxa"/>
            </w:tcMar>
          </w:tcPr>
          <w:p>
            <w:pPr>
              <w:spacing w:after="0"/>
            </w:pPr>
            <w:r>
              <w:rPr>
                <w:sz w:val="17"/>
              </w:rPr>
              <w:t>Critical</w:t>
            </w:r>
          </w:p>
        </w:tc>
        <w:tc>
          <w:tcPr>
            <w:tcW w:type="dxa" w:w="1170"/>
            <w:vAlign w:val="center"/>
            <w:tcMar>
              <w:top w:w="80" w:type="dxa"/>
              <w:start w:w="120" w:type="dxa"/>
              <w:bottom w:w="80" w:type="dxa"/>
              <w:end w:w="120" w:type="dxa"/>
            </w:tcMar>
          </w:tcPr>
          <w:p>
            <w:pPr>
              <w:spacing w:after="0"/>
            </w:pPr>
            <w:r>
              <w:rPr>
                <w:sz w:val="17"/>
              </w:rPr>
              <w:t>POST to secure server action/API; persist correlation ID; show success only after accepted response; show recoverable error; alert ops on failure</w:t>
            </w:r>
          </w:p>
        </w:tc>
        <w:tc>
          <w:tcPr>
            <w:tcW w:type="dxa" w:w="1170"/>
            <w:vAlign w:val="center"/>
            <w:tcMar>
              <w:top w:w="80" w:type="dxa"/>
              <w:start w:w="120" w:type="dxa"/>
              <w:bottom w:w="80" w:type="dxa"/>
              <w:end w:w="120" w:type="dxa"/>
            </w:tcMar>
          </w:tcPr>
          <w:p>
            <w:pPr>
              <w:spacing w:after="0"/>
            </w:pPr>
            <w:r>
              <w:rPr>
                <w:sz w:val="17"/>
              </w:rPr>
              <w:t>Conversion/compliance</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No server-side form validation or abuse protection</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Client-only required; no endpoint</w:t>
            </w:r>
          </w:p>
        </w:tc>
        <w:tc>
          <w:tcPr>
            <w:tcW w:type="dxa" w:w="1170"/>
            <w:vAlign w:val="center"/>
            <w:tcMar>
              <w:top w:w="80" w:type="dxa"/>
              <w:start w:w="120" w:type="dxa"/>
              <w:bottom w:w="80" w:type="dxa"/>
              <w:end w:w="120" w:type="dxa"/>
            </w:tcMar>
          </w:tcPr>
          <w:p>
            <w:pPr>
              <w:spacing w:after="0"/>
            </w:pPr>
            <w:r>
              <w:rPr>
                <w:sz w:val="17"/>
              </w:rPr>
              <w:t>Data quality/security</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Validate/sanitise server-side, rate-limit, honeypot or privacy-safe CAPTCHA, CSRF/origin checks, size limits</w:t>
            </w:r>
          </w:p>
        </w:tc>
        <w:tc>
          <w:tcPr>
            <w:tcW w:type="dxa" w:w="1170"/>
            <w:vAlign w:val="center"/>
            <w:tcMar>
              <w:top w:w="80" w:type="dxa"/>
              <w:start w:w="120" w:type="dxa"/>
              <w:bottom w:w="80" w:type="dxa"/>
              <w:end w:w="120" w:type="dxa"/>
            </w:tcMar>
          </w:tcPr>
          <w:p>
            <w:pPr>
              <w:spacing w:after="0"/>
            </w:pPr>
            <w:r>
              <w:rPr>
                <w:sz w:val="17"/>
              </w:rPr>
              <w:t>Security/conversion</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Legal/medical free-text has no explicit special-category handling</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Form asks injuries/incident</w:t>
            </w:r>
          </w:p>
        </w:tc>
        <w:tc>
          <w:tcPr>
            <w:tcW w:type="dxa" w:w="1170"/>
            <w:vAlign w:val="center"/>
            <w:tcMar>
              <w:top w:w="80" w:type="dxa"/>
              <w:start w:w="120" w:type="dxa"/>
              <w:bottom w:w="80" w:type="dxa"/>
              <w:end w:w="120" w:type="dxa"/>
            </w:tcMar>
          </w:tcPr>
          <w:p>
            <w:pPr>
              <w:spacing w:after="0"/>
            </w:pPr>
            <w:r>
              <w:rPr>
                <w:sz w:val="17"/>
              </w:rPr>
              <w:t>Health data is likely; privacy notice is generic</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Name controller/processors/recipients, purpose, lawful basis and Article 9 condition as applicable; minimise fields; define retention and rights</w:t>
            </w:r>
          </w:p>
        </w:tc>
        <w:tc>
          <w:tcPr>
            <w:tcW w:type="dxa" w:w="1170"/>
            <w:vAlign w:val="center"/>
            <w:tcMar>
              <w:top w:w="80" w:type="dxa"/>
              <w:start w:w="120" w:type="dxa"/>
              <w:bottom w:w="80" w:type="dxa"/>
              <w:end w:w="120" w:type="dxa"/>
            </w:tcMar>
          </w:tcPr>
          <w:p>
            <w:pPr>
              <w:spacing w:after="0"/>
            </w:pPr>
            <w:r>
              <w:rPr>
                <w:sz w:val="17"/>
              </w:rPr>
              <w:t>Compliance</w:t>
            </w:r>
          </w:p>
        </w:tc>
        <w:tc>
          <w:tcPr>
            <w:tcW w:type="dxa" w:w="1170"/>
            <w:vAlign w:val="center"/>
            <w:tcMar>
              <w:top w:w="80" w:type="dxa"/>
              <w:start w:w="120" w:type="dxa"/>
              <w:bottom w:w="80" w:type="dxa"/>
              <w:end w:w="120" w:type="dxa"/>
            </w:tcMar>
          </w:tcPr>
          <w:p>
            <w:pPr>
              <w:spacing w:after="0"/>
            </w:pPr>
            <w:r>
              <w:rPr>
                <w:sz w:val="17"/>
              </w:rPr>
              <w:t>Privacy counsel</w:t>
            </w:r>
          </w:p>
        </w:tc>
      </w:tr>
      <w:tr>
        <w:tc>
          <w:tcPr>
            <w:tcW w:type="dxa" w:w="1170"/>
            <w:vAlign w:val="center"/>
            <w:tcMar>
              <w:top w:w="80" w:type="dxa"/>
              <w:start w:w="120" w:type="dxa"/>
              <w:bottom w:w="80" w:type="dxa"/>
              <w:end w:w="120" w:type="dxa"/>
            </w:tcMar>
          </w:tcPr>
          <w:p>
            <w:pPr>
              <w:spacing w:after="0"/>
            </w:pPr>
            <w:r>
              <w:rPr>
                <w:sz w:val="17"/>
              </w:rPr>
              <w:t>LocalBusiness schema fabricates local presence</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All ten city routes</w:t>
            </w:r>
          </w:p>
        </w:tc>
        <w:tc>
          <w:tcPr>
            <w:tcW w:type="dxa" w:w="1170"/>
            <w:vAlign w:val="center"/>
            <w:tcMar>
              <w:top w:w="80" w:type="dxa"/>
              <w:start w:w="120" w:type="dxa"/>
              <w:bottom w:w="80" w:type="dxa"/>
              <w:end w:w="120" w:type="dxa"/>
            </w:tcMar>
          </w:tcPr>
          <w:p>
            <w:pPr>
              <w:spacing w:after="0"/>
            </w:pPr>
            <w:r>
              <w:rPr>
                <w:sz w:val="17"/>
              </w:rPr>
              <w:t>Misleading entity/local signals</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Remove LocalBusiness/address; use WebPage + Service with areaServed only if genuine; add office only where staffed and verifiable</w:t>
            </w:r>
          </w:p>
        </w:tc>
        <w:tc>
          <w:tcPr>
            <w:tcW w:type="dxa" w:w="1170"/>
            <w:vAlign w:val="center"/>
            <w:tcMar>
              <w:top w:w="80" w:type="dxa"/>
              <w:start w:w="120" w:type="dxa"/>
              <w:bottom w:w="80" w:type="dxa"/>
              <w:end w:w="120" w:type="dxa"/>
            </w:tcMar>
          </w:tcPr>
          <w:p>
            <w:pPr>
              <w:spacing w:after="0"/>
            </w:pPr>
            <w:r>
              <w:rPr>
                <w:sz w:val="17"/>
              </w:rPr>
              <w:t>SEO/compliance</w:t>
            </w:r>
          </w:p>
        </w:tc>
        <w:tc>
          <w:tcPr>
            <w:tcW w:type="dxa" w:w="1170"/>
            <w:vAlign w:val="center"/>
            <w:tcMar>
              <w:top w:w="80" w:type="dxa"/>
              <w:start w:w="120" w:type="dxa"/>
              <w:bottom w:w="80" w:type="dxa"/>
              <w:end w:w="120" w:type="dxa"/>
            </w:tcMar>
          </w:tcPr>
          <w:p>
            <w:pPr>
              <w:spacing w:after="0"/>
            </w:pPr>
            <w:r>
              <w:rPr>
                <w:sz w:val="17"/>
              </w:rPr>
              <w:t>Developer + SEO</w:t>
            </w:r>
          </w:p>
        </w:tc>
      </w:tr>
      <w:tr>
        <w:tc>
          <w:tcPr>
            <w:tcW w:type="dxa" w:w="1170"/>
            <w:vAlign w:val="center"/>
            <w:tcMar>
              <w:top w:w="80" w:type="dxa"/>
              <w:start w:w="120" w:type="dxa"/>
              <w:bottom w:w="80" w:type="dxa"/>
              <w:end w:w="120" w:type="dxa"/>
            </w:tcMar>
          </w:tcPr>
          <w:p>
            <w:pPr>
              <w:spacing w:after="0"/>
            </w:pPr>
            <w:r>
              <w:rPr>
                <w:sz w:val="17"/>
              </w:rPr>
              <w:t>Organisation schema fabricates facts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Sitewide JSON-LD</w:t>
            </w:r>
          </w:p>
        </w:tc>
        <w:tc>
          <w:tcPr>
            <w:tcW w:type="dxa" w:w="1170"/>
            <w:vAlign w:val="center"/>
            <w:tcMar>
              <w:top w:w="80" w:type="dxa"/>
              <w:start w:w="120" w:type="dxa"/>
              <w:bottom w:w="80" w:type="dxa"/>
              <w:end w:w="120" w:type="dxa"/>
            </w:tcMar>
          </w:tcPr>
          <w:p>
            <w:pPr>
              <w:spacing w:after="0"/>
            </w:pPr>
            <w:r>
              <w:rPr>
                <w:sz w:val="17"/>
              </w:rPr>
              <w:t>Entity confusion and trust risk</w:t>
            </w:r>
          </w:p>
        </w:tc>
        <w:tc>
          <w:tcPr>
            <w:tcW w:type="dxa" w:w="1170"/>
            <w:vAlign w:val="center"/>
            <w:tcMar>
              <w:top w:w="80" w:type="dxa"/>
              <w:start w:w="120" w:type="dxa"/>
              <w:bottom w:w="80" w:type="dxa"/>
              <w:end w:w="120" w:type="dxa"/>
            </w:tcMar>
          </w:tcPr>
          <w:p>
            <w:pPr>
              <w:spacing w:after="0"/>
            </w:pPr>
            <w:r>
              <w:rPr>
                <w:sz w:val="17"/>
              </w:rPr>
              <w:t>Critical</w:t>
            </w:r>
          </w:p>
        </w:tc>
        <w:tc>
          <w:tcPr>
            <w:tcW w:type="dxa" w:w="1170"/>
            <w:vAlign w:val="center"/>
            <w:tcMar>
              <w:top w:w="80" w:type="dxa"/>
              <w:start w:w="120" w:type="dxa"/>
              <w:bottom w:w="80" w:type="dxa"/>
              <w:end w:w="120" w:type="dxa"/>
            </w:tcMar>
          </w:tcPr>
          <w:p>
            <w:pPr>
              <w:spacing w:after="0"/>
            </w:pPr>
            <w:r>
              <w:rPr>
                <w:sz w:val="17"/>
              </w:rPr>
              <w:t>Suppress organisation/legal-service markup until verified; then use one stable @id and exact legal name</w:t>
            </w:r>
          </w:p>
        </w:tc>
        <w:tc>
          <w:tcPr>
            <w:tcW w:type="dxa" w:w="1170"/>
            <w:vAlign w:val="center"/>
            <w:tcMar>
              <w:top w:w="80" w:type="dxa"/>
              <w:start w:w="120" w:type="dxa"/>
              <w:bottom w:w="80" w:type="dxa"/>
              <w:end w:w="120" w:type="dxa"/>
            </w:tcMar>
          </w:tcPr>
          <w:p>
            <w:pPr>
              <w:spacing w:after="0"/>
            </w:pPr>
            <w:r>
              <w:rPr>
                <w:sz w:val="17"/>
              </w:rPr>
              <w:t>AI/SEO/trust</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SearchAction is not supported by site search</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webSiteSchema()</w:t>
            </w:r>
          </w:p>
        </w:tc>
        <w:tc>
          <w:tcPr>
            <w:tcW w:type="dxa" w:w="1170"/>
            <w:vAlign w:val="center"/>
            <w:tcMar>
              <w:top w:w="80" w:type="dxa"/>
              <w:start w:w="120" w:type="dxa"/>
              <w:bottom w:w="80" w:type="dxa"/>
              <w:end w:w="120" w:type="dxa"/>
            </w:tcMar>
          </w:tcPr>
          <w:p>
            <w:pPr>
              <w:spacing w:after="0"/>
            </w:pPr>
            <w:r>
              <w:rPr>
                <w:sz w:val="17"/>
              </w:rPr>
              <w:t>Invalid/misleading action</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Remove until a working search results experience exists</w:t>
            </w:r>
          </w:p>
        </w:tc>
        <w:tc>
          <w:tcPr>
            <w:tcW w:type="dxa" w:w="1170"/>
            <w:vAlign w:val="center"/>
            <w:tcMar>
              <w:top w:w="80" w:type="dxa"/>
              <w:start w:w="120" w:type="dxa"/>
              <w:bottom w:w="80" w:type="dxa"/>
              <w:end w:w="120" w:type="dxa"/>
            </w:tcMar>
          </w:tcPr>
          <w:p>
            <w:pPr>
              <w:spacing w:after="0"/>
            </w:pPr>
            <w:r>
              <w:rPr>
                <w:sz w:val="17"/>
              </w:rPr>
              <w:t>Schema</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FAQ schema is emitted broadly</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Service/location templates</w:t>
            </w:r>
          </w:p>
        </w:tc>
        <w:tc>
          <w:tcPr>
            <w:tcW w:type="dxa" w:w="1170"/>
            <w:vAlign w:val="center"/>
            <w:tcMar>
              <w:top w:w="80" w:type="dxa"/>
              <w:start w:w="120" w:type="dxa"/>
              <w:bottom w:w="80" w:type="dxa"/>
              <w:end w:w="120" w:type="dxa"/>
            </w:tcMar>
          </w:tcPr>
          <w:p>
            <w:pPr>
              <w:spacing w:after="0"/>
            </w:pPr>
            <w:r>
              <w:rPr>
                <w:sz w:val="17"/>
              </w:rPr>
              <w:t>Google FAQ rich results are generally restricted and schema adds little when generic</w:t>
            </w:r>
          </w:p>
        </w:tc>
        <w:tc>
          <w:tcPr>
            <w:tcW w:type="dxa" w:w="1170"/>
            <w:vAlign w:val="center"/>
            <w:tcMar>
              <w:top w:w="80" w:type="dxa"/>
              <w:start w:w="120" w:type="dxa"/>
              <w:bottom w:w="80" w:type="dxa"/>
              <w:end w:w="120" w:type="dxa"/>
            </w:tcMar>
          </w:tcPr>
          <w:p>
            <w:pPr>
              <w:spacing w:after="0"/>
            </w:pPr>
            <w:r>
              <w:rPr>
                <w:sz w:val="17"/>
              </w:rPr>
              <w:t>Low</w:t>
            </w:r>
          </w:p>
        </w:tc>
        <w:tc>
          <w:tcPr>
            <w:tcW w:type="dxa" w:w="1170"/>
            <w:vAlign w:val="center"/>
            <w:tcMar>
              <w:top w:w="80" w:type="dxa"/>
              <w:start w:w="120" w:type="dxa"/>
              <w:bottom w:w="80" w:type="dxa"/>
              <w:end w:w="120" w:type="dxa"/>
            </w:tcMar>
          </w:tcPr>
          <w:p>
            <w:pPr>
              <w:spacing w:after="0"/>
            </w:pPr>
            <w:r>
              <w:rPr>
                <w:sz w:val="17"/>
              </w:rPr>
              <w:t>Keep only where questions/answers are visible and useful; do not measure success by rich results; omit from repetitive local pages</w:t>
            </w:r>
          </w:p>
        </w:tc>
        <w:tc>
          <w:tcPr>
            <w:tcW w:type="dxa" w:w="1170"/>
            <w:vAlign w:val="center"/>
            <w:tcMar>
              <w:top w:w="80" w:type="dxa"/>
              <w:start w:w="120" w:type="dxa"/>
              <w:bottom w:w="80" w:type="dxa"/>
              <w:end w:w="120" w:type="dxa"/>
            </w:tcMar>
          </w:tcPr>
          <w:p>
            <w:pPr>
              <w:spacing w:after="0"/>
            </w:pPr>
            <w:r>
              <w:rPr>
                <w:sz w:val="17"/>
              </w:rPr>
              <w:t>SEO</w:t>
            </w:r>
          </w:p>
        </w:tc>
        <w:tc>
          <w:tcPr>
            <w:tcW w:type="dxa" w:w="1170"/>
            <w:vAlign w:val="center"/>
            <w:tcMar>
              <w:top w:w="80" w:type="dxa"/>
              <w:start w:w="120" w:type="dxa"/>
              <w:bottom w:w="80" w:type="dxa"/>
              <w:end w:w="120" w:type="dxa"/>
            </w:tcMar>
          </w:tcPr>
          <w:p>
            <w:pPr>
              <w:spacing w:after="0"/>
            </w:pPr>
            <w:r>
              <w:rPr>
                <w:sz w:val="17"/>
              </w:rPr>
              <w:t>SEO</w:t>
            </w:r>
          </w:p>
        </w:tc>
      </w:tr>
      <w:tr>
        <w:tc>
          <w:tcPr>
            <w:tcW w:type="dxa" w:w="1170"/>
            <w:vAlign w:val="center"/>
            <w:tcMar>
              <w:top w:w="80" w:type="dxa"/>
              <w:start w:w="120" w:type="dxa"/>
              <w:bottom w:w="80" w:type="dxa"/>
              <w:end w:w="120" w:type="dxa"/>
            </w:tcMar>
          </w:tcPr>
          <w:p>
            <w:pPr>
              <w:spacing w:after="0"/>
            </w:pPr>
            <w:r>
              <w:rPr>
                <w:sz w:val="17"/>
              </w:rPr>
              <w:t>Canonical host conflicts with browser URL, repository and sitemap</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Live canonical is non-www; browser stayed on www; repository/sitemap/robots use www</w:t>
            </w:r>
          </w:p>
        </w:tc>
        <w:tc>
          <w:tcPr>
            <w:tcW w:type="dxa" w:w="1170"/>
            <w:vAlign w:val="center"/>
            <w:tcMar>
              <w:top w:w="80" w:type="dxa"/>
              <w:start w:w="120" w:type="dxa"/>
              <w:bottom w:w="80" w:type="dxa"/>
              <w:end w:w="120" w:type="dxa"/>
            </w:tcMar>
          </w:tcPr>
          <w:p>
            <w:pPr>
              <w:spacing w:after="0"/>
            </w:pPr>
            <w:r>
              <w:rPr>
                <w:sz w:val="17"/>
              </w:rPr>
              <w:t>Splits indexing/link signals and indicates deployed source/config drift</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Select one host after DNS/hosting review (recommend the host with established links); 308 every alternate in one hop; use it in metadataBase, canonicals, OG, sitemap and robots</w:t>
            </w:r>
          </w:p>
        </w:tc>
        <w:tc>
          <w:tcPr>
            <w:tcW w:type="dxa" w:w="1170"/>
            <w:vAlign w:val="center"/>
            <w:tcMar>
              <w:top w:w="80" w:type="dxa"/>
              <w:start w:w="120" w:type="dxa"/>
              <w:bottom w:w="80" w:type="dxa"/>
              <w:end w:w="120" w:type="dxa"/>
            </w:tcMar>
          </w:tcPr>
          <w:p>
            <w:pPr>
              <w:spacing w:after="0"/>
            </w:pPr>
            <w:r>
              <w:rPr>
                <w:sz w:val="17"/>
              </w:rPr>
              <w:t>Crawl</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Redirect matrix not verifiable from restricted shell</w:t>
            </w:r>
          </w:p>
        </w:tc>
        <w:tc>
          <w:tcPr>
            <w:tcW w:type="dxa" w:w="1170"/>
            <w:vAlign w:val="center"/>
            <w:tcMar>
              <w:top w:w="80" w:type="dxa"/>
              <w:start w:w="120" w:type="dxa"/>
              <w:bottom w:w="80" w:type="dxa"/>
              <w:end w:w="120" w:type="dxa"/>
            </w:tcMar>
          </w:tcPr>
          <w:p>
            <w:pPr>
              <w:spacing w:after="0"/>
            </w:pPr>
            <w:r>
              <w:rPr>
                <w:sz w:val="17"/>
              </w:rPr>
              <w:t>Access required</w:t>
            </w:r>
          </w:p>
        </w:tc>
        <w:tc>
          <w:tcPr>
            <w:tcW w:type="dxa" w:w="1170"/>
            <w:vAlign w:val="center"/>
            <w:tcMar>
              <w:top w:w="80" w:type="dxa"/>
              <w:start w:w="120" w:type="dxa"/>
              <w:bottom w:w="80" w:type="dxa"/>
              <w:end w:w="120" w:type="dxa"/>
            </w:tcMar>
          </w:tcPr>
          <w:p>
            <w:pPr>
              <w:spacing w:after="0"/>
            </w:pPr>
            <w:r>
              <w:rPr>
                <w:sz w:val="17"/>
              </w:rPr>
              <w:t>HTTP/www/case/slash variants</w:t>
            </w:r>
          </w:p>
        </w:tc>
        <w:tc>
          <w:tcPr>
            <w:tcW w:type="dxa" w:w="1170"/>
            <w:vAlign w:val="center"/>
            <w:tcMar>
              <w:top w:w="80" w:type="dxa"/>
              <w:start w:w="120" w:type="dxa"/>
              <w:bottom w:w="80" w:type="dxa"/>
              <w:end w:w="120" w:type="dxa"/>
            </w:tcMar>
          </w:tcPr>
          <w:p>
            <w:pPr>
              <w:spacing w:after="0"/>
            </w:pPr>
            <w:r>
              <w:rPr>
                <w:sz w:val="17"/>
              </w:rPr>
              <w:t>Duplicate URLs/chain risk</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Test at edge and document single-hop 308 rules</w:t>
            </w:r>
          </w:p>
        </w:tc>
        <w:tc>
          <w:tcPr>
            <w:tcW w:type="dxa" w:w="1170"/>
            <w:vAlign w:val="center"/>
            <w:tcMar>
              <w:top w:w="80" w:type="dxa"/>
              <w:start w:w="120" w:type="dxa"/>
              <w:bottom w:w="80" w:type="dxa"/>
              <w:end w:w="120" w:type="dxa"/>
            </w:tcMar>
          </w:tcPr>
          <w:p>
            <w:pPr>
              <w:spacing w:after="0"/>
            </w:pPr>
            <w:r>
              <w:rPr>
                <w:sz w:val="17"/>
              </w:rPr>
              <w:t>SEO</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Static sitemap lacks meaningful modification dates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sitemap.ts</w:t>
            </w:r>
          </w:p>
        </w:tc>
        <w:tc>
          <w:tcPr>
            <w:tcW w:type="dxa" w:w="1170"/>
            <w:vAlign w:val="center"/>
            <w:tcMar>
              <w:top w:w="80" w:type="dxa"/>
              <w:start w:w="120" w:type="dxa"/>
              <w:bottom w:w="80" w:type="dxa"/>
              <w:end w:w="120" w:type="dxa"/>
            </w:tcMar>
          </w:tcPr>
          <w:p>
            <w:pPr>
              <w:spacing w:after="0"/>
            </w:pPr>
            <w:r>
              <w:rPr>
                <w:sz w:val="17"/>
              </w:rPr>
              <w:t>Weak recrawl signal; fake dates are worse</w:t>
            </w:r>
          </w:p>
        </w:tc>
        <w:tc>
          <w:tcPr>
            <w:tcW w:type="dxa" w:w="1170"/>
            <w:vAlign w:val="center"/>
            <w:tcMar>
              <w:top w:w="80" w:type="dxa"/>
              <w:start w:w="120" w:type="dxa"/>
              <w:bottom w:w="80" w:type="dxa"/>
              <w:end w:w="120" w:type="dxa"/>
            </w:tcMar>
          </w:tcPr>
          <w:p>
            <w:pPr>
              <w:spacing w:after="0"/>
            </w:pPr>
            <w:r>
              <w:rPr>
                <w:sz w:val="17"/>
              </w:rPr>
              <w:t>Low</w:t>
            </w:r>
          </w:p>
        </w:tc>
        <w:tc>
          <w:tcPr>
            <w:tcW w:type="dxa" w:w="1170"/>
            <w:vAlign w:val="center"/>
            <w:tcMar>
              <w:top w:w="80" w:type="dxa"/>
              <w:start w:w="120" w:type="dxa"/>
              <w:bottom w:w="80" w:type="dxa"/>
              <w:end w:w="120" w:type="dxa"/>
            </w:tcMar>
          </w:tcPr>
          <w:p>
            <w:pPr>
              <w:spacing w:after="0"/>
            </w:pPr>
            <w:r>
              <w:rPr>
                <w:sz w:val="17"/>
              </w:rPr>
              <w:t>Add dates from a real reviewed-content registry/deployment record; never use current build time</w:t>
            </w:r>
          </w:p>
        </w:tc>
        <w:tc>
          <w:tcPr>
            <w:tcW w:type="dxa" w:w="1170"/>
            <w:vAlign w:val="center"/>
            <w:tcMar>
              <w:top w:w="80" w:type="dxa"/>
              <w:start w:w="120" w:type="dxa"/>
              <w:bottom w:w="80" w:type="dxa"/>
              <w:end w:w="120" w:type="dxa"/>
            </w:tcMar>
          </w:tcPr>
          <w:p>
            <w:pPr>
              <w:spacing w:after="0"/>
            </w:pPr>
            <w:r>
              <w:rPr>
                <w:sz w:val="17"/>
              </w:rPr>
              <w:t>SEO</w:t>
            </w:r>
          </w:p>
        </w:tc>
        <w:tc>
          <w:tcPr>
            <w:tcW w:type="dxa" w:w="1170"/>
            <w:vAlign w:val="center"/>
            <w:tcMar>
              <w:top w:w="80" w:type="dxa"/>
              <w:start w:w="120" w:type="dxa"/>
              <w:bottom w:w="80" w:type="dxa"/>
              <w:end w:w="120" w:type="dxa"/>
            </w:tcMar>
          </w:tcPr>
          <w:p>
            <w:pPr>
              <w:spacing w:after="0"/>
            </w:pPr>
            <w:r>
              <w:rPr>
                <w:sz w:val="17"/>
              </w:rPr>
              <w:t>Developer/content</w:t>
            </w:r>
          </w:p>
        </w:tc>
      </w:tr>
      <w:tr>
        <w:tc>
          <w:tcPr>
            <w:tcW w:type="dxa" w:w="1170"/>
            <w:vAlign w:val="center"/>
            <w:tcMar>
              <w:top w:w="80" w:type="dxa"/>
              <w:start w:w="120" w:type="dxa"/>
              <w:bottom w:w="80" w:type="dxa"/>
              <w:end w:w="120" w:type="dxa"/>
            </w:tcMar>
          </w:tcPr>
          <w:p>
            <w:pPr>
              <w:spacing w:after="0"/>
            </w:pPr>
            <w:r>
              <w:rPr>
                <w:sz w:val="17"/>
              </w:rPr>
              <w:t>Future/unverified article dates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All guides use modified 2026-06-01 regardless of review evidence</w:t>
            </w:r>
          </w:p>
        </w:tc>
        <w:tc>
          <w:tcPr>
            <w:tcW w:type="dxa" w:w="1170"/>
            <w:vAlign w:val="center"/>
            <w:tcMar>
              <w:top w:w="80" w:type="dxa"/>
              <w:start w:w="120" w:type="dxa"/>
              <w:bottom w:w="80" w:type="dxa"/>
              <w:end w:w="120" w:type="dxa"/>
            </w:tcMar>
          </w:tcPr>
          <w:p>
            <w:pPr>
              <w:spacing w:after="0"/>
            </w:pPr>
            <w:r>
              <w:rPr>
                <w:sz w:val="17"/>
              </w:rPr>
              <w:t>Freshness manipulation risk</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Store actual publication/review dates per article and reviewer; update only for substantive change</w:t>
            </w:r>
          </w:p>
        </w:tc>
        <w:tc>
          <w:tcPr>
            <w:tcW w:type="dxa" w:w="1170"/>
            <w:vAlign w:val="center"/>
            <w:tcMar>
              <w:top w:w="80" w:type="dxa"/>
              <w:start w:w="120" w:type="dxa"/>
              <w:bottom w:w="80" w:type="dxa"/>
              <w:end w:w="120" w:type="dxa"/>
            </w:tcMar>
          </w:tcPr>
          <w:p>
            <w:pPr>
              <w:spacing w:after="0"/>
            </w:pPr>
            <w:r>
              <w:rPr>
                <w:sz w:val="17"/>
              </w:rPr>
              <w:t>Trust/AI</w:t>
            </w:r>
          </w:p>
        </w:tc>
        <w:tc>
          <w:tcPr>
            <w:tcW w:type="dxa" w:w="1170"/>
            <w:vAlign w:val="center"/>
            <w:tcMar>
              <w:top w:w="80" w:type="dxa"/>
              <w:start w:w="120" w:type="dxa"/>
              <w:bottom w:w="80" w:type="dxa"/>
              <w:end w:w="120" w:type="dxa"/>
            </w:tcMar>
          </w:tcPr>
          <w:p>
            <w:pPr>
              <w:spacing w:after="0"/>
            </w:pPr>
            <w:r>
              <w:rPr>
                <w:sz w:val="17"/>
              </w:rPr>
              <w:t>Content/compliance</w:t>
            </w:r>
          </w:p>
        </w:tc>
      </w:tr>
      <w:tr>
        <w:tc>
          <w:tcPr>
            <w:tcW w:type="dxa" w:w="1170"/>
            <w:vAlign w:val="center"/>
            <w:tcMar>
              <w:top w:w="80" w:type="dxa"/>
              <w:start w:w="120" w:type="dxa"/>
              <w:bottom w:w="80" w:type="dxa"/>
              <w:end w:w="120" w:type="dxa"/>
            </w:tcMar>
          </w:tcPr>
          <w:p>
            <w:pPr>
              <w:spacing w:after="0"/>
            </w:pPr>
            <w:r>
              <w:rPr>
                <w:sz w:val="17"/>
              </w:rPr>
              <w:t>No social image</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Root metadata</w:t>
            </w:r>
          </w:p>
        </w:tc>
        <w:tc>
          <w:tcPr>
            <w:tcW w:type="dxa" w:w="1170"/>
            <w:vAlign w:val="center"/>
            <w:tcMar>
              <w:top w:w="80" w:type="dxa"/>
              <w:start w:w="120" w:type="dxa"/>
              <w:bottom w:w="80" w:type="dxa"/>
              <w:end w:w="120" w:type="dxa"/>
            </w:tcMar>
          </w:tcPr>
          <w:p>
            <w:pPr>
              <w:spacing w:after="0"/>
            </w:pPr>
            <w:r>
              <w:rPr>
                <w:sz w:val="17"/>
              </w:rPr>
              <w:t>Poor previews and weaker sharing/brand credibility</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Add verified branded opengraph-image and Twitter image; 1200×630; meaningful alt</w:t>
            </w:r>
          </w:p>
        </w:tc>
        <w:tc>
          <w:tcPr>
            <w:tcW w:type="dxa" w:w="1170"/>
            <w:vAlign w:val="center"/>
            <w:tcMar>
              <w:top w:w="80" w:type="dxa"/>
              <w:start w:w="120" w:type="dxa"/>
              <w:bottom w:w="80" w:type="dxa"/>
              <w:end w:w="120" w:type="dxa"/>
            </w:tcMar>
          </w:tcPr>
          <w:p>
            <w:pPr>
              <w:spacing w:after="0"/>
            </w:pPr>
            <w:r>
              <w:rPr>
                <w:sz w:val="17"/>
              </w:rPr>
              <w:t>Conversion</w:t>
            </w:r>
          </w:p>
        </w:tc>
        <w:tc>
          <w:tcPr>
            <w:tcW w:type="dxa" w:w="1170"/>
            <w:vAlign w:val="center"/>
            <w:tcMar>
              <w:top w:w="80" w:type="dxa"/>
              <w:start w:w="120" w:type="dxa"/>
              <w:bottom w:w="80" w:type="dxa"/>
              <w:end w:w="120" w:type="dxa"/>
            </w:tcMar>
          </w:tcPr>
          <w:p>
            <w:pPr>
              <w:spacing w:after="0"/>
            </w:pPr>
            <w:r>
              <w:rPr>
                <w:sz w:val="17"/>
              </w:rPr>
              <w:t>Design/developer</w:t>
            </w:r>
          </w:p>
        </w:tc>
      </w:tr>
      <w:tr>
        <w:tc>
          <w:tcPr>
            <w:tcW w:type="dxa" w:w="1170"/>
            <w:vAlign w:val="center"/>
            <w:tcMar>
              <w:top w:w="80" w:type="dxa"/>
              <w:start w:w="120" w:type="dxa"/>
              <w:bottom w:w="80" w:type="dxa"/>
              <w:end w:w="120" w:type="dxa"/>
            </w:tcMar>
          </w:tcPr>
          <w:p>
            <w:pPr>
              <w:spacing w:after="0"/>
            </w:pPr>
            <w:r>
              <w:rPr>
                <w:sz w:val="17"/>
              </w:rPr>
              <w:t>No content imagery or proof assets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Sitewide</w:t>
            </w:r>
          </w:p>
        </w:tc>
        <w:tc>
          <w:tcPr>
            <w:tcW w:type="dxa" w:w="1170"/>
            <w:vAlign w:val="center"/>
            <w:tcMar>
              <w:top w:w="80" w:type="dxa"/>
              <w:start w:w="120" w:type="dxa"/>
              <w:bottom w:w="80" w:type="dxa"/>
              <w:end w:w="120" w:type="dxa"/>
            </w:tcMar>
          </w:tcPr>
          <w:p>
            <w:pPr>
              <w:spacing w:after="0"/>
            </w:pPr>
            <w:r>
              <w:rPr>
                <w:sz w:val="17"/>
              </w:rPr>
              <w:t>Limits trust and accessibility context, though it keeps pages light</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Add authentic team/provider/process visuals only; optimise dimensions/AVIF/WebP; avoid stock “injured person” clichés</w:t>
            </w:r>
          </w:p>
        </w:tc>
        <w:tc>
          <w:tcPr>
            <w:tcW w:type="dxa" w:w="1170"/>
            <w:vAlign w:val="center"/>
            <w:tcMar>
              <w:top w:w="80" w:type="dxa"/>
              <w:start w:w="120" w:type="dxa"/>
              <w:bottom w:w="80" w:type="dxa"/>
              <w:end w:w="120" w:type="dxa"/>
            </w:tcMar>
          </w:tcPr>
          <w:p>
            <w:pPr>
              <w:spacing w:after="0"/>
            </w:pPr>
            <w:r>
              <w:rPr>
                <w:sz w:val="17"/>
              </w:rPr>
              <w:t>Trust/conversion</w:t>
            </w:r>
          </w:p>
        </w:tc>
        <w:tc>
          <w:tcPr>
            <w:tcW w:type="dxa" w:w="1170"/>
            <w:vAlign w:val="center"/>
            <w:tcMar>
              <w:top w:w="80" w:type="dxa"/>
              <w:start w:w="120" w:type="dxa"/>
              <w:bottom w:w="80" w:type="dxa"/>
              <w:end w:w="120" w:type="dxa"/>
            </w:tcMar>
          </w:tcPr>
          <w:p>
            <w:pPr>
              <w:spacing w:after="0"/>
            </w:pPr>
            <w:r>
              <w:rPr>
                <w:sz w:val="17"/>
              </w:rPr>
              <w:t>Design</w:t>
            </w:r>
          </w:p>
        </w:tc>
      </w:tr>
      <w:tr>
        <w:tc>
          <w:tcPr>
            <w:tcW w:type="dxa" w:w="1170"/>
            <w:vAlign w:val="center"/>
            <w:tcMar>
              <w:top w:w="80" w:type="dxa"/>
              <w:start w:w="120" w:type="dxa"/>
              <w:bottom w:w="80" w:type="dxa"/>
              <w:end w:w="120" w:type="dxa"/>
            </w:tcMar>
          </w:tcPr>
          <w:p>
            <w:pPr>
              <w:spacing w:after="0"/>
            </w:pPr>
            <w:r>
              <w:rPr>
                <w:sz w:val="17"/>
              </w:rPr>
              <w:t>Navigation dropdown/button depends on JS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Header.tsx client component</w:t>
            </w:r>
          </w:p>
        </w:tc>
        <w:tc>
          <w:tcPr>
            <w:tcW w:type="dxa" w:w="1170"/>
            <w:vAlign w:val="center"/>
            <w:tcMar>
              <w:top w:w="80" w:type="dxa"/>
              <w:start w:w="120" w:type="dxa"/>
              <w:bottom w:w="80" w:type="dxa"/>
              <w:end w:w="120" w:type="dxa"/>
            </w:tcMar>
          </w:tcPr>
          <w:p>
            <w:pPr>
              <w:spacing w:after="0"/>
            </w:pPr>
            <w:r>
              <w:rPr>
                <w:sz w:val="17"/>
              </w:rPr>
              <w:t>Core links may be less robust without JS</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Render an accessible &lt;details&gt; or CSS-capable fallback; preserve server-rendered links in DOM</w:t>
            </w:r>
          </w:p>
        </w:tc>
        <w:tc>
          <w:tcPr>
            <w:tcW w:type="dxa" w:w="1170"/>
            <w:vAlign w:val="center"/>
            <w:tcMar>
              <w:top w:w="80" w:type="dxa"/>
              <w:start w:w="120" w:type="dxa"/>
              <w:bottom w:w="80" w:type="dxa"/>
              <w:end w:w="120" w:type="dxa"/>
            </w:tcMar>
          </w:tcPr>
          <w:p>
            <w:pPr>
              <w:spacing w:after="0"/>
            </w:pPr>
            <w:r>
              <w:rPr>
                <w:sz w:val="17"/>
              </w:rPr>
              <w:t>Accessibility/crawl</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FAQ accordion depends on JS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FAQ.tsx</w:t>
            </w:r>
          </w:p>
        </w:tc>
        <w:tc>
          <w:tcPr>
            <w:tcW w:type="dxa" w:w="1170"/>
            <w:vAlign w:val="center"/>
            <w:tcMar>
              <w:top w:w="80" w:type="dxa"/>
              <w:start w:w="120" w:type="dxa"/>
              <w:bottom w:w="80" w:type="dxa"/>
              <w:end w:w="120" w:type="dxa"/>
            </w:tcMar>
          </w:tcPr>
          <w:p>
            <w:pPr>
              <w:spacing w:after="0"/>
            </w:pPr>
            <w:r>
              <w:rPr>
                <w:sz w:val="17"/>
              </w:rPr>
              <w:t>Answers may exist in DOM but interaction must be keyboard/AT robust</w:t>
            </w:r>
          </w:p>
        </w:tc>
        <w:tc>
          <w:tcPr>
            <w:tcW w:type="dxa" w:w="1170"/>
            <w:vAlign w:val="center"/>
            <w:tcMar>
              <w:top w:w="80" w:type="dxa"/>
              <w:start w:w="120" w:type="dxa"/>
              <w:bottom w:w="80" w:type="dxa"/>
              <w:end w:w="120" w:type="dxa"/>
            </w:tcMar>
          </w:tcPr>
          <w:p>
            <w:pPr>
              <w:spacing w:after="0"/>
            </w:pPr>
            <w:r>
              <w:rPr>
                <w:sz w:val="17"/>
              </w:rPr>
              <w:t>Low</w:t>
            </w:r>
          </w:p>
        </w:tc>
        <w:tc>
          <w:tcPr>
            <w:tcW w:type="dxa" w:w="1170"/>
            <w:vAlign w:val="center"/>
            <w:tcMar>
              <w:top w:w="80" w:type="dxa"/>
              <w:start w:w="120" w:type="dxa"/>
              <w:bottom w:w="80" w:type="dxa"/>
              <w:end w:w="120" w:type="dxa"/>
            </w:tcMar>
          </w:tcPr>
          <w:p>
            <w:pPr>
              <w:spacing w:after="0"/>
            </w:pPr>
            <w:r>
              <w:rPr>
                <w:sz w:val="17"/>
              </w:rPr>
              <w:t>Prefer native &lt;details&gt;&lt;summary&gt;; test focus, expanded state and headings</w:t>
            </w:r>
          </w:p>
        </w:tc>
        <w:tc>
          <w:tcPr>
            <w:tcW w:type="dxa" w:w="1170"/>
            <w:vAlign w:val="center"/>
            <w:tcMar>
              <w:top w:w="80" w:type="dxa"/>
              <w:start w:w="120" w:type="dxa"/>
              <w:bottom w:w="80" w:type="dxa"/>
              <w:end w:w="120" w:type="dxa"/>
            </w:tcMar>
          </w:tcPr>
          <w:p>
            <w:pPr>
              <w:spacing w:after="0"/>
            </w:pPr>
            <w:r>
              <w:rPr>
                <w:sz w:val="17"/>
              </w:rPr>
              <w:t>Accessibility</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Emoji used as interface/claim icons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Claim cards and template sidebars</w:t>
            </w:r>
          </w:p>
        </w:tc>
        <w:tc>
          <w:tcPr>
            <w:tcW w:type="dxa" w:w="1170"/>
            <w:vAlign w:val="center"/>
            <w:tcMar>
              <w:top w:w="80" w:type="dxa"/>
              <w:start w:w="120" w:type="dxa"/>
              <w:bottom w:w="80" w:type="dxa"/>
              <w:end w:w="120" w:type="dxa"/>
            </w:tcMar>
          </w:tcPr>
          <w:p>
            <w:pPr>
              <w:spacing w:after="0"/>
            </w:pPr>
            <w:r>
              <w:rPr>
                <w:sz w:val="17"/>
              </w:rPr>
              <w:t>Inconsistent rendering/noisy AT names</w:t>
            </w:r>
          </w:p>
        </w:tc>
        <w:tc>
          <w:tcPr>
            <w:tcW w:type="dxa" w:w="1170"/>
            <w:vAlign w:val="center"/>
            <w:tcMar>
              <w:top w:w="80" w:type="dxa"/>
              <w:start w:w="120" w:type="dxa"/>
              <w:bottom w:w="80" w:type="dxa"/>
              <w:end w:w="120" w:type="dxa"/>
            </w:tcMar>
          </w:tcPr>
          <w:p>
            <w:pPr>
              <w:spacing w:after="0"/>
            </w:pPr>
            <w:r>
              <w:rPr>
                <w:sz w:val="17"/>
              </w:rPr>
              <w:t>Low</w:t>
            </w:r>
          </w:p>
        </w:tc>
        <w:tc>
          <w:tcPr>
            <w:tcW w:type="dxa" w:w="1170"/>
            <w:vAlign w:val="center"/>
            <w:tcMar>
              <w:top w:w="80" w:type="dxa"/>
              <w:start w:w="120" w:type="dxa"/>
              <w:bottom w:w="80" w:type="dxa"/>
              <w:end w:w="120" w:type="dxa"/>
            </w:tcMar>
          </w:tcPr>
          <w:p>
            <w:pPr>
              <w:spacing w:after="0"/>
            </w:pPr>
            <w:r>
              <w:rPr>
                <w:sz w:val="17"/>
              </w:rPr>
              <w:t>Use decorative SVGs with aria-hidden=true; retain textual labels</w:t>
            </w:r>
          </w:p>
        </w:tc>
        <w:tc>
          <w:tcPr>
            <w:tcW w:type="dxa" w:w="1170"/>
            <w:vAlign w:val="center"/>
            <w:tcMar>
              <w:top w:w="80" w:type="dxa"/>
              <w:start w:w="120" w:type="dxa"/>
              <w:bottom w:w="80" w:type="dxa"/>
              <w:end w:w="120" w:type="dxa"/>
            </w:tcMar>
          </w:tcPr>
          <w:p>
            <w:pPr>
              <w:spacing w:after="0"/>
            </w:pPr>
            <w:r>
              <w:rPr>
                <w:sz w:val="17"/>
              </w:rPr>
              <w:t>Accessibility/design</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Sticky mobile CTA may obscure content</w:t>
            </w:r>
          </w:p>
        </w:tc>
        <w:tc>
          <w:tcPr>
            <w:tcW w:type="dxa" w:w="1170"/>
            <w:vAlign w:val="center"/>
            <w:tcMar>
              <w:top w:w="80" w:type="dxa"/>
              <w:start w:w="120" w:type="dxa"/>
              <w:bottom w:w="80" w:type="dxa"/>
              <w:end w:w="120" w:type="dxa"/>
            </w:tcMar>
          </w:tcPr>
          <w:p>
            <w:pPr>
              <w:spacing w:after="0"/>
            </w:pPr>
            <w:r>
              <w:rPr>
                <w:sz w:val="17"/>
              </w:rPr>
              <w:t>Inference</w:t>
            </w:r>
          </w:p>
        </w:tc>
        <w:tc>
          <w:tcPr>
            <w:tcW w:type="dxa" w:w="1170"/>
            <w:vAlign w:val="center"/>
            <w:tcMar>
              <w:top w:w="80" w:type="dxa"/>
              <w:start w:w="120" w:type="dxa"/>
              <w:bottom w:w="80" w:type="dxa"/>
              <w:end w:w="120" w:type="dxa"/>
            </w:tcMar>
          </w:tcPr>
          <w:p>
            <w:pPr>
              <w:spacing w:after="0"/>
            </w:pPr>
            <w:r>
              <w:rPr>
                <w:sz w:val="17"/>
              </w:rPr>
              <w:t>MobileStickyCta fixed layout</w:t>
            </w:r>
          </w:p>
        </w:tc>
        <w:tc>
          <w:tcPr>
            <w:tcW w:type="dxa" w:w="1170"/>
            <w:vAlign w:val="center"/>
            <w:tcMar>
              <w:top w:w="80" w:type="dxa"/>
              <w:start w:w="120" w:type="dxa"/>
              <w:bottom w:w="80" w:type="dxa"/>
              <w:end w:w="120" w:type="dxa"/>
            </w:tcMar>
          </w:tcPr>
          <w:p>
            <w:pPr>
              <w:spacing w:after="0"/>
            </w:pPr>
            <w:r>
              <w:rPr>
                <w:sz w:val="17"/>
              </w:rPr>
              <w:t>Common WCAG/mobile issue</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Test 320 px width, 200% zoom, landscape and virtual keyboard; add bottom content padding and dismiss option if needed</w:t>
            </w:r>
          </w:p>
        </w:tc>
        <w:tc>
          <w:tcPr>
            <w:tcW w:type="dxa" w:w="1170"/>
            <w:vAlign w:val="center"/>
            <w:tcMar>
              <w:top w:w="80" w:type="dxa"/>
              <w:start w:w="120" w:type="dxa"/>
              <w:bottom w:w="80" w:type="dxa"/>
              <w:end w:w="120" w:type="dxa"/>
            </w:tcMar>
          </w:tcPr>
          <w:p>
            <w:pPr>
              <w:spacing w:after="0"/>
            </w:pPr>
            <w:r>
              <w:rPr>
                <w:sz w:val="17"/>
              </w:rPr>
              <w:t>Accessibility/conversion</w:t>
            </w:r>
          </w:p>
        </w:tc>
        <w:tc>
          <w:tcPr>
            <w:tcW w:type="dxa" w:w="1170"/>
            <w:vAlign w:val="center"/>
            <w:tcMar>
              <w:top w:w="80" w:type="dxa"/>
              <w:start w:w="120" w:type="dxa"/>
              <w:bottom w:w="80" w:type="dxa"/>
              <w:end w:w="120" w:type="dxa"/>
            </w:tcMar>
          </w:tcPr>
          <w:p>
            <w:pPr>
              <w:spacing w:after="0"/>
            </w:pPr>
            <w:r>
              <w:rPr>
                <w:sz w:val="17"/>
              </w:rPr>
              <w:t>Design/dev</w:t>
            </w:r>
          </w:p>
        </w:tc>
      </w:tr>
      <w:tr>
        <w:tc>
          <w:tcPr>
            <w:tcW w:type="dxa" w:w="1170"/>
            <w:vAlign w:val="center"/>
            <w:tcMar>
              <w:top w:w="80" w:type="dxa"/>
              <w:start w:w="120" w:type="dxa"/>
              <w:bottom w:w="80" w:type="dxa"/>
              <w:end w:w="120" w:type="dxa"/>
            </w:tcMar>
          </w:tcPr>
          <w:p>
            <w:pPr>
              <w:spacing w:after="0"/>
            </w:pPr>
            <w:r>
              <w:rPr>
                <w:sz w:val="17"/>
              </w:rPr>
              <w:t>Form confirmation is not announced</w:t>
            </w:r>
          </w:p>
        </w:tc>
        <w:tc>
          <w:tcPr>
            <w:tcW w:type="dxa" w:w="1170"/>
            <w:vAlign w:val="center"/>
            <w:tcMar>
              <w:top w:w="80" w:type="dxa"/>
              <w:start w:w="120" w:type="dxa"/>
              <w:bottom w:w="80" w:type="dxa"/>
              <w:end w:w="120" w:type="dxa"/>
            </w:tcMar>
          </w:tcPr>
          <w:p>
            <w:pPr>
              <w:spacing w:after="0"/>
            </w:pPr>
            <w:r>
              <w:rPr>
                <w:sz w:val="17"/>
              </w:rPr>
              <w:t>Inference</w:t>
            </w:r>
          </w:p>
        </w:tc>
        <w:tc>
          <w:tcPr>
            <w:tcW w:type="dxa" w:w="1170"/>
            <w:vAlign w:val="center"/>
            <w:tcMar>
              <w:top w:w="80" w:type="dxa"/>
              <w:start w:w="120" w:type="dxa"/>
              <w:bottom w:w="80" w:type="dxa"/>
              <w:end w:w="120" w:type="dxa"/>
            </w:tcMar>
          </w:tcPr>
          <w:p>
            <w:pPr>
              <w:spacing w:after="0"/>
            </w:pPr>
            <w:r>
              <w:rPr>
                <w:sz w:val="17"/>
              </w:rPr>
              <w:t>Conditional render, no live region/focus management</w:t>
            </w:r>
          </w:p>
        </w:tc>
        <w:tc>
          <w:tcPr>
            <w:tcW w:type="dxa" w:w="1170"/>
            <w:vAlign w:val="center"/>
            <w:tcMar>
              <w:top w:w="80" w:type="dxa"/>
              <w:start w:w="120" w:type="dxa"/>
              <w:bottom w:w="80" w:type="dxa"/>
              <w:end w:w="120" w:type="dxa"/>
            </w:tcMar>
          </w:tcPr>
          <w:p>
            <w:pPr>
              <w:spacing w:after="0"/>
            </w:pPr>
            <w:r>
              <w:rPr>
                <w:sz w:val="17"/>
              </w:rPr>
              <w:t>Screen-reader users may miss result</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Move focus to result heading; role=status/appropriate live region; preserve entered data on error</w:t>
            </w:r>
          </w:p>
        </w:tc>
        <w:tc>
          <w:tcPr>
            <w:tcW w:type="dxa" w:w="1170"/>
            <w:vAlign w:val="center"/>
            <w:tcMar>
              <w:top w:w="80" w:type="dxa"/>
              <w:start w:w="120" w:type="dxa"/>
              <w:bottom w:w="80" w:type="dxa"/>
              <w:end w:w="120" w:type="dxa"/>
            </w:tcMar>
          </w:tcPr>
          <w:p>
            <w:pPr>
              <w:spacing w:after="0"/>
            </w:pPr>
            <w:r>
              <w:rPr>
                <w:sz w:val="17"/>
              </w:rPr>
              <w:t>Accessibility</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No skip-link implementation demonstrated</w:t>
            </w:r>
          </w:p>
        </w:tc>
        <w:tc>
          <w:tcPr>
            <w:tcW w:type="dxa" w:w="1170"/>
            <w:vAlign w:val="center"/>
            <w:tcMar>
              <w:top w:w="80" w:type="dxa"/>
              <w:start w:w="120" w:type="dxa"/>
              <w:bottom w:w="80" w:type="dxa"/>
              <w:end w:w="120" w:type="dxa"/>
            </w:tcMar>
          </w:tcPr>
          <w:p>
            <w:pPr>
              <w:spacing w:after="0"/>
            </w:pPr>
            <w:r>
              <w:rPr>
                <w:sz w:val="17"/>
              </w:rPr>
              <w:t>Inference</w:t>
            </w:r>
          </w:p>
        </w:tc>
        <w:tc>
          <w:tcPr>
            <w:tcW w:type="dxa" w:w="1170"/>
            <w:vAlign w:val="center"/>
            <w:tcMar>
              <w:top w:w="80" w:type="dxa"/>
              <w:start w:w="120" w:type="dxa"/>
              <w:bottom w:w="80" w:type="dxa"/>
              <w:end w:w="120" w:type="dxa"/>
            </w:tcMar>
          </w:tcPr>
          <w:p>
            <w:pPr>
              <w:spacing w:after="0"/>
            </w:pPr>
            <w:r>
              <w:rPr>
                <w:sz w:val="17"/>
              </w:rPr>
              <w:t>main id="main-content" exists, but no skip link found in inspected header</w:t>
            </w:r>
          </w:p>
        </w:tc>
        <w:tc>
          <w:tcPr>
            <w:tcW w:type="dxa" w:w="1170"/>
            <w:vAlign w:val="center"/>
            <w:tcMar>
              <w:top w:w="80" w:type="dxa"/>
              <w:start w:w="120" w:type="dxa"/>
              <w:bottom w:w="80" w:type="dxa"/>
              <w:end w:w="120" w:type="dxa"/>
            </w:tcMar>
          </w:tcPr>
          <w:p>
            <w:pPr>
              <w:spacing w:after="0"/>
            </w:pPr>
            <w:r>
              <w:rPr>
                <w:sz w:val="17"/>
              </w:rPr>
              <w:t>Keyboard navigation</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Add first-focusable “Skip to main content” link</w:t>
            </w:r>
          </w:p>
        </w:tc>
        <w:tc>
          <w:tcPr>
            <w:tcW w:type="dxa" w:w="1170"/>
            <w:vAlign w:val="center"/>
            <w:tcMar>
              <w:top w:w="80" w:type="dxa"/>
              <w:start w:w="120" w:type="dxa"/>
              <w:bottom w:w="80" w:type="dxa"/>
              <w:end w:w="120" w:type="dxa"/>
            </w:tcMar>
          </w:tcPr>
          <w:p>
            <w:pPr>
              <w:spacing w:after="0"/>
            </w:pPr>
            <w:r>
              <w:rPr>
                <w:sz w:val="17"/>
              </w:rPr>
              <w:t>Accessibility</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Lint failure</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26 errors</w:t>
            </w:r>
          </w:p>
        </w:tc>
        <w:tc>
          <w:tcPr>
            <w:tcW w:type="dxa" w:w="1170"/>
            <w:vAlign w:val="center"/>
            <w:tcMar>
              <w:top w:w="80" w:type="dxa"/>
              <w:start w:w="120" w:type="dxa"/>
              <w:bottom w:w="80" w:type="dxa"/>
              <w:end w:w="120" w:type="dxa"/>
            </w:tcMar>
          </w:tcPr>
          <w:p>
            <w:pPr>
              <w:spacing w:after="0"/>
            </w:pPr>
            <w:r>
              <w:rPr>
                <w:sz w:val="17"/>
              </w:rPr>
              <w:t>Weak release discipline</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Fix JSX entity errors; make lint/build mandatory in CI</w:t>
            </w:r>
          </w:p>
        </w:tc>
        <w:tc>
          <w:tcPr>
            <w:tcW w:type="dxa" w:w="1170"/>
            <w:vAlign w:val="center"/>
            <w:tcMar>
              <w:top w:w="80" w:type="dxa"/>
              <w:start w:w="120" w:type="dxa"/>
              <w:bottom w:w="80" w:type="dxa"/>
              <w:end w:w="120" w:type="dxa"/>
            </w:tcMar>
          </w:tcPr>
          <w:p>
            <w:pPr>
              <w:spacing w:after="0"/>
            </w:pPr>
            <w:r>
              <w:rPr>
                <w:sz w:val="17"/>
              </w:rPr>
              <w:t>Quality</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Google font fetched through next/font</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layout.tsx</w:t>
            </w:r>
          </w:p>
        </w:tc>
        <w:tc>
          <w:tcPr>
            <w:tcW w:type="dxa" w:w="1170"/>
            <w:vAlign w:val="center"/>
            <w:tcMar>
              <w:top w:w="80" w:type="dxa"/>
              <w:start w:w="120" w:type="dxa"/>
              <w:bottom w:w="80" w:type="dxa"/>
              <w:end w:w="120" w:type="dxa"/>
            </w:tcMar>
          </w:tcPr>
          <w:p>
            <w:pPr>
              <w:spacing w:after="0"/>
            </w:pPr>
            <w:r>
              <w:rPr>
                <w:sz w:val="17"/>
              </w:rPr>
              <w:t>Usually self-hosted by build, but build environments need font retrieval/cache</w:t>
            </w:r>
          </w:p>
        </w:tc>
        <w:tc>
          <w:tcPr>
            <w:tcW w:type="dxa" w:w="1170"/>
            <w:vAlign w:val="center"/>
            <w:tcMar>
              <w:top w:w="80" w:type="dxa"/>
              <w:start w:w="120" w:type="dxa"/>
              <w:bottom w:w="80" w:type="dxa"/>
              <w:end w:w="120" w:type="dxa"/>
            </w:tcMar>
          </w:tcPr>
          <w:p>
            <w:pPr>
              <w:spacing w:after="0"/>
            </w:pPr>
            <w:r>
              <w:rPr>
                <w:sz w:val="17"/>
              </w:rPr>
              <w:t>Low</w:t>
            </w:r>
          </w:p>
        </w:tc>
        <w:tc>
          <w:tcPr>
            <w:tcW w:type="dxa" w:w="1170"/>
            <w:vAlign w:val="center"/>
            <w:tcMar>
              <w:top w:w="80" w:type="dxa"/>
              <w:start w:w="120" w:type="dxa"/>
              <w:bottom w:w="80" w:type="dxa"/>
              <w:end w:w="120" w:type="dxa"/>
            </w:tcMar>
          </w:tcPr>
          <w:p>
            <w:pPr>
              <w:spacing w:after="0"/>
            </w:pPr>
            <w:r>
              <w:rPr>
                <w:sz w:val="17"/>
              </w:rPr>
              <w:t>Pin/cache build; consider local font if repeatable builds fail</w:t>
            </w:r>
          </w:p>
        </w:tc>
        <w:tc>
          <w:tcPr>
            <w:tcW w:type="dxa" w:w="1170"/>
            <w:vAlign w:val="center"/>
            <w:tcMar>
              <w:top w:w="80" w:type="dxa"/>
              <w:start w:w="120" w:type="dxa"/>
              <w:bottom w:w="80" w:type="dxa"/>
              <w:end w:w="120" w:type="dxa"/>
            </w:tcMar>
          </w:tcPr>
          <w:p>
            <w:pPr>
              <w:spacing w:after="0"/>
            </w:pPr>
            <w:r>
              <w:rPr>
                <w:sz w:val="17"/>
              </w:rPr>
              <w:t>Performance</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No observable images causing LCP bloat</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Homepage</w:t>
            </w:r>
          </w:p>
        </w:tc>
        <w:tc>
          <w:tcPr>
            <w:tcW w:type="dxa" w:w="1170"/>
            <w:vAlign w:val="center"/>
            <w:tcMar>
              <w:top w:w="80" w:type="dxa"/>
              <w:start w:w="120" w:type="dxa"/>
              <w:bottom w:w="80" w:type="dxa"/>
              <w:end w:w="120" w:type="dxa"/>
            </w:tcMar>
          </w:tcPr>
          <w:p>
            <w:pPr>
              <w:spacing w:after="0"/>
            </w:pPr>
            <w:r>
              <w:rPr>
                <w:sz w:val="17"/>
              </w:rPr>
              <w:t>Positive</w:t>
            </w:r>
          </w:p>
        </w:tc>
        <w:tc>
          <w:tcPr>
            <w:tcW w:type="dxa" w:w="1170"/>
            <w:vAlign w:val="center"/>
            <w:tcMar>
              <w:top w:w="80" w:type="dxa"/>
              <w:start w:w="120" w:type="dxa"/>
              <w:bottom w:w="80" w:type="dxa"/>
              <w:end w:w="120" w:type="dxa"/>
            </w:tcMar>
          </w:tcPr>
          <w:p>
            <w:pPr>
              <w:spacing w:after="0"/>
            </w:pPr>
            <w:r>
              <w:rPr>
                <w:sz w:val="17"/>
              </w:rPr>
              <w:t>—</w:t>
            </w:r>
          </w:p>
        </w:tc>
        <w:tc>
          <w:tcPr>
            <w:tcW w:type="dxa" w:w="1170"/>
            <w:vAlign w:val="center"/>
            <w:tcMar>
              <w:top w:w="80" w:type="dxa"/>
              <w:start w:w="120" w:type="dxa"/>
              <w:bottom w:w="80" w:type="dxa"/>
              <w:end w:w="120" w:type="dxa"/>
            </w:tcMar>
          </w:tcPr>
          <w:p>
            <w:pPr>
              <w:spacing w:after="0"/>
            </w:pPr>
            <w:r>
              <w:rPr>
                <w:sz w:val="17"/>
              </w:rPr>
              <w:t>Keep hero text-first; measure real LCP before adding assets</w:t>
            </w:r>
          </w:p>
        </w:tc>
        <w:tc>
          <w:tcPr>
            <w:tcW w:type="dxa" w:w="1170"/>
            <w:vAlign w:val="center"/>
            <w:tcMar>
              <w:top w:w="80" w:type="dxa"/>
              <w:start w:w="120" w:type="dxa"/>
              <w:bottom w:w="80" w:type="dxa"/>
              <w:end w:w="120" w:type="dxa"/>
            </w:tcMar>
          </w:tcPr>
          <w:p>
            <w:pPr>
              <w:spacing w:after="0"/>
            </w:pPr>
            <w:r>
              <w:rPr>
                <w:sz w:val="17"/>
              </w:rPr>
              <w:t>Performance</w:t>
            </w:r>
          </w:p>
        </w:tc>
        <w:tc>
          <w:tcPr>
            <w:tcW w:type="dxa" w:w="1170"/>
            <w:vAlign w:val="center"/>
            <w:tcMar>
              <w:top w:w="80" w:type="dxa"/>
              <w:start w:w="120" w:type="dxa"/>
              <w:bottom w:w="80" w:type="dxa"/>
              <w:end w:w="120" w:type="dxa"/>
            </w:tcMar>
          </w:tcPr>
          <w:p>
            <w:pPr>
              <w:spacing w:after="0"/>
            </w:pPr>
            <w:r>
              <w:rPr>
                <w:sz w:val="17"/>
              </w:rPr>
              <w:t>Design</w:t>
            </w:r>
          </w:p>
        </w:tc>
      </w:tr>
      <w:tr>
        <w:tc>
          <w:tcPr>
            <w:tcW w:type="dxa" w:w="1170"/>
            <w:vAlign w:val="center"/>
            <w:tcMar>
              <w:top w:w="80" w:type="dxa"/>
              <w:start w:w="120" w:type="dxa"/>
              <w:bottom w:w="80" w:type="dxa"/>
              <w:end w:w="120" w:type="dxa"/>
            </w:tcMar>
          </w:tcPr>
          <w:p>
            <w:pPr>
              <w:spacing w:after="0"/>
            </w:pPr>
            <w:r>
              <w:rPr>
                <w:sz w:val="17"/>
              </w:rPr>
              <w:t>Actual CWV unavailable</w:t>
            </w:r>
          </w:p>
        </w:tc>
        <w:tc>
          <w:tcPr>
            <w:tcW w:type="dxa" w:w="1170"/>
            <w:vAlign w:val="center"/>
            <w:tcMar>
              <w:top w:w="80" w:type="dxa"/>
              <w:start w:w="120" w:type="dxa"/>
              <w:bottom w:w="80" w:type="dxa"/>
              <w:end w:w="120" w:type="dxa"/>
            </w:tcMar>
          </w:tcPr>
          <w:p>
            <w:pPr>
              <w:spacing w:after="0"/>
            </w:pPr>
            <w:r>
              <w:rPr>
                <w:sz w:val="17"/>
              </w:rPr>
              <w:t>Access required</w:t>
            </w:r>
          </w:p>
        </w:tc>
        <w:tc>
          <w:tcPr>
            <w:tcW w:type="dxa" w:w="1170"/>
            <w:vAlign w:val="center"/>
            <w:tcMar>
              <w:top w:w="80" w:type="dxa"/>
              <w:start w:w="120" w:type="dxa"/>
              <w:bottom w:w="80" w:type="dxa"/>
              <w:end w:w="120" w:type="dxa"/>
            </w:tcMar>
          </w:tcPr>
          <w:p>
            <w:pPr>
              <w:spacing w:after="0"/>
            </w:pPr>
            <w:r>
              <w:rPr>
                <w:sz w:val="17"/>
              </w:rPr>
              <w:t>Field data needed</w:t>
            </w:r>
          </w:p>
        </w:tc>
        <w:tc>
          <w:tcPr>
            <w:tcW w:type="dxa" w:w="1170"/>
            <w:vAlign w:val="center"/>
            <w:tcMar>
              <w:top w:w="80" w:type="dxa"/>
              <w:start w:w="120" w:type="dxa"/>
              <w:bottom w:w="80" w:type="dxa"/>
              <w:end w:w="120" w:type="dxa"/>
            </w:tcMar>
          </w:tcPr>
          <w:p>
            <w:pPr>
              <w:spacing w:after="0"/>
            </w:pPr>
            <w:r>
              <w:rPr>
                <w:sz w:val="17"/>
              </w:rPr>
              <w:t>Lab estimates are not user experience</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Use GSC CrUX + PageSpeed/Lighthouse for representative templates; prioritise field LCP/INP/CLS</w:t>
            </w:r>
          </w:p>
        </w:tc>
        <w:tc>
          <w:tcPr>
            <w:tcW w:type="dxa" w:w="1170"/>
            <w:vAlign w:val="center"/>
            <w:tcMar>
              <w:top w:w="80" w:type="dxa"/>
              <w:start w:w="120" w:type="dxa"/>
              <w:bottom w:w="80" w:type="dxa"/>
              <w:end w:w="120" w:type="dxa"/>
            </w:tcMar>
          </w:tcPr>
          <w:p>
            <w:pPr>
              <w:spacing w:after="0"/>
            </w:pPr>
            <w:r>
              <w:rPr>
                <w:sz w:val="17"/>
              </w:rPr>
              <w:t>Performance</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404 component exists</w:t>
            </w:r>
          </w:p>
        </w:tc>
        <w:tc>
          <w:tcPr>
            <w:tcW w:type="dxa" w:w="1170"/>
            <w:vAlign w:val="center"/>
            <w:tcMar>
              <w:top w:w="80" w:type="dxa"/>
              <w:start w:w="120" w:type="dxa"/>
              <w:bottom w:w="80" w:type="dxa"/>
              <w:end w:w="120" w:type="dxa"/>
            </w:tcMar>
          </w:tcPr>
          <w:p>
            <w:pPr>
              <w:spacing w:after="0"/>
            </w:pPr>
            <w:r>
              <w:rPr>
                <w:sz w:val="17"/>
              </w:rPr>
              <w:t>Confirmed</w:t>
            </w:r>
          </w:p>
        </w:tc>
        <w:tc>
          <w:tcPr>
            <w:tcW w:type="dxa" w:w="1170"/>
            <w:vAlign w:val="center"/>
            <w:tcMar>
              <w:top w:w="80" w:type="dxa"/>
              <w:start w:w="120" w:type="dxa"/>
              <w:bottom w:w="80" w:type="dxa"/>
              <w:end w:w="120" w:type="dxa"/>
            </w:tcMar>
          </w:tcPr>
          <w:p>
            <w:pPr>
              <w:spacing w:after="0"/>
            </w:pPr>
            <w:r>
              <w:rPr>
                <w:sz w:val="17"/>
              </w:rPr>
              <w:t>not-found.tsx</w:t>
            </w:r>
          </w:p>
        </w:tc>
        <w:tc>
          <w:tcPr>
            <w:tcW w:type="dxa" w:w="1170"/>
            <w:vAlign w:val="center"/>
            <w:tcMar>
              <w:top w:w="80" w:type="dxa"/>
              <w:start w:w="120" w:type="dxa"/>
              <w:bottom w:w="80" w:type="dxa"/>
              <w:end w:w="120" w:type="dxa"/>
            </w:tcMar>
          </w:tcPr>
          <w:p>
            <w:pPr>
              <w:spacing w:after="0"/>
            </w:pPr>
            <w:r>
              <w:rPr>
                <w:sz w:val="17"/>
              </w:rPr>
              <w:t>Positive, but status/soft-404 needs live test</w:t>
            </w:r>
          </w:p>
        </w:tc>
        <w:tc>
          <w:tcPr>
            <w:tcW w:type="dxa" w:w="1170"/>
            <w:vAlign w:val="center"/>
            <w:tcMar>
              <w:top w:w="80" w:type="dxa"/>
              <w:start w:w="120" w:type="dxa"/>
              <w:bottom w:w="80" w:type="dxa"/>
              <w:end w:w="120" w:type="dxa"/>
            </w:tcMar>
          </w:tcPr>
          <w:p>
            <w:pPr>
              <w:spacing w:after="0"/>
            </w:pPr>
            <w:r>
              <w:rPr>
                <w:sz w:val="17"/>
              </w:rPr>
              <w:t>Low</w:t>
            </w:r>
          </w:p>
        </w:tc>
        <w:tc>
          <w:tcPr>
            <w:tcW w:type="dxa" w:w="1170"/>
            <w:vAlign w:val="center"/>
            <w:tcMar>
              <w:top w:w="80" w:type="dxa"/>
              <w:start w:w="120" w:type="dxa"/>
              <w:bottom w:w="80" w:type="dxa"/>
              <w:end w:w="120" w:type="dxa"/>
            </w:tcMar>
          </w:tcPr>
          <w:p>
            <w:pPr>
              <w:spacing w:after="0"/>
            </w:pPr>
            <w:r>
              <w:rPr>
                <w:sz w:val="17"/>
              </w:rPr>
              <w:t>Verify unknown URLs return 404, are not canonicalised to home, and have noindex if desired</w:t>
            </w:r>
          </w:p>
        </w:tc>
        <w:tc>
          <w:tcPr>
            <w:tcW w:type="dxa" w:w="1170"/>
            <w:vAlign w:val="center"/>
            <w:tcMar>
              <w:top w:w="80" w:type="dxa"/>
              <w:start w:w="120" w:type="dxa"/>
              <w:bottom w:w="80" w:type="dxa"/>
              <w:end w:w="120" w:type="dxa"/>
            </w:tcMar>
          </w:tcPr>
          <w:p>
            <w:pPr>
              <w:spacing w:after="0"/>
            </w:pPr>
            <w:r>
              <w:rPr>
                <w:sz w:val="17"/>
              </w:rPr>
              <w:t>SEO</w:t>
            </w:r>
          </w:p>
        </w:tc>
        <w:tc>
          <w:tcPr>
            <w:tcW w:type="dxa" w:w="1170"/>
            <w:vAlign w:val="center"/>
            <w:tcMar>
              <w:top w:w="80" w:type="dxa"/>
              <w:start w:w="120" w:type="dxa"/>
              <w:bottom w:w="80" w:type="dxa"/>
              <w:end w:w="120" w:type="dxa"/>
            </w:tcMar>
          </w:tcPr>
          <w:p>
            <w:pPr>
              <w:spacing w:after="0"/>
            </w:pPr>
            <w:r>
              <w:rPr>
                <w:sz w:val="17"/>
              </w:rPr>
              <w:t>Developer</w:t>
            </w:r>
          </w:p>
        </w:tc>
      </w:tr>
      <w:tr>
        <w:tc>
          <w:tcPr>
            <w:tcW w:type="dxa" w:w="1170"/>
            <w:vAlign w:val="center"/>
            <w:tcMar>
              <w:top w:w="80" w:type="dxa"/>
              <w:start w:w="120" w:type="dxa"/>
              <w:bottom w:w="80" w:type="dxa"/>
              <w:end w:w="120" w:type="dxa"/>
            </w:tcMar>
          </w:tcPr>
          <w:p>
            <w:pPr>
              <w:spacing w:after="0"/>
            </w:pPr>
            <w:r>
              <w:rPr>
                <w:sz w:val="17"/>
              </w:rPr>
              <w:t>Preview/staging indexation unknown</w:t>
            </w:r>
          </w:p>
        </w:tc>
        <w:tc>
          <w:tcPr>
            <w:tcW w:type="dxa" w:w="1170"/>
            <w:vAlign w:val="center"/>
            <w:tcMar>
              <w:top w:w="80" w:type="dxa"/>
              <w:start w:w="120" w:type="dxa"/>
              <w:bottom w:w="80" w:type="dxa"/>
              <w:end w:w="120" w:type="dxa"/>
            </w:tcMar>
          </w:tcPr>
          <w:p>
            <w:pPr>
              <w:spacing w:after="0"/>
            </w:pPr>
            <w:r>
              <w:rPr>
                <w:sz w:val="17"/>
              </w:rPr>
              <w:t>Access required</w:t>
            </w:r>
          </w:p>
        </w:tc>
        <w:tc>
          <w:tcPr>
            <w:tcW w:type="dxa" w:w="1170"/>
            <w:vAlign w:val="center"/>
            <w:tcMar>
              <w:top w:w="80" w:type="dxa"/>
              <w:start w:w="120" w:type="dxa"/>
              <w:bottom w:w="80" w:type="dxa"/>
              <w:end w:w="120" w:type="dxa"/>
            </w:tcMar>
          </w:tcPr>
          <w:p>
            <w:pPr>
              <w:spacing w:after="0"/>
            </w:pPr>
            <w:r>
              <w:rPr>
                <w:sz w:val="17"/>
              </w:rPr>
              <w:t>No deployment config</w:t>
            </w:r>
          </w:p>
        </w:tc>
        <w:tc>
          <w:tcPr>
            <w:tcW w:type="dxa" w:w="1170"/>
            <w:vAlign w:val="center"/>
            <w:tcMar>
              <w:top w:w="80" w:type="dxa"/>
              <w:start w:w="120" w:type="dxa"/>
              <w:bottom w:w="80" w:type="dxa"/>
              <w:end w:w="120" w:type="dxa"/>
            </w:tcMar>
          </w:tcPr>
          <w:p>
            <w:pPr>
              <w:spacing w:after="0"/>
            </w:pPr>
            <w:r>
              <w:rPr>
                <w:sz w:val="17"/>
              </w:rPr>
              <w:t>Duplicate environment risk</w:t>
            </w:r>
          </w:p>
        </w:tc>
        <w:tc>
          <w:tcPr>
            <w:tcW w:type="dxa" w:w="1170"/>
            <w:vAlign w:val="center"/>
            <w:tcMar>
              <w:top w:w="80" w:type="dxa"/>
              <w:start w:w="120" w:type="dxa"/>
              <w:bottom w:w="80" w:type="dxa"/>
              <w:end w:w="120" w:type="dxa"/>
            </w:tcMar>
          </w:tcPr>
          <w:p>
            <w:pPr>
              <w:spacing w:after="0"/>
            </w:pPr>
            <w:r>
              <w:rPr>
                <w:sz w:val="17"/>
              </w:rPr>
              <w:t>High</w:t>
            </w:r>
          </w:p>
        </w:tc>
        <w:tc>
          <w:tcPr>
            <w:tcW w:type="dxa" w:w="1170"/>
            <w:vAlign w:val="center"/>
            <w:tcMar>
              <w:top w:w="80" w:type="dxa"/>
              <w:start w:w="120" w:type="dxa"/>
              <w:bottom w:w="80" w:type="dxa"/>
              <w:end w:w="120" w:type="dxa"/>
            </w:tcMar>
          </w:tcPr>
          <w:p>
            <w:pPr>
              <w:spacing w:after="0"/>
            </w:pPr>
            <w:r>
              <w:rPr>
                <w:sz w:val="17"/>
              </w:rPr>
              <w:t>Password/protect previews; X-Robots-Tag: noindex; audit Search Console host variants</w:t>
            </w:r>
          </w:p>
        </w:tc>
        <w:tc>
          <w:tcPr>
            <w:tcW w:type="dxa" w:w="1170"/>
            <w:vAlign w:val="center"/>
            <w:tcMar>
              <w:top w:w="80" w:type="dxa"/>
              <w:start w:w="120" w:type="dxa"/>
              <w:bottom w:w="80" w:type="dxa"/>
              <w:end w:w="120" w:type="dxa"/>
            </w:tcMar>
          </w:tcPr>
          <w:p>
            <w:pPr>
              <w:spacing w:after="0"/>
            </w:pPr>
            <w:r>
              <w:rPr>
                <w:sz w:val="17"/>
              </w:rPr>
              <w:t>SEO</w:t>
            </w:r>
          </w:p>
        </w:tc>
        <w:tc>
          <w:tcPr>
            <w:tcW w:type="dxa" w:w="1170"/>
            <w:vAlign w:val="center"/>
            <w:tcMar>
              <w:top w:w="80" w:type="dxa"/>
              <w:start w:w="120" w:type="dxa"/>
              <w:bottom w:w="80" w:type="dxa"/>
              <w:end w:w="120" w:type="dxa"/>
            </w:tcMar>
          </w:tcPr>
          <w:p>
            <w:pPr>
              <w:spacing w:after="0"/>
            </w:pPr>
            <w:r>
              <w:rPr>
                <w:sz w:val="17"/>
              </w:rPr>
              <w:t>DevOps</w:t>
            </w:r>
          </w:p>
        </w:tc>
      </w:tr>
      <w:tr>
        <w:tc>
          <w:tcPr>
            <w:tcW w:type="dxa" w:w="1170"/>
            <w:vAlign w:val="center"/>
            <w:tcMar>
              <w:top w:w="80" w:type="dxa"/>
              <w:start w:w="120" w:type="dxa"/>
              <w:bottom w:w="80" w:type="dxa"/>
              <w:end w:w="120" w:type="dxa"/>
            </w:tcMar>
          </w:tcPr>
          <w:p>
            <w:pPr>
              <w:spacing w:after="0"/>
            </w:pPr>
            <w:r>
              <w:rPr>
                <w:sz w:val="17"/>
              </w:rPr>
              <w:t>Security headers unknown</w:t>
            </w:r>
          </w:p>
        </w:tc>
        <w:tc>
          <w:tcPr>
            <w:tcW w:type="dxa" w:w="1170"/>
            <w:vAlign w:val="center"/>
            <w:tcMar>
              <w:top w:w="80" w:type="dxa"/>
              <w:start w:w="120" w:type="dxa"/>
              <w:bottom w:w="80" w:type="dxa"/>
              <w:end w:w="120" w:type="dxa"/>
            </w:tcMar>
          </w:tcPr>
          <w:p>
            <w:pPr>
              <w:spacing w:after="0"/>
            </w:pPr>
            <w:r>
              <w:rPr>
                <w:sz w:val="17"/>
              </w:rPr>
              <w:t>Access required</w:t>
            </w:r>
          </w:p>
        </w:tc>
        <w:tc>
          <w:tcPr>
            <w:tcW w:type="dxa" w:w="1170"/>
            <w:vAlign w:val="center"/>
            <w:tcMar>
              <w:top w:w="80" w:type="dxa"/>
              <w:start w:w="120" w:type="dxa"/>
              <w:bottom w:w="80" w:type="dxa"/>
              <w:end w:w="120" w:type="dxa"/>
            </w:tcMar>
          </w:tcPr>
          <w:p>
            <w:pPr>
              <w:spacing w:after="0"/>
            </w:pPr>
            <w:r>
              <w:rPr>
                <w:sz w:val="17"/>
              </w:rPr>
              <w:t>Browser DOM is not a full edge-header audit</w:t>
            </w:r>
          </w:p>
        </w:tc>
        <w:tc>
          <w:tcPr>
            <w:tcW w:type="dxa" w:w="1170"/>
            <w:vAlign w:val="center"/>
            <w:tcMar>
              <w:top w:w="80" w:type="dxa"/>
              <w:start w:w="120" w:type="dxa"/>
              <w:bottom w:w="80" w:type="dxa"/>
              <w:end w:w="120" w:type="dxa"/>
            </w:tcMar>
          </w:tcPr>
          <w:p>
            <w:pPr>
              <w:spacing w:after="0"/>
            </w:pPr>
            <w:r>
              <w:rPr>
                <w:sz w:val="17"/>
              </w:rPr>
              <w:t>Trust/security</w:t>
            </w:r>
          </w:p>
        </w:tc>
        <w:tc>
          <w:tcPr>
            <w:tcW w:type="dxa" w:w="1170"/>
            <w:vAlign w:val="center"/>
            <w:tcMar>
              <w:top w:w="80" w:type="dxa"/>
              <w:start w:w="120" w:type="dxa"/>
              <w:bottom w:w="80" w:type="dxa"/>
              <w:end w:w="120" w:type="dxa"/>
            </w:tcMar>
          </w:tcPr>
          <w:p>
            <w:pPr>
              <w:spacing w:after="0"/>
            </w:pPr>
            <w:r>
              <w:rPr>
                <w:sz w:val="17"/>
              </w:rPr>
              <w:t>Medium</w:t>
            </w:r>
          </w:p>
        </w:tc>
        <w:tc>
          <w:tcPr>
            <w:tcW w:type="dxa" w:w="1170"/>
            <w:vAlign w:val="center"/>
            <w:tcMar>
              <w:top w:w="80" w:type="dxa"/>
              <w:start w:w="120" w:type="dxa"/>
              <w:bottom w:w="80" w:type="dxa"/>
              <w:end w:w="120" w:type="dxa"/>
            </w:tcMar>
          </w:tcPr>
          <w:p>
            <w:pPr>
              <w:spacing w:after="0"/>
            </w:pPr>
            <w:r>
              <w:rPr>
                <w:sz w:val="17"/>
              </w:rPr>
              <w:t>Check CSP, HSTS, Referrer-Policy, Permissions-Policy, nosniff, frame-ancestors</w:t>
            </w:r>
          </w:p>
        </w:tc>
        <w:tc>
          <w:tcPr>
            <w:tcW w:type="dxa" w:w="1170"/>
            <w:vAlign w:val="center"/>
            <w:tcMar>
              <w:top w:w="80" w:type="dxa"/>
              <w:start w:w="120" w:type="dxa"/>
              <w:bottom w:w="80" w:type="dxa"/>
              <w:end w:w="120" w:type="dxa"/>
            </w:tcMar>
          </w:tcPr>
          <w:p>
            <w:pPr>
              <w:spacing w:after="0"/>
            </w:pPr>
            <w:r>
              <w:rPr>
                <w:sz w:val="17"/>
              </w:rPr>
              <w:t>Security</w:t>
            </w:r>
          </w:p>
        </w:tc>
        <w:tc>
          <w:tcPr>
            <w:tcW w:type="dxa" w:w="1170"/>
            <w:vAlign w:val="center"/>
            <w:tcMar>
              <w:top w:w="80" w:type="dxa"/>
              <w:start w:w="120" w:type="dxa"/>
              <w:bottom w:w="80" w:type="dxa"/>
              <w:end w:w="120" w:type="dxa"/>
            </w:tcMar>
          </w:tcPr>
          <w:p>
            <w:pPr>
              <w:spacing w:after="0"/>
            </w:pPr>
            <w:r>
              <w:rPr>
                <w:sz w:val="17"/>
              </w:rPr>
              <w:t>Developer</w:t>
            </w:r>
          </w:p>
        </w:tc>
      </w:tr>
    </w:tbl>
    <w:p>
      <w:pPr>
        <w:spacing w:after="0"/>
      </w:pPr>
    </w:p>
    <w:p>
      <w:pPr>
        <w:pStyle w:val="Heading3"/>
      </w:pPr>
      <w:r>
        <w:t>Framework, rendering and deployment</w:t>
      </w:r>
    </w:p>
    <w:p>
      <w:pPr>
        <w:pStyle w:val="ListBullet"/>
      </w:pPr>
      <w:r>
        <w:rPr>
          <w:b/>
        </w:rPr>
        <w:t>Framework:</w:t>
      </w:r>
      <w:r>
        <w:t xml:space="preserve"> Next.js </w:t>
      </w:r>
      <w:r>
        <w:rPr>
          <w:b/>
        </w:rPr>
        <w:t>16.2.9</w:t>
      </w:r>
      <w:r>
        <w:t xml:space="preserve">, React </w:t>
      </w:r>
      <w:r>
        <w:rPr>
          <w:b/>
        </w:rPr>
        <w:t>19.2.4</w:t>
      </w:r>
      <w:r>
        <w:t>, TypeScript, Tailwind CSS 4.</w:t>
      </w:r>
    </w:p>
    <w:p>
      <w:pPr>
        <w:pStyle w:val="ListBullet"/>
      </w:pPr>
      <w:r>
        <w:rPr>
          <w:b/>
        </w:rPr>
        <w:t>Router/rendering:</w:t>
      </w:r>
      <w:r>
        <w:t xml:space="preserve"> App Router. Most pages are server components and statically renderable. Dynamic guides use </w:t>
      </w:r>
      <w:r>
        <w:rPr>
          <w:rFonts w:ascii="Consolas" w:hAnsi="Consolas"/>
          <w:sz w:val="19"/>
        </w:rPr>
        <w:t>generateStaticParams</w:t>
      </w:r>
      <w:r>
        <w:t>, so core guide content can be pre-rendered. Header, FAQ and form are client components.</w:t>
      </w:r>
    </w:p>
    <w:p>
      <w:pPr>
        <w:pStyle w:val="ListBullet"/>
      </w:pPr>
      <w:r>
        <w:rPr>
          <w:b/>
        </w:rPr>
        <w:t>Metadata:</w:t>
      </w:r>
      <w:r>
        <w:t xml:space="preserve"> Next.js Metadata API with a root </w:t>
      </w:r>
      <w:r>
        <w:rPr>
          <w:rFonts w:ascii="Consolas" w:hAnsi="Consolas"/>
          <w:sz w:val="19"/>
        </w:rPr>
        <w:t>metadataBase</w:t>
      </w:r>
      <w:r>
        <w:t xml:space="preserve"> and route-level canonicals.</w:t>
      </w:r>
    </w:p>
    <w:p>
      <w:pPr>
        <w:pStyle w:val="ListBullet"/>
      </w:pPr>
      <w:r>
        <w:rPr>
          <w:b/>
        </w:rPr>
        <w:t>Deployment:</w:t>
      </w:r>
      <w:r>
        <w:t xml:space="preserve"> The production host is live and behaviour is consistent with Vercel, but the repository has no deployment manifest and this cannot be confirmed without platform access.</w:t>
      </w:r>
    </w:p>
    <w:p>
      <w:pPr>
        <w:pStyle w:val="ListBullet"/>
      </w:pPr>
      <w:r>
        <w:rPr>
          <w:b/>
        </w:rPr>
        <w:t>Caching:</w:t>
      </w:r>
      <w:r>
        <w:t xml:space="preserve"> No explicit caching or revalidation strategy is configured. Static content should be cached by the framework/platform; verify production headers and purge behaviour.</w:t>
      </w:r>
    </w:p>
    <w:p>
      <w:pPr>
        <w:pStyle w:val="ListBullet"/>
      </w:pPr>
      <w:r>
        <w:rPr>
          <w:b/>
        </w:rPr>
        <w:t>Next.js-specific recommendation:</w:t>
      </w:r>
      <w:r>
        <w:t xml:space="preserve"> keep factual metadata co-located with reviewed content, use metadata files for robots/sitemap/OG imagery, and do not emit schema facts that are not visible and verified.</w:t>
      </w:r>
    </w:p>
    <w:p>
      <w:pPr>
        <w:pStyle w:val="Heading2"/>
      </w:pPr>
      <w:r>
        <w:t>4. Keyword, intent and URL map</w:t>
      </w:r>
    </w:p>
    <w:p>
      <w:r>
        <w:t xml:space="preserve">No reliable first-party volume data was supplied. The labels below are </w:t>
      </w:r>
      <w:r>
        <w:rPr>
          <w:b/>
        </w:rPr>
        <w:t>intent classifications, not volume claims</w:t>
      </w:r>
      <w:r>
        <w:t xml:space="preserve">. Current search results show active competition from Winn Solicitors Scotland, Scotland Claims, Accident Claims Scotland </w:t>
      </w:r>
      <w:r>
        <w:rPr>
          <w:rFonts w:ascii="Consolas" w:hAnsi="Consolas"/>
          <w:sz w:val="19"/>
        </w:rPr>
        <w:t>.co.uk</w:t>
      </w:r>
      <w:r>
        <w:t>, Scottish Accident, Stewart Legal, Gildeas, Slater and Gordon and specialist Scottish firm pages. Validate demand in Search Console, Ads Keyword Planner or a licensed tool before expanding.</w:t>
      </w:r>
    </w:p>
    <w:p>
      <w:pPr>
        <w:pStyle w:val="Heading3"/>
      </w:pPr>
      <w:r>
        <w:t>Major indexable pages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tcMar>
              <w:top w:w="80" w:type="dxa"/>
              <w:start w:w="120" w:type="dxa"/>
              <w:bottom w:w="80" w:type="dxa"/>
              <w:end w:w="120" w:type="dxa"/>
            </w:tcMar>
            <w:shd w:fill="E8EEF5"/>
          </w:tcPr>
          <w:p>
            <w:pPr>
              <w:spacing w:after="0"/>
            </w:pPr>
            <w:r>
              <w:rPr>
                <w:b/>
                <w:color w:val="0B2545"/>
                <w:sz w:val="17"/>
              </w:rPr>
              <w:t>Current URL</w:t>
            </w:r>
          </w:p>
        </w:tc>
        <w:tc>
          <w:tcPr>
            <w:tcW w:type="dxa" w:w="1170"/>
            <w:vAlign w:val="center"/>
            <w:tcMar>
              <w:top w:w="80" w:type="dxa"/>
              <w:start w:w="120" w:type="dxa"/>
              <w:bottom w:w="80" w:type="dxa"/>
              <w:end w:w="120" w:type="dxa"/>
            </w:tcMar>
            <w:shd w:fill="E8EEF5"/>
          </w:tcPr>
          <w:p>
            <w:pPr>
              <w:spacing w:after="0"/>
            </w:pPr>
            <w:r>
              <w:rPr>
                <w:b/>
                <w:color w:val="0B2545"/>
                <w:sz w:val="17"/>
              </w:rPr>
              <w:t>Action</w:t>
            </w:r>
          </w:p>
        </w:tc>
        <w:tc>
          <w:tcPr>
            <w:tcW w:type="dxa" w:w="1170"/>
            <w:vAlign w:val="center"/>
            <w:tcMar>
              <w:top w:w="80" w:type="dxa"/>
              <w:start w:w="120" w:type="dxa"/>
              <w:bottom w:w="80" w:type="dxa"/>
              <w:end w:w="120" w:type="dxa"/>
            </w:tcMar>
            <w:shd w:fill="E8EEF5"/>
          </w:tcPr>
          <w:p>
            <w:pPr>
              <w:spacing w:after="0"/>
            </w:pPr>
            <w:r>
              <w:rPr>
                <w:b/>
                <w:color w:val="0B2545"/>
                <w:sz w:val="17"/>
              </w:rPr>
              <w:t>Primary intent/keyword</w:t>
            </w:r>
          </w:p>
        </w:tc>
        <w:tc>
          <w:tcPr>
            <w:tcW w:type="dxa" w:w="1170"/>
            <w:vAlign w:val="center"/>
            <w:tcMar>
              <w:top w:w="80" w:type="dxa"/>
              <w:start w:w="120" w:type="dxa"/>
              <w:bottom w:w="80" w:type="dxa"/>
              <w:end w:w="120" w:type="dxa"/>
            </w:tcMar>
            <w:shd w:fill="E8EEF5"/>
          </w:tcPr>
          <w:p>
            <w:pPr>
              <w:spacing w:after="0"/>
            </w:pPr>
            <w:r>
              <w:rPr>
                <w:b/>
                <w:color w:val="0B2545"/>
                <w:sz w:val="17"/>
              </w:rPr>
              <w:t>Supporting entities</w:t>
            </w:r>
          </w:p>
        </w:tc>
        <w:tc>
          <w:tcPr>
            <w:tcW w:type="dxa" w:w="1170"/>
            <w:vAlign w:val="center"/>
            <w:tcMar>
              <w:top w:w="80" w:type="dxa"/>
              <w:start w:w="120" w:type="dxa"/>
              <w:bottom w:w="80" w:type="dxa"/>
              <w:end w:w="120" w:type="dxa"/>
            </w:tcMar>
            <w:shd w:fill="E8EEF5"/>
          </w:tcPr>
          <w:p>
            <w:pPr>
              <w:spacing w:after="0"/>
            </w:pPr>
            <w:r>
              <w:rPr>
                <w:b/>
                <w:color w:val="0B2545"/>
                <w:sz w:val="17"/>
              </w:rPr>
              <w:t>Recommended title</w:t>
            </w:r>
          </w:p>
        </w:tc>
        <w:tc>
          <w:tcPr>
            <w:tcW w:type="dxa" w:w="1170"/>
            <w:vAlign w:val="center"/>
            <w:tcMar>
              <w:top w:w="80" w:type="dxa"/>
              <w:start w:w="120" w:type="dxa"/>
              <w:bottom w:w="80" w:type="dxa"/>
              <w:end w:w="120" w:type="dxa"/>
            </w:tcMar>
            <w:shd w:fill="E8EEF5"/>
          </w:tcPr>
          <w:p>
            <w:pPr>
              <w:spacing w:after="0"/>
            </w:pPr>
            <w:r>
              <w:rPr>
                <w:b/>
                <w:color w:val="0B2545"/>
                <w:sz w:val="17"/>
              </w:rPr>
              <w:t>Recommended H1</w:t>
            </w:r>
          </w:p>
        </w:tc>
        <w:tc>
          <w:tcPr>
            <w:tcW w:type="dxa" w:w="1170"/>
            <w:vAlign w:val="center"/>
            <w:tcMar>
              <w:top w:w="80" w:type="dxa"/>
              <w:start w:w="120" w:type="dxa"/>
              <w:bottom w:w="80" w:type="dxa"/>
              <w:end w:w="120" w:type="dxa"/>
            </w:tcMar>
            <w:shd w:fill="E8EEF5"/>
          </w:tcPr>
          <w:p>
            <w:pPr>
              <w:spacing w:after="0"/>
            </w:pPr>
            <w:r>
              <w:rPr>
                <w:b/>
                <w:color w:val="0B2545"/>
                <w:sz w:val="17"/>
              </w:rPr>
              <w:t>Missing/next sections</w:t>
            </w:r>
          </w:p>
        </w:tc>
        <w:tc>
          <w:tcPr>
            <w:tcW w:type="dxa" w:w="1170"/>
            <w:vAlign w:val="center"/>
            <w:tcMar>
              <w:top w:w="80" w:type="dxa"/>
              <w:start w:w="120" w:type="dxa"/>
              <w:bottom w:w="80" w:type="dxa"/>
              <w:end w:w="120" w:type="dxa"/>
            </w:tcMar>
            <w:shd w:fill="E8EEF5"/>
          </w:tcPr>
          <w:p>
            <w:pPr>
              <w:spacing w:after="0"/>
            </w:pPr>
            <w:r>
              <w:rPr>
                <w:b/>
                <w:color w:val="0B2545"/>
                <w:sz w:val="17"/>
              </w:rPr>
              <w:t>Cannibalisation/internal links</w:t>
            </w:r>
          </w:p>
        </w:tc>
      </w:tr>
      <w:tr>
        <w:tc>
          <w:tcPr>
            <w:tcW w:type="dxa" w:w="1170"/>
            <w:vAlign w:val="center"/>
            <w:tcMar>
              <w:top w:w="80" w:type="dxa"/>
              <w:start w:w="120" w:type="dxa"/>
              <w:bottom w:w="80" w:type="dxa"/>
              <w:end w:w="120" w:type="dxa"/>
            </w:tcMar>
          </w:tcPr>
          <w:p>
            <w:pPr>
              <w:spacing w:after="0"/>
            </w:pPr>
            <w:r>
              <w:rPr>
                <w:sz w:val="17"/>
              </w:rPr>
              <w:t>/</w:t>
            </w:r>
          </w:p>
        </w:tc>
        <w:tc>
          <w:tcPr>
            <w:tcW w:type="dxa" w:w="1170"/>
            <w:vAlign w:val="center"/>
            <w:tcMar>
              <w:top w:w="80" w:type="dxa"/>
              <w:start w:w="120" w:type="dxa"/>
              <w:bottom w:w="80" w:type="dxa"/>
              <w:end w:w="120" w:type="dxa"/>
            </w:tcMar>
          </w:tcPr>
          <w:p>
            <w:pPr>
              <w:spacing w:after="0"/>
            </w:pPr>
            <w:r>
              <w:rPr>
                <w:sz w:val="17"/>
              </w:rPr>
              <w:t>Keep after identity fix</w:t>
            </w:r>
          </w:p>
        </w:tc>
        <w:tc>
          <w:tcPr>
            <w:tcW w:type="dxa" w:w="1170"/>
            <w:vAlign w:val="center"/>
            <w:tcMar>
              <w:top w:w="80" w:type="dxa"/>
              <w:start w:w="120" w:type="dxa"/>
              <w:bottom w:w="80" w:type="dxa"/>
              <w:end w:w="120" w:type="dxa"/>
            </w:tcMar>
          </w:tcPr>
          <w:p>
            <w:pPr>
              <w:spacing w:after="0"/>
            </w:pPr>
            <w:r>
              <w:rPr>
                <w:sz w:val="17"/>
              </w:rPr>
              <w:t>accident claims Scotland; mixed commercial</w:t>
            </w:r>
          </w:p>
        </w:tc>
        <w:tc>
          <w:tcPr>
            <w:tcW w:type="dxa" w:w="1170"/>
            <w:vAlign w:val="center"/>
            <w:tcMar>
              <w:top w:w="80" w:type="dxa"/>
              <w:start w:w="120" w:type="dxa"/>
              <w:bottom w:w="80" w:type="dxa"/>
              <w:end w:w="120" w:type="dxa"/>
            </w:tcMar>
          </w:tcPr>
          <w:p>
            <w:pPr>
              <w:spacing w:after="0"/>
            </w:pPr>
            <w:r>
              <w:rPr>
                <w:sz w:val="17"/>
              </w:rPr>
              <w:t>Scottish personal injury solicitor, claim check</w:t>
            </w:r>
          </w:p>
        </w:tc>
        <w:tc>
          <w:tcPr>
            <w:tcW w:type="dxa" w:w="1170"/>
            <w:vAlign w:val="center"/>
            <w:tcMar>
              <w:top w:w="80" w:type="dxa"/>
              <w:start w:w="120" w:type="dxa"/>
              <w:bottom w:w="80" w:type="dxa"/>
              <w:end w:w="120" w:type="dxa"/>
            </w:tcMar>
          </w:tcPr>
          <w:p>
            <w:pPr>
              <w:spacing w:after="0"/>
            </w:pPr>
            <w:r>
              <w:rPr>
                <w:sz w:val="17"/>
              </w:rPr>
              <w:t>Accident Claims Scotland: Scottish Personal Injury Solicitors</w:t>
            </w:r>
          </w:p>
        </w:tc>
        <w:tc>
          <w:tcPr>
            <w:tcW w:type="dxa" w:w="1170"/>
            <w:vAlign w:val="center"/>
            <w:tcMar>
              <w:top w:w="80" w:type="dxa"/>
              <w:start w:w="120" w:type="dxa"/>
              <w:bottom w:w="80" w:type="dxa"/>
              <w:end w:w="120" w:type="dxa"/>
            </w:tcMar>
          </w:tcPr>
          <w:p>
            <w:pPr>
              <w:spacing w:after="0"/>
            </w:pPr>
            <w:r>
              <w:rPr>
                <w:sz w:val="17"/>
              </w:rPr>
              <w:t>Accident Claims in Scotland: Speak to a Verified Scottish Personal Injury Solicitor</w:t>
            </w:r>
          </w:p>
        </w:tc>
        <w:tc>
          <w:tcPr>
            <w:tcW w:type="dxa" w:w="1170"/>
            <w:vAlign w:val="center"/>
            <w:tcMar>
              <w:top w:w="80" w:type="dxa"/>
              <w:start w:w="120" w:type="dxa"/>
              <w:bottom w:w="80" w:type="dxa"/>
              <w:end w:w="120" w:type="dxa"/>
            </w:tcMar>
          </w:tcPr>
          <w:p>
            <w:pPr>
              <w:spacing w:after="0"/>
            </w:pPr>
            <w:r>
              <w:rPr>
                <w:sz w:val="17"/>
              </w:rPr>
              <w:t>Verified provider, who receives enquiry, eligibility triage, funding summary, reviewer</w:t>
            </w:r>
          </w:p>
        </w:tc>
        <w:tc>
          <w:tcPr>
            <w:tcW w:type="dxa" w:w="1170"/>
            <w:vAlign w:val="center"/>
            <w:tcMar>
              <w:top w:w="80" w:type="dxa"/>
              <w:start w:w="120" w:type="dxa"/>
              <w:bottom w:w="80" w:type="dxa"/>
              <w:end w:w="120" w:type="dxa"/>
            </w:tcMar>
          </w:tcPr>
          <w:p>
            <w:pPr>
              <w:spacing w:after="0"/>
            </w:pPr>
            <w:r>
              <w:rPr>
                <w:sz w:val="17"/>
              </w:rPr>
              <w:t>Link to every pillar; avoid duplicating full PI pillar</w:t>
            </w:r>
          </w:p>
        </w:tc>
      </w:tr>
      <w:tr>
        <w:tc>
          <w:tcPr>
            <w:tcW w:type="dxa" w:w="1170"/>
            <w:vAlign w:val="center"/>
            <w:tcMar>
              <w:top w:w="80" w:type="dxa"/>
              <w:start w:w="120" w:type="dxa"/>
              <w:bottom w:w="80" w:type="dxa"/>
              <w:end w:w="120" w:type="dxa"/>
            </w:tcMar>
          </w:tcPr>
          <w:p>
            <w:pPr>
              <w:spacing w:after="0"/>
            </w:pPr>
            <w:r>
              <w:rPr>
                <w:sz w:val="17"/>
              </w:rPr>
              <w:t>/personal-injury-claims-scotland</w:t>
            </w:r>
          </w:p>
        </w:tc>
        <w:tc>
          <w:tcPr>
            <w:tcW w:type="dxa" w:w="1170"/>
            <w:vAlign w:val="center"/>
            <w:tcMar>
              <w:top w:w="80" w:type="dxa"/>
              <w:start w:w="120" w:type="dxa"/>
              <w:bottom w:w="80" w:type="dxa"/>
              <w:end w:w="120" w:type="dxa"/>
            </w:tcMar>
          </w:tcPr>
          <w:p>
            <w:pPr>
              <w:spacing w:after="0"/>
            </w:pPr>
            <w:r>
              <w:rPr>
                <w:sz w:val="17"/>
              </w:rPr>
              <w:t>Expand/review</w:t>
            </w:r>
          </w:p>
        </w:tc>
        <w:tc>
          <w:tcPr>
            <w:tcW w:type="dxa" w:w="1170"/>
            <w:vAlign w:val="center"/>
            <w:tcMar>
              <w:top w:w="80" w:type="dxa"/>
              <w:start w:w="120" w:type="dxa"/>
              <w:bottom w:w="80" w:type="dxa"/>
              <w:end w:w="120" w:type="dxa"/>
            </w:tcMar>
          </w:tcPr>
          <w:p>
            <w:pPr>
              <w:spacing w:after="0"/>
            </w:pPr>
            <w:r>
              <w:rPr>
                <w:sz w:val="17"/>
              </w:rPr>
              <w:t>personal injury claims Scotland</w:t>
            </w:r>
          </w:p>
        </w:tc>
        <w:tc>
          <w:tcPr>
            <w:tcW w:type="dxa" w:w="1170"/>
            <w:vAlign w:val="center"/>
            <w:tcMar>
              <w:top w:w="80" w:type="dxa"/>
              <w:start w:w="120" w:type="dxa"/>
              <w:bottom w:w="80" w:type="dxa"/>
              <w:end w:w="120" w:type="dxa"/>
            </w:tcMar>
          </w:tcPr>
          <w:p>
            <w:pPr>
              <w:spacing w:after="0"/>
            </w:pPr>
            <w:r>
              <w:rPr>
                <w:sz w:val="17"/>
              </w:rPr>
              <w:t>negligence, causation, evidence, solatium</w:t>
            </w:r>
          </w:p>
        </w:tc>
        <w:tc>
          <w:tcPr>
            <w:tcW w:type="dxa" w:w="1170"/>
            <w:vAlign w:val="center"/>
            <w:tcMar>
              <w:top w:w="80" w:type="dxa"/>
              <w:start w:w="120" w:type="dxa"/>
              <w:bottom w:w="80" w:type="dxa"/>
              <w:end w:w="120" w:type="dxa"/>
            </w:tcMar>
          </w:tcPr>
          <w:p>
            <w:pPr>
              <w:spacing w:after="0"/>
            </w:pPr>
            <w:r>
              <w:rPr>
                <w:sz w:val="17"/>
              </w:rPr>
              <w:t>Personal Injury Claims Scotland: Eligibility, Process and Funding</w:t>
            </w:r>
          </w:p>
        </w:tc>
        <w:tc>
          <w:tcPr>
            <w:tcW w:type="dxa" w:w="1170"/>
            <w:vAlign w:val="center"/>
            <w:tcMar>
              <w:top w:w="80" w:type="dxa"/>
              <w:start w:w="120" w:type="dxa"/>
              <w:bottom w:w="80" w:type="dxa"/>
              <w:end w:w="120" w:type="dxa"/>
            </w:tcMar>
          </w:tcPr>
          <w:p>
            <w:pPr>
              <w:spacing w:after="0"/>
            </w:pPr>
            <w:r>
              <w:rPr>
                <w:sz w:val="17"/>
              </w:rPr>
              <w:t>Personal Injury Claims in Scotland</w:t>
            </w:r>
          </w:p>
        </w:tc>
        <w:tc>
          <w:tcPr>
            <w:tcW w:type="dxa" w:w="1170"/>
            <w:vAlign w:val="center"/>
            <w:tcMar>
              <w:top w:w="80" w:type="dxa"/>
              <w:start w:w="120" w:type="dxa"/>
              <w:bottom w:w="80" w:type="dxa"/>
              <w:end w:w="120" w:type="dxa"/>
            </w:tcMar>
          </w:tcPr>
          <w:p>
            <w:pPr>
              <w:spacing w:after="0"/>
            </w:pPr>
            <w:r>
              <w:rPr>
                <w:sz w:val="17"/>
              </w:rPr>
              <w:t>Clear elements of claim, special cases, provider proof, sources</w:t>
            </w:r>
          </w:p>
        </w:tc>
        <w:tc>
          <w:tcPr>
            <w:tcW w:type="dxa" w:w="1170"/>
            <w:vAlign w:val="center"/>
            <w:tcMar>
              <w:top w:w="80" w:type="dxa"/>
              <w:start w:w="120" w:type="dxa"/>
              <w:bottom w:w="80" w:type="dxa"/>
              <w:end w:w="120" w:type="dxa"/>
            </w:tcMar>
          </w:tcPr>
          <w:p>
            <w:pPr>
              <w:spacing w:after="0"/>
            </w:pPr>
            <w:r>
              <w:rPr>
                <w:sz w:val="17"/>
              </w:rPr>
              <w:t>Canonical pillar; guides link here</w:t>
            </w:r>
          </w:p>
        </w:tc>
      </w:tr>
      <w:tr>
        <w:tc>
          <w:tcPr>
            <w:tcW w:type="dxa" w:w="1170"/>
            <w:vAlign w:val="center"/>
            <w:tcMar>
              <w:top w:w="80" w:type="dxa"/>
              <w:start w:w="120" w:type="dxa"/>
              <w:bottom w:w="80" w:type="dxa"/>
              <w:end w:w="120" w:type="dxa"/>
            </w:tcMar>
          </w:tcPr>
          <w:p>
            <w:pPr>
              <w:spacing w:after="0"/>
            </w:pPr>
            <w:r>
              <w:rPr>
                <w:sz w:val="17"/>
              </w:rPr>
              <w:t>/road-traffic-accident-claims-scotland</w:t>
            </w:r>
          </w:p>
        </w:tc>
        <w:tc>
          <w:tcPr>
            <w:tcW w:type="dxa" w:w="1170"/>
            <w:vAlign w:val="center"/>
            <w:tcMar>
              <w:top w:w="80" w:type="dxa"/>
              <w:start w:w="120" w:type="dxa"/>
              <w:bottom w:w="80" w:type="dxa"/>
              <w:end w:w="120" w:type="dxa"/>
            </w:tcMar>
          </w:tcPr>
          <w:p>
            <w:pPr>
              <w:spacing w:after="0"/>
            </w:pPr>
            <w:r>
              <w:rPr>
                <w:sz w:val="17"/>
              </w:rPr>
              <w:t>Keep/expand</w:t>
            </w:r>
          </w:p>
        </w:tc>
        <w:tc>
          <w:tcPr>
            <w:tcW w:type="dxa" w:w="1170"/>
            <w:vAlign w:val="center"/>
            <w:tcMar>
              <w:top w:w="80" w:type="dxa"/>
              <w:start w:w="120" w:type="dxa"/>
              <w:bottom w:w="80" w:type="dxa"/>
              <w:end w:w="120" w:type="dxa"/>
            </w:tcMar>
          </w:tcPr>
          <w:p>
            <w:pPr>
              <w:spacing w:after="0"/>
            </w:pPr>
            <w:r>
              <w:rPr>
                <w:sz w:val="17"/>
              </w:rPr>
              <w:t>road traffic accident claims Scotland</w:t>
            </w:r>
          </w:p>
        </w:tc>
        <w:tc>
          <w:tcPr>
            <w:tcW w:type="dxa" w:w="1170"/>
            <w:vAlign w:val="center"/>
            <w:tcMar>
              <w:top w:w="80" w:type="dxa"/>
              <w:start w:w="120" w:type="dxa"/>
              <w:bottom w:w="80" w:type="dxa"/>
              <w:end w:w="120" w:type="dxa"/>
            </w:tcMar>
          </w:tcPr>
          <w:p>
            <w:pPr>
              <w:spacing w:after="0"/>
            </w:pPr>
            <w:r>
              <w:rPr>
                <w:sz w:val="17"/>
              </w:rPr>
              <w:t>car, motorcycle, cycling, pedestrian, MIB, whiplash</w:t>
            </w:r>
          </w:p>
        </w:tc>
        <w:tc>
          <w:tcPr>
            <w:tcW w:type="dxa" w:w="1170"/>
            <w:vAlign w:val="center"/>
            <w:tcMar>
              <w:top w:w="80" w:type="dxa"/>
              <w:start w:w="120" w:type="dxa"/>
              <w:bottom w:w="80" w:type="dxa"/>
              <w:end w:w="120" w:type="dxa"/>
            </w:tcMar>
          </w:tcPr>
          <w:p>
            <w:pPr>
              <w:spacing w:after="0"/>
            </w:pPr>
            <w:r>
              <w:rPr>
                <w:sz w:val="17"/>
              </w:rPr>
              <w:t>Road Traffic Accident Claims Scotland: A Practical Guide</w:t>
            </w:r>
          </w:p>
        </w:tc>
        <w:tc>
          <w:tcPr>
            <w:tcW w:type="dxa" w:w="1170"/>
            <w:vAlign w:val="center"/>
            <w:tcMar>
              <w:top w:w="80" w:type="dxa"/>
              <w:start w:w="120" w:type="dxa"/>
              <w:bottom w:w="80" w:type="dxa"/>
              <w:end w:w="120" w:type="dxa"/>
            </w:tcMar>
          </w:tcPr>
          <w:p>
            <w:pPr>
              <w:spacing w:after="0"/>
            </w:pPr>
            <w:r>
              <w:rPr>
                <w:sz w:val="17"/>
              </w:rPr>
              <w:t>Road Traffic Accident Claims in Scotland</w:t>
            </w:r>
          </w:p>
        </w:tc>
        <w:tc>
          <w:tcPr>
            <w:tcW w:type="dxa" w:w="1170"/>
            <w:vAlign w:val="center"/>
            <w:tcMar>
              <w:top w:w="80" w:type="dxa"/>
              <w:start w:w="120" w:type="dxa"/>
              <w:bottom w:w="80" w:type="dxa"/>
              <w:end w:w="120" w:type="dxa"/>
            </w:tcMar>
          </w:tcPr>
          <w:p>
            <w:pPr>
              <w:spacing w:after="0"/>
            </w:pPr>
            <w:r>
              <w:rPr>
                <w:sz w:val="17"/>
              </w:rPr>
              <w:t>MIB/uninsured/untraced, evidence, insurer contact, cross-border</w:t>
            </w:r>
          </w:p>
        </w:tc>
        <w:tc>
          <w:tcPr>
            <w:tcW w:type="dxa" w:w="1170"/>
            <w:vAlign w:val="center"/>
            <w:tcMar>
              <w:top w:w="80" w:type="dxa"/>
              <w:start w:w="120" w:type="dxa"/>
              <w:bottom w:w="80" w:type="dxa"/>
              <w:end w:w="120" w:type="dxa"/>
            </w:tcMar>
          </w:tcPr>
          <w:p>
            <w:pPr>
              <w:spacing w:after="0"/>
            </w:pPr>
            <w:r>
              <w:rPr>
                <w:sz w:val="17"/>
              </w:rPr>
              <w:t>Merge/reposition same-intent RTA guide</w:t>
            </w:r>
          </w:p>
        </w:tc>
      </w:tr>
      <w:tr>
        <w:tc>
          <w:tcPr>
            <w:tcW w:type="dxa" w:w="1170"/>
            <w:vAlign w:val="center"/>
            <w:tcMar>
              <w:top w:w="80" w:type="dxa"/>
              <w:start w:w="120" w:type="dxa"/>
              <w:bottom w:w="80" w:type="dxa"/>
              <w:end w:w="120" w:type="dxa"/>
            </w:tcMar>
          </w:tcPr>
          <w:p>
            <w:pPr>
              <w:spacing w:after="0"/>
            </w:pPr>
            <w:r>
              <w:rPr>
                <w:sz w:val="17"/>
              </w:rPr>
              <w:t>/accident-at-work-claims-scotland</w:t>
            </w:r>
          </w:p>
        </w:tc>
        <w:tc>
          <w:tcPr>
            <w:tcW w:type="dxa" w:w="1170"/>
            <w:vAlign w:val="center"/>
            <w:tcMar>
              <w:top w:w="80" w:type="dxa"/>
              <w:start w:w="120" w:type="dxa"/>
              <w:bottom w:w="80" w:type="dxa"/>
              <w:end w:w="120" w:type="dxa"/>
            </w:tcMar>
          </w:tcPr>
          <w:p>
            <w:pPr>
              <w:spacing w:after="0"/>
            </w:pPr>
            <w:r>
              <w:rPr>
                <w:sz w:val="17"/>
              </w:rPr>
              <w:t>Keep/expand</w:t>
            </w:r>
          </w:p>
        </w:tc>
        <w:tc>
          <w:tcPr>
            <w:tcW w:type="dxa" w:w="1170"/>
            <w:vAlign w:val="center"/>
            <w:tcMar>
              <w:top w:w="80" w:type="dxa"/>
              <w:start w:w="120" w:type="dxa"/>
              <w:bottom w:w="80" w:type="dxa"/>
              <w:end w:w="120" w:type="dxa"/>
            </w:tcMar>
          </w:tcPr>
          <w:p>
            <w:pPr>
              <w:spacing w:after="0"/>
            </w:pPr>
            <w:r>
              <w:rPr>
                <w:sz w:val="17"/>
              </w:rPr>
              <w:t>accident at work claim Scotland</w:t>
            </w:r>
          </w:p>
        </w:tc>
        <w:tc>
          <w:tcPr>
            <w:tcW w:type="dxa" w:w="1170"/>
            <w:vAlign w:val="center"/>
            <w:tcMar>
              <w:top w:w="80" w:type="dxa"/>
              <w:start w:w="120" w:type="dxa"/>
              <w:bottom w:w="80" w:type="dxa"/>
              <w:end w:w="120" w:type="dxa"/>
            </w:tcMar>
          </w:tcPr>
          <w:p>
            <w:pPr>
              <w:spacing w:after="0"/>
            </w:pPr>
            <w:r>
              <w:rPr>
                <w:sz w:val="17"/>
              </w:rPr>
              <w:t>employer duty, RIDDOR, HSE, PPE</w:t>
            </w:r>
          </w:p>
        </w:tc>
        <w:tc>
          <w:tcPr>
            <w:tcW w:type="dxa" w:w="1170"/>
            <w:vAlign w:val="center"/>
            <w:tcMar>
              <w:top w:w="80" w:type="dxa"/>
              <w:start w:w="120" w:type="dxa"/>
              <w:bottom w:w="80" w:type="dxa"/>
              <w:end w:w="120" w:type="dxa"/>
            </w:tcMar>
          </w:tcPr>
          <w:p>
            <w:pPr>
              <w:spacing w:after="0"/>
            </w:pPr>
            <w:r>
              <w:rPr>
                <w:sz w:val="17"/>
              </w:rPr>
              <w:t>Accident at Work Claims Scotland: Rights, Evidence and Process</w:t>
            </w:r>
          </w:p>
        </w:tc>
        <w:tc>
          <w:tcPr>
            <w:tcW w:type="dxa" w:w="1170"/>
            <w:vAlign w:val="center"/>
            <w:tcMar>
              <w:top w:w="80" w:type="dxa"/>
              <w:start w:w="120" w:type="dxa"/>
              <w:bottom w:w="80" w:type="dxa"/>
              <w:end w:w="120" w:type="dxa"/>
            </w:tcMar>
          </w:tcPr>
          <w:p>
            <w:pPr>
              <w:spacing w:after="0"/>
            </w:pPr>
            <w:r>
              <w:rPr>
                <w:sz w:val="17"/>
              </w:rPr>
              <w:t>Accident at Work Claims in Scotland</w:t>
            </w:r>
          </w:p>
        </w:tc>
        <w:tc>
          <w:tcPr>
            <w:tcW w:type="dxa" w:w="1170"/>
            <w:vAlign w:val="center"/>
            <w:tcMar>
              <w:top w:w="80" w:type="dxa"/>
              <w:start w:w="120" w:type="dxa"/>
              <w:bottom w:w="80" w:type="dxa"/>
              <w:end w:w="120" w:type="dxa"/>
            </w:tcMar>
          </w:tcPr>
          <w:p>
            <w:pPr>
              <w:spacing w:after="0"/>
            </w:pPr>
            <w:r>
              <w:rPr>
                <w:sz w:val="17"/>
              </w:rPr>
              <w:t>Employment reassurance carefully qualified, evidence preservation, HSE sources</w:t>
            </w:r>
          </w:p>
        </w:tc>
        <w:tc>
          <w:tcPr>
            <w:tcW w:type="dxa" w:w="1170"/>
            <w:vAlign w:val="center"/>
            <w:tcMar>
              <w:top w:w="80" w:type="dxa"/>
              <w:start w:w="120" w:type="dxa"/>
              <w:bottom w:w="80" w:type="dxa"/>
              <w:end w:w="120" w:type="dxa"/>
            </w:tcMar>
          </w:tcPr>
          <w:p>
            <w:pPr>
              <w:spacing w:after="0"/>
            </w:pPr>
            <w:r>
              <w:rPr>
                <w:sz w:val="17"/>
              </w:rPr>
              <w:t>Merge/reposition same-intent guide</w:t>
            </w:r>
          </w:p>
        </w:tc>
      </w:tr>
      <w:tr>
        <w:tc>
          <w:tcPr>
            <w:tcW w:type="dxa" w:w="1170"/>
            <w:vAlign w:val="center"/>
            <w:tcMar>
              <w:top w:w="80" w:type="dxa"/>
              <w:start w:w="120" w:type="dxa"/>
              <w:bottom w:w="80" w:type="dxa"/>
              <w:end w:w="120" w:type="dxa"/>
            </w:tcMar>
          </w:tcPr>
          <w:p>
            <w:pPr>
              <w:spacing w:after="0"/>
            </w:pPr>
            <w:r>
              <w:rPr>
                <w:sz w:val="17"/>
              </w:rPr>
              <w:t>/public-place-accident-claims-scotland</w:t>
            </w:r>
          </w:p>
        </w:tc>
        <w:tc>
          <w:tcPr>
            <w:tcW w:type="dxa" w:w="1170"/>
            <w:vAlign w:val="center"/>
            <w:tcMar>
              <w:top w:w="80" w:type="dxa"/>
              <w:start w:w="120" w:type="dxa"/>
              <w:bottom w:w="80" w:type="dxa"/>
              <w:end w:w="120" w:type="dxa"/>
            </w:tcMar>
          </w:tcPr>
          <w:p>
            <w:pPr>
              <w:spacing w:after="0"/>
            </w:pPr>
            <w:r>
              <w:rPr>
                <w:sz w:val="17"/>
              </w:rPr>
              <w:t>Keep/expand</w:t>
            </w:r>
          </w:p>
        </w:tc>
        <w:tc>
          <w:tcPr>
            <w:tcW w:type="dxa" w:w="1170"/>
            <w:vAlign w:val="center"/>
            <w:tcMar>
              <w:top w:w="80" w:type="dxa"/>
              <w:start w:w="120" w:type="dxa"/>
              <w:bottom w:w="80" w:type="dxa"/>
              <w:end w:w="120" w:type="dxa"/>
            </w:tcMar>
          </w:tcPr>
          <w:p>
            <w:pPr>
              <w:spacing w:after="0"/>
            </w:pPr>
            <w:r>
              <w:rPr>
                <w:sz w:val="17"/>
              </w:rPr>
              <w:t>public place accident claims Scotland</w:t>
            </w:r>
          </w:p>
        </w:tc>
        <w:tc>
          <w:tcPr>
            <w:tcW w:type="dxa" w:w="1170"/>
            <w:vAlign w:val="center"/>
            <w:tcMar>
              <w:top w:w="80" w:type="dxa"/>
              <w:start w:w="120" w:type="dxa"/>
              <w:bottom w:w="80" w:type="dxa"/>
              <w:end w:w="120" w:type="dxa"/>
            </w:tcMar>
          </w:tcPr>
          <w:p>
            <w:pPr>
              <w:spacing w:after="0"/>
            </w:pPr>
            <w:r>
              <w:rPr>
                <w:sz w:val="17"/>
              </w:rPr>
              <w:t>occupiers’ liability, council, supermarket, slip/trip</w:t>
            </w:r>
          </w:p>
        </w:tc>
        <w:tc>
          <w:tcPr>
            <w:tcW w:type="dxa" w:w="1170"/>
            <w:vAlign w:val="center"/>
            <w:tcMar>
              <w:top w:w="80" w:type="dxa"/>
              <w:start w:w="120" w:type="dxa"/>
              <w:bottom w:w="80" w:type="dxa"/>
              <w:end w:w="120" w:type="dxa"/>
            </w:tcMar>
          </w:tcPr>
          <w:p>
            <w:pPr>
              <w:spacing w:after="0"/>
            </w:pPr>
            <w:r>
              <w:rPr>
                <w:sz w:val="17"/>
              </w:rPr>
              <w:t>Public Place Accident Claims Scotland</w:t>
            </w:r>
          </w:p>
        </w:tc>
        <w:tc>
          <w:tcPr>
            <w:tcW w:type="dxa" w:w="1170"/>
            <w:vAlign w:val="center"/>
            <w:tcMar>
              <w:top w:w="80" w:type="dxa"/>
              <w:start w:w="120" w:type="dxa"/>
              <w:bottom w:w="80" w:type="dxa"/>
              <w:end w:w="120" w:type="dxa"/>
            </w:tcMar>
          </w:tcPr>
          <w:p>
            <w:pPr>
              <w:spacing w:after="0"/>
            </w:pPr>
            <w:r>
              <w:rPr>
                <w:sz w:val="17"/>
              </w:rPr>
              <w:t>Claims for Accidents in Public Places in Scotland</w:t>
            </w:r>
          </w:p>
        </w:tc>
        <w:tc>
          <w:tcPr>
            <w:tcW w:type="dxa" w:w="1170"/>
            <w:vAlign w:val="center"/>
            <w:tcMar>
              <w:top w:w="80" w:type="dxa"/>
              <w:start w:w="120" w:type="dxa"/>
              <w:bottom w:w="80" w:type="dxa"/>
              <w:end w:w="120" w:type="dxa"/>
            </w:tcMar>
          </w:tcPr>
          <w:p>
            <w:pPr>
              <w:spacing w:after="0"/>
            </w:pPr>
            <w:r>
              <w:rPr>
                <w:sz w:val="17"/>
              </w:rPr>
              <w:t>Occupier/council distinctions; notice/CCTV; defensible case examples</w:t>
            </w:r>
          </w:p>
        </w:tc>
        <w:tc>
          <w:tcPr>
            <w:tcW w:type="dxa" w:w="1170"/>
            <w:vAlign w:val="center"/>
            <w:tcMar>
              <w:top w:w="80" w:type="dxa"/>
              <w:start w:w="120" w:type="dxa"/>
              <w:bottom w:w="80" w:type="dxa"/>
              <w:end w:w="120" w:type="dxa"/>
            </w:tcMar>
          </w:tcPr>
          <w:p>
            <w:pPr>
              <w:spacing w:after="0"/>
            </w:pPr>
            <w:r>
              <w:rPr>
                <w:sz w:val="17"/>
              </w:rPr>
              <w:t>Support with slip/supermarket/council guides</w:t>
            </w:r>
          </w:p>
        </w:tc>
      </w:tr>
      <w:tr>
        <w:tc>
          <w:tcPr>
            <w:tcW w:type="dxa" w:w="1170"/>
            <w:vAlign w:val="center"/>
            <w:tcMar>
              <w:top w:w="80" w:type="dxa"/>
              <w:start w:w="120" w:type="dxa"/>
              <w:bottom w:w="80" w:type="dxa"/>
              <w:end w:w="120" w:type="dxa"/>
            </w:tcMar>
          </w:tcPr>
          <w:p>
            <w:pPr>
              <w:spacing w:after="0"/>
            </w:pPr>
            <w:r>
              <w:rPr>
                <w:sz w:val="17"/>
              </w:rPr>
              <w:t>/medical-negligence-claims-scotland</w:t>
            </w:r>
          </w:p>
        </w:tc>
        <w:tc>
          <w:tcPr>
            <w:tcW w:type="dxa" w:w="1170"/>
            <w:vAlign w:val="center"/>
            <w:tcMar>
              <w:top w:w="80" w:type="dxa"/>
              <w:start w:w="120" w:type="dxa"/>
              <w:bottom w:w="80" w:type="dxa"/>
              <w:end w:w="120" w:type="dxa"/>
            </w:tcMar>
          </w:tcPr>
          <w:p>
            <w:pPr>
              <w:spacing w:after="0"/>
            </w:pPr>
            <w:r>
              <w:rPr>
                <w:sz w:val="17"/>
              </w:rPr>
              <w:t>Keep; solicitor rewrite</w:t>
            </w:r>
          </w:p>
        </w:tc>
        <w:tc>
          <w:tcPr>
            <w:tcW w:type="dxa" w:w="1170"/>
            <w:vAlign w:val="center"/>
            <w:tcMar>
              <w:top w:w="80" w:type="dxa"/>
              <w:start w:w="120" w:type="dxa"/>
              <w:bottom w:w="80" w:type="dxa"/>
              <w:end w:w="120" w:type="dxa"/>
            </w:tcMar>
          </w:tcPr>
          <w:p>
            <w:pPr>
              <w:spacing w:after="0"/>
            </w:pPr>
            <w:r>
              <w:rPr>
                <w:sz w:val="17"/>
              </w:rPr>
              <w:t>medical negligence claims Scotland</w:t>
            </w:r>
          </w:p>
        </w:tc>
        <w:tc>
          <w:tcPr>
            <w:tcW w:type="dxa" w:w="1170"/>
            <w:vAlign w:val="center"/>
            <w:tcMar>
              <w:top w:w="80" w:type="dxa"/>
              <w:start w:w="120" w:type="dxa"/>
              <w:bottom w:w="80" w:type="dxa"/>
              <w:end w:w="120" w:type="dxa"/>
            </w:tcMar>
          </w:tcPr>
          <w:p>
            <w:pPr>
              <w:spacing w:after="0"/>
            </w:pPr>
            <w:r>
              <w:rPr>
                <w:sz w:val="17"/>
              </w:rPr>
              <w:t>clinical negligence, NHS board, breach, causation</w:t>
            </w:r>
          </w:p>
        </w:tc>
        <w:tc>
          <w:tcPr>
            <w:tcW w:type="dxa" w:w="1170"/>
            <w:vAlign w:val="center"/>
            <w:tcMar>
              <w:top w:w="80" w:type="dxa"/>
              <w:start w:w="120" w:type="dxa"/>
              <w:bottom w:w="80" w:type="dxa"/>
              <w:end w:w="120" w:type="dxa"/>
            </w:tcMar>
          </w:tcPr>
          <w:p>
            <w:pPr>
              <w:spacing w:after="0"/>
            </w:pPr>
            <w:r>
              <w:rPr>
                <w:sz w:val="17"/>
              </w:rPr>
              <w:t>Medical Negligence Claims Scotland: What Must Be Proved</w:t>
            </w:r>
          </w:p>
        </w:tc>
        <w:tc>
          <w:tcPr>
            <w:tcW w:type="dxa" w:w="1170"/>
            <w:vAlign w:val="center"/>
            <w:tcMar>
              <w:top w:w="80" w:type="dxa"/>
              <w:start w:w="120" w:type="dxa"/>
              <w:bottom w:w="80" w:type="dxa"/>
              <w:end w:w="120" w:type="dxa"/>
            </w:tcMar>
          </w:tcPr>
          <w:p>
            <w:pPr>
              <w:spacing w:after="0"/>
            </w:pPr>
            <w:r>
              <w:rPr>
                <w:sz w:val="17"/>
              </w:rPr>
              <w:t>Medical Negligence Claims in Scotland</w:t>
            </w:r>
          </w:p>
        </w:tc>
        <w:tc>
          <w:tcPr>
            <w:tcW w:type="dxa" w:w="1170"/>
            <w:vAlign w:val="center"/>
            <w:tcMar>
              <w:top w:w="80" w:type="dxa"/>
              <w:start w:w="120" w:type="dxa"/>
              <w:bottom w:w="80" w:type="dxa"/>
              <w:end w:w="120" w:type="dxa"/>
            </w:tcMar>
          </w:tcPr>
          <w:p>
            <w:pPr>
              <w:spacing w:after="0"/>
            </w:pPr>
            <w:r>
              <w:rPr>
                <w:sz w:val="17"/>
              </w:rPr>
              <w:t>Complaints vs damages, expert evidence, consent, causation, CLO terminology, sources</w:t>
            </w:r>
          </w:p>
        </w:tc>
        <w:tc>
          <w:tcPr>
            <w:tcW w:type="dxa" w:w="1170"/>
            <w:vAlign w:val="center"/>
            <w:tcMar>
              <w:top w:w="80" w:type="dxa"/>
              <w:start w:w="120" w:type="dxa"/>
              <w:bottom w:w="80" w:type="dxa"/>
              <w:end w:w="120" w:type="dxa"/>
            </w:tcMar>
          </w:tcPr>
          <w:p>
            <w:pPr>
              <w:spacing w:after="0"/>
            </w:pPr>
            <w:r>
              <w:rPr>
                <w:sz w:val="17"/>
              </w:rPr>
              <w:t>Hub for GP/NHS/birth/cancer/etc.</w:t>
            </w:r>
          </w:p>
        </w:tc>
      </w:tr>
      <w:tr>
        <w:tc>
          <w:tcPr>
            <w:tcW w:type="dxa" w:w="1170"/>
            <w:vAlign w:val="center"/>
            <w:tcMar>
              <w:top w:w="80" w:type="dxa"/>
              <w:start w:w="120" w:type="dxa"/>
              <w:bottom w:w="80" w:type="dxa"/>
              <w:end w:w="120" w:type="dxa"/>
            </w:tcMar>
          </w:tcPr>
          <w:p>
            <w:pPr>
              <w:spacing w:after="0"/>
            </w:pPr>
            <w:r>
              <w:rPr>
                <w:sz w:val="17"/>
              </w:rPr>
              <w:t>/serious-injury-claims-scotland</w:t>
            </w:r>
          </w:p>
        </w:tc>
        <w:tc>
          <w:tcPr>
            <w:tcW w:type="dxa" w:w="1170"/>
            <w:vAlign w:val="center"/>
            <w:tcMar>
              <w:top w:w="80" w:type="dxa"/>
              <w:start w:w="120" w:type="dxa"/>
              <w:bottom w:w="80" w:type="dxa"/>
              <w:end w:w="120" w:type="dxa"/>
            </w:tcMar>
          </w:tcPr>
          <w:p>
            <w:pPr>
              <w:spacing w:after="0"/>
            </w:pPr>
            <w:r>
              <w:rPr>
                <w:sz w:val="17"/>
              </w:rPr>
              <w:t>Keep; split fatal section if offered</w:t>
            </w:r>
          </w:p>
        </w:tc>
        <w:tc>
          <w:tcPr>
            <w:tcW w:type="dxa" w:w="1170"/>
            <w:vAlign w:val="center"/>
            <w:tcMar>
              <w:top w:w="80" w:type="dxa"/>
              <w:start w:w="120" w:type="dxa"/>
              <w:bottom w:w="80" w:type="dxa"/>
              <w:end w:w="120" w:type="dxa"/>
            </w:tcMar>
          </w:tcPr>
          <w:p>
            <w:pPr>
              <w:spacing w:after="0"/>
            </w:pPr>
            <w:r>
              <w:rPr>
                <w:sz w:val="17"/>
              </w:rPr>
              <w:t>serious injury claims Scotland</w:t>
            </w:r>
          </w:p>
        </w:tc>
        <w:tc>
          <w:tcPr>
            <w:tcW w:type="dxa" w:w="1170"/>
            <w:vAlign w:val="center"/>
            <w:tcMar>
              <w:top w:w="80" w:type="dxa"/>
              <w:start w:w="120" w:type="dxa"/>
              <w:bottom w:w="80" w:type="dxa"/>
              <w:end w:w="120" w:type="dxa"/>
            </w:tcMar>
          </w:tcPr>
          <w:p>
            <w:pPr>
              <w:spacing w:after="0"/>
            </w:pPr>
            <w:r>
              <w:rPr>
                <w:sz w:val="17"/>
              </w:rPr>
              <w:t>brain, spinal, amputation, rehabilitation</w:t>
            </w:r>
          </w:p>
        </w:tc>
        <w:tc>
          <w:tcPr>
            <w:tcW w:type="dxa" w:w="1170"/>
            <w:vAlign w:val="center"/>
            <w:tcMar>
              <w:top w:w="80" w:type="dxa"/>
              <w:start w:w="120" w:type="dxa"/>
              <w:bottom w:w="80" w:type="dxa"/>
              <w:end w:w="120" w:type="dxa"/>
            </w:tcMar>
          </w:tcPr>
          <w:p>
            <w:pPr>
              <w:spacing w:after="0"/>
            </w:pPr>
            <w:r>
              <w:rPr>
                <w:sz w:val="17"/>
              </w:rPr>
              <w:t>Serious Injury Claims Scotland: Compensation and Rehabilitation</w:t>
            </w:r>
          </w:p>
        </w:tc>
        <w:tc>
          <w:tcPr>
            <w:tcW w:type="dxa" w:w="1170"/>
            <w:vAlign w:val="center"/>
            <w:tcMar>
              <w:top w:w="80" w:type="dxa"/>
              <w:start w:w="120" w:type="dxa"/>
              <w:bottom w:w="80" w:type="dxa"/>
              <w:end w:w="120" w:type="dxa"/>
            </w:tcMar>
          </w:tcPr>
          <w:p>
            <w:pPr>
              <w:spacing w:after="0"/>
            </w:pPr>
            <w:r>
              <w:rPr>
                <w:sz w:val="17"/>
              </w:rPr>
              <w:t>Serious Injury Claims in Scotland</w:t>
            </w:r>
          </w:p>
        </w:tc>
        <w:tc>
          <w:tcPr>
            <w:tcW w:type="dxa" w:w="1170"/>
            <w:vAlign w:val="center"/>
            <w:tcMar>
              <w:top w:w="80" w:type="dxa"/>
              <w:start w:w="120" w:type="dxa"/>
              <w:bottom w:w="80" w:type="dxa"/>
              <w:end w:w="120" w:type="dxa"/>
            </w:tcMar>
          </w:tcPr>
          <w:p>
            <w:pPr>
              <w:spacing w:after="0"/>
            </w:pPr>
            <w:r>
              <w:rPr>
                <w:sz w:val="17"/>
              </w:rPr>
              <w:t>Interim payments qualified, rehabilitation code, future loss, capacity</w:t>
            </w:r>
          </w:p>
        </w:tc>
        <w:tc>
          <w:tcPr>
            <w:tcW w:type="dxa" w:w="1170"/>
            <w:vAlign w:val="center"/>
            <w:tcMar>
              <w:top w:w="80" w:type="dxa"/>
              <w:start w:w="120" w:type="dxa"/>
              <w:bottom w:w="80" w:type="dxa"/>
              <w:end w:w="120" w:type="dxa"/>
            </w:tcMar>
          </w:tcPr>
          <w:p>
            <w:pPr>
              <w:spacing w:after="0"/>
            </w:pPr>
            <w:r>
              <w:rPr>
                <w:sz w:val="17"/>
              </w:rPr>
              <w:t>Link fatal guide; consider fatal pillar only with genuine service</w:t>
            </w:r>
          </w:p>
        </w:tc>
      </w:tr>
      <w:tr>
        <w:tc>
          <w:tcPr>
            <w:tcW w:type="dxa" w:w="1170"/>
            <w:vAlign w:val="center"/>
            <w:tcMar>
              <w:top w:w="80" w:type="dxa"/>
              <w:start w:w="120" w:type="dxa"/>
              <w:bottom w:w="80" w:type="dxa"/>
              <w:end w:w="120" w:type="dxa"/>
            </w:tcMar>
          </w:tcPr>
          <w:p>
            <w:pPr>
              <w:spacing w:after="0"/>
            </w:pPr>
            <w:r>
              <w:rPr>
                <w:sz w:val="17"/>
              </w:rPr>
              <w:t>/industrial-disease-claims-scotland</w:t>
            </w:r>
          </w:p>
        </w:tc>
        <w:tc>
          <w:tcPr>
            <w:tcW w:type="dxa" w:w="1170"/>
            <w:vAlign w:val="center"/>
            <w:tcMar>
              <w:top w:w="80" w:type="dxa"/>
              <w:start w:w="120" w:type="dxa"/>
              <w:bottom w:w="80" w:type="dxa"/>
              <w:end w:w="120" w:type="dxa"/>
            </w:tcMar>
          </w:tcPr>
          <w:p>
            <w:pPr>
              <w:spacing w:after="0"/>
            </w:pPr>
            <w:r>
              <w:rPr>
                <w:sz w:val="17"/>
              </w:rPr>
              <w:t>Keep; solicitor rewrite</w:t>
            </w:r>
          </w:p>
        </w:tc>
        <w:tc>
          <w:tcPr>
            <w:tcW w:type="dxa" w:w="1170"/>
            <w:vAlign w:val="center"/>
            <w:tcMar>
              <w:top w:w="80" w:type="dxa"/>
              <w:start w:w="120" w:type="dxa"/>
              <w:bottom w:w="80" w:type="dxa"/>
              <w:end w:w="120" w:type="dxa"/>
            </w:tcMar>
          </w:tcPr>
          <w:p>
            <w:pPr>
              <w:spacing w:after="0"/>
            </w:pPr>
            <w:r>
              <w:rPr>
                <w:sz w:val="17"/>
              </w:rPr>
              <w:t>industrial disease claims Scotland</w:t>
            </w:r>
          </w:p>
        </w:tc>
        <w:tc>
          <w:tcPr>
            <w:tcW w:type="dxa" w:w="1170"/>
            <w:vAlign w:val="center"/>
            <w:tcMar>
              <w:top w:w="80" w:type="dxa"/>
              <w:start w:w="120" w:type="dxa"/>
              <w:bottom w:w="80" w:type="dxa"/>
              <w:end w:w="120" w:type="dxa"/>
            </w:tcMar>
          </w:tcPr>
          <w:p>
            <w:pPr>
              <w:spacing w:after="0"/>
            </w:pPr>
            <w:r>
              <w:rPr>
                <w:sz w:val="17"/>
              </w:rPr>
              <w:t>mesothelioma, NIHL, HAVS, historic employer</w:t>
            </w:r>
          </w:p>
        </w:tc>
        <w:tc>
          <w:tcPr>
            <w:tcW w:type="dxa" w:w="1170"/>
            <w:vAlign w:val="center"/>
            <w:tcMar>
              <w:top w:w="80" w:type="dxa"/>
              <w:start w:w="120" w:type="dxa"/>
              <w:bottom w:w="80" w:type="dxa"/>
              <w:end w:w="120" w:type="dxa"/>
            </w:tcMar>
          </w:tcPr>
          <w:p>
            <w:pPr>
              <w:spacing w:after="0"/>
            </w:pPr>
            <w:r>
              <w:rPr>
                <w:sz w:val="17"/>
              </w:rPr>
              <w:t>Industrial Disease Claims Scotland: Exposure, Evidence and Time Limits</w:t>
            </w:r>
          </w:p>
        </w:tc>
        <w:tc>
          <w:tcPr>
            <w:tcW w:type="dxa" w:w="1170"/>
            <w:vAlign w:val="center"/>
            <w:tcMar>
              <w:top w:w="80" w:type="dxa"/>
              <w:start w:w="120" w:type="dxa"/>
              <w:bottom w:w="80" w:type="dxa"/>
              <w:end w:w="120" w:type="dxa"/>
            </w:tcMar>
          </w:tcPr>
          <w:p>
            <w:pPr>
              <w:spacing w:after="0"/>
            </w:pPr>
            <w:r>
              <w:rPr>
                <w:sz w:val="17"/>
              </w:rPr>
              <w:t>Industrial Disease and Occupational Illness Claims in Scotland</w:t>
            </w:r>
          </w:p>
        </w:tc>
        <w:tc>
          <w:tcPr>
            <w:tcW w:type="dxa" w:w="1170"/>
            <w:vAlign w:val="center"/>
            <w:tcMar>
              <w:top w:w="80" w:type="dxa"/>
              <w:start w:w="120" w:type="dxa"/>
              <w:bottom w:w="80" w:type="dxa"/>
              <w:end w:w="120" w:type="dxa"/>
            </w:tcMar>
          </w:tcPr>
          <w:p>
            <w:pPr>
              <w:spacing w:after="0"/>
            </w:pPr>
            <w:r>
              <w:rPr>
                <w:sz w:val="17"/>
              </w:rPr>
              <w:t>Insurer tracing, medical/exposure proof, statutory schemes distinction</w:t>
            </w:r>
          </w:p>
        </w:tc>
        <w:tc>
          <w:tcPr>
            <w:tcW w:type="dxa" w:w="1170"/>
            <w:vAlign w:val="center"/>
            <w:tcMar>
              <w:top w:w="80" w:type="dxa"/>
              <w:start w:w="120" w:type="dxa"/>
              <w:bottom w:w="80" w:type="dxa"/>
              <w:end w:w="120" w:type="dxa"/>
            </w:tcMar>
          </w:tcPr>
          <w:p>
            <w:pPr>
              <w:spacing w:after="0"/>
            </w:pPr>
            <w:r>
              <w:rPr>
                <w:sz w:val="17"/>
              </w:rPr>
              <w:t>Hub for asbestos/NIHL/HAVS</w:t>
            </w:r>
          </w:p>
        </w:tc>
      </w:tr>
      <w:tr>
        <w:tc>
          <w:tcPr>
            <w:tcW w:type="dxa" w:w="1170"/>
            <w:vAlign w:val="center"/>
            <w:tcMar>
              <w:top w:w="80" w:type="dxa"/>
              <w:start w:w="120" w:type="dxa"/>
              <w:bottom w:w="80" w:type="dxa"/>
              <w:end w:w="120" w:type="dxa"/>
            </w:tcMar>
          </w:tcPr>
          <w:p>
            <w:pPr>
              <w:spacing w:after="0"/>
            </w:pPr>
            <w:r>
              <w:rPr>
                <w:sz w:val="17"/>
              </w:rPr>
              <w:t>/criminal-injury-compensation-scotland</w:t>
            </w:r>
          </w:p>
        </w:tc>
        <w:tc>
          <w:tcPr>
            <w:tcW w:type="dxa" w:w="1170"/>
            <w:vAlign w:val="center"/>
            <w:tcMar>
              <w:top w:w="80" w:type="dxa"/>
              <w:start w:w="120" w:type="dxa"/>
              <w:bottom w:w="80" w:type="dxa"/>
              <w:end w:w="120" w:type="dxa"/>
            </w:tcMar>
          </w:tcPr>
          <w:p>
            <w:pPr>
              <w:spacing w:after="0"/>
            </w:pPr>
            <w:r>
              <w:rPr>
                <w:sz w:val="17"/>
              </w:rPr>
              <w:t>Keep; rewrite</w:t>
            </w:r>
          </w:p>
        </w:tc>
        <w:tc>
          <w:tcPr>
            <w:tcW w:type="dxa" w:w="1170"/>
            <w:vAlign w:val="center"/>
            <w:tcMar>
              <w:top w:w="80" w:type="dxa"/>
              <w:start w:w="120" w:type="dxa"/>
              <w:bottom w:w="80" w:type="dxa"/>
              <w:end w:w="120" w:type="dxa"/>
            </w:tcMar>
          </w:tcPr>
          <w:p>
            <w:pPr>
              <w:spacing w:after="0"/>
            </w:pPr>
            <w:r>
              <w:rPr>
                <w:sz w:val="17"/>
              </w:rPr>
              <w:t>CICA claims Scotland</w:t>
            </w:r>
          </w:p>
        </w:tc>
        <w:tc>
          <w:tcPr>
            <w:tcW w:type="dxa" w:w="1170"/>
            <w:vAlign w:val="center"/>
            <w:tcMar>
              <w:top w:w="80" w:type="dxa"/>
              <w:start w:w="120" w:type="dxa"/>
              <w:bottom w:w="80" w:type="dxa"/>
              <w:end w:w="120" w:type="dxa"/>
            </w:tcMar>
          </w:tcPr>
          <w:p>
            <w:pPr>
              <w:spacing w:after="0"/>
            </w:pPr>
            <w:r>
              <w:rPr>
                <w:sz w:val="17"/>
              </w:rPr>
              <w:t>2012 Scheme, crime of violence, tariff, police report</w:t>
            </w:r>
          </w:p>
        </w:tc>
        <w:tc>
          <w:tcPr>
            <w:tcW w:type="dxa" w:w="1170"/>
            <w:vAlign w:val="center"/>
            <w:tcMar>
              <w:top w:w="80" w:type="dxa"/>
              <w:start w:w="120" w:type="dxa"/>
              <w:bottom w:w="80" w:type="dxa"/>
              <w:end w:w="120" w:type="dxa"/>
            </w:tcMar>
          </w:tcPr>
          <w:p>
            <w:pPr>
              <w:spacing w:after="0"/>
            </w:pPr>
            <w:r>
              <w:rPr>
                <w:sz w:val="17"/>
              </w:rPr>
              <w:t>CICA Claims Scotland: Eligibility, Time Limits and Awards</w:t>
            </w:r>
          </w:p>
        </w:tc>
        <w:tc>
          <w:tcPr>
            <w:tcW w:type="dxa" w:w="1170"/>
            <w:vAlign w:val="center"/>
            <w:tcMar>
              <w:top w:w="80" w:type="dxa"/>
              <w:start w:w="120" w:type="dxa"/>
              <w:bottom w:w="80" w:type="dxa"/>
              <w:end w:w="120" w:type="dxa"/>
            </w:tcMar>
          </w:tcPr>
          <w:p>
            <w:pPr>
              <w:spacing w:after="0"/>
            </w:pPr>
            <w:r>
              <w:rPr>
                <w:sz w:val="17"/>
              </w:rPr>
              <w:t>Criminal Injury Compensation (CICA) Claims in Scotland</w:t>
            </w:r>
          </w:p>
        </w:tc>
        <w:tc>
          <w:tcPr>
            <w:tcW w:type="dxa" w:w="1170"/>
            <w:vAlign w:val="center"/>
            <w:tcMar>
              <w:top w:w="80" w:type="dxa"/>
              <w:start w:w="120" w:type="dxa"/>
              <w:bottom w:w="80" w:type="dxa"/>
              <w:end w:w="120" w:type="dxa"/>
            </w:tcMar>
          </w:tcPr>
          <w:p>
            <w:pPr>
              <w:spacing w:after="0"/>
            </w:pPr>
            <w:r>
              <w:rPr>
                <w:sz w:val="17"/>
              </w:rPr>
              <w:t>Make civil/CICA distinction prominent; two-year rule; conduct/convictions; tariff; review/appeal</w:t>
            </w:r>
          </w:p>
        </w:tc>
        <w:tc>
          <w:tcPr>
            <w:tcW w:type="dxa" w:w="1170"/>
            <w:vAlign w:val="center"/>
            <w:tcMar>
              <w:top w:w="80" w:type="dxa"/>
              <w:start w:w="120" w:type="dxa"/>
              <w:bottom w:w="80" w:type="dxa"/>
              <w:end w:w="120" w:type="dxa"/>
            </w:tcMar>
          </w:tcPr>
          <w:p>
            <w:pPr>
              <w:spacing w:after="0"/>
            </w:pPr>
            <w:r>
              <w:rPr>
                <w:sz w:val="17"/>
              </w:rPr>
              <w:t>Never blend three-year civil deadline into CICA content</w:t>
            </w:r>
          </w:p>
        </w:tc>
      </w:tr>
      <w:tr>
        <w:tc>
          <w:tcPr>
            <w:tcW w:type="dxa" w:w="1170"/>
            <w:vAlign w:val="center"/>
            <w:tcMar>
              <w:top w:w="80" w:type="dxa"/>
              <w:start w:w="120" w:type="dxa"/>
              <w:bottom w:w="80" w:type="dxa"/>
              <w:end w:w="120" w:type="dxa"/>
            </w:tcMar>
          </w:tcPr>
          <w:p>
            <w:pPr>
              <w:spacing w:after="0"/>
            </w:pPr>
            <w:r>
              <w:rPr>
                <w:sz w:val="17"/>
              </w:rPr>
              <w:t>/personal-injury-compensation-scotland</w:t>
            </w:r>
          </w:p>
        </w:tc>
        <w:tc>
          <w:tcPr>
            <w:tcW w:type="dxa" w:w="1170"/>
            <w:vAlign w:val="center"/>
            <w:tcMar>
              <w:top w:w="80" w:type="dxa"/>
              <w:start w:w="120" w:type="dxa"/>
              <w:bottom w:w="80" w:type="dxa"/>
              <w:end w:w="120" w:type="dxa"/>
            </w:tcMar>
          </w:tcPr>
          <w:p>
            <w:pPr>
              <w:spacing w:after="0"/>
            </w:pPr>
            <w:r>
              <w:rPr>
                <w:sz w:val="17"/>
              </w:rPr>
              <w:t>Keep; legal review</w:t>
            </w:r>
          </w:p>
        </w:tc>
        <w:tc>
          <w:tcPr>
            <w:tcW w:type="dxa" w:w="1170"/>
            <w:vAlign w:val="center"/>
            <w:tcMar>
              <w:top w:w="80" w:type="dxa"/>
              <w:start w:w="120" w:type="dxa"/>
              <w:bottom w:w="80" w:type="dxa"/>
              <w:end w:w="120" w:type="dxa"/>
            </w:tcMar>
          </w:tcPr>
          <w:p>
            <w:pPr>
              <w:spacing w:after="0"/>
            </w:pPr>
            <w:r>
              <w:rPr>
                <w:sz w:val="17"/>
              </w:rPr>
              <w:t>personal injury compensation Scotland</w:t>
            </w:r>
          </w:p>
        </w:tc>
        <w:tc>
          <w:tcPr>
            <w:tcW w:type="dxa" w:w="1170"/>
            <w:vAlign w:val="center"/>
            <w:tcMar>
              <w:top w:w="80" w:type="dxa"/>
              <w:start w:w="120" w:type="dxa"/>
              <w:bottom w:w="80" w:type="dxa"/>
              <w:end w:w="120" w:type="dxa"/>
            </w:tcMar>
          </w:tcPr>
          <w:p>
            <w:pPr>
              <w:spacing w:after="0"/>
            </w:pPr>
            <w:r>
              <w:rPr>
                <w:sz w:val="17"/>
              </w:rPr>
              <w:t>solatium, past/future loss, care, earnings</w:t>
            </w:r>
          </w:p>
        </w:tc>
        <w:tc>
          <w:tcPr>
            <w:tcW w:type="dxa" w:w="1170"/>
            <w:vAlign w:val="center"/>
            <w:tcMar>
              <w:top w:w="80" w:type="dxa"/>
              <w:start w:w="120" w:type="dxa"/>
              <w:bottom w:w="80" w:type="dxa"/>
              <w:end w:w="120" w:type="dxa"/>
            </w:tcMar>
          </w:tcPr>
          <w:p>
            <w:pPr>
              <w:spacing w:after="0"/>
            </w:pPr>
            <w:r>
              <w:rPr>
                <w:sz w:val="17"/>
              </w:rPr>
              <w:t>Personal Injury Compensation in Scotland: What Can Be Claimed?</w:t>
            </w:r>
          </w:p>
        </w:tc>
        <w:tc>
          <w:tcPr>
            <w:tcW w:type="dxa" w:w="1170"/>
            <w:vAlign w:val="center"/>
            <w:tcMar>
              <w:top w:w="80" w:type="dxa"/>
              <w:start w:w="120" w:type="dxa"/>
              <w:bottom w:w="80" w:type="dxa"/>
              <w:end w:w="120" w:type="dxa"/>
            </w:tcMar>
          </w:tcPr>
          <w:p>
            <w:pPr>
              <w:spacing w:after="0"/>
            </w:pPr>
            <w:r>
              <w:rPr>
                <w:sz w:val="17"/>
              </w:rPr>
              <w:t>Personal Injury Compensation in Scotland</w:t>
            </w:r>
          </w:p>
        </w:tc>
        <w:tc>
          <w:tcPr>
            <w:tcW w:type="dxa" w:w="1170"/>
            <w:vAlign w:val="center"/>
            <w:tcMar>
              <w:top w:w="80" w:type="dxa"/>
              <w:start w:w="120" w:type="dxa"/>
              <w:bottom w:w="80" w:type="dxa"/>
              <w:end w:w="120" w:type="dxa"/>
            </w:tcMar>
          </w:tcPr>
          <w:p>
            <w:pPr>
              <w:spacing w:after="0"/>
            </w:pPr>
            <w:r>
              <w:rPr>
                <w:sz w:val="17"/>
              </w:rPr>
              <w:t>Valuation evidence, interest/tax caveats, examples only if sourced</w:t>
            </w:r>
          </w:p>
        </w:tc>
        <w:tc>
          <w:tcPr>
            <w:tcW w:type="dxa" w:w="1170"/>
            <w:vAlign w:val="center"/>
            <w:tcMar>
              <w:top w:w="80" w:type="dxa"/>
              <w:start w:w="120" w:type="dxa"/>
              <w:bottom w:w="80" w:type="dxa"/>
              <w:end w:w="120" w:type="dxa"/>
            </w:tcMar>
          </w:tcPr>
          <w:p>
            <w:pPr>
              <w:spacing w:after="0"/>
            </w:pPr>
            <w:r>
              <w:rPr>
                <w:sz w:val="17"/>
              </w:rPr>
              <w:t>Merge “what is my claim worth” guide or make it methodology-only</w:t>
            </w:r>
          </w:p>
        </w:tc>
      </w:tr>
      <w:tr>
        <w:tc>
          <w:tcPr>
            <w:tcW w:type="dxa" w:w="1170"/>
            <w:vAlign w:val="center"/>
            <w:tcMar>
              <w:top w:w="80" w:type="dxa"/>
              <w:start w:w="120" w:type="dxa"/>
              <w:bottom w:w="80" w:type="dxa"/>
              <w:end w:w="120" w:type="dxa"/>
            </w:tcMar>
          </w:tcPr>
          <w:p>
            <w:pPr>
              <w:spacing w:after="0"/>
            </w:pPr>
            <w:r>
              <w:rPr>
                <w:sz w:val="17"/>
              </w:rPr>
              <w:t>/how-to-claim-compensation-scotland</w:t>
            </w:r>
          </w:p>
        </w:tc>
        <w:tc>
          <w:tcPr>
            <w:tcW w:type="dxa" w:w="1170"/>
            <w:vAlign w:val="center"/>
            <w:tcMar>
              <w:top w:w="80" w:type="dxa"/>
              <w:start w:w="120" w:type="dxa"/>
              <w:bottom w:w="80" w:type="dxa"/>
              <w:end w:w="120" w:type="dxa"/>
            </w:tcMar>
          </w:tcPr>
          <w:p>
            <w:pPr>
              <w:spacing w:after="0"/>
            </w:pPr>
            <w:r>
              <w:rPr>
                <w:sz w:val="17"/>
              </w:rPr>
              <w:t>Keep</w:t>
            </w:r>
          </w:p>
        </w:tc>
        <w:tc>
          <w:tcPr>
            <w:tcW w:type="dxa" w:w="1170"/>
            <w:vAlign w:val="center"/>
            <w:tcMar>
              <w:top w:w="80" w:type="dxa"/>
              <w:start w:w="120" w:type="dxa"/>
              <w:bottom w:w="80" w:type="dxa"/>
              <w:end w:w="120" w:type="dxa"/>
            </w:tcMar>
          </w:tcPr>
          <w:p>
            <w:pPr>
              <w:spacing w:after="0"/>
            </w:pPr>
            <w:r>
              <w:rPr>
                <w:sz w:val="17"/>
              </w:rPr>
              <w:t>how to claim compensation Scotland</w:t>
            </w:r>
          </w:p>
        </w:tc>
        <w:tc>
          <w:tcPr>
            <w:tcW w:type="dxa" w:w="1170"/>
            <w:vAlign w:val="center"/>
            <w:tcMar>
              <w:top w:w="80" w:type="dxa"/>
              <w:start w:w="120" w:type="dxa"/>
              <w:bottom w:w="80" w:type="dxa"/>
              <w:end w:w="120" w:type="dxa"/>
            </w:tcMar>
          </w:tcPr>
          <w:p>
            <w:pPr>
              <w:spacing w:after="0"/>
            </w:pPr>
            <w:r>
              <w:rPr>
                <w:sz w:val="17"/>
              </w:rPr>
              <w:t>enquiry, investigation, medical report, negotiation, court</w:t>
            </w:r>
          </w:p>
        </w:tc>
        <w:tc>
          <w:tcPr>
            <w:tcW w:type="dxa" w:w="1170"/>
            <w:vAlign w:val="center"/>
            <w:tcMar>
              <w:top w:w="80" w:type="dxa"/>
              <w:start w:w="120" w:type="dxa"/>
              <w:bottom w:w="80" w:type="dxa"/>
              <w:end w:w="120" w:type="dxa"/>
            </w:tcMar>
          </w:tcPr>
          <w:p>
            <w:pPr>
              <w:spacing w:after="0"/>
            </w:pPr>
            <w:r>
              <w:rPr>
                <w:sz w:val="17"/>
              </w:rPr>
              <w:t>How to Claim Compensation in Scotland: The Personal Injury Process</w:t>
            </w:r>
          </w:p>
        </w:tc>
        <w:tc>
          <w:tcPr>
            <w:tcW w:type="dxa" w:w="1170"/>
            <w:vAlign w:val="center"/>
            <w:tcMar>
              <w:top w:w="80" w:type="dxa"/>
              <w:start w:w="120" w:type="dxa"/>
              <w:bottom w:w="80" w:type="dxa"/>
              <w:end w:w="120" w:type="dxa"/>
            </w:tcMar>
          </w:tcPr>
          <w:p>
            <w:pPr>
              <w:spacing w:after="0"/>
            </w:pPr>
            <w:r>
              <w:rPr>
                <w:sz w:val="17"/>
              </w:rPr>
              <w:t>How to Make a Personal Injury Claim in Scotland</w:t>
            </w:r>
          </w:p>
        </w:tc>
        <w:tc>
          <w:tcPr>
            <w:tcW w:type="dxa" w:w="1170"/>
            <w:vAlign w:val="center"/>
            <w:tcMar>
              <w:top w:w="80" w:type="dxa"/>
              <w:start w:w="120" w:type="dxa"/>
              <w:bottom w:w="80" w:type="dxa"/>
              <w:end w:w="120" w:type="dxa"/>
            </w:tcMar>
          </w:tcPr>
          <w:p>
            <w:pPr>
              <w:spacing w:after="0"/>
            </w:pPr>
            <w:r>
              <w:rPr>
                <w:sz w:val="17"/>
              </w:rPr>
              <w:t>Who handles each step, response expectations, alternatives, court routes</w:t>
            </w:r>
          </w:p>
        </w:tc>
        <w:tc>
          <w:tcPr>
            <w:tcW w:type="dxa" w:w="1170"/>
            <w:vAlign w:val="center"/>
            <w:tcMar>
              <w:top w:w="80" w:type="dxa"/>
              <w:start w:w="120" w:type="dxa"/>
              <w:bottom w:w="80" w:type="dxa"/>
              <w:end w:w="120" w:type="dxa"/>
            </w:tcMar>
          </w:tcPr>
          <w:p>
            <w:pPr>
              <w:spacing w:after="0"/>
            </w:pPr>
            <w:r>
              <w:rPr>
                <w:sz w:val="17"/>
              </w:rPr>
              <w:t>Process pillar; link evidence/court guides</w:t>
            </w:r>
          </w:p>
        </w:tc>
      </w:tr>
      <w:tr>
        <w:tc>
          <w:tcPr>
            <w:tcW w:type="dxa" w:w="1170"/>
            <w:vAlign w:val="center"/>
            <w:tcMar>
              <w:top w:w="80" w:type="dxa"/>
              <w:start w:w="120" w:type="dxa"/>
              <w:bottom w:w="80" w:type="dxa"/>
              <w:end w:w="120" w:type="dxa"/>
            </w:tcMar>
          </w:tcPr>
          <w:p>
            <w:pPr>
              <w:spacing w:after="0"/>
            </w:pPr>
            <w:r>
              <w:rPr>
                <w:sz w:val="17"/>
              </w:rPr>
              <w:t>/personal-injury-claim-time-limits-scotland</w:t>
            </w:r>
          </w:p>
        </w:tc>
        <w:tc>
          <w:tcPr>
            <w:tcW w:type="dxa" w:w="1170"/>
            <w:vAlign w:val="center"/>
            <w:tcMar>
              <w:top w:w="80" w:type="dxa"/>
              <w:start w:w="120" w:type="dxa"/>
              <w:bottom w:w="80" w:type="dxa"/>
              <w:end w:w="120" w:type="dxa"/>
            </w:tcMar>
          </w:tcPr>
          <w:p>
            <w:pPr>
              <w:spacing w:after="0"/>
            </w:pPr>
            <w:r>
              <w:rPr>
                <w:sz w:val="17"/>
              </w:rPr>
              <w:t>Keep; authoritative rewrite</w:t>
            </w:r>
          </w:p>
        </w:tc>
        <w:tc>
          <w:tcPr>
            <w:tcW w:type="dxa" w:w="1170"/>
            <w:vAlign w:val="center"/>
            <w:tcMar>
              <w:top w:w="80" w:type="dxa"/>
              <w:start w:w="120" w:type="dxa"/>
              <w:bottom w:w="80" w:type="dxa"/>
              <w:end w:w="120" w:type="dxa"/>
            </w:tcMar>
          </w:tcPr>
          <w:p>
            <w:pPr>
              <w:spacing w:after="0"/>
            </w:pPr>
            <w:r>
              <w:rPr>
                <w:sz w:val="17"/>
              </w:rPr>
              <w:t>personal injury claim time limit Scotland</w:t>
            </w:r>
          </w:p>
        </w:tc>
        <w:tc>
          <w:tcPr>
            <w:tcW w:type="dxa" w:w="1170"/>
            <w:vAlign w:val="center"/>
            <w:tcMar>
              <w:top w:w="80" w:type="dxa"/>
              <w:start w:w="120" w:type="dxa"/>
              <w:bottom w:w="80" w:type="dxa"/>
              <w:end w:w="120" w:type="dxa"/>
            </w:tcMar>
          </w:tcPr>
          <w:p>
            <w:pPr>
              <w:spacing w:after="0"/>
            </w:pPr>
            <w:r>
              <w:rPr>
                <w:sz w:val="17"/>
              </w:rPr>
              <w:t>1973 Act ss17, 18, 19A; date of knowledge</w:t>
            </w:r>
          </w:p>
        </w:tc>
        <w:tc>
          <w:tcPr>
            <w:tcW w:type="dxa" w:w="1170"/>
            <w:vAlign w:val="center"/>
            <w:tcMar>
              <w:top w:w="80" w:type="dxa"/>
              <w:start w:w="120" w:type="dxa"/>
              <w:bottom w:w="80" w:type="dxa"/>
              <w:end w:w="120" w:type="dxa"/>
            </w:tcMar>
          </w:tcPr>
          <w:p>
            <w:pPr>
              <w:spacing w:after="0"/>
            </w:pPr>
            <w:r>
              <w:rPr>
                <w:sz w:val="17"/>
              </w:rPr>
              <w:t>Personal Injury Time Limits in Scotland: The Three-Year Rule</w:t>
            </w:r>
          </w:p>
        </w:tc>
        <w:tc>
          <w:tcPr>
            <w:tcW w:type="dxa" w:w="1170"/>
            <w:vAlign w:val="center"/>
            <w:tcMar>
              <w:top w:w="80" w:type="dxa"/>
              <w:start w:w="120" w:type="dxa"/>
              <w:bottom w:w="80" w:type="dxa"/>
              <w:end w:w="120" w:type="dxa"/>
            </w:tcMar>
          </w:tcPr>
          <w:p>
            <w:pPr>
              <w:spacing w:after="0"/>
            </w:pPr>
            <w:r>
              <w:rPr>
                <w:sz w:val="17"/>
              </w:rPr>
              <w:t>Personal Injury Claim Time Limits in Scotland</w:t>
            </w:r>
          </w:p>
        </w:tc>
        <w:tc>
          <w:tcPr>
            <w:tcW w:type="dxa" w:w="1170"/>
            <w:vAlign w:val="center"/>
            <w:tcMar>
              <w:top w:w="80" w:type="dxa"/>
              <w:start w:w="120" w:type="dxa"/>
              <w:bottom w:w="80" w:type="dxa"/>
              <w:end w:w="120" w:type="dxa"/>
            </w:tcMar>
          </w:tcPr>
          <w:p>
            <w:pPr>
              <w:spacing w:after="0"/>
            </w:pPr>
            <w:r>
              <w:rPr>
                <w:sz w:val="17"/>
              </w:rPr>
              <w:t>“Raise proceedings” wording, statutory knowledge test, discretion not guarantee, special routes</w:t>
            </w:r>
          </w:p>
        </w:tc>
        <w:tc>
          <w:tcPr>
            <w:tcW w:type="dxa" w:w="1170"/>
            <w:vAlign w:val="center"/>
            <w:tcMar>
              <w:top w:w="80" w:type="dxa"/>
              <w:start w:w="120" w:type="dxa"/>
              <w:bottom w:w="80" w:type="dxa"/>
              <w:end w:w="120" w:type="dxa"/>
            </w:tcMar>
          </w:tcPr>
          <w:p>
            <w:pPr>
              <w:spacing w:after="0"/>
            </w:pPr>
            <w:r>
              <w:rPr>
                <w:sz w:val="17"/>
              </w:rPr>
              <w:t>Merge same-intent guide; retain one canonical</w:t>
            </w:r>
          </w:p>
        </w:tc>
      </w:tr>
      <w:tr>
        <w:tc>
          <w:tcPr>
            <w:tcW w:type="dxa" w:w="1170"/>
            <w:vAlign w:val="center"/>
            <w:tcMar>
              <w:top w:w="80" w:type="dxa"/>
              <w:start w:w="120" w:type="dxa"/>
              <w:bottom w:w="80" w:type="dxa"/>
              <w:end w:w="120" w:type="dxa"/>
            </w:tcMar>
          </w:tcPr>
          <w:p>
            <w:pPr>
              <w:spacing w:after="0"/>
            </w:pPr>
            <w:r>
              <w:rPr>
                <w:sz w:val="17"/>
              </w:rPr>
              <w:t>/no-win-no-fee-solicitors-scotland</w:t>
            </w:r>
          </w:p>
        </w:tc>
        <w:tc>
          <w:tcPr>
            <w:tcW w:type="dxa" w:w="1170"/>
            <w:vAlign w:val="center"/>
            <w:tcMar>
              <w:top w:w="80" w:type="dxa"/>
              <w:start w:w="120" w:type="dxa"/>
              <w:bottom w:w="80" w:type="dxa"/>
              <w:end w:w="120" w:type="dxa"/>
            </w:tcMar>
          </w:tcPr>
          <w:p>
            <w:pPr>
              <w:spacing w:after="0"/>
            </w:pPr>
            <w:r>
              <w:rPr>
                <w:sz w:val="17"/>
              </w:rPr>
              <w:t>Keep only after terms verified</w:t>
            </w:r>
          </w:p>
        </w:tc>
        <w:tc>
          <w:tcPr>
            <w:tcW w:type="dxa" w:w="1170"/>
            <w:vAlign w:val="center"/>
            <w:tcMar>
              <w:top w:w="80" w:type="dxa"/>
              <w:start w:w="120" w:type="dxa"/>
              <w:bottom w:w="80" w:type="dxa"/>
              <w:end w:w="120" w:type="dxa"/>
            </w:tcMar>
          </w:tcPr>
          <w:p>
            <w:pPr>
              <w:spacing w:after="0"/>
            </w:pPr>
            <w:r>
              <w:rPr>
                <w:sz w:val="17"/>
              </w:rPr>
              <w:t>no win no fee solicitors Scotland</w:t>
            </w:r>
          </w:p>
        </w:tc>
        <w:tc>
          <w:tcPr>
            <w:tcW w:type="dxa" w:w="1170"/>
            <w:vAlign w:val="center"/>
            <w:tcMar>
              <w:top w:w="80" w:type="dxa"/>
              <w:start w:w="120" w:type="dxa"/>
              <w:bottom w:w="80" w:type="dxa"/>
              <w:end w:w="120" w:type="dxa"/>
            </w:tcMar>
          </w:tcPr>
          <w:p>
            <w:pPr>
              <w:spacing w:after="0"/>
            </w:pPr>
            <w:r>
              <w:rPr>
                <w:sz w:val="17"/>
              </w:rPr>
              <w:t>success fee agreement, deductions, outlays, insurance</w:t>
            </w:r>
          </w:p>
        </w:tc>
        <w:tc>
          <w:tcPr>
            <w:tcW w:type="dxa" w:w="1170"/>
            <w:vAlign w:val="center"/>
            <w:tcMar>
              <w:top w:w="80" w:type="dxa"/>
              <w:start w:w="120" w:type="dxa"/>
              <w:bottom w:w="80" w:type="dxa"/>
              <w:end w:w="120" w:type="dxa"/>
            </w:tcMar>
          </w:tcPr>
          <w:p>
            <w:pPr>
              <w:spacing w:after="0"/>
            </w:pPr>
            <w:r>
              <w:rPr>
                <w:sz w:val="17"/>
              </w:rPr>
              <w:t>No Win No Fee in Scotland: Costs, Deductions and Risks</w:t>
            </w:r>
          </w:p>
        </w:tc>
        <w:tc>
          <w:tcPr>
            <w:tcW w:type="dxa" w:w="1170"/>
            <w:vAlign w:val="center"/>
            <w:tcMar>
              <w:top w:w="80" w:type="dxa"/>
              <w:start w:w="120" w:type="dxa"/>
              <w:bottom w:w="80" w:type="dxa"/>
              <w:end w:w="120" w:type="dxa"/>
            </w:tcMar>
          </w:tcPr>
          <w:p>
            <w:pPr>
              <w:spacing w:after="0"/>
            </w:pPr>
            <w:r>
              <w:rPr>
                <w:sz w:val="17"/>
              </w:rPr>
              <w:t>How No Win No Fee Personal Injury Claims Work in Scotland</w:t>
            </w:r>
          </w:p>
        </w:tc>
        <w:tc>
          <w:tcPr>
            <w:tcW w:type="dxa" w:w="1170"/>
            <w:vAlign w:val="center"/>
            <w:tcMar>
              <w:top w:w="80" w:type="dxa"/>
              <w:start w:w="120" w:type="dxa"/>
              <w:bottom w:w="80" w:type="dxa"/>
              <w:end w:w="120" w:type="dxa"/>
            </w:tcMar>
          </w:tcPr>
          <w:p>
            <w:pPr>
              <w:spacing w:after="0"/>
            </w:pPr>
            <w:r>
              <w:rPr>
                <w:sz w:val="17"/>
              </w:rPr>
              <w:t>Actual provider agreement, cap/percentage, VAT, outlays, ATE, termination, adverse expenses</w:t>
            </w:r>
          </w:p>
        </w:tc>
        <w:tc>
          <w:tcPr>
            <w:tcW w:type="dxa" w:w="1170"/>
            <w:vAlign w:val="center"/>
            <w:tcMar>
              <w:top w:w="80" w:type="dxa"/>
              <w:start w:w="120" w:type="dxa"/>
              <w:bottom w:w="80" w:type="dxa"/>
              <w:end w:w="120" w:type="dxa"/>
            </w:tcMar>
          </w:tcPr>
          <w:p>
            <w:pPr>
              <w:spacing w:after="0"/>
            </w:pPr>
            <w:r>
              <w:rPr>
                <w:sz w:val="17"/>
              </w:rPr>
              <w:t>Merge same-intent guide</w:t>
            </w:r>
          </w:p>
        </w:tc>
      </w:tr>
      <w:tr>
        <w:tc>
          <w:tcPr>
            <w:tcW w:type="dxa" w:w="1170"/>
            <w:vAlign w:val="center"/>
            <w:tcMar>
              <w:top w:w="80" w:type="dxa"/>
              <w:start w:w="120" w:type="dxa"/>
              <w:bottom w:w="80" w:type="dxa"/>
              <w:end w:w="120" w:type="dxa"/>
            </w:tcMar>
          </w:tcPr>
          <w:p>
            <w:pPr>
              <w:spacing w:after="0"/>
            </w:pPr>
            <w:r>
              <w:rPr>
                <w:sz w:val="17"/>
              </w:rPr>
              <w:t>/guides</w:t>
            </w:r>
          </w:p>
        </w:tc>
        <w:tc>
          <w:tcPr>
            <w:tcW w:type="dxa" w:w="1170"/>
            <w:vAlign w:val="center"/>
            <w:tcMar>
              <w:top w:w="80" w:type="dxa"/>
              <w:start w:w="120" w:type="dxa"/>
              <w:bottom w:w="80" w:type="dxa"/>
              <w:end w:w="120" w:type="dxa"/>
            </w:tcMar>
          </w:tcPr>
          <w:p>
            <w:pPr>
              <w:spacing w:after="0"/>
            </w:pPr>
            <w:r>
              <w:rPr>
                <w:sz w:val="17"/>
              </w:rPr>
              <w:t>Keep</w:t>
            </w:r>
          </w:p>
        </w:tc>
        <w:tc>
          <w:tcPr>
            <w:tcW w:type="dxa" w:w="1170"/>
            <w:vAlign w:val="center"/>
            <w:tcMar>
              <w:top w:w="80" w:type="dxa"/>
              <w:start w:w="120" w:type="dxa"/>
              <w:bottom w:w="80" w:type="dxa"/>
              <w:end w:w="120" w:type="dxa"/>
            </w:tcMar>
          </w:tcPr>
          <w:p>
            <w:pPr>
              <w:spacing w:after="0"/>
            </w:pPr>
            <w:r>
              <w:rPr>
                <w:sz w:val="17"/>
              </w:rPr>
              <w:t>Scottish personal injury guides</w:t>
            </w:r>
          </w:p>
        </w:tc>
        <w:tc>
          <w:tcPr>
            <w:tcW w:type="dxa" w:w="1170"/>
            <w:vAlign w:val="center"/>
            <w:tcMar>
              <w:top w:w="80" w:type="dxa"/>
              <w:start w:w="120" w:type="dxa"/>
              <w:bottom w:w="80" w:type="dxa"/>
              <w:end w:w="120" w:type="dxa"/>
            </w:tcMar>
          </w:tcPr>
          <w:p>
            <w:pPr>
              <w:spacing w:after="0"/>
            </w:pPr>
            <w:r>
              <w:rPr>
                <w:sz w:val="17"/>
              </w:rPr>
              <w:t>topic hubs, authors, reviewed dates</w:t>
            </w:r>
          </w:p>
        </w:tc>
        <w:tc>
          <w:tcPr>
            <w:tcW w:type="dxa" w:w="1170"/>
            <w:vAlign w:val="center"/>
            <w:tcMar>
              <w:top w:w="80" w:type="dxa"/>
              <w:start w:w="120" w:type="dxa"/>
              <w:bottom w:w="80" w:type="dxa"/>
              <w:end w:w="120" w:type="dxa"/>
            </w:tcMar>
          </w:tcPr>
          <w:p>
            <w:pPr>
              <w:spacing w:after="0"/>
            </w:pPr>
            <w:r>
              <w:rPr>
                <w:sz w:val="17"/>
              </w:rPr>
              <w:t>Scottish Personal Injury Guides</w:t>
            </w:r>
          </w:p>
        </w:tc>
        <w:tc>
          <w:tcPr>
            <w:tcW w:type="dxa" w:w="1170"/>
            <w:vAlign w:val="center"/>
            <w:tcMar>
              <w:top w:w="80" w:type="dxa"/>
              <w:start w:w="120" w:type="dxa"/>
              <w:bottom w:w="80" w:type="dxa"/>
              <w:end w:w="120" w:type="dxa"/>
            </w:tcMar>
          </w:tcPr>
          <w:p>
            <w:pPr>
              <w:spacing w:after="0"/>
            </w:pPr>
            <w:r>
              <w:rPr>
                <w:sz w:val="17"/>
              </w:rPr>
              <w:t>Scottish Personal Injury Guides Reviewed by Scottish Solicitors</w:t>
            </w:r>
          </w:p>
        </w:tc>
        <w:tc>
          <w:tcPr>
            <w:tcW w:type="dxa" w:w="1170"/>
            <w:vAlign w:val="center"/>
            <w:tcMar>
              <w:top w:w="80" w:type="dxa"/>
              <w:start w:w="120" w:type="dxa"/>
              <w:bottom w:w="80" w:type="dxa"/>
              <w:end w:w="120" w:type="dxa"/>
            </w:tcMar>
          </w:tcPr>
          <w:p>
            <w:pPr>
              <w:spacing w:after="0"/>
            </w:pPr>
            <w:r>
              <w:rPr>
                <w:sz w:val="17"/>
              </w:rPr>
              <w:t>Category navigation, author/reviewer, methodology, search only if real</w:t>
            </w:r>
          </w:p>
        </w:tc>
        <w:tc>
          <w:tcPr>
            <w:tcW w:type="dxa" w:w="1170"/>
            <w:vAlign w:val="center"/>
            <w:tcMar>
              <w:top w:w="80" w:type="dxa"/>
              <w:start w:w="120" w:type="dxa"/>
              <w:bottom w:w="80" w:type="dxa"/>
              <w:end w:w="120" w:type="dxa"/>
            </w:tcMar>
          </w:tcPr>
          <w:p>
            <w:pPr>
              <w:spacing w:after="0"/>
            </w:pPr>
            <w:r>
              <w:rPr>
                <w:sz w:val="17"/>
              </w:rPr>
              <w:t>Link guides to pillars and vice versa</w:t>
            </w:r>
          </w:p>
        </w:tc>
      </w:tr>
      <w:tr>
        <w:tc>
          <w:tcPr>
            <w:tcW w:type="dxa" w:w="1170"/>
            <w:vAlign w:val="center"/>
            <w:tcMar>
              <w:top w:w="80" w:type="dxa"/>
              <w:start w:w="120" w:type="dxa"/>
              <w:bottom w:w="80" w:type="dxa"/>
              <w:end w:w="120" w:type="dxa"/>
            </w:tcMar>
          </w:tcPr>
          <w:p>
            <w:pPr>
              <w:spacing w:after="0"/>
            </w:pPr>
            <w:r>
              <w:rPr>
                <w:sz w:val="17"/>
              </w:rPr>
              <w:t>/about</w:t>
            </w:r>
          </w:p>
        </w:tc>
        <w:tc>
          <w:tcPr>
            <w:tcW w:type="dxa" w:w="1170"/>
            <w:vAlign w:val="center"/>
            <w:tcMar>
              <w:top w:w="80" w:type="dxa"/>
              <w:start w:w="120" w:type="dxa"/>
              <w:bottom w:w="80" w:type="dxa"/>
              <w:end w:w="120" w:type="dxa"/>
            </w:tcMar>
          </w:tcPr>
          <w:p>
            <w:pPr>
              <w:spacing w:after="0"/>
            </w:pPr>
            <w:r>
              <w:rPr>
                <w:sz w:val="17"/>
              </w:rPr>
              <w:t>Replace placeholders/expand</w:t>
            </w:r>
          </w:p>
        </w:tc>
        <w:tc>
          <w:tcPr>
            <w:tcW w:type="dxa" w:w="1170"/>
            <w:vAlign w:val="center"/>
            <w:tcMar>
              <w:top w:w="80" w:type="dxa"/>
              <w:start w:w="120" w:type="dxa"/>
              <w:bottom w:w="80" w:type="dxa"/>
              <w:end w:w="120" w:type="dxa"/>
            </w:tcMar>
          </w:tcPr>
          <w:p>
            <w:pPr>
              <w:spacing w:after="0"/>
            </w:pPr>
            <w:r>
              <w:rPr>
                <w:sz w:val="17"/>
              </w:rPr>
              <w:t>about Accident Claims Scotland</w:t>
            </w:r>
          </w:p>
        </w:tc>
        <w:tc>
          <w:tcPr>
            <w:tcW w:type="dxa" w:w="1170"/>
            <w:vAlign w:val="center"/>
            <w:tcMar>
              <w:top w:w="80" w:type="dxa"/>
              <w:start w:w="120" w:type="dxa"/>
              <w:bottom w:w="80" w:type="dxa"/>
              <w:end w:w="120" w:type="dxa"/>
            </w:tcMar>
          </w:tcPr>
          <w:p>
            <w:pPr>
              <w:spacing w:after="0"/>
            </w:pPr>
            <w:r>
              <w:rPr>
                <w:sz w:val="17"/>
              </w:rPr>
              <w:t>owner, firm, solicitors, regulator</w:t>
            </w:r>
          </w:p>
        </w:tc>
        <w:tc>
          <w:tcPr>
            <w:tcW w:type="dxa" w:w="1170"/>
            <w:vAlign w:val="center"/>
            <w:tcMar>
              <w:top w:w="80" w:type="dxa"/>
              <w:start w:w="120" w:type="dxa"/>
              <w:bottom w:w="80" w:type="dxa"/>
              <w:end w:w="120" w:type="dxa"/>
            </w:tcMar>
          </w:tcPr>
          <w:p>
            <w:pPr>
              <w:spacing w:after="0"/>
            </w:pPr>
            <w:r>
              <w:rPr>
                <w:sz w:val="17"/>
              </w:rPr>
              <w:t>About Accident Claims Scotland and the Legal Provider</w:t>
            </w:r>
          </w:p>
        </w:tc>
        <w:tc>
          <w:tcPr>
            <w:tcW w:type="dxa" w:w="1170"/>
            <w:vAlign w:val="center"/>
            <w:tcMar>
              <w:top w:w="80" w:type="dxa"/>
              <w:start w:w="120" w:type="dxa"/>
              <w:bottom w:w="80" w:type="dxa"/>
              <w:end w:w="120" w:type="dxa"/>
            </w:tcMar>
          </w:tcPr>
          <w:p>
            <w:pPr>
              <w:spacing w:after="0"/>
            </w:pPr>
            <w:r>
              <w:rPr>
                <w:sz w:val="17"/>
              </w:rPr>
              <w:t>Who Operates Accident Claims Scotland?</w:t>
            </w:r>
          </w:p>
        </w:tc>
        <w:tc>
          <w:tcPr>
            <w:tcW w:type="dxa" w:w="1170"/>
            <w:vAlign w:val="center"/>
            <w:tcMar>
              <w:top w:w="80" w:type="dxa"/>
              <w:start w:w="120" w:type="dxa"/>
              <w:bottom w:w="80" w:type="dxa"/>
              <w:end w:w="120" w:type="dxa"/>
            </w:tcMar>
          </w:tcPr>
          <w:p>
            <w:pPr>
              <w:spacing w:after="0"/>
            </w:pPr>
            <w:r>
              <w:rPr>
                <w:sz w:val="17"/>
              </w:rPr>
              <w:t>Exact legal roles, firm/team profiles, membership links, locations, editorial policy</w:t>
            </w:r>
          </w:p>
        </w:tc>
        <w:tc>
          <w:tcPr>
            <w:tcW w:type="dxa" w:w="1170"/>
            <w:vAlign w:val="center"/>
            <w:tcMar>
              <w:top w:w="80" w:type="dxa"/>
              <w:start w:w="120" w:type="dxa"/>
              <w:bottom w:w="80" w:type="dxa"/>
              <w:end w:w="120" w:type="dxa"/>
            </w:tcMar>
          </w:tcPr>
          <w:p>
            <w:pPr>
              <w:spacing w:after="0"/>
            </w:pPr>
            <w:r>
              <w:rPr>
                <w:sz w:val="17"/>
              </w:rPr>
              <w:t>Primary entity page</w:t>
            </w:r>
          </w:p>
        </w:tc>
      </w:tr>
      <w:tr>
        <w:tc>
          <w:tcPr>
            <w:tcW w:type="dxa" w:w="1170"/>
            <w:vAlign w:val="center"/>
            <w:tcMar>
              <w:top w:w="80" w:type="dxa"/>
              <w:start w:w="120" w:type="dxa"/>
              <w:bottom w:w="80" w:type="dxa"/>
              <w:end w:w="120" w:type="dxa"/>
            </w:tcMar>
          </w:tcPr>
          <w:p>
            <w:pPr>
              <w:spacing w:after="0"/>
            </w:pPr>
            <w:r>
              <w:rPr>
                <w:sz w:val="17"/>
              </w:rPr>
              <w:t>/contact</w:t>
            </w:r>
          </w:p>
        </w:tc>
        <w:tc>
          <w:tcPr>
            <w:tcW w:type="dxa" w:w="1170"/>
            <w:vAlign w:val="center"/>
            <w:tcMar>
              <w:top w:w="80" w:type="dxa"/>
              <w:start w:w="120" w:type="dxa"/>
              <w:bottom w:w="80" w:type="dxa"/>
              <w:end w:w="120" w:type="dxa"/>
            </w:tcMar>
          </w:tcPr>
          <w:p>
            <w:pPr>
              <w:spacing w:after="0"/>
            </w:pPr>
            <w:r>
              <w:rPr>
                <w:sz w:val="17"/>
              </w:rPr>
              <w:t>Keep after form fix</w:t>
            </w:r>
          </w:p>
        </w:tc>
        <w:tc>
          <w:tcPr>
            <w:tcW w:type="dxa" w:w="1170"/>
            <w:vAlign w:val="center"/>
            <w:tcMar>
              <w:top w:w="80" w:type="dxa"/>
              <w:start w:w="120" w:type="dxa"/>
              <w:bottom w:w="80" w:type="dxa"/>
              <w:end w:w="120" w:type="dxa"/>
            </w:tcMar>
          </w:tcPr>
          <w:p>
            <w:pPr>
              <w:spacing w:after="0"/>
            </w:pPr>
            <w:r>
              <w:rPr>
                <w:sz w:val="17"/>
              </w:rPr>
              <w:t>contact personal injury solicitor Scotland</w:t>
            </w:r>
          </w:p>
        </w:tc>
        <w:tc>
          <w:tcPr>
            <w:tcW w:type="dxa" w:w="1170"/>
            <w:vAlign w:val="center"/>
            <w:tcMar>
              <w:top w:w="80" w:type="dxa"/>
              <w:start w:w="120" w:type="dxa"/>
              <w:bottom w:w="80" w:type="dxa"/>
              <w:end w:w="120" w:type="dxa"/>
            </w:tcMar>
          </w:tcPr>
          <w:p>
            <w:pPr>
              <w:spacing w:after="0"/>
            </w:pPr>
            <w:r>
              <w:rPr>
                <w:sz w:val="17"/>
              </w:rPr>
              <w:t>callback, phone, email, accessibility</w:t>
            </w:r>
          </w:p>
        </w:tc>
        <w:tc>
          <w:tcPr>
            <w:tcW w:type="dxa" w:w="1170"/>
            <w:vAlign w:val="center"/>
            <w:tcMar>
              <w:top w:w="80" w:type="dxa"/>
              <w:start w:w="120" w:type="dxa"/>
              <w:bottom w:w="80" w:type="dxa"/>
              <w:end w:w="120" w:type="dxa"/>
            </w:tcMar>
          </w:tcPr>
          <w:p>
            <w:pPr>
              <w:spacing w:after="0"/>
            </w:pPr>
            <w:r>
              <w:rPr>
                <w:sz w:val="17"/>
              </w:rPr>
              <w:t>Contact Accident Claims Scotland</w:t>
            </w:r>
          </w:p>
        </w:tc>
        <w:tc>
          <w:tcPr>
            <w:tcW w:type="dxa" w:w="1170"/>
            <w:vAlign w:val="center"/>
            <w:tcMar>
              <w:top w:w="80" w:type="dxa"/>
              <w:start w:w="120" w:type="dxa"/>
              <w:bottom w:w="80" w:type="dxa"/>
              <w:end w:w="120" w:type="dxa"/>
            </w:tcMar>
          </w:tcPr>
          <w:p>
            <w:pPr>
              <w:spacing w:after="0"/>
            </w:pPr>
            <w:r>
              <w:rPr>
                <w:sz w:val="17"/>
              </w:rPr>
              <w:t>Make a Confidential Initial Enquiry</w:t>
            </w:r>
          </w:p>
        </w:tc>
        <w:tc>
          <w:tcPr>
            <w:tcW w:type="dxa" w:w="1170"/>
            <w:vAlign w:val="center"/>
            <w:tcMar>
              <w:top w:w="80" w:type="dxa"/>
              <w:start w:w="120" w:type="dxa"/>
              <w:bottom w:w="80" w:type="dxa"/>
              <w:end w:w="120" w:type="dxa"/>
            </w:tcMar>
          </w:tcPr>
          <w:p>
            <w:pPr>
              <w:spacing w:after="0"/>
            </w:pPr>
            <w:r>
              <w:rPr>
                <w:sz w:val="17"/>
              </w:rPr>
              <w:t>Who receives data, response time, urgent/deadline warning, accessible channels</w:t>
            </w:r>
          </w:p>
        </w:tc>
        <w:tc>
          <w:tcPr>
            <w:tcW w:type="dxa" w:w="1170"/>
            <w:vAlign w:val="center"/>
            <w:tcMar>
              <w:top w:w="80" w:type="dxa"/>
              <w:start w:w="120" w:type="dxa"/>
              <w:bottom w:w="80" w:type="dxa"/>
              <w:end w:w="120" w:type="dxa"/>
            </w:tcMar>
          </w:tcPr>
          <w:p>
            <w:pPr>
              <w:spacing w:after="0"/>
            </w:pPr>
            <w:r>
              <w:rPr>
                <w:sz w:val="17"/>
              </w:rPr>
              <w:t>CTA destination</w:t>
            </w:r>
          </w:p>
        </w:tc>
      </w:tr>
      <w:tr>
        <w:tc>
          <w:tcPr>
            <w:tcW w:type="dxa" w:w="1170"/>
            <w:vAlign w:val="center"/>
            <w:tcMar>
              <w:top w:w="80" w:type="dxa"/>
              <w:start w:w="120" w:type="dxa"/>
              <w:bottom w:w="80" w:type="dxa"/>
              <w:end w:w="120" w:type="dxa"/>
            </w:tcMar>
          </w:tcPr>
          <w:p>
            <w:pPr>
              <w:spacing w:after="0"/>
            </w:pPr>
            <w:r>
              <w:rPr>
                <w:sz w:val="17"/>
              </w:rPr>
              <w:t>Legal pages</w:t>
            </w:r>
          </w:p>
        </w:tc>
        <w:tc>
          <w:tcPr>
            <w:tcW w:type="dxa" w:w="1170"/>
            <w:vAlign w:val="center"/>
            <w:tcMar>
              <w:top w:w="80" w:type="dxa"/>
              <w:start w:w="120" w:type="dxa"/>
              <w:bottom w:w="80" w:type="dxa"/>
              <w:end w:w="120" w:type="dxa"/>
            </w:tcMar>
          </w:tcPr>
          <w:p>
            <w:pPr>
              <w:spacing w:after="0"/>
            </w:pPr>
            <w:r>
              <w:rPr>
                <w:sz w:val="17"/>
              </w:rPr>
              <w:t>Keep; noindex terms/accessibility only if strategy demands</w:t>
            </w:r>
          </w:p>
        </w:tc>
        <w:tc>
          <w:tcPr>
            <w:tcW w:type="dxa" w:w="1170"/>
            <w:vAlign w:val="center"/>
            <w:tcMar>
              <w:top w:w="80" w:type="dxa"/>
              <w:start w:w="120" w:type="dxa"/>
              <w:bottom w:w="80" w:type="dxa"/>
              <w:end w:w="120" w:type="dxa"/>
            </w:tcMar>
          </w:tcPr>
          <w:p>
            <w:pPr>
              <w:spacing w:after="0"/>
            </w:pPr>
            <w:r>
              <w:rPr>
                <w:sz w:val="17"/>
              </w:rPr>
              <w:t>navigational/compliance</w:t>
            </w:r>
          </w:p>
        </w:tc>
        <w:tc>
          <w:tcPr>
            <w:tcW w:type="dxa" w:w="1170"/>
            <w:vAlign w:val="center"/>
            <w:tcMar>
              <w:top w:w="80" w:type="dxa"/>
              <w:start w:w="120" w:type="dxa"/>
              <w:bottom w:w="80" w:type="dxa"/>
              <w:end w:w="120" w:type="dxa"/>
            </w:tcMar>
          </w:tcPr>
          <w:p>
            <w:pPr>
              <w:spacing w:after="0"/>
            </w:pPr>
            <w:r>
              <w:rPr>
                <w:sz w:val="17"/>
              </w:rPr>
              <w:t>controller, cookies, complaints, accessibility</w:t>
            </w:r>
          </w:p>
        </w:tc>
        <w:tc>
          <w:tcPr>
            <w:tcW w:type="dxa" w:w="1170"/>
            <w:vAlign w:val="center"/>
            <w:tcMar>
              <w:top w:w="80" w:type="dxa"/>
              <w:start w:w="120" w:type="dxa"/>
              <w:bottom w:w="80" w:type="dxa"/>
              <w:end w:w="120" w:type="dxa"/>
            </w:tcMar>
          </w:tcPr>
          <w:p>
            <w:pPr>
              <w:spacing w:after="0"/>
            </w:pPr>
            <w:r>
              <w:rPr>
                <w:sz w:val="17"/>
              </w:rPr>
              <w:t>Accurate descriptive titles</w:t>
            </w:r>
          </w:p>
        </w:tc>
        <w:tc>
          <w:tcPr>
            <w:tcW w:type="dxa" w:w="1170"/>
            <w:vAlign w:val="center"/>
            <w:tcMar>
              <w:top w:w="80" w:type="dxa"/>
              <w:start w:w="120" w:type="dxa"/>
              <w:bottom w:w="80" w:type="dxa"/>
              <w:end w:w="120" w:type="dxa"/>
            </w:tcMar>
          </w:tcPr>
          <w:p>
            <w:pPr>
              <w:spacing w:after="0"/>
            </w:pPr>
            <w:r>
              <w:rPr>
                <w:sz w:val="17"/>
              </w:rPr>
              <w:t>Plain H1</w:t>
            </w:r>
          </w:p>
        </w:tc>
        <w:tc>
          <w:tcPr>
            <w:tcW w:type="dxa" w:w="1170"/>
            <w:vAlign w:val="center"/>
            <w:tcMar>
              <w:top w:w="80" w:type="dxa"/>
              <w:start w:w="120" w:type="dxa"/>
              <w:bottom w:w="80" w:type="dxa"/>
              <w:end w:w="120" w:type="dxa"/>
            </w:tcMar>
          </w:tcPr>
          <w:p>
            <w:pPr>
              <w:spacing w:after="0"/>
            </w:pPr>
            <w:r>
              <w:rPr>
                <w:sz w:val="17"/>
              </w:rPr>
              <w:t>Verified entities/dates/processes</w:t>
            </w:r>
          </w:p>
        </w:tc>
        <w:tc>
          <w:tcPr>
            <w:tcW w:type="dxa" w:w="1170"/>
            <w:vAlign w:val="center"/>
            <w:tcMar>
              <w:top w:w="80" w:type="dxa"/>
              <w:start w:w="120" w:type="dxa"/>
              <w:bottom w:w="80" w:type="dxa"/>
              <w:end w:w="120" w:type="dxa"/>
            </w:tcMar>
          </w:tcPr>
          <w:p>
            <w:pPr>
              <w:spacing w:after="0"/>
            </w:pPr>
            <w:r>
              <w:rPr>
                <w:sz w:val="17"/>
              </w:rPr>
              <w:t>Footer links; generally indexable is acceptable</w:t>
            </w:r>
          </w:p>
        </w:tc>
      </w:tr>
    </w:tbl>
    <w:p>
      <w:pPr>
        <w:spacing w:after="0"/>
      </w:pPr>
    </w:p>
    <w:p>
      <w:pPr>
        <w:pStyle w:val="Heading3"/>
      </w:pPr>
      <w:r>
        <w:t>City/location pages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start w:w="120" w:type="dxa"/>
              <w:bottom w:w="80" w:type="dxa"/>
              <w:end w:w="120" w:type="dxa"/>
            </w:tcMar>
            <w:shd w:fill="E8EEF5"/>
          </w:tcPr>
          <w:p>
            <w:pPr>
              <w:spacing w:after="0"/>
            </w:pPr>
            <w:r>
              <w:rPr>
                <w:b/>
                <w:color w:val="0B2545"/>
                <w:sz w:val="17"/>
              </w:rPr>
              <w:t>URLs</w:t>
            </w:r>
          </w:p>
        </w:tc>
        <w:tc>
          <w:tcPr>
            <w:tcW w:type="dxa" w:w="4680"/>
            <w:vAlign w:val="center"/>
            <w:tcMar>
              <w:top w:w="80" w:type="dxa"/>
              <w:start w:w="120" w:type="dxa"/>
              <w:bottom w:w="80" w:type="dxa"/>
              <w:end w:w="120" w:type="dxa"/>
            </w:tcMar>
            <w:shd w:fill="E8EEF5"/>
          </w:tcPr>
          <w:p>
            <w:pPr>
              <w:spacing w:after="0"/>
            </w:pPr>
            <w:r>
              <w:rPr>
                <w:b/>
                <w:color w:val="0B2545"/>
                <w:sz w:val="17"/>
              </w:rPr>
              <w:t>Current action</w:t>
            </w:r>
          </w:p>
        </w:tc>
        <w:tc>
          <w:tcPr>
            <w:tcW w:type="dxa" w:w="1656"/>
            <w:vAlign w:val="center"/>
            <w:tcMar>
              <w:top w:w="80" w:type="dxa"/>
              <w:start w:w="120" w:type="dxa"/>
              <w:bottom w:w="80" w:type="dxa"/>
              <w:end w:w="120" w:type="dxa"/>
            </w:tcMar>
            <w:shd w:fill="E8EEF5"/>
          </w:tcPr>
          <w:p>
            <w:pPr>
              <w:spacing w:after="0"/>
            </w:pPr>
            <w:r>
              <w:rPr>
                <w:b/>
                <w:color w:val="0B2545"/>
                <w:sz w:val="17"/>
              </w:rPr>
              <w:t>Primary intent if retained</w:t>
            </w:r>
          </w:p>
        </w:tc>
        <w:tc>
          <w:tcPr>
            <w:tcW w:type="dxa" w:w="2232"/>
            <w:vAlign w:val="center"/>
            <w:tcMar>
              <w:top w:w="80" w:type="dxa"/>
              <w:start w:w="120" w:type="dxa"/>
              <w:bottom w:w="80" w:type="dxa"/>
              <w:end w:w="120" w:type="dxa"/>
            </w:tcMar>
            <w:shd w:fill="E8EEF5"/>
          </w:tcPr>
          <w:p>
            <w:pPr>
              <w:spacing w:after="0"/>
            </w:pPr>
            <w:r>
              <w:rPr>
                <w:b/>
                <w:color w:val="0B2545"/>
                <w:sz w:val="17"/>
              </w:rPr>
              <w:t>Uniqueness requirement</w:t>
            </w:r>
          </w:p>
        </w:tc>
      </w:tr>
      <w:tr>
        <w:tc>
          <w:tcPr>
            <w:tcW w:type="dxa" w:w="792"/>
            <w:vAlign w:val="center"/>
            <w:tcMar>
              <w:top w:w="80" w:type="dxa"/>
              <w:start w:w="120" w:type="dxa"/>
              <w:bottom w:w="80" w:type="dxa"/>
              <w:end w:w="120" w:type="dxa"/>
            </w:tcMar>
          </w:tcPr>
          <w:p>
            <w:pPr>
              <w:spacing w:after="0"/>
            </w:pPr>
            <w:r>
              <w:rPr>
                <w:sz w:val="17"/>
              </w:rPr>
              <w:t>/glasgow-accident-claims, /edinburgh-accident-claims</w:t>
            </w:r>
          </w:p>
        </w:tc>
        <w:tc>
          <w:tcPr>
            <w:tcW w:type="dxa" w:w="4680"/>
            <w:vAlign w:val="center"/>
            <w:tcMar>
              <w:top w:w="80" w:type="dxa"/>
              <w:start w:w="120" w:type="dxa"/>
              <w:bottom w:w="80" w:type="dxa"/>
              <w:end w:w="120" w:type="dxa"/>
            </w:tcMar>
          </w:tcPr>
          <w:p>
            <w:pPr>
              <w:spacing w:after="0"/>
            </w:pPr>
            <w:r>
              <w:rPr>
                <w:sz w:val="17"/>
              </w:rPr>
              <w:t>Noindex until verified; later Keep only if evidence supports</w:t>
            </w:r>
          </w:p>
        </w:tc>
        <w:tc>
          <w:tcPr>
            <w:tcW w:type="dxa" w:w="1656"/>
            <w:vAlign w:val="center"/>
            <w:tcMar>
              <w:top w:w="80" w:type="dxa"/>
              <w:start w:w="120" w:type="dxa"/>
              <w:bottom w:w="80" w:type="dxa"/>
              <w:end w:w="120" w:type="dxa"/>
            </w:tcMar>
          </w:tcPr>
          <w:p>
            <w:pPr>
              <w:spacing w:after="0"/>
            </w:pPr>
            <w:r>
              <w:rPr>
                <w:sz w:val="17"/>
              </w:rPr>
              <w:t>personal injury solicitor Glasgow/Edinburgh</w:t>
            </w:r>
          </w:p>
        </w:tc>
        <w:tc>
          <w:tcPr>
            <w:tcW w:type="dxa" w:w="2232"/>
            <w:vAlign w:val="center"/>
            <w:tcMar>
              <w:top w:w="80" w:type="dxa"/>
              <w:start w:w="120" w:type="dxa"/>
              <w:bottom w:w="80" w:type="dxa"/>
              <w:end w:w="120" w:type="dxa"/>
            </w:tcMar>
          </w:tcPr>
          <w:p>
            <w:pPr>
              <w:spacing w:after="0"/>
            </w:pPr>
            <w:r>
              <w:rPr>
                <w:sz w:val="17"/>
              </w:rPr>
              <w:t>Real provider coverage, named nearest office/team or clear remote model, local court/health/transport context used helpfully, unique local FAQs, genuine cases/testimonials only with consent and evidence</w:t>
            </w:r>
          </w:p>
        </w:tc>
      </w:tr>
      <w:tr>
        <w:tc>
          <w:tcPr>
            <w:tcW w:type="dxa" w:w="792"/>
            <w:vAlign w:val="center"/>
            <w:tcMar>
              <w:top w:w="80" w:type="dxa"/>
              <w:start w:w="120" w:type="dxa"/>
              <w:bottom w:w="80" w:type="dxa"/>
              <w:end w:w="120" w:type="dxa"/>
            </w:tcMar>
          </w:tcPr>
          <w:p>
            <w:pPr>
              <w:spacing w:after="0"/>
            </w:pPr>
            <w:r>
              <w:rPr>
                <w:sz w:val="17"/>
              </w:rPr>
              <w:t>/aberdeen-accident-claims</w:t>
            </w:r>
          </w:p>
        </w:tc>
        <w:tc>
          <w:tcPr>
            <w:tcW w:type="dxa" w:w="4680"/>
            <w:vAlign w:val="center"/>
            <w:tcMar>
              <w:top w:w="80" w:type="dxa"/>
              <w:start w:w="120" w:type="dxa"/>
              <w:bottom w:w="80" w:type="dxa"/>
              <w:end w:w="120" w:type="dxa"/>
            </w:tcMar>
          </w:tcPr>
          <w:p>
            <w:pPr>
              <w:spacing w:after="0"/>
            </w:pPr>
            <w:r>
              <w:rPr>
                <w:sz w:val="17"/>
              </w:rPr>
              <w:t>Noindex; potentially expand</w:t>
            </w:r>
          </w:p>
        </w:tc>
        <w:tc>
          <w:tcPr>
            <w:tcW w:type="dxa" w:w="1656"/>
            <w:vAlign w:val="center"/>
            <w:tcMar>
              <w:top w:w="80" w:type="dxa"/>
              <w:start w:w="120" w:type="dxa"/>
              <w:bottom w:w="80" w:type="dxa"/>
              <w:end w:w="120" w:type="dxa"/>
            </w:tcMar>
          </w:tcPr>
          <w:p>
            <w:pPr>
              <w:spacing w:after="0"/>
            </w:pPr>
            <w:r>
              <w:rPr>
                <w:sz w:val="17"/>
              </w:rPr>
              <w:t>accident claims Aberdeen</w:t>
            </w:r>
          </w:p>
        </w:tc>
        <w:tc>
          <w:tcPr>
            <w:tcW w:type="dxa" w:w="2232"/>
            <w:vAlign w:val="center"/>
            <w:tcMar>
              <w:top w:w="80" w:type="dxa"/>
              <w:start w:w="120" w:type="dxa"/>
              <w:bottom w:w="80" w:type="dxa"/>
              <w:end w:w="120" w:type="dxa"/>
            </w:tcMar>
          </w:tcPr>
          <w:p>
            <w:pPr>
              <w:spacing w:after="0"/>
            </w:pPr>
            <w:r>
              <w:rPr>
                <w:sz w:val="17"/>
              </w:rPr>
              <w:t>Offshore expertise must be genuinely offered and evidenced; no invented office</w:t>
            </w:r>
          </w:p>
        </w:tc>
      </w:tr>
      <w:tr>
        <w:tc>
          <w:tcPr>
            <w:tcW w:type="dxa" w:w="792"/>
            <w:vAlign w:val="center"/>
            <w:tcMar>
              <w:top w:w="80" w:type="dxa"/>
              <w:start w:w="120" w:type="dxa"/>
              <w:bottom w:w="80" w:type="dxa"/>
              <w:end w:w="120" w:type="dxa"/>
            </w:tcMar>
          </w:tcPr>
          <w:p>
            <w:pPr>
              <w:spacing w:after="0"/>
            </w:pPr>
            <w:r>
              <w:rPr>
                <w:sz w:val="17"/>
              </w:rPr>
              <w:t>/dundee-accident-claims, /inverness-accident-claims, /stirling-accident-claims, /perth-accident-claims, /paisley-accident-claims, /ayr-accident-claims, /falkirk-accident-claims</w:t>
            </w:r>
          </w:p>
        </w:tc>
        <w:tc>
          <w:tcPr>
            <w:tcW w:type="dxa" w:w="4680"/>
            <w:vAlign w:val="center"/>
            <w:tcMar>
              <w:top w:w="80" w:type="dxa"/>
              <w:start w:w="120" w:type="dxa"/>
              <w:bottom w:w="80" w:type="dxa"/>
              <w:end w:w="120" w:type="dxa"/>
            </w:tcMar>
          </w:tcPr>
          <w:p>
            <w:pPr>
              <w:spacing w:after="0"/>
            </w:pPr>
            <w:r>
              <w:rPr>
                <w:sz w:val="17"/>
              </w:rPr>
              <w:t>Noindex or merge to one Scotland service-area page</w:t>
            </w:r>
          </w:p>
        </w:tc>
        <w:tc>
          <w:tcPr>
            <w:tcW w:type="dxa" w:w="1656"/>
            <w:vAlign w:val="center"/>
            <w:tcMar>
              <w:top w:w="80" w:type="dxa"/>
              <w:start w:w="120" w:type="dxa"/>
              <w:bottom w:w="80" w:type="dxa"/>
              <w:end w:w="120" w:type="dxa"/>
            </w:tcMar>
          </w:tcPr>
          <w:p>
            <w:pPr>
              <w:spacing w:after="0"/>
            </w:pPr>
            <w:r>
              <w:rPr>
                <w:sz w:val="17"/>
              </w:rPr>
              <w:t>local navigational intent</w:t>
            </w:r>
          </w:p>
        </w:tc>
        <w:tc>
          <w:tcPr>
            <w:tcW w:type="dxa" w:w="2232"/>
            <w:vAlign w:val="center"/>
            <w:tcMar>
              <w:top w:w="80" w:type="dxa"/>
              <w:start w:w="120" w:type="dxa"/>
              <w:bottom w:w="80" w:type="dxa"/>
              <w:end w:w="120" w:type="dxa"/>
            </w:tcMar>
          </w:tcPr>
          <w:p>
            <w:pPr>
              <w:spacing w:after="0"/>
            </w:pPr>
            <w:r>
              <w:rPr>
                <w:sz w:val="17"/>
              </w:rPr>
              <w:t>Retain only where page adds material claimant value beyond replacing a city name; otherwise doorway risk</w:t>
            </w:r>
          </w:p>
        </w:tc>
      </w:tr>
    </w:tbl>
    <w:p>
      <w:pPr>
        <w:spacing w:after="0"/>
      </w:pPr>
    </w:p>
    <w:p>
      <w:r>
        <w:t xml:space="preserve">Recommended local title pattern, only when justified: </w:t>
      </w:r>
      <w:r>
        <w:rPr>
          <w:rFonts w:ascii="Consolas" w:hAnsi="Consolas"/>
          <w:sz w:val="19"/>
        </w:rPr>
        <w:t>Personal Injury Solicitors Serving Glasgow | [Verified Firm]</w:t>
      </w:r>
      <w:r>
        <w:t xml:space="preserve">. Recommended H1: </w:t>
      </w:r>
      <w:r>
        <w:rPr>
          <w:rFonts w:ascii="Consolas" w:hAnsi="Consolas"/>
          <w:sz w:val="19"/>
        </w:rPr>
        <w:t>Personal Injury Claims for People in Glasgow</w:t>
      </w:r>
      <w:r>
        <w:t>. “Serving” avoids implying an office.</w:t>
      </w:r>
    </w:p>
    <w:p>
      <w:pPr>
        <w:pStyle w:val="Heading3"/>
      </w:pPr>
      <w:r>
        <w:t>Guide inventory: keyword-to-URL map and action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pPr>
            <w:r>
              <w:rPr>
                <w:b/>
                <w:color w:val="0B2545"/>
                <w:sz w:val="17"/>
              </w:rPr>
              <w:t>Guide slug</w:t>
            </w:r>
          </w:p>
        </w:tc>
        <w:tc>
          <w:tcPr>
            <w:tcW w:type="dxa" w:w="3816"/>
            <w:vAlign w:val="center"/>
            <w:tcMar>
              <w:top w:w="80" w:type="dxa"/>
              <w:start w:w="120" w:type="dxa"/>
              <w:bottom w:w="80" w:type="dxa"/>
              <w:end w:w="120" w:type="dxa"/>
            </w:tcMar>
            <w:shd w:fill="E8EEF5"/>
          </w:tcPr>
          <w:p>
            <w:pPr>
              <w:spacing w:after="0"/>
            </w:pPr>
            <w:r>
              <w:rPr>
                <w:b/>
                <w:color w:val="0B2545"/>
                <w:sz w:val="17"/>
              </w:rPr>
              <w:t>Primary intent</w:t>
            </w:r>
          </w:p>
        </w:tc>
        <w:tc>
          <w:tcPr>
            <w:tcW w:type="dxa" w:w="3456"/>
            <w:vAlign w:val="center"/>
            <w:tcMar>
              <w:top w:w="80" w:type="dxa"/>
              <w:start w:w="120" w:type="dxa"/>
              <w:bottom w:w="80" w:type="dxa"/>
              <w:end w:w="120" w:type="dxa"/>
            </w:tcMar>
            <w:shd w:fill="E8EEF5"/>
          </w:tcPr>
          <w:p>
            <w:pPr>
              <w:spacing w:after="0"/>
            </w:pPr>
            <w:r>
              <w:rPr>
                <w:b/>
                <w:color w:val="0B2545"/>
                <w:sz w:val="17"/>
              </w:rPr>
              <w:t>Action/parent</w:t>
            </w:r>
          </w:p>
        </w:tc>
      </w:tr>
      <w:tr>
        <w:tc>
          <w:tcPr>
            <w:tcW w:type="dxa" w:w="2088"/>
            <w:vAlign w:val="center"/>
            <w:tcMar>
              <w:top w:w="80" w:type="dxa"/>
              <w:start w:w="120" w:type="dxa"/>
              <w:bottom w:w="80" w:type="dxa"/>
              <w:end w:w="120" w:type="dxa"/>
            </w:tcMar>
          </w:tcPr>
          <w:p>
            <w:pPr>
              <w:spacing w:after="0"/>
            </w:pPr>
            <w:r>
              <w:rPr>
                <w:sz w:val="17"/>
              </w:rPr>
              <w:t>personal-injury-claim-time-limit-scotland</w:t>
            </w:r>
          </w:p>
        </w:tc>
        <w:tc>
          <w:tcPr>
            <w:tcW w:type="dxa" w:w="3816"/>
            <w:vAlign w:val="center"/>
            <w:tcMar>
              <w:top w:w="80" w:type="dxa"/>
              <w:start w:w="120" w:type="dxa"/>
              <w:bottom w:w="80" w:type="dxa"/>
              <w:end w:w="120" w:type="dxa"/>
            </w:tcMar>
          </w:tcPr>
          <w:p>
            <w:pPr>
              <w:spacing w:after="0"/>
            </w:pPr>
            <w:r>
              <w:rPr>
                <w:sz w:val="17"/>
              </w:rPr>
              <w:t>how long to claim in Scotland</w:t>
            </w:r>
          </w:p>
        </w:tc>
        <w:tc>
          <w:tcPr>
            <w:tcW w:type="dxa" w:w="3456"/>
            <w:vAlign w:val="center"/>
            <w:tcMar>
              <w:top w:w="80" w:type="dxa"/>
              <w:start w:w="120" w:type="dxa"/>
              <w:bottom w:w="80" w:type="dxa"/>
              <w:end w:w="120" w:type="dxa"/>
            </w:tcMar>
          </w:tcPr>
          <w:p>
            <w:pPr>
              <w:spacing w:after="0"/>
            </w:pPr>
            <w:r>
              <w:rPr>
                <w:sz w:val="17"/>
              </w:rPr>
              <w:t>Merge/301 to time-limit pillar</w:t>
            </w:r>
          </w:p>
        </w:tc>
      </w:tr>
      <w:tr>
        <w:tc>
          <w:tcPr>
            <w:tcW w:type="dxa" w:w="2088"/>
            <w:vAlign w:val="center"/>
            <w:tcMar>
              <w:top w:w="80" w:type="dxa"/>
              <w:start w:w="120" w:type="dxa"/>
              <w:bottom w:w="80" w:type="dxa"/>
              <w:end w:w="120" w:type="dxa"/>
            </w:tcMar>
          </w:tcPr>
          <w:p>
            <w:pPr>
              <w:spacing w:after="0"/>
            </w:pPr>
            <w:r>
              <w:rPr>
                <w:sz w:val="17"/>
              </w:rPr>
              <w:t>accident-at-work-claim-scotland</w:t>
            </w:r>
          </w:p>
        </w:tc>
        <w:tc>
          <w:tcPr>
            <w:tcW w:type="dxa" w:w="3816"/>
            <w:vAlign w:val="center"/>
            <w:tcMar>
              <w:top w:w="80" w:type="dxa"/>
              <w:start w:w="120" w:type="dxa"/>
              <w:bottom w:w="80" w:type="dxa"/>
              <w:end w:w="120" w:type="dxa"/>
            </w:tcMar>
          </w:tcPr>
          <w:p>
            <w:pPr>
              <w:spacing w:after="0"/>
            </w:pPr>
            <w:r>
              <w:rPr>
                <w:sz w:val="17"/>
              </w:rPr>
              <w:t>can I claim after work accident</w:t>
            </w:r>
          </w:p>
        </w:tc>
        <w:tc>
          <w:tcPr>
            <w:tcW w:type="dxa" w:w="3456"/>
            <w:vAlign w:val="center"/>
            <w:tcMar>
              <w:top w:w="80" w:type="dxa"/>
              <w:start w:w="120" w:type="dxa"/>
              <w:bottom w:w="80" w:type="dxa"/>
              <w:end w:w="120" w:type="dxa"/>
            </w:tcMar>
          </w:tcPr>
          <w:p>
            <w:pPr>
              <w:spacing w:after="0"/>
            </w:pPr>
            <w:r>
              <w:rPr>
                <w:sz w:val="17"/>
              </w:rPr>
              <w:t>Merge or reposition as eligibility guide; parent work pillar</w:t>
            </w:r>
          </w:p>
        </w:tc>
      </w:tr>
      <w:tr>
        <w:tc>
          <w:tcPr>
            <w:tcW w:type="dxa" w:w="2088"/>
            <w:vAlign w:val="center"/>
            <w:tcMar>
              <w:top w:w="80" w:type="dxa"/>
              <w:start w:w="120" w:type="dxa"/>
              <w:bottom w:w="80" w:type="dxa"/>
              <w:end w:w="120" w:type="dxa"/>
            </w:tcMar>
          </w:tcPr>
          <w:p>
            <w:pPr>
              <w:spacing w:after="0"/>
            </w:pPr>
            <w:r>
              <w:rPr>
                <w:sz w:val="17"/>
              </w:rPr>
              <w:t>evidence-for-personal-injury-claim-scotland</w:t>
            </w:r>
          </w:p>
        </w:tc>
        <w:tc>
          <w:tcPr>
            <w:tcW w:type="dxa" w:w="3816"/>
            <w:vAlign w:val="center"/>
            <w:tcMar>
              <w:top w:w="80" w:type="dxa"/>
              <w:start w:w="120" w:type="dxa"/>
              <w:bottom w:w="80" w:type="dxa"/>
              <w:end w:w="120" w:type="dxa"/>
            </w:tcMar>
          </w:tcPr>
          <w:p>
            <w:pPr>
              <w:spacing w:after="0"/>
            </w:pPr>
            <w:r>
              <w:rPr>
                <w:sz w:val="17"/>
              </w:rPr>
              <w:t>evidence needed</w:t>
            </w:r>
          </w:p>
        </w:tc>
        <w:tc>
          <w:tcPr>
            <w:tcW w:type="dxa" w:w="3456"/>
            <w:vAlign w:val="center"/>
            <w:tcMar>
              <w:top w:w="80" w:type="dxa"/>
              <w:start w:w="120" w:type="dxa"/>
              <w:bottom w:w="80" w:type="dxa"/>
              <w:end w:w="120" w:type="dxa"/>
            </w:tcMar>
          </w:tcPr>
          <w:p>
            <w:pPr>
              <w:spacing w:after="0"/>
            </w:pPr>
            <w:r>
              <w:rPr>
                <w:sz w:val="17"/>
              </w:rPr>
              <w:t>Keep; parent PI/process</w:t>
            </w:r>
          </w:p>
        </w:tc>
      </w:tr>
      <w:tr>
        <w:tc>
          <w:tcPr>
            <w:tcW w:type="dxa" w:w="2088"/>
            <w:vAlign w:val="center"/>
            <w:tcMar>
              <w:top w:w="80" w:type="dxa"/>
              <w:start w:w="120" w:type="dxa"/>
              <w:bottom w:w="80" w:type="dxa"/>
              <w:end w:w="120" w:type="dxa"/>
            </w:tcMar>
          </w:tcPr>
          <w:p>
            <w:pPr>
              <w:spacing w:after="0"/>
            </w:pPr>
            <w:r>
              <w:rPr>
                <w:sz w:val="17"/>
              </w:rPr>
              <w:t>medical-negligence-what-to-prove-scotland</w:t>
            </w:r>
          </w:p>
        </w:tc>
        <w:tc>
          <w:tcPr>
            <w:tcW w:type="dxa" w:w="3816"/>
            <w:vAlign w:val="center"/>
            <w:tcMar>
              <w:top w:w="80" w:type="dxa"/>
              <w:start w:w="120" w:type="dxa"/>
              <w:bottom w:w="80" w:type="dxa"/>
              <w:end w:w="120" w:type="dxa"/>
            </w:tcMar>
          </w:tcPr>
          <w:p>
            <w:pPr>
              <w:spacing w:after="0"/>
            </w:pPr>
            <w:r>
              <w:rPr>
                <w:sz w:val="17"/>
              </w:rPr>
              <w:t>what must be proved</w:t>
            </w:r>
          </w:p>
        </w:tc>
        <w:tc>
          <w:tcPr>
            <w:tcW w:type="dxa" w:w="3456"/>
            <w:vAlign w:val="center"/>
            <w:tcMar>
              <w:top w:w="80" w:type="dxa"/>
              <w:start w:w="120" w:type="dxa"/>
              <w:bottom w:w="80" w:type="dxa"/>
              <w:end w:w="120" w:type="dxa"/>
            </w:tcMar>
          </w:tcPr>
          <w:p>
            <w:pPr>
              <w:spacing w:after="0"/>
            </w:pPr>
            <w:r>
              <w:rPr>
                <w:sz w:val="17"/>
              </w:rPr>
              <w:t>Keep; parent medical</w:t>
            </w:r>
          </w:p>
        </w:tc>
      </w:tr>
      <w:tr>
        <w:tc>
          <w:tcPr>
            <w:tcW w:type="dxa" w:w="2088"/>
            <w:vAlign w:val="center"/>
            <w:tcMar>
              <w:top w:w="80" w:type="dxa"/>
              <w:start w:w="120" w:type="dxa"/>
              <w:bottom w:w="80" w:type="dxa"/>
              <w:end w:w="120" w:type="dxa"/>
            </w:tcMar>
          </w:tcPr>
          <w:p>
            <w:pPr>
              <w:spacing w:after="0"/>
            </w:pPr>
            <w:r>
              <w:rPr>
                <w:sz w:val="17"/>
              </w:rPr>
              <w:t>nhs-negligence-claims-scotland-explained</w:t>
            </w:r>
          </w:p>
        </w:tc>
        <w:tc>
          <w:tcPr>
            <w:tcW w:type="dxa" w:w="3816"/>
            <w:vAlign w:val="center"/>
            <w:tcMar>
              <w:top w:w="80" w:type="dxa"/>
              <w:start w:w="120" w:type="dxa"/>
              <w:bottom w:w="80" w:type="dxa"/>
              <w:end w:w="120" w:type="dxa"/>
            </w:tcMar>
          </w:tcPr>
          <w:p>
            <w:pPr>
              <w:spacing w:after="0"/>
            </w:pPr>
            <w:r>
              <w:rPr>
                <w:sz w:val="17"/>
              </w:rPr>
              <w:t>NHS negligence process</w:t>
            </w:r>
          </w:p>
        </w:tc>
        <w:tc>
          <w:tcPr>
            <w:tcW w:type="dxa" w:w="3456"/>
            <w:vAlign w:val="center"/>
            <w:tcMar>
              <w:top w:w="80" w:type="dxa"/>
              <w:start w:w="120" w:type="dxa"/>
              <w:bottom w:w="80" w:type="dxa"/>
              <w:end w:w="120" w:type="dxa"/>
            </w:tcMar>
          </w:tcPr>
          <w:p>
            <w:pPr>
              <w:spacing w:after="0"/>
            </w:pPr>
            <w:r>
              <w:rPr>
                <w:sz w:val="17"/>
              </w:rPr>
              <w:t>Keep after expert review; parent medical</w:t>
            </w:r>
          </w:p>
        </w:tc>
      </w:tr>
      <w:tr>
        <w:tc>
          <w:tcPr>
            <w:tcW w:type="dxa" w:w="2088"/>
            <w:vAlign w:val="center"/>
            <w:tcMar>
              <w:top w:w="80" w:type="dxa"/>
              <w:start w:w="120" w:type="dxa"/>
              <w:bottom w:w="80" w:type="dxa"/>
              <w:end w:w="120" w:type="dxa"/>
            </w:tcMar>
          </w:tcPr>
          <w:p>
            <w:pPr>
              <w:spacing w:after="0"/>
            </w:pPr>
            <w:r>
              <w:rPr>
                <w:sz w:val="17"/>
              </w:rPr>
              <w:t>industrial-disease-delayed-symptoms-scotland</w:t>
            </w:r>
          </w:p>
        </w:tc>
        <w:tc>
          <w:tcPr>
            <w:tcW w:type="dxa" w:w="3816"/>
            <w:vAlign w:val="center"/>
            <w:tcMar>
              <w:top w:w="80" w:type="dxa"/>
              <w:start w:w="120" w:type="dxa"/>
              <w:bottom w:w="80" w:type="dxa"/>
              <w:end w:w="120" w:type="dxa"/>
            </w:tcMar>
          </w:tcPr>
          <w:p>
            <w:pPr>
              <w:spacing w:after="0"/>
            </w:pPr>
            <w:r>
              <w:rPr>
                <w:sz w:val="17"/>
              </w:rPr>
              <w:t>delayed symptoms/date of knowledge</w:t>
            </w:r>
          </w:p>
        </w:tc>
        <w:tc>
          <w:tcPr>
            <w:tcW w:type="dxa" w:w="3456"/>
            <w:vAlign w:val="center"/>
            <w:tcMar>
              <w:top w:w="80" w:type="dxa"/>
              <w:start w:w="120" w:type="dxa"/>
              <w:bottom w:w="80" w:type="dxa"/>
              <w:end w:w="120" w:type="dxa"/>
            </w:tcMar>
          </w:tcPr>
          <w:p>
            <w:pPr>
              <w:spacing w:after="0"/>
            </w:pPr>
            <w:r>
              <w:rPr>
                <w:sz w:val="17"/>
              </w:rPr>
              <w:t>Keep; parent industrial</w:t>
            </w:r>
          </w:p>
        </w:tc>
      </w:tr>
      <w:tr>
        <w:tc>
          <w:tcPr>
            <w:tcW w:type="dxa" w:w="2088"/>
            <w:vAlign w:val="center"/>
            <w:tcMar>
              <w:top w:w="80" w:type="dxa"/>
              <w:start w:w="120" w:type="dxa"/>
              <w:bottom w:w="80" w:type="dxa"/>
              <w:end w:w="120" w:type="dxa"/>
            </w:tcMar>
          </w:tcPr>
          <w:p>
            <w:pPr>
              <w:spacing w:after="0"/>
            </w:pPr>
            <w:r>
              <w:rPr>
                <w:sz w:val="17"/>
              </w:rPr>
              <w:t>what-is-my-accident-claim-worth-scotland</w:t>
            </w:r>
          </w:p>
        </w:tc>
        <w:tc>
          <w:tcPr>
            <w:tcW w:type="dxa" w:w="3816"/>
            <w:vAlign w:val="center"/>
            <w:tcMar>
              <w:top w:w="80" w:type="dxa"/>
              <w:start w:w="120" w:type="dxa"/>
              <w:bottom w:w="80" w:type="dxa"/>
              <w:end w:w="120" w:type="dxa"/>
            </w:tcMar>
          </w:tcPr>
          <w:p>
            <w:pPr>
              <w:spacing w:after="0"/>
            </w:pPr>
            <w:r>
              <w:rPr>
                <w:sz w:val="17"/>
              </w:rPr>
              <w:t>claim value</w:t>
            </w:r>
          </w:p>
        </w:tc>
        <w:tc>
          <w:tcPr>
            <w:tcW w:type="dxa" w:w="3456"/>
            <w:vAlign w:val="center"/>
            <w:tcMar>
              <w:top w:w="80" w:type="dxa"/>
              <w:start w:w="120" w:type="dxa"/>
              <w:bottom w:w="80" w:type="dxa"/>
              <w:end w:w="120" w:type="dxa"/>
            </w:tcMar>
          </w:tcPr>
          <w:p>
            <w:pPr>
              <w:spacing w:after="0"/>
            </w:pPr>
            <w:r>
              <w:rPr>
                <w:sz w:val="17"/>
              </w:rPr>
              <w:t>Merge or narrow to valuation methodology; parent compensation</w:t>
            </w:r>
          </w:p>
        </w:tc>
      </w:tr>
      <w:tr>
        <w:tc>
          <w:tcPr>
            <w:tcW w:type="dxa" w:w="2088"/>
            <w:vAlign w:val="center"/>
            <w:tcMar>
              <w:top w:w="80" w:type="dxa"/>
              <w:start w:w="120" w:type="dxa"/>
              <w:bottom w:w="80" w:type="dxa"/>
              <w:end w:w="120" w:type="dxa"/>
            </w:tcMar>
          </w:tcPr>
          <w:p>
            <w:pPr>
              <w:spacing w:after="0"/>
            </w:pPr>
            <w:r>
              <w:rPr>
                <w:sz w:val="17"/>
              </w:rPr>
              <w:t>can-i-claim-if-partly-at-fault-scotland</w:t>
            </w:r>
          </w:p>
        </w:tc>
        <w:tc>
          <w:tcPr>
            <w:tcW w:type="dxa" w:w="3816"/>
            <w:vAlign w:val="center"/>
            <w:tcMar>
              <w:top w:w="80" w:type="dxa"/>
              <w:start w:w="120" w:type="dxa"/>
              <w:bottom w:w="80" w:type="dxa"/>
              <w:end w:w="120" w:type="dxa"/>
            </w:tcMar>
          </w:tcPr>
          <w:p>
            <w:pPr>
              <w:spacing w:after="0"/>
            </w:pPr>
            <w:r>
              <w:rPr>
                <w:sz w:val="17"/>
              </w:rPr>
              <w:t>contributory negligence</w:t>
            </w:r>
          </w:p>
        </w:tc>
        <w:tc>
          <w:tcPr>
            <w:tcW w:type="dxa" w:w="3456"/>
            <w:vAlign w:val="center"/>
            <w:tcMar>
              <w:top w:w="80" w:type="dxa"/>
              <w:start w:w="120" w:type="dxa"/>
              <w:bottom w:w="80" w:type="dxa"/>
              <w:end w:w="120" w:type="dxa"/>
            </w:tcMar>
          </w:tcPr>
          <w:p>
            <w:pPr>
              <w:spacing w:after="0"/>
            </w:pPr>
            <w:r>
              <w:rPr>
                <w:sz w:val="17"/>
              </w:rPr>
              <w:t>Keep; parent PI</w:t>
            </w:r>
          </w:p>
        </w:tc>
      </w:tr>
      <w:tr>
        <w:tc>
          <w:tcPr>
            <w:tcW w:type="dxa" w:w="2088"/>
            <w:vAlign w:val="center"/>
            <w:tcMar>
              <w:top w:w="80" w:type="dxa"/>
              <w:start w:w="120" w:type="dxa"/>
              <w:bottom w:w="80" w:type="dxa"/>
              <w:end w:w="120" w:type="dxa"/>
            </w:tcMar>
          </w:tcPr>
          <w:p>
            <w:pPr>
              <w:spacing w:after="0"/>
            </w:pPr>
            <w:r>
              <w:rPr>
                <w:sz w:val="17"/>
              </w:rPr>
              <w:t>what-if-liability-denied-scotland</w:t>
            </w:r>
          </w:p>
        </w:tc>
        <w:tc>
          <w:tcPr>
            <w:tcW w:type="dxa" w:w="3816"/>
            <w:vAlign w:val="center"/>
            <w:tcMar>
              <w:top w:w="80" w:type="dxa"/>
              <w:start w:w="120" w:type="dxa"/>
              <w:bottom w:w="80" w:type="dxa"/>
              <w:end w:w="120" w:type="dxa"/>
            </w:tcMar>
          </w:tcPr>
          <w:p>
            <w:pPr>
              <w:spacing w:after="0"/>
            </w:pPr>
            <w:r>
              <w:rPr>
                <w:sz w:val="17"/>
              </w:rPr>
              <w:t>disputed liability</w:t>
            </w:r>
          </w:p>
        </w:tc>
        <w:tc>
          <w:tcPr>
            <w:tcW w:type="dxa" w:w="3456"/>
            <w:vAlign w:val="center"/>
            <w:tcMar>
              <w:top w:w="80" w:type="dxa"/>
              <w:start w:w="120" w:type="dxa"/>
              <w:bottom w:w="80" w:type="dxa"/>
              <w:end w:w="120" w:type="dxa"/>
            </w:tcMar>
          </w:tcPr>
          <w:p>
            <w:pPr>
              <w:spacing w:after="0"/>
            </w:pPr>
            <w:r>
              <w:rPr>
                <w:sz w:val="17"/>
              </w:rPr>
              <w:t>Keep; parent PI/process</w:t>
            </w:r>
          </w:p>
        </w:tc>
      </w:tr>
      <w:tr>
        <w:tc>
          <w:tcPr>
            <w:tcW w:type="dxa" w:w="2088"/>
            <w:vAlign w:val="center"/>
            <w:tcMar>
              <w:top w:w="80" w:type="dxa"/>
              <w:start w:w="120" w:type="dxa"/>
              <w:bottom w:w="80" w:type="dxa"/>
              <w:end w:w="120" w:type="dxa"/>
            </w:tcMar>
          </w:tcPr>
          <w:p>
            <w:pPr>
              <w:spacing w:after="0"/>
            </w:pPr>
            <w:r>
              <w:rPr>
                <w:sz w:val="17"/>
              </w:rPr>
              <w:t>do-i-need-to-go-to-court-scotland</w:t>
            </w:r>
          </w:p>
        </w:tc>
        <w:tc>
          <w:tcPr>
            <w:tcW w:type="dxa" w:w="3816"/>
            <w:vAlign w:val="center"/>
            <w:tcMar>
              <w:top w:w="80" w:type="dxa"/>
              <w:start w:w="120" w:type="dxa"/>
              <w:bottom w:w="80" w:type="dxa"/>
              <w:end w:w="120" w:type="dxa"/>
            </w:tcMar>
          </w:tcPr>
          <w:p>
            <w:pPr>
              <w:spacing w:after="0"/>
            </w:pPr>
            <w:r>
              <w:rPr>
                <w:sz w:val="17"/>
              </w:rPr>
              <w:t>court attendance</w:t>
            </w:r>
          </w:p>
        </w:tc>
        <w:tc>
          <w:tcPr>
            <w:tcW w:type="dxa" w:w="3456"/>
            <w:vAlign w:val="center"/>
            <w:tcMar>
              <w:top w:w="80" w:type="dxa"/>
              <w:start w:w="120" w:type="dxa"/>
              <w:bottom w:w="80" w:type="dxa"/>
              <w:end w:w="120" w:type="dxa"/>
            </w:tcMar>
          </w:tcPr>
          <w:p>
            <w:pPr>
              <w:spacing w:after="0"/>
            </w:pPr>
            <w:r>
              <w:rPr>
                <w:sz w:val="17"/>
              </w:rPr>
              <w:t>Keep; parent process</w:t>
            </w:r>
          </w:p>
        </w:tc>
      </w:tr>
      <w:tr>
        <w:tc>
          <w:tcPr>
            <w:tcW w:type="dxa" w:w="2088"/>
            <w:vAlign w:val="center"/>
            <w:tcMar>
              <w:top w:w="80" w:type="dxa"/>
              <w:start w:w="120" w:type="dxa"/>
              <w:bottom w:w="80" w:type="dxa"/>
              <w:end w:w="120" w:type="dxa"/>
            </w:tcMar>
          </w:tcPr>
          <w:p>
            <w:pPr>
              <w:spacing w:after="0"/>
            </w:pPr>
            <w:r>
              <w:rPr>
                <w:sz w:val="17"/>
              </w:rPr>
              <w:t>road-traffic-accident-claims-scotland</w:t>
            </w:r>
          </w:p>
        </w:tc>
        <w:tc>
          <w:tcPr>
            <w:tcW w:type="dxa" w:w="3816"/>
            <w:vAlign w:val="center"/>
            <w:tcMar>
              <w:top w:w="80" w:type="dxa"/>
              <w:start w:w="120" w:type="dxa"/>
              <w:bottom w:w="80" w:type="dxa"/>
              <w:end w:w="120" w:type="dxa"/>
            </w:tcMar>
          </w:tcPr>
          <w:p>
            <w:pPr>
              <w:spacing w:after="0"/>
            </w:pPr>
            <w:r>
              <w:rPr>
                <w:sz w:val="17"/>
              </w:rPr>
              <w:t>RTA claims</w:t>
            </w:r>
          </w:p>
        </w:tc>
        <w:tc>
          <w:tcPr>
            <w:tcW w:type="dxa" w:w="3456"/>
            <w:vAlign w:val="center"/>
            <w:tcMar>
              <w:top w:w="80" w:type="dxa"/>
              <w:start w:w="120" w:type="dxa"/>
              <w:bottom w:w="80" w:type="dxa"/>
              <w:end w:w="120" w:type="dxa"/>
            </w:tcMar>
          </w:tcPr>
          <w:p>
            <w:pPr>
              <w:spacing w:after="0"/>
            </w:pPr>
            <w:r>
              <w:rPr>
                <w:sz w:val="17"/>
              </w:rPr>
              <w:t>Merge/301 to RTA pillar</w:t>
            </w:r>
          </w:p>
        </w:tc>
      </w:tr>
      <w:tr>
        <w:tc>
          <w:tcPr>
            <w:tcW w:type="dxa" w:w="2088"/>
            <w:vAlign w:val="center"/>
            <w:tcMar>
              <w:top w:w="80" w:type="dxa"/>
              <w:start w:w="120" w:type="dxa"/>
              <w:bottom w:w="80" w:type="dxa"/>
              <w:end w:w="120" w:type="dxa"/>
            </w:tcMar>
          </w:tcPr>
          <w:p>
            <w:pPr>
              <w:spacing w:after="0"/>
            </w:pPr>
            <w:r>
              <w:rPr>
                <w:sz w:val="17"/>
              </w:rPr>
              <w:t>whiplash-claims-scotland</w:t>
            </w:r>
          </w:p>
        </w:tc>
        <w:tc>
          <w:tcPr>
            <w:tcW w:type="dxa" w:w="3816"/>
            <w:vAlign w:val="center"/>
            <w:tcMar>
              <w:top w:w="80" w:type="dxa"/>
              <w:start w:w="120" w:type="dxa"/>
              <w:bottom w:w="80" w:type="dxa"/>
              <w:end w:w="120" w:type="dxa"/>
            </w:tcMar>
          </w:tcPr>
          <w:p>
            <w:pPr>
              <w:spacing w:after="0"/>
            </w:pPr>
            <w:r>
              <w:rPr>
                <w:sz w:val="17"/>
              </w:rPr>
              <w:t>whiplash Scotland</w:t>
            </w:r>
          </w:p>
        </w:tc>
        <w:tc>
          <w:tcPr>
            <w:tcW w:type="dxa" w:w="3456"/>
            <w:vAlign w:val="center"/>
            <w:tcMar>
              <w:top w:w="80" w:type="dxa"/>
              <w:start w:w="120" w:type="dxa"/>
              <w:bottom w:w="80" w:type="dxa"/>
              <w:end w:w="120" w:type="dxa"/>
            </w:tcMar>
          </w:tcPr>
          <w:p>
            <w:pPr>
              <w:spacing w:after="0"/>
            </w:pPr>
            <w:r>
              <w:rPr>
                <w:sz w:val="17"/>
              </w:rPr>
              <w:t>Keep; parent RTA</w:t>
            </w:r>
          </w:p>
        </w:tc>
      </w:tr>
      <w:tr>
        <w:tc>
          <w:tcPr>
            <w:tcW w:type="dxa" w:w="2088"/>
            <w:vAlign w:val="center"/>
            <w:tcMar>
              <w:top w:w="80" w:type="dxa"/>
              <w:start w:w="120" w:type="dxa"/>
              <w:bottom w:w="80" w:type="dxa"/>
              <w:end w:w="120" w:type="dxa"/>
            </w:tcMar>
          </w:tcPr>
          <w:p>
            <w:pPr>
              <w:spacing w:after="0"/>
            </w:pPr>
            <w:r>
              <w:rPr>
                <w:sz w:val="17"/>
              </w:rPr>
              <w:t>construction-accident-claims-scotland</w:t>
            </w:r>
          </w:p>
        </w:tc>
        <w:tc>
          <w:tcPr>
            <w:tcW w:type="dxa" w:w="3816"/>
            <w:vAlign w:val="center"/>
            <w:tcMar>
              <w:top w:w="80" w:type="dxa"/>
              <w:start w:w="120" w:type="dxa"/>
              <w:bottom w:w="80" w:type="dxa"/>
              <w:end w:w="120" w:type="dxa"/>
            </w:tcMar>
          </w:tcPr>
          <w:p>
            <w:pPr>
              <w:spacing w:after="0"/>
            </w:pPr>
            <w:r>
              <w:rPr>
                <w:sz w:val="17"/>
              </w:rPr>
              <w:t>construction injury</w:t>
            </w:r>
          </w:p>
        </w:tc>
        <w:tc>
          <w:tcPr>
            <w:tcW w:type="dxa" w:w="3456"/>
            <w:vAlign w:val="center"/>
            <w:tcMar>
              <w:top w:w="80" w:type="dxa"/>
              <w:start w:w="120" w:type="dxa"/>
              <w:bottom w:w="80" w:type="dxa"/>
              <w:end w:w="120" w:type="dxa"/>
            </w:tcMar>
          </w:tcPr>
          <w:p>
            <w:pPr>
              <w:spacing w:after="0"/>
            </w:pPr>
            <w:r>
              <w:rPr>
                <w:sz w:val="17"/>
              </w:rPr>
              <w:t>Keep only if offered; parent work</w:t>
            </w:r>
          </w:p>
        </w:tc>
      </w:tr>
      <w:tr>
        <w:tc>
          <w:tcPr>
            <w:tcW w:type="dxa" w:w="2088"/>
            <w:vAlign w:val="center"/>
            <w:tcMar>
              <w:top w:w="80" w:type="dxa"/>
              <w:start w:w="120" w:type="dxa"/>
              <w:bottom w:w="80" w:type="dxa"/>
              <w:end w:w="120" w:type="dxa"/>
            </w:tcMar>
          </w:tcPr>
          <w:p>
            <w:pPr>
              <w:spacing w:after="0"/>
            </w:pPr>
            <w:r>
              <w:rPr>
                <w:sz w:val="17"/>
              </w:rPr>
              <w:t>asbestos-claims-scotland</w:t>
            </w:r>
          </w:p>
        </w:tc>
        <w:tc>
          <w:tcPr>
            <w:tcW w:type="dxa" w:w="3816"/>
            <w:vAlign w:val="center"/>
            <w:tcMar>
              <w:top w:w="80" w:type="dxa"/>
              <w:start w:w="120" w:type="dxa"/>
              <w:bottom w:w="80" w:type="dxa"/>
              <w:end w:w="120" w:type="dxa"/>
            </w:tcMar>
          </w:tcPr>
          <w:p>
            <w:pPr>
              <w:spacing w:after="0"/>
            </w:pPr>
            <w:r>
              <w:rPr>
                <w:sz w:val="17"/>
              </w:rPr>
              <w:t>asbestos disease claim</w:t>
            </w:r>
          </w:p>
        </w:tc>
        <w:tc>
          <w:tcPr>
            <w:tcW w:type="dxa" w:w="3456"/>
            <w:vAlign w:val="center"/>
            <w:tcMar>
              <w:top w:w="80" w:type="dxa"/>
              <w:start w:w="120" w:type="dxa"/>
              <w:bottom w:w="80" w:type="dxa"/>
              <w:end w:w="120" w:type="dxa"/>
            </w:tcMar>
          </w:tcPr>
          <w:p>
            <w:pPr>
              <w:spacing w:after="0"/>
            </w:pPr>
            <w:r>
              <w:rPr>
                <w:sz w:val="17"/>
              </w:rPr>
              <w:t>Keep with specialist review; parent industrial</w:t>
            </w:r>
          </w:p>
        </w:tc>
      </w:tr>
      <w:tr>
        <w:tc>
          <w:tcPr>
            <w:tcW w:type="dxa" w:w="2088"/>
            <w:vAlign w:val="center"/>
            <w:tcMar>
              <w:top w:w="80" w:type="dxa"/>
              <w:start w:w="120" w:type="dxa"/>
              <w:bottom w:w="80" w:type="dxa"/>
              <w:end w:w="120" w:type="dxa"/>
            </w:tcMar>
          </w:tcPr>
          <w:p>
            <w:pPr>
              <w:spacing w:after="0"/>
            </w:pPr>
            <w:r>
              <w:rPr>
                <w:sz w:val="17"/>
              </w:rPr>
              <w:t>noise-induced-hearing-loss-claims-scotland</w:t>
            </w:r>
          </w:p>
        </w:tc>
        <w:tc>
          <w:tcPr>
            <w:tcW w:type="dxa" w:w="3816"/>
            <w:vAlign w:val="center"/>
            <w:tcMar>
              <w:top w:w="80" w:type="dxa"/>
              <w:start w:w="120" w:type="dxa"/>
              <w:bottom w:w="80" w:type="dxa"/>
              <w:end w:w="120" w:type="dxa"/>
            </w:tcMar>
          </w:tcPr>
          <w:p>
            <w:pPr>
              <w:spacing w:after="0"/>
            </w:pPr>
            <w:r>
              <w:rPr>
                <w:sz w:val="17"/>
              </w:rPr>
              <w:t>NIHL claim</w:t>
            </w:r>
          </w:p>
        </w:tc>
        <w:tc>
          <w:tcPr>
            <w:tcW w:type="dxa" w:w="3456"/>
            <w:vAlign w:val="center"/>
            <w:tcMar>
              <w:top w:w="80" w:type="dxa"/>
              <w:start w:w="120" w:type="dxa"/>
              <w:bottom w:w="80" w:type="dxa"/>
              <w:end w:w="120" w:type="dxa"/>
            </w:tcMar>
          </w:tcPr>
          <w:p>
            <w:pPr>
              <w:spacing w:after="0"/>
            </w:pPr>
            <w:r>
              <w:rPr>
                <w:sz w:val="17"/>
              </w:rPr>
              <w:t>Keep; parent industrial</w:t>
            </w:r>
          </w:p>
        </w:tc>
      </w:tr>
      <w:tr>
        <w:tc>
          <w:tcPr>
            <w:tcW w:type="dxa" w:w="2088"/>
            <w:vAlign w:val="center"/>
            <w:tcMar>
              <w:top w:w="80" w:type="dxa"/>
              <w:start w:w="120" w:type="dxa"/>
              <w:bottom w:w="80" w:type="dxa"/>
              <w:end w:w="120" w:type="dxa"/>
            </w:tcMar>
          </w:tcPr>
          <w:p>
            <w:pPr>
              <w:spacing w:after="0"/>
            </w:pPr>
            <w:r>
              <w:rPr>
                <w:sz w:val="17"/>
              </w:rPr>
              <w:t>gp-negligence-claims-scotland</w:t>
            </w:r>
          </w:p>
        </w:tc>
        <w:tc>
          <w:tcPr>
            <w:tcW w:type="dxa" w:w="3816"/>
            <w:vAlign w:val="center"/>
            <w:tcMar>
              <w:top w:w="80" w:type="dxa"/>
              <w:start w:w="120" w:type="dxa"/>
              <w:bottom w:w="80" w:type="dxa"/>
              <w:end w:w="120" w:type="dxa"/>
            </w:tcMar>
          </w:tcPr>
          <w:p>
            <w:pPr>
              <w:spacing w:after="0"/>
            </w:pPr>
            <w:r>
              <w:rPr>
                <w:sz w:val="17"/>
              </w:rPr>
              <w:t>GP negligence</w:t>
            </w:r>
          </w:p>
        </w:tc>
        <w:tc>
          <w:tcPr>
            <w:tcW w:type="dxa" w:w="3456"/>
            <w:vAlign w:val="center"/>
            <w:tcMar>
              <w:top w:w="80" w:type="dxa"/>
              <w:start w:w="120" w:type="dxa"/>
              <w:bottom w:w="80" w:type="dxa"/>
              <w:end w:w="120" w:type="dxa"/>
            </w:tcMar>
          </w:tcPr>
          <w:p>
            <w:pPr>
              <w:spacing w:after="0"/>
            </w:pPr>
            <w:r>
              <w:rPr>
                <w:sz w:val="17"/>
              </w:rPr>
              <w:t>Keep if offered; parent medical</w:t>
            </w:r>
          </w:p>
        </w:tc>
      </w:tr>
      <w:tr>
        <w:tc>
          <w:tcPr>
            <w:tcW w:type="dxa" w:w="2088"/>
            <w:vAlign w:val="center"/>
            <w:tcMar>
              <w:top w:w="80" w:type="dxa"/>
              <w:start w:w="120" w:type="dxa"/>
              <w:bottom w:w="80" w:type="dxa"/>
              <w:end w:w="120" w:type="dxa"/>
            </w:tcMar>
          </w:tcPr>
          <w:p>
            <w:pPr>
              <w:spacing w:after="0"/>
            </w:pPr>
            <w:r>
              <w:rPr>
                <w:sz w:val="17"/>
              </w:rPr>
              <w:t>birth-injury-claims-scotland</w:t>
            </w:r>
          </w:p>
        </w:tc>
        <w:tc>
          <w:tcPr>
            <w:tcW w:type="dxa" w:w="3816"/>
            <w:vAlign w:val="center"/>
            <w:tcMar>
              <w:top w:w="80" w:type="dxa"/>
              <w:start w:w="120" w:type="dxa"/>
              <w:bottom w:w="80" w:type="dxa"/>
              <w:end w:w="120" w:type="dxa"/>
            </w:tcMar>
          </w:tcPr>
          <w:p>
            <w:pPr>
              <w:spacing w:after="0"/>
            </w:pPr>
            <w:r>
              <w:rPr>
                <w:sz w:val="17"/>
              </w:rPr>
              <w:t>birth injury claim</w:t>
            </w:r>
          </w:p>
        </w:tc>
        <w:tc>
          <w:tcPr>
            <w:tcW w:type="dxa" w:w="3456"/>
            <w:vAlign w:val="center"/>
            <w:tcMar>
              <w:top w:w="80" w:type="dxa"/>
              <w:start w:w="120" w:type="dxa"/>
              <w:bottom w:w="80" w:type="dxa"/>
              <w:end w:w="120" w:type="dxa"/>
            </w:tcMar>
          </w:tcPr>
          <w:p>
            <w:pPr>
              <w:spacing w:after="0"/>
            </w:pPr>
            <w:r>
              <w:rPr>
                <w:sz w:val="17"/>
              </w:rPr>
              <w:t>Keep only with genuine expertise; parent medical</w:t>
            </w:r>
          </w:p>
        </w:tc>
      </w:tr>
      <w:tr>
        <w:tc>
          <w:tcPr>
            <w:tcW w:type="dxa" w:w="2088"/>
            <w:vAlign w:val="center"/>
            <w:tcMar>
              <w:top w:w="80" w:type="dxa"/>
              <w:start w:w="120" w:type="dxa"/>
              <w:bottom w:w="80" w:type="dxa"/>
              <w:end w:w="120" w:type="dxa"/>
            </w:tcMar>
          </w:tcPr>
          <w:p>
            <w:pPr>
              <w:spacing w:after="0"/>
            </w:pPr>
            <w:r>
              <w:rPr>
                <w:sz w:val="17"/>
              </w:rPr>
              <w:t>serious-injury-rehabilitation-scotland</w:t>
            </w:r>
          </w:p>
        </w:tc>
        <w:tc>
          <w:tcPr>
            <w:tcW w:type="dxa" w:w="3816"/>
            <w:vAlign w:val="center"/>
            <w:tcMar>
              <w:top w:w="80" w:type="dxa"/>
              <w:start w:w="120" w:type="dxa"/>
              <w:bottom w:w="80" w:type="dxa"/>
              <w:end w:w="120" w:type="dxa"/>
            </w:tcMar>
          </w:tcPr>
          <w:p>
            <w:pPr>
              <w:spacing w:after="0"/>
            </w:pPr>
            <w:r>
              <w:rPr>
                <w:sz w:val="17"/>
              </w:rPr>
              <w:t>rehabilitation in serious claims</w:t>
            </w:r>
          </w:p>
        </w:tc>
        <w:tc>
          <w:tcPr>
            <w:tcW w:type="dxa" w:w="3456"/>
            <w:vAlign w:val="center"/>
            <w:tcMar>
              <w:top w:w="80" w:type="dxa"/>
              <w:start w:w="120" w:type="dxa"/>
              <w:bottom w:w="80" w:type="dxa"/>
              <w:end w:w="120" w:type="dxa"/>
            </w:tcMar>
          </w:tcPr>
          <w:p>
            <w:pPr>
              <w:spacing w:after="0"/>
            </w:pPr>
            <w:r>
              <w:rPr>
                <w:sz w:val="17"/>
              </w:rPr>
              <w:t>Keep; parent serious</w:t>
            </w:r>
          </w:p>
        </w:tc>
      </w:tr>
      <w:tr>
        <w:tc>
          <w:tcPr>
            <w:tcW w:type="dxa" w:w="2088"/>
            <w:vAlign w:val="center"/>
            <w:tcMar>
              <w:top w:w="80" w:type="dxa"/>
              <w:start w:w="120" w:type="dxa"/>
              <w:bottom w:w="80" w:type="dxa"/>
              <w:end w:w="120" w:type="dxa"/>
            </w:tcMar>
          </w:tcPr>
          <w:p>
            <w:pPr>
              <w:spacing w:after="0"/>
            </w:pPr>
            <w:r>
              <w:rPr>
                <w:sz w:val="17"/>
              </w:rPr>
              <w:t>fatal-accident-compensation-scotland</w:t>
            </w:r>
          </w:p>
        </w:tc>
        <w:tc>
          <w:tcPr>
            <w:tcW w:type="dxa" w:w="3816"/>
            <w:vAlign w:val="center"/>
            <w:tcMar>
              <w:top w:w="80" w:type="dxa"/>
              <w:start w:w="120" w:type="dxa"/>
              <w:bottom w:w="80" w:type="dxa"/>
              <w:end w:w="120" w:type="dxa"/>
            </w:tcMar>
          </w:tcPr>
          <w:p>
            <w:pPr>
              <w:spacing w:after="0"/>
            </w:pPr>
            <w:r>
              <w:rPr>
                <w:sz w:val="17"/>
              </w:rPr>
              <w:t>fatal claim Scotland</w:t>
            </w:r>
          </w:p>
        </w:tc>
        <w:tc>
          <w:tcPr>
            <w:tcW w:type="dxa" w:w="3456"/>
            <w:vAlign w:val="center"/>
            <w:tcMar>
              <w:top w:w="80" w:type="dxa"/>
              <w:start w:w="120" w:type="dxa"/>
              <w:bottom w:w="80" w:type="dxa"/>
              <w:end w:w="120" w:type="dxa"/>
            </w:tcMar>
          </w:tcPr>
          <w:p>
            <w:pPr>
              <w:spacing w:after="0"/>
            </w:pPr>
            <w:r>
              <w:rPr>
                <w:sz w:val="17"/>
              </w:rPr>
              <w:t>Keep if offered; parent serious or future fatal pillar</w:t>
            </w:r>
          </w:p>
        </w:tc>
      </w:tr>
      <w:tr>
        <w:tc>
          <w:tcPr>
            <w:tcW w:type="dxa" w:w="2088"/>
            <w:vAlign w:val="center"/>
            <w:tcMar>
              <w:top w:w="80" w:type="dxa"/>
              <w:start w:w="120" w:type="dxa"/>
              <w:bottom w:w="80" w:type="dxa"/>
              <w:end w:w="120" w:type="dxa"/>
            </w:tcMar>
          </w:tcPr>
          <w:p>
            <w:pPr>
              <w:spacing w:after="0"/>
            </w:pPr>
            <w:r>
              <w:rPr>
                <w:sz w:val="17"/>
              </w:rPr>
              <w:t>slip-trip-fall-claims-scotland</w:t>
            </w:r>
          </w:p>
        </w:tc>
        <w:tc>
          <w:tcPr>
            <w:tcW w:type="dxa" w:w="3816"/>
            <w:vAlign w:val="center"/>
            <w:tcMar>
              <w:top w:w="80" w:type="dxa"/>
              <w:start w:w="120" w:type="dxa"/>
              <w:bottom w:w="80" w:type="dxa"/>
              <w:end w:w="120" w:type="dxa"/>
            </w:tcMar>
          </w:tcPr>
          <w:p>
            <w:pPr>
              <w:spacing w:after="0"/>
            </w:pPr>
            <w:r>
              <w:rPr>
                <w:sz w:val="17"/>
              </w:rPr>
              <w:t>slip/trip claim</w:t>
            </w:r>
          </w:p>
        </w:tc>
        <w:tc>
          <w:tcPr>
            <w:tcW w:type="dxa" w:w="3456"/>
            <w:vAlign w:val="center"/>
            <w:tcMar>
              <w:top w:w="80" w:type="dxa"/>
              <w:start w:w="120" w:type="dxa"/>
              <w:bottom w:w="80" w:type="dxa"/>
              <w:end w:w="120" w:type="dxa"/>
            </w:tcMar>
          </w:tcPr>
          <w:p>
            <w:pPr>
              <w:spacing w:after="0"/>
            </w:pPr>
            <w:r>
              <w:rPr>
                <w:sz w:val="17"/>
              </w:rPr>
              <w:t>Keep; parent public place</w:t>
            </w:r>
          </w:p>
        </w:tc>
      </w:tr>
      <w:tr>
        <w:tc>
          <w:tcPr>
            <w:tcW w:type="dxa" w:w="2088"/>
            <w:vAlign w:val="center"/>
            <w:tcMar>
              <w:top w:w="80" w:type="dxa"/>
              <w:start w:w="120" w:type="dxa"/>
              <w:bottom w:w="80" w:type="dxa"/>
              <w:end w:w="120" w:type="dxa"/>
            </w:tcMar>
          </w:tcPr>
          <w:p>
            <w:pPr>
              <w:spacing w:after="0"/>
            </w:pPr>
            <w:r>
              <w:rPr>
                <w:sz w:val="17"/>
              </w:rPr>
              <w:t>supermarket-accident-claims-scotland</w:t>
            </w:r>
          </w:p>
        </w:tc>
        <w:tc>
          <w:tcPr>
            <w:tcW w:type="dxa" w:w="3816"/>
            <w:vAlign w:val="center"/>
            <w:tcMar>
              <w:top w:w="80" w:type="dxa"/>
              <w:start w:w="120" w:type="dxa"/>
              <w:bottom w:w="80" w:type="dxa"/>
              <w:end w:w="120" w:type="dxa"/>
            </w:tcMar>
          </w:tcPr>
          <w:p>
            <w:pPr>
              <w:spacing w:after="0"/>
            </w:pPr>
            <w:r>
              <w:rPr>
                <w:sz w:val="17"/>
              </w:rPr>
              <w:t>supermarket accident</w:t>
            </w:r>
          </w:p>
        </w:tc>
        <w:tc>
          <w:tcPr>
            <w:tcW w:type="dxa" w:w="3456"/>
            <w:vAlign w:val="center"/>
            <w:tcMar>
              <w:top w:w="80" w:type="dxa"/>
              <w:start w:w="120" w:type="dxa"/>
              <w:bottom w:w="80" w:type="dxa"/>
              <w:end w:w="120" w:type="dxa"/>
            </w:tcMar>
          </w:tcPr>
          <w:p>
            <w:pPr>
              <w:spacing w:after="0"/>
            </w:pPr>
            <w:r>
              <w:rPr>
                <w:sz w:val="17"/>
              </w:rPr>
              <w:t>Keep if distinct evidence advice; parent public place</w:t>
            </w:r>
          </w:p>
        </w:tc>
      </w:tr>
      <w:tr>
        <w:tc>
          <w:tcPr>
            <w:tcW w:type="dxa" w:w="2088"/>
            <w:vAlign w:val="center"/>
            <w:tcMar>
              <w:top w:w="80" w:type="dxa"/>
              <w:start w:w="120" w:type="dxa"/>
              <w:bottom w:w="80" w:type="dxa"/>
              <w:end w:w="120" w:type="dxa"/>
            </w:tcMar>
          </w:tcPr>
          <w:p>
            <w:pPr>
              <w:spacing w:after="0"/>
            </w:pPr>
            <w:r>
              <w:rPr>
                <w:sz w:val="17"/>
              </w:rPr>
              <w:t>council-pavement-trip-claims-scotland</w:t>
            </w:r>
          </w:p>
        </w:tc>
        <w:tc>
          <w:tcPr>
            <w:tcW w:type="dxa" w:w="3816"/>
            <w:vAlign w:val="center"/>
            <w:tcMar>
              <w:top w:w="80" w:type="dxa"/>
              <w:start w:w="120" w:type="dxa"/>
              <w:bottom w:w="80" w:type="dxa"/>
              <w:end w:w="120" w:type="dxa"/>
            </w:tcMar>
          </w:tcPr>
          <w:p>
            <w:pPr>
              <w:spacing w:after="0"/>
            </w:pPr>
            <w:r>
              <w:rPr>
                <w:sz w:val="17"/>
              </w:rPr>
              <w:t>council pavement claim</w:t>
            </w:r>
          </w:p>
        </w:tc>
        <w:tc>
          <w:tcPr>
            <w:tcW w:type="dxa" w:w="3456"/>
            <w:vAlign w:val="center"/>
            <w:tcMar>
              <w:top w:w="80" w:type="dxa"/>
              <w:start w:w="120" w:type="dxa"/>
              <w:bottom w:w="80" w:type="dxa"/>
              <w:end w:w="120" w:type="dxa"/>
            </w:tcMar>
          </w:tcPr>
          <w:p>
            <w:pPr>
              <w:spacing w:after="0"/>
            </w:pPr>
            <w:r>
              <w:rPr>
                <w:sz w:val="17"/>
              </w:rPr>
              <w:t>Keep after legal correction/review; parent public place</w:t>
            </w:r>
          </w:p>
        </w:tc>
      </w:tr>
      <w:tr>
        <w:tc>
          <w:tcPr>
            <w:tcW w:type="dxa" w:w="2088"/>
            <w:vAlign w:val="center"/>
            <w:tcMar>
              <w:top w:w="80" w:type="dxa"/>
              <w:start w:w="120" w:type="dxa"/>
              <w:bottom w:w="80" w:type="dxa"/>
              <w:end w:w="120" w:type="dxa"/>
            </w:tcMar>
          </w:tcPr>
          <w:p>
            <w:pPr>
              <w:spacing w:after="0"/>
            </w:pPr>
            <w:r>
              <w:rPr>
                <w:sz w:val="17"/>
              </w:rPr>
              <w:t>offshore-injury-claims-scotland</w:t>
            </w:r>
          </w:p>
        </w:tc>
        <w:tc>
          <w:tcPr>
            <w:tcW w:type="dxa" w:w="3816"/>
            <w:vAlign w:val="center"/>
            <w:tcMar>
              <w:top w:w="80" w:type="dxa"/>
              <w:start w:w="120" w:type="dxa"/>
              <w:bottom w:w="80" w:type="dxa"/>
              <w:end w:w="120" w:type="dxa"/>
            </w:tcMar>
          </w:tcPr>
          <w:p>
            <w:pPr>
              <w:spacing w:after="0"/>
            </w:pPr>
            <w:r>
              <w:rPr>
                <w:sz w:val="17"/>
              </w:rPr>
              <w:t>offshore injury claim</w:t>
            </w:r>
          </w:p>
        </w:tc>
        <w:tc>
          <w:tcPr>
            <w:tcW w:type="dxa" w:w="3456"/>
            <w:vAlign w:val="center"/>
            <w:tcMar>
              <w:top w:w="80" w:type="dxa"/>
              <w:start w:w="120" w:type="dxa"/>
              <w:bottom w:w="80" w:type="dxa"/>
              <w:end w:w="120" w:type="dxa"/>
            </w:tcMar>
          </w:tcPr>
          <w:p>
            <w:pPr>
              <w:spacing w:after="0"/>
            </w:pPr>
            <w:r>
              <w:rPr>
                <w:sz w:val="17"/>
              </w:rPr>
              <w:t>Keep only with verified jurisdictional expertise; parent work</w:t>
            </w:r>
          </w:p>
        </w:tc>
      </w:tr>
      <w:tr>
        <w:tc>
          <w:tcPr>
            <w:tcW w:type="dxa" w:w="2088"/>
            <w:vAlign w:val="center"/>
            <w:tcMar>
              <w:top w:w="80" w:type="dxa"/>
              <w:start w:w="120" w:type="dxa"/>
              <w:bottom w:w="80" w:type="dxa"/>
              <w:end w:w="120" w:type="dxa"/>
            </w:tcMar>
          </w:tcPr>
          <w:p>
            <w:pPr>
              <w:spacing w:after="0"/>
            </w:pPr>
            <w:r>
              <w:rPr>
                <w:sz w:val="17"/>
              </w:rPr>
              <w:t>vibration-white-finger-claims-scotland</w:t>
            </w:r>
          </w:p>
        </w:tc>
        <w:tc>
          <w:tcPr>
            <w:tcW w:type="dxa" w:w="3816"/>
            <w:vAlign w:val="center"/>
            <w:tcMar>
              <w:top w:w="80" w:type="dxa"/>
              <w:start w:w="120" w:type="dxa"/>
              <w:bottom w:w="80" w:type="dxa"/>
              <w:end w:w="120" w:type="dxa"/>
            </w:tcMar>
          </w:tcPr>
          <w:p>
            <w:pPr>
              <w:spacing w:after="0"/>
            </w:pPr>
            <w:r>
              <w:rPr>
                <w:sz w:val="17"/>
              </w:rPr>
              <w:t>HAVS/VWF claim</w:t>
            </w:r>
          </w:p>
        </w:tc>
        <w:tc>
          <w:tcPr>
            <w:tcW w:type="dxa" w:w="3456"/>
            <w:vAlign w:val="center"/>
            <w:tcMar>
              <w:top w:w="80" w:type="dxa"/>
              <w:start w:w="120" w:type="dxa"/>
              <w:bottom w:w="80" w:type="dxa"/>
              <w:end w:w="120" w:type="dxa"/>
            </w:tcMar>
          </w:tcPr>
          <w:p>
            <w:pPr>
              <w:spacing w:after="0"/>
            </w:pPr>
            <w:r>
              <w:rPr>
                <w:sz w:val="17"/>
              </w:rPr>
              <w:t>Keep; parent industrial</w:t>
            </w:r>
          </w:p>
        </w:tc>
      </w:tr>
      <w:tr>
        <w:tc>
          <w:tcPr>
            <w:tcW w:type="dxa" w:w="2088"/>
            <w:vAlign w:val="center"/>
            <w:tcMar>
              <w:top w:w="80" w:type="dxa"/>
              <w:start w:w="120" w:type="dxa"/>
              <w:bottom w:w="80" w:type="dxa"/>
              <w:end w:w="120" w:type="dxa"/>
            </w:tcMar>
          </w:tcPr>
          <w:p>
            <w:pPr>
              <w:spacing w:after="0"/>
            </w:pPr>
            <w:r>
              <w:rPr>
                <w:sz w:val="17"/>
              </w:rPr>
              <w:t>care-home-negligence-claims-scotland</w:t>
            </w:r>
          </w:p>
        </w:tc>
        <w:tc>
          <w:tcPr>
            <w:tcW w:type="dxa" w:w="3816"/>
            <w:vAlign w:val="center"/>
            <w:tcMar>
              <w:top w:w="80" w:type="dxa"/>
              <w:start w:w="120" w:type="dxa"/>
              <w:bottom w:w="80" w:type="dxa"/>
              <w:end w:w="120" w:type="dxa"/>
            </w:tcMar>
          </w:tcPr>
          <w:p>
            <w:pPr>
              <w:spacing w:after="0"/>
            </w:pPr>
            <w:r>
              <w:rPr>
                <w:sz w:val="17"/>
              </w:rPr>
              <w:t>care-home negligence</w:t>
            </w:r>
          </w:p>
        </w:tc>
        <w:tc>
          <w:tcPr>
            <w:tcW w:type="dxa" w:w="3456"/>
            <w:vAlign w:val="center"/>
            <w:tcMar>
              <w:top w:w="80" w:type="dxa"/>
              <w:start w:w="120" w:type="dxa"/>
              <w:bottom w:w="80" w:type="dxa"/>
              <w:end w:w="120" w:type="dxa"/>
            </w:tcMar>
          </w:tcPr>
          <w:p>
            <w:pPr>
              <w:spacing w:after="0"/>
            </w:pPr>
            <w:r>
              <w:rPr>
                <w:sz w:val="17"/>
              </w:rPr>
              <w:t>Keep only if service scope clear; may involve different legal theories; parent medical/PI</w:t>
            </w:r>
          </w:p>
        </w:tc>
      </w:tr>
      <w:tr>
        <w:tc>
          <w:tcPr>
            <w:tcW w:type="dxa" w:w="2088"/>
            <w:vAlign w:val="center"/>
            <w:tcMar>
              <w:top w:w="80" w:type="dxa"/>
              <w:start w:w="120" w:type="dxa"/>
              <w:bottom w:w="80" w:type="dxa"/>
              <w:end w:w="120" w:type="dxa"/>
            </w:tcMar>
          </w:tcPr>
          <w:p>
            <w:pPr>
              <w:spacing w:after="0"/>
            </w:pPr>
            <w:r>
              <w:rPr>
                <w:sz w:val="17"/>
              </w:rPr>
              <w:t>prescription-error-claims-scotland</w:t>
            </w:r>
          </w:p>
        </w:tc>
        <w:tc>
          <w:tcPr>
            <w:tcW w:type="dxa" w:w="3816"/>
            <w:vAlign w:val="center"/>
            <w:tcMar>
              <w:top w:w="80" w:type="dxa"/>
              <w:start w:w="120" w:type="dxa"/>
              <w:bottom w:w="80" w:type="dxa"/>
              <w:end w:w="120" w:type="dxa"/>
            </w:tcMar>
          </w:tcPr>
          <w:p>
            <w:pPr>
              <w:spacing w:after="0"/>
            </w:pPr>
            <w:r>
              <w:rPr>
                <w:sz w:val="17"/>
              </w:rPr>
              <w:t>prescription error</w:t>
            </w:r>
          </w:p>
        </w:tc>
        <w:tc>
          <w:tcPr>
            <w:tcW w:type="dxa" w:w="3456"/>
            <w:vAlign w:val="center"/>
            <w:tcMar>
              <w:top w:w="80" w:type="dxa"/>
              <w:start w:w="120" w:type="dxa"/>
              <w:bottom w:w="80" w:type="dxa"/>
              <w:end w:w="120" w:type="dxa"/>
            </w:tcMar>
          </w:tcPr>
          <w:p>
            <w:pPr>
              <w:spacing w:after="0"/>
            </w:pPr>
            <w:r>
              <w:rPr>
                <w:sz w:val="17"/>
              </w:rPr>
              <w:t>Keep; parent medical</w:t>
            </w:r>
          </w:p>
        </w:tc>
      </w:tr>
      <w:tr>
        <w:tc>
          <w:tcPr>
            <w:tcW w:type="dxa" w:w="2088"/>
            <w:vAlign w:val="center"/>
            <w:tcMar>
              <w:top w:w="80" w:type="dxa"/>
              <w:start w:w="120" w:type="dxa"/>
              <w:bottom w:w="80" w:type="dxa"/>
              <w:end w:w="120" w:type="dxa"/>
            </w:tcMar>
          </w:tcPr>
          <w:p>
            <w:pPr>
              <w:spacing w:after="0"/>
            </w:pPr>
            <w:r>
              <w:rPr>
                <w:sz w:val="17"/>
              </w:rPr>
              <w:t>cancer-misdiagnosis-claims-scotland</w:t>
            </w:r>
          </w:p>
        </w:tc>
        <w:tc>
          <w:tcPr>
            <w:tcW w:type="dxa" w:w="3816"/>
            <w:vAlign w:val="center"/>
            <w:tcMar>
              <w:top w:w="80" w:type="dxa"/>
              <w:start w:w="120" w:type="dxa"/>
              <w:bottom w:w="80" w:type="dxa"/>
              <w:end w:w="120" w:type="dxa"/>
            </w:tcMar>
          </w:tcPr>
          <w:p>
            <w:pPr>
              <w:spacing w:after="0"/>
            </w:pPr>
            <w:r>
              <w:rPr>
                <w:sz w:val="17"/>
              </w:rPr>
              <w:t>cancer misdiagnosis</w:t>
            </w:r>
          </w:p>
        </w:tc>
        <w:tc>
          <w:tcPr>
            <w:tcW w:type="dxa" w:w="3456"/>
            <w:vAlign w:val="center"/>
            <w:tcMar>
              <w:top w:w="80" w:type="dxa"/>
              <w:start w:w="120" w:type="dxa"/>
              <w:bottom w:w="80" w:type="dxa"/>
              <w:end w:w="120" w:type="dxa"/>
            </w:tcMar>
          </w:tcPr>
          <w:p>
            <w:pPr>
              <w:spacing w:after="0"/>
            </w:pPr>
            <w:r>
              <w:rPr>
                <w:sz w:val="17"/>
              </w:rPr>
              <w:t>Keep only with verified expertise; parent medical</w:t>
            </w:r>
          </w:p>
        </w:tc>
      </w:tr>
      <w:tr>
        <w:tc>
          <w:tcPr>
            <w:tcW w:type="dxa" w:w="2088"/>
            <w:vAlign w:val="center"/>
            <w:tcMar>
              <w:top w:w="80" w:type="dxa"/>
              <w:start w:w="120" w:type="dxa"/>
              <w:bottom w:w="80" w:type="dxa"/>
              <w:end w:w="120" w:type="dxa"/>
            </w:tcMar>
          </w:tcPr>
          <w:p>
            <w:pPr>
              <w:spacing w:after="0"/>
            </w:pPr>
            <w:r>
              <w:rPr>
                <w:sz w:val="17"/>
              </w:rPr>
              <w:t>cycling-accident-claims-scotland</w:t>
            </w:r>
          </w:p>
        </w:tc>
        <w:tc>
          <w:tcPr>
            <w:tcW w:type="dxa" w:w="3816"/>
            <w:vAlign w:val="center"/>
            <w:tcMar>
              <w:top w:w="80" w:type="dxa"/>
              <w:start w:w="120" w:type="dxa"/>
              <w:bottom w:w="80" w:type="dxa"/>
              <w:end w:w="120" w:type="dxa"/>
            </w:tcMar>
          </w:tcPr>
          <w:p>
            <w:pPr>
              <w:spacing w:after="0"/>
            </w:pPr>
            <w:r>
              <w:rPr>
                <w:sz w:val="17"/>
              </w:rPr>
              <w:t>cycling accident</w:t>
            </w:r>
          </w:p>
        </w:tc>
        <w:tc>
          <w:tcPr>
            <w:tcW w:type="dxa" w:w="3456"/>
            <w:vAlign w:val="center"/>
            <w:tcMar>
              <w:top w:w="80" w:type="dxa"/>
              <w:start w:w="120" w:type="dxa"/>
              <w:bottom w:w="80" w:type="dxa"/>
              <w:end w:w="120" w:type="dxa"/>
            </w:tcMar>
          </w:tcPr>
          <w:p>
            <w:pPr>
              <w:spacing w:after="0"/>
            </w:pPr>
            <w:r>
              <w:rPr>
                <w:sz w:val="17"/>
              </w:rPr>
              <w:t>Keep; parent RTA</w:t>
            </w:r>
          </w:p>
        </w:tc>
      </w:tr>
      <w:tr>
        <w:tc>
          <w:tcPr>
            <w:tcW w:type="dxa" w:w="2088"/>
            <w:vAlign w:val="center"/>
            <w:tcMar>
              <w:top w:w="80" w:type="dxa"/>
              <w:start w:w="120" w:type="dxa"/>
              <w:bottom w:w="80" w:type="dxa"/>
              <w:end w:w="120" w:type="dxa"/>
            </w:tcMar>
          </w:tcPr>
          <w:p>
            <w:pPr>
              <w:spacing w:after="0"/>
            </w:pPr>
            <w:r>
              <w:rPr>
                <w:sz w:val="17"/>
              </w:rPr>
              <w:t>motorcycle-accident-claims-scotland</w:t>
            </w:r>
          </w:p>
        </w:tc>
        <w:tc>
          <w:tcPr>
            <w:tcW w:type="dxa" w:w="3816"/>
            <w:vAlign w:val="center"/>
            <w:tcMar>
              <w:top w:w="80" w:type="dxa"/>
              <w:start w:w="120" w:type="dxa"/>
              <w:bottom w:w="80" w:type="dxa"/>
              <w:end w:w="120" w:type="dxa"/>
            </w:tcMar>
          </w:tcPr>
          <w:p>
            <w:pPr>
              <w:spacing w:after="0"/>
            </w:pPr>
            <w:r>
              <w:rPr>
                <w:sz w:val="17"/>
              </w:rPr>
              <w:t>motorcycle accident</w:t>
            </w:r>
          </w:p>
        </w:tc>
        <w:tc>
          <w:tcPr>
            <w:tcW w:type="dxa" w:w="3456"/>
            <w:vAlign w:val="center"/>
            <w:tcMar>
              <w:top w:w="80" w:type="dxa"/>
              <w:start w:w="120" w:type="dxa"/>
              <w:bottom w:w="80" w:type="dxa"/>
              <w:end w:w="120" w:type="dxa"/>
            </w:tcMar>
          </w:tcPr>
          <w:p>
            <w:pPr>
              <w:spacing w:after="0"/>
            </w:pPr>
            <w:r>
              <w:rPr>
                <w:sz w:val="17"/>
              </w:rPr>
              <w:t>Keep; parent RTA</w:t>
            </w:r>
          </w:p>
        </w:tc>
      </w:tr>
      <w:tr>
        <w:tc>
          <w:tcPr>
            <w:tcW w:type="dxa" w:w="2088"/>
            <w:vAlign w:val="center"/>
            <w:tcMar>
              <w:top w:w="80" w:type="dxa"/>
              <w:start w:w="120" w:type="dxa"/>
              <w:bottom w:w="80" w:type="dxa"/>
              <w:end w:w="120" w:type="dxa"/>
            </w:tcMar>
          </w:tcPr>
          <w:p>
            <w:pPr>
              <w:spacing w:after="0"/>
            </w:pPr>
            <w:r>
              <w:rPr>
                <w:sz w:val="17"/>
              </w:rPr>
              <w:t>no-win-no-fee-scotland-explained</w:t>
            </w:r>
          </w:p>
        </w:tc>
        <w:tc>
          <w:tcPr>
            <w:tcW w:type="dxa" w:w="3816"/>
            <w:vAlign w:val="center"/>
            <w:tcMar>
              <w:top w:w="80" w:type="dxa"/>
              <w:start w:w="120" w:type="dxa"/>
              <w:bottom w:w="80" w:type="dxa"/>
              <w:end w:w="120" w:type="dxa"/>
            </w:tcMar>
          </w:tcPr>
          <w:p>
            <w:pPr>
              <w:spacing w:after="0"/>
            </w:pPr>
            <w:r>
              <w:rPr>
                <w:sz w:val="17"/>
              </w:rPr>
              <w:t>funding explained</w:t>
            </w:r>
          </w:p>
        </w:tc>
        <w:tc>
          <w:tcPr>
            <w:tcW w:type="dxa" w:w="3456"/>
            <w:vAlign w:val="center"/>
            <w:tcMar>
              <w:top w:w="80" w:type="dxa"/>
              <w:start w:w="120" w:type="dxa"/>
              <w:bottom w:w="80" w:type="dxa"/>
              <w:end w:w="120" w:type="dxa"/>
            </w:tcMar>
          </w:tcPr>
          <w:p>
            <w:pPr>
              <w:spacing w:after="0"/>
            </w:pPr>
            <w:r>
              <w:rPr>
                <w:sz w:val="17"/>
              </w:rPr>
              <w:t>Merge/301 to funding pillar</w:t>
            </w:r>
          </w:p>
        </w:tc>
      </w:tr>
    </w:tbl>
    <w:p>
      <w:pPr>
        <w:spacing w:after="0"/>
      </w:pPr>
    </w:p>
    <w:p>
      <w:r>
        <w:t>If more guides exist after the inspected excerpt, apply the same rule: one primary intent, one canonical owner, and no service-page duplicate.</w:t>
      </w:r>
    </w:p>
    <w:p>
      <w:pPr>
        <w:pStyle w:val="Heading3"/>
      </w:pPr>
      <w:r>
        <w:t>Query groups to target within existing pages</w:t>
      </w:r>
    </w:p>
    <w:p>
      <w:pPr>
        <w:pStyle w:val="ListBullet"/>
      </w:pPr>
      <w:r>
        <w:rPr>
          <w:b/>
        </w:rPr>
        <w:t>Commercial:</w:t>
      </w:r>
      <w:r>
        <w:t xml:space="preserve"> accident claims Scotland; personal injury claims/solicitors Scotland; RTA, work, public place, clinical negligence, serious injury, industrial disease and CICA claims Scotland.</w:t>
      </w:r>
    </w:p>
    <w:p>
      <w:pPr>
        <w:pStyle w:val="ListBullet"/>
      </w:pPr>
      <w:r>
        <w:rPr>
          <w:b/>
        </w:rPr>
        <w:t>Eligibility:</w:t>
      </w:r>
      <w:r>
        <w:t xml:space="preserve"> can I claim; partly at fault; employer/council/public authority; child; cross-border; delayed diagnosis.</w:t>
      </w:r>
    </w:p>
    <w:p>
      <w:pPr>
        <w:pStyle w:val="ListBullet"/>
      </w:pPr>
      <w:r>
        <w:rPr>
          <w:b/>
        </w:rPr>
        <w:t>Evidence/process:</w:t>
      </w:r>
      <w:r>
        <w:t xml:space="preserve"> accident report, witness/CCTV, medical records/report/examination, liability denied, settlement, court attendance.</w:t>
      </w:r>
    </w:p>
    <w:p>
      <w:pPr>
        <w:pStyle w:val="ListBullet"/>
      </w:pPr>
      <w:r>
        <w:rPr>
          <w:b/>
        </w:rPr>
        <w:t>Funding:</w:t>
      </w:r>
      <w:r>
        <w:t xml:space="preserve"> no win no fee Scotland; deductions; success fee; outlays; insurance; who pays.</w:t>
      </w:r>
    </w:p>
    <w:p>
      <w:pPr>
        <w:pStyle w:val="ListBullet"/>
      </w:pPr>
      <w:r>
        <w:rPr>
          <w:b/>
        </w:rPr>
        <w:t>Compensation:</w:t>
      </w:r>
      <w:r>
        <w:t xml:space="preserve"> solatium; loss of earnings; care/treatment/travel/future needs; how valuation works. Do not publish a calculator until its methodology, sources and limitations are legally reviewed.</w:t>
      </w:r>
    </w:p>
    <w:p>
      <w:pPr>
        <w:pStyle w:val="ListBullet"/>
      </w:pPr>
      <w:r>
        <w:rPr>
          <w:b/>
        </w:rPr>
        <w:t>Conversational/AI:</w:t>
      </w:r>
      <w:r>
        <w:t xml:space="preserve"> “What happens after I contact a Scottish personal injury solicitor?”, “Does contacting a solicitor stop the three-year clock?”, “Is CICA the same as suing the attacker?”, “Can a Scottish court allow a late personal-injury action?”</w:t>
      </w:r>
    </w:p>
    <w:p>
      <w:pPr>
        <w:pStyle w:val="Heading2"/>
      </w:pPr>
      <w:r>
        <w:t>5. AI search and answer-engine audit</w:t>
      </w:r>
    </w:p>
    <w:p>
      <w:pPr>
        <w:pStyle w:val="Heading3"/>
      </w:pPr>
      <w:r>
        <w:t>Current assessment</w:t>
      </w:r>
    </w:p>
    <w:p>
      <w:r>
        <w:t>Core answers are extractable because the pages render meaningful text without interaction and use question headings, answer boxes and lists. That is a sound foundation for Google AI Overviews, Bing/Copilot, ChatGPT search, Perplexity, Gemini and other retrieval systems.</w:t>
      </w:r>
    </w:p>
    <w:p>
      <w:r>
        <w:t xml:space="preserve">The entity layer is unusable, however. The site asks systems to connect </w:t>
      </w:r>
      <w:r>
        <w:rPr>
          <w:rFonts w:ascii="Consolas" w:hAnsi="Consolas"/>
          <w:sz w:val="19"/>
        </w:rPr>
        <w:t>[LAW FIRM NAME]</w:t>
      </w:r>
      <w:r>
        <w:t xml:space="preserve">, </w:t>
      </w:r>
      <w:r>
        <w:rPr>
          <w:rFonts w:ascii="Consolas" w:hAnsi="Consolas"/>
          <w:sz w:val="19"/>
        </w:rPr>
        <w:t>Accident Claims Scotland</w:t>
      </w:r>
      <w:r>
        <w:t xml:space="preserve">, a placeholder address and an unverified </w:t>
      </w:r>
      <w:r>
        <w:rPr>
          <w:rFonts w:ascii="Consolas" w:hAnsi="Consolas"/>
          <w:sz w:val="19"/>
        </w:rPr>
        <w:t>LegalService</w:t>
      </w:r>
      <w:r>
        <w:t>. There are no real people, reviewer credentials, regulator profiles, consistent external identities or source citations. This makes confident citation unsafe. Commodity wording and repetitive location pages provide little reason for an answer engine to cite this domain over primary sources or established Scottish firms.</w:t>
      </w:r>
    </w:p>
    <w:p>
      <w:pPr>
        <w:pStyle w:val="Heading3"/>
      </w:pPr>
      <w:r>
        <w:t>Specific improvements</w:t>
      </w:r>
    </w:p>
    <w:p>
      <w:pPr>
        <w:pStyle w:val="ListNumber"/>
      </w:pPr>
      <w:r>
        <w:t>Put a verified entity panel on every page: “This website is operated by X. Legal services are provided by Y, a Scottish solicitor practice regulated by Z, membership number N. Enquiries go to Y / are referred to Y under [plain explanation].”</w:t>
      </w:r>
    </w:p>
    <w:p>
      <w:pPr>
        <w:pStyle w:val="ListNumber"/>
      </w:pPr>
      <w:r>
        <w:t xml:space="preserve">Give every legal article a named Scottish solicitor author or reviewer, profile URL, relevant accreditation/experience, </w:t>
      </w:r>
      <w:r>
        <w:rPr>
          <w:rFonts w:ascii="Consolas" w:hAnsi="Consolas"/>
          <w:sz w:val="19"/>
        </w:rPr>
        <w:t>datePublished</w:t>
      </w:r>
      <w:r>
        <w:t xml:space="preserve">, </w:t>
      </w:r>
      <w:r>
        <w:rPr>
          <w:rFonts w:ascii="Consolas" w:hAnsi="Consolas"/>
          <w:sz w:val="19"/>
        </w:rPr>
        <w:t>dateModified</w:t>
      </w:r>
      <w:r>
        <w:t>, review scope and citations.</w:t>
      </w:r>
    </w:p>
    <w:p>
      <w:pPr>
        <w:pStyle w:val="ListNumber"/>
      </w:pPr>
      <w:r>
        <w:t>Write 40–80 word answer blocks that state the general rule, the important qualification and the next safe step.</w:t>
      </w:r>
    </w:p>
    <w:p>
      <w:pPr>
        <w:pStyle w:val="ListNumber"/>
      </w:pPr>
      <w:r>
        <w:t>Link legal claims inline to legislation/GOV.UK/SCTS/HSE/NHS/ICO sources.</w:t>
      </w:r>
    </w:p>
    <w:p>
      <w:pPr>
        <w:pStyle w:val="ListNumber"/>
      </w:pPr>
      <w:r>
        <w:t>Separate civil negligence, CICA, employment/benefits, statutory disease schemes and complaints routes in comparison tables.</w:t>
      </w:r>
    </w:p>
    <w:p>
      <w:pPr>
        <w:pStyle w:val="ListNumber"/>
      </w:pPr>
      <w:r>
        <w:t>Publish original material only when verifiable: anonymised case methodology, evidence checklists, process timelines, expert interviews or aggregated first-party questions. Do not invent results.</w:t>
      </w:r>
    </w:p>
    <w:p>
      <w:pPr>
        <w:pStyle w:val="ListNumber"/>
      </w:pPr>
      <w:r>
        <w:t>Maintain stable terminology and IDs across visible copy and JSON-LD.</w:t>
      </w:r>
    </w:p>
    <w:p>
      <w:pPr>
        <w:pStyle w:val="ListNumber"/>
      </w:pPr>
      <w:r>
        <w:t>Make authorship, editorial policy and corrections process crawlable.</w:t>
      </w:r>
    </w:p>
    <w:p>
      <w:pPr>
        <w:pStyle w:val="Heading3"/>
      </w:pPr>
      <w:r>
        <w:t>Useful comparison block</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shd w:fill="E8EEF5"/>
          </w:tcPr>
          <w:p>
            <w:pPr>
              <w:spacing w:after="0"/>
            </w:pPr>
            <w:r>
              <w:rPr>
                <w:b/>
                <w:color w:val="0B2545"/>
                <w:sz w:val="17"/>
              </w:rPr>
              <w:t>Route</w:t>
            </w:r>
          </w:p>
        </w:tc>
        <w:tc>
          <w:tcPr>
            <w:tcW w:type="dxa" w:w="1872"/>
            <w:vAlign w:val="center"/>
            <w:tcMar>
              <w:top w:w="80" w:type="dxa"/>
              <w:start w:w="120" w:type="dxa"/>
              <w:bottom w:w="80" w:type="dxa"/>
              <w:end w:w="120" w:type="dxa"/>
            </w:tcMar>
            <w:shd w:fill="E8EEF5"/>
          </w:tcPr>
          <w:p>
            <w:pPr>
              <w:spacing w:after="0"/>
            </w:pPr>
            <w:r>
              <w:rPr>
                <w:b/>
                <w:color w:val="0B2545"/>
                <w:sz w:val="17"/>
              </w:rPr>
              <w:t>Who decides/pays</w:t>
            </w:r>
          </w:p>
        </w:tc>
        <w:tc>
          <w:tcPr>
            <w:tcW w:type="dxa" w:w="1872"/>
            <w:vAlign w:val="center"/>
            <w:tcMar>
              <w:top w:w="80" w:type="dxa"/>
              <w:start w:w="120" w:type="dxa"/>
              <w:bottom w:w="80" w:type="dxa"/>
              <w:end w:w="120" w:type="dxa"/>
            </w:tcMar>
            <w:shd w:fill="E8EEF5"/>
          </w:tcPr>
          <w:p>
            <w:pPr>
              <w:spacing w:after="0"/>
            </w:pPr>
            <w:r>
              <w:rPr>
                <w:b/>
                <w:color w:val="0B2545"/>
                <w:sz w:val="17"/>
              </w:rPr>
              <w:t>Core test</w:t>
            </w:r>
          </w:p>
        </w:tc>
        <w:tc>
          <w:tcPr>
            <w:tcW w:type="dxa" w:w="1872"/>
            <w:vAlign w:val="center"/>
            <w:tcMar>
              <w:top w:w="80" w:type="dxa"/>
              <w:start w:w="120" w:type="dxa"/>
              <w:bottom w:w="80" w:type="dxa"/>
              <w:end w:w="120" w:type="dxa"/>
            </w:tcMar>
            <w:shd w:fill="E8EEF5"/>
          </w:tcPr>
          <w:p>
            <w:pPr>
              <w:spacing w:after="0"/>
            </w:pPr>
            <w:r>
              <w:rPr>
                <w:b/>
                <w:color w:val="0B2545"/>
                <w:sz w:val="17"/>
              </w:rPr>
              <w:t>Typical deadline warning</w:t>
            </w:r>
          </w:p>
        </w:tc>
        <w:tc>
          <w:tcPr>
            <w:tcW w:type="dxa" w:w="1872"/>
            <w:vAlign w:val="center"/>
            <w:tcMar>
              <w:top w:w="80" w:type="dxa"/>
              <w:start w:w="120" w:type="dxa"/>
              <w:bottom w:w="80" w:type="dxa"/>
              <w:end w:w="120" w:type="dxa"/>
            </w:tcMar>
            <w:shd w:fill="E8EEF5"/>
          </w:tcPr>
          <w:p>
            <w:pPr>
              <w:spacing w:after="0"/>
            </w:pPr>
            <w:r>
              <w:rPr>
                <w:b/>
                <w:color w:val="0B2545"/>
                <w:sz w:val="17"/>
              </w:rPr>
              <w:t>Key source</w:t>
            </w:r>
          </w:p>
        </w:tc>
      </w:tr>
      <w:tr>
        <w:tc>
          <w:tcPr>
            <w:tcW w:type="dxa" w:w="1872"/>
            <w:vAlign w:val="center"/>
            <w:tcMar>
              <w:top w:w="80" w:type="dxa"/>
              <w:start w:w="120" w:type="dxa"/>
              <w:bottom w:w="80" w:type="dxa"/>
              <w:end w:w="120" w:type="dxa"/>
            </w:tcMar>
          </w:tcPr>
          <w:p>
            <w:pPr>
              <w:spacing w:after="0"/>
            </w:pPr>
            <w:r>
              <w:rPr>
                <w:sz w:val="17"/>
              </w:rPr>
              <w:t>Civil personal-injury claim</w:t>
            </w:r>
          </w:p>
        </w:tc>
        <w:tc>
          <w:tcPr>
            <w:tcW w:type="dxa" w:w="1872"/>
            <w:vAlign w:val="center"/>
            <w:tcMar>
              <w:top w:w="80" w:type="dxa"/>
              <w:start w:w="120" w:type="dxa"/>
              <w:bottom w:w="80" w:type="dxa"/>
              <w:end w:w="120" w:type="dxa"/>
            </w:tcMar>
          </w:tcPr>
          <w:p>
            <w:pPr>
              <w:spacing w:after="0"/>
            </w:pPr>
            <w:r>
              <w:rPr>
                <w:sz w:val="17"/>
              </w:rPr>
              <w:t>Negotiated with defender/insurer or determined by a Scottish court</w:t>
            </w:r>
          </w:p>
        </w:tc>
        <w:tc>
          <w:tcPr>
            <w:tcW w:type="dxa" w:w="1872"/>
            <w:vAlign w:val="center"/>
            <w:tcMar>
              <w:top w:w="80" w:type="dxa"/>
              <w:start w:w="120" w:type="dxa"/>
              <w:bottom w:w="80" w:type="dxa"/>
              <w:end w:w="120" w:type="dxa"/>
            </w:tcMar>
          </w:tcPr>
          <w:p>
            <w:pPr>
              <w:spacing w:after="0"/>
            </w:pPr>
            <w:r>
              <w:rPr>
                <w:sz w:val="17"/>
              </w:rPr>
              <w:t>Fault/duty, breach, causation and loss</w:t>
            </w:r>
          </w:p>
        </w:tc>
        <w:tc>
          <w:tcPr>
            <w:tcW w:type="dxa" w:w="1872"/>
            <w:vAlign w:val="center"/>
            <w:tcMar>
              <w:top w:w="80" w:type="dxa"/>
              <w:start w:w="120" w:type="dxa"/>
              <w:bottom w:w="80" w:type="dxa"/>
              <w:end w:w="120" w:type="dxa"/>
            </w:tcMar>
          </w:tcPr>
          <w:p>
            <w:pPr>
              <w:spacing w:after="0"/>
            </w:pPr>
            <w:r>
              <w:rPr>
                <w:sz w:val="17"/>
              </w:rPr>
              <w:t>Court proceedings generally must be raised within the applicable limitation period</w:t>
            </w:r>
          </w:p>
        </w:tc>
        <w:tc>
          <w:tcPr>
            <w:tcW w:type="dxa" w:w="1872"/>
            <w:vAlign w:val="center"/>
            <w:tcMar>
              <w:top w:w="80" w:type="dxa"/>
              <w:start w:w="120" w:type="dxa"/>
              <w:bottom w:w="80" w:type="dxa"/>
              <w:end w:w="120" w:type="dxa"/>
            </w:tcMar>
          </w:tcPr>
          <w:p>
            <w:pPr>
              <w:spacing w:after="0"/>
            </w:pPr>
            <w:r>
              <w:rPr>
                <w:sz w:val="17"/>
              </w:rPr>
              <w:t>1973 Act; SCTS</w:t>
            </w:r>
          </w:p>
        </w:tc>
      </w:tr>
      <w:tr>
        <w:tc>
          <w:tcPr>
            <w:tcW w:type="dxa" w:w="1872"/>
            <w:vAlign w:val="center"/>
            <w:tcMar>
              <w:top w:w="80" w:type="dxa"/>
              <w:start w:w="120" w:type="dxa"/>
              <w:bottom w:w="80" w:type="dxa"/>
              <w:end w:w="120" w:type="dxa"/>
            </w:tcMar>
          </w:tcPr>
          <w:p>
            <w:pPr>
              <w:spacing w:after="0"/>
            </w:pPr>
            <w:r>
              <w:rPr>
                <w:sz w:val="17"/>
              </w:rPr>
              <w:t>CICA application</w:t>
            </w:r>
          </w:p>
        </w:tc>
        <w:tc>
          <w:tcPr>
            <w:tcW w:type="dxa" w:w="1872"/>
            <w:vAlign w:val="center"/>
            <w:tcMar>
              <w:top w:w="80" w:type="dxa"/>
              <w:start w:w="120" w:type="dxa"/>
              <w:bottom w:w="80" w:type="dxa"/>
              <w:end w:w="120" w:type="dxa"/>
            </w:tcMar>
          </w:tcPr>
          <w:p>
            <w:pPr>
              <w:spacing w:after="0"/>
            </w:pPr>
            <w:r>
              <w:rPr>
                <w:sz w:val="17"/>
              </w:rPr>
              <w:t>Criminal Injuries Compensation Authority</w:t>
            </w:r>
          </w:p>
        </w:tc>
        <w:tc>
          <w:tcPr>
            <w:tcW w:type="dxa" w:w="1872"/>
            <w:vAlign w:val="center"/>
            <w:tcMar>
              <w:top w:w="80" w:type="dxa"/>
              <w:start w:w="120" w:type="dxa"/>
              <w:bottom w:w="80" w:type="dxa"/>
              <w:end w:w="120" w:type="dxa"/>
            </w:tcMar>
          </w:tcPr>
          <w:p>
            <w:pPr>
              <w:spacing w:after="0"/>
            </w:pPr>
            <w:r>
              <w:rPr>
                <w:sz w:val="17"/>
              </w:rPr>
              <w:t>Eligibility under the 2012 Scheme; tariff and evidence rules</w:t>
            </w:r>
          </w:p>
        </w:tc>
        <w:tc>
          <w:tcPr>
            <w:tcW w:type="dxa" w:w="1872"/>
            <w:vAlign w:val="center"/>
            <w:tcMar>
              <w:top w:w="80" w:type="dxa"/>
              <w:start w:w="120" w:type="dxa"/>
              <w:bottom w:w="80" w:type="dxa"/>
              <w:end w:w="120" w:type="dxa"/>
            </w:tcMar>
          </w:tcPr>
          <w:p>
            <w:pPr>
              <w:spacing w:after="0"/>
            </w:pPr>
            <w:r>
              <w:rPr>
                <w:sz w:val="17"/>
              </w:rPr>
              <w:t>Adult applications normally within two years, subject to limited exceptions</w:t>
            </w:r>
          </w:p>
        </w:tc>
        <w:tc>
          <w:tcPr>
            <w:tcW w:type="dxa" w:w="1872"/>
            <w:vAlign w:val="center"/>
            <w:tcMar>
              <w:top w:w="80" w:type="dxa"/>
              <w:start w:w="120" w:type="dxa"/>
              <w:bottom w:w="80" w:type="dxa"/>
              <w:end w:w="120" w:type="dxa"/>
            </w:tcMar>
          </w:tcPr>
          <w:p>
            <w:pPr>
              <w:spacing w:after="0"/>
            </w:pPr>
            <w:r>
              <w:rPr>
                <w:sz w:val="17"/>
              </w:rPr>
              <w:t>GOV.UK/CICA</w:t>
            </w:r>
          </w:p>
        </w:tc>
      </w:tr>
      <w:tr>
        <w:tc>
          <w:tcPr>
            <w:tcW w:type="dxa" w:w="1872"/>
            <w:vAlign w:val="center"/>
            <w:tcMar>
              <w:top w:w="80" w:type="dxa"/>
              <w:start w:w="120" w:type="dxa"/>
              <w:bottom w:w="80" w:type="dxa"/>
              <w:end w:w="120" w:type="dxa"/>
            </w:tcMar>
          </w:tcPr>
          <w:p>
            <w:pPr>
              <w:spacing w:after="0"/>
            </w:pPr>
            <w:r>
              <w:rPr>
                <w:sz w:val="17"/>
              </w:rPr>
              <w:t>Workplace safety complaint</w:t>
            </w:r>
          </w:p>
        </w:tc>
        <w:tc>
          <w:tcPr>
            <w:tcW w:type="dxa" w:w="1872"/>
            <w:vAlign w:val="center"/>
            <w:tcMar>
              <w:top w:w="80" w:type="dxa"/>
              <w:start w:w="120" w:type="dxa"/>
              <w:bottom w:w="80" w:type="dxa"/>
              <w:end w:w="120" w:type="dxa"/>
            </w:tcMar>
          </w:tcPr>
          <w:p>
            <w:pPr>
              <w:spacing w:after="0"/>
            </w:pPr>
            <w:r>
              <w:rPr>
                <w:sz w:val="17"/>
              </w:rPr>
              <w:t>HSE/local authority as regulator</w:t>
            </w:r>
          </w:p>
        </w:tc>
        <w:tc>
          <w:tcPr>
            <w:tcW w:type="dxa" w:w="1872"/>
            <w:vAlign w:val="center"/>
            <w:tcMar>
              <w:top w:w="80" w:type="dxa"/>
              <w:start w:w="120" w:type="dxa"/>
              <w:bottom w:w="80" w:type="dxa"/>
              <w:end w:w="120" w:type="dxa"/>
            </w:tcMar>
          </w:tcPr>
          <w:p>
            <w:pPr>
              <w:spacing w:after="0"/>
            </w:pPr>
            <w:r>
              <w:rPr>
                <w:sz w:val="17"/>
              </w:rPr>
              <w:t>Possible safety-law breach</w:t>
            </w:r>
          </w:p>
        </w:tc>
        <w:tc>
          <w:tcPr>
            <w:tcW w:type="dxa" w:w="1872"/>
            <w:vAlign w:val="center"/>
            <w:tcMar>
              <w:top w:w="80" w:type="dxa"/>
              <w:start w:w="120" w:type="dxa"/>
              <w:bottom w:w="80" w:type="dxa"/>
              <w:end w:w="120" w:type="dxa"/>
            </w:tcMar>
          </w:tcPr>
          <w:p>
            <w:pPr>
              <w:spacing w:after="0"/>
            </w:pPr>
            <w:r>
              <w:rPr>
                <w:sz w:val="17"/>
              </w:rPr>
              <w:t>Not a substitute for a damages claim</w:t>
            </w:r>
          </w:p>
        </w:tc>
        <w:tc>
          <w:tcPr>
            <w:tcW w:type="dxa" w:w="1872"/>
            <w:vAlign w:val="center"/>
            <w:tcMar>
              <w:top w:w="80" w:type="dxa"/>
              <w:start w:w="120" w:type="dxa"/>
              <w:bottom w:w="80" w:type="dxa"/>
              <w:end w:w="120" w:type="dxa"/>
            </w:tcMar>
          </w:tcPr>
          <w:p>
            <w:pPr>
              <w:spacing w:after="0"/>
            </w:pPr>
            <w:r>
              <w:rPr>
                <w:sz w:val="17"/>
              </w:rPr>
              <w:t>HSE</w:t>
            </w:r>
          </w:p>
        </w:tc>
      </w:tr>
      <w:tr>
        <w:tc>
          <w:tcPr>
            <w:tcW w:type="dxa" w:w="1872"/>
            <w:vAlign w:val="center"/>
            <w:tcMar>
              <w:top w:w="80" w:type="dxa"/>
              <w:start w:w="120" w:type="dxa"/>
              <w:bottom w:w="80" w:type="dxa"/>
              <w:end w:w="120" w:type="dxa"/>
            </w:tcMar>
          </w:tcPr>
          <w:p>
            <w:pPr>
              <w:spacing w:after="0"/>
            </w:pPr>
            <w:r>
              <w:rPr>
                <w:sz w:val="17"/>
              </w:rPr>
              <w:t>NHS complaint</w:t>
            </w:r>
          </w:p>
        </w:tc>
        <w:tc>
          <w:tcPr>
            <w:tcW w:type="dxa" w:w="1872"/>
            <w:vAlign w:val="center"/>
            <w:tcMar>
              <w:top w:w="80" w:type="dxa"/>
              <w:start w:w="120" w:type="dxa"/>
              <w:bottom w:w="80" w:type="dxa"/>
              <w:end w:w="120" w:type="dxa"/>
            </w:tcMar>
          </w:tcPr>
          <w:p>
            <w:pPr>
              <w:spacing w:after="0"/>
            </w:pPr>
            <w:r>
              <w:rPr>
                <w:sz w:val="17"/>
              </w:rPr>
              <w:t>Relevant NHS board/ombudsman route</w:t>
            </w:r>
          </w:p>
        </w:tc>
        <w:tc>
          <w:tcPr>
            <w:tcW w:type="dxa" w:w="1872"/>
            <w:vAlign w:val="center"/>
            <w:tcMar>
              <w:top w:w="80" w:type="dxa"/>
              <w:start w:w="120" w:type="dxa"/>
              <w:bottom w:w="80" w:type="dxa"/>
              <w:end w:w="120" w:type="dxa"/>
            </w:tcMar>
          </w:tcPr>
          <w:p>
            <w:pPr>
              <w:spacing w:after="0"/>
            </w:pPr>
            <w:r>
              <w:rPr>
                <w:sz w:val="17"/>
              </w:rPr>
              <w:t>Service/complaint standards</w:t>
            </w:r>
          </w:p>
        </w:tc>
        <w:tc>
          <w:tcPr>
            <w:tcW w:type="dxa" w:w="1872"/>
            <w:vAlign w:val="center"/>
            <w:tcMar>
              <w:top w:w="80" w:type="dxa"/>
              <w:start w:w="120" w:type="dxa"/>
              <w:bottom w:w="80" w:type="dxa"/>
              <w:end w:w="120" w:type="dxa"/>
            </w:tcMar>
          </w:tcPr>
          <w:p>
            <w:pPr>
              <w:spacing w:after="0"/>
            </w:pPr>
            <w:r>
              <w:rPr>
                <w:sz w:val="17"/>
              </w:rPr>
              <w:t>Not the same as a damages action and does not necessarily protect limitation</w:t>
            </w:r>
          </w:p>
        </w:tc>
        <w:tc>
          <w:tcPr>
            <w:tcW w:type="dxa" w:w="1872"/>
            <w:vAlign w:val="center"/>
            <w:tcMar>
              <w:top w:w="80" w:type="dxa"/>
              <w:start w:w="120" w:type="dxa"/>
              <w:bottom w:w="80" w:type="dxa"/>
              <w:end w:w="120" w:type="dxa"/>
            </w:tcMar>
          </w:tcPr>
          <w:p>
            <w:pPr>
              <w:spacing w:after="0"/>
            </w:pPr>
            <w:r>
              <w:rPr>
                <w:sz w:val="17"/>
              </w:rPr>
              <w:t>NHS Scotland/SPSO</w:t>
            </w:r>
          </w:p>
        </w:tc>
      </w:tr>
    </w:tbl>
    <w:p>
      <w:pPr>
        <w:spacing w:after="0"/>
      </w:pPr>
    </w:p>
    <w:p>
      <w:pPr>
        <w:pStyle w:val="Heading2"/>
      </w:pPr>
      <w:r>
        <w:t>6. Content gaps and actions</w:t>
      </w:r>
    </w:p>
    <w:p>
      <w:r>
        <w:t>Review and consolidate before creating anything.</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tcMar>
              <w:top w:w="80" w:type="dxa"/>
              <w:start w:w="120" w:type="dxa"/>
              <w:bottom w:w="80" w:type="dxa"/>
              <w:end w:w="120" w:type="dxa"/>
            </w:tcMar>
            <w:shd w:fill="E8EEF5"/>
          </w:tcPr>
          <w:p>
            <w:pPr>
              <w:spacing w:after="0"/>
            </w:pPr>
            <w:r>
              <w:rPr>
                <w:b/>
                <w:color w:val="0B2545"/>
                <w:sz w:val="17"/>
              </w:rPr>
              <w:t>Page/action</w:t>
            </w:r>
          </w:p>
        </w:tc>
        <w:tc>
          <w:tcPr>
            <w:tcW w:type="dxa" w:w="1560"/>
            <w:vAlign w:val="center"/>
            <w:tcMar>
              <w:top w:w="80" w:type="dxa"/>
              <w:start w:w="120" w:type="dxa"/>
              <w:bottom w:w="80" w:type="dxa"/>
              <w:end w:w="120" w:type="dxa"/>
            </w:tcMar>
            <w:shd w:fill="E8EEF5"/>
          </w:tcPr>
          <w:p>
            <w:pPr>
              <w:spacing w:after="0"/>
            </w:pPr>
            <w:r>
              <w:rPr>
                <w:b/>
                <w:color w:val="0B2545"/>
                <w:sz w:val="17"/>
              </w:rPr>
              <w:t>URL</w:t>
            </w:r>
          </w:p>
        </w:tc>
        <w:tc>
          <w:tcPr>
            <w:tcW w:type="dxa" w:w="1560"/>
            <w:vAlign w:val="center"/>
            <w:tcMar>
              <w:top w:w="80" w:type="dxa"/>
              <w:start w:w="120" w:type="dxa"/>
              <w:bottom w:w="80" w:type="dxa"/>
              <w:end w:w="120" w:type="dxa"/>
            </w:tcMar>
            <w:shd w:fill="E8EEF5"/>
          </w:tcPr>
          <w:p>
            <w:pPr>
              <w:spacing w:after="0"/>
            </w:pPr>
            <w:r>
              <w:rPr>
                <w:b/>
                <w:color w:val="0B2545"/>
                <w:sz w:val="17"/>
              </w:rPr>
              <w:t>Intent</w:t>
            </w:r>
          </w:p>
        </w:tc>
        <w:tc>
          <w:tcPr>
            <w:tcW w:type="dxa" w:w="1560"/>
            <w:vAlign w:val="center"/>
            <w:tcMar>
              <w:top w:w="80" w:type="dxa"/>
              <w:start w:w="120" w:type="dxa"/>
              <w:bottom w:w="80" w:type="dxa"/>
              <w:end w:w="120" w:type="dxa"/>
            </w:tcMar>
            <w:shd w:fill="E8EEF5"/>
          </w:tcPr>
          <w:p>
            <w:pPr>
              <w:spacing w:after="0"/>
            </w:pPr>
            <w:r>
              <w:rPr>
                <w:b/>
                <w:color w:val="0B2545"/>
                <w:sz w:val="17"/>
              </w:rPr>
              <w:t>Proposed H2 structure</w:t>
            </w:r>
          </w:p>
        </w:tc>
        <w:tc>
          <w:tcPr>
            <w:tcW w:type="dxa" w:w="1560"/>
            <w:vAlign w:val="center"/>
            <w:tcMar>
              <w:top w:w="80" w:type="dxa"/>
              <w:start w:w="120" w:type="dxa"/>
              <w:bottom w:w="80" w:type="dxa"/>
              <w:end w:w="120" w:type="dxa"/>
            </w:tcMar>
            <w:shd w:fill="E8EEF5"/>
          </w:tcPr>
          <w:p>
            <w:pPr>
              <w:spacing w:after="0"/>
            </w:pPr>
            <w:r>
              <w:rPr>
                <w:b/>
                <w:color w:val="0B2545"/>
                <w:sz w:val="17"/>
              </w:rPr>
              <w:t>Gap evidence</w:t>
            </w:r>
          </w:p>
        </w:tc>
        <w:tc>
          <w:tcPr>
            <w:tcW w:type="dxa" w:w="1560"/>
            <w:vAlign w:val="center"/>
            <w:tcMar>
              <w:top w:w="80" w:type="dxa"/>
              <w:start w:w="120" w:type="dxa"/>
              <w:bottom w:w="80" w:type="dxa"/>
              <w:end w:w="120" w:type="dxa"/>
            </w:tcMar>
            <w:shd w:fill="E8EEF5"/>
          </w:tcPr>
          <w:p>
            <w:pPr>
              <w:spacing w:after="0"/>
            </w:pPr>
            <w:r>
              <w:rPr>
                <w:b/>
                <w:color w:val="0B2545"/>
                <w:sz w:val="17"/>
              </w:rPr>
              <w:t>Priority/legal review</w:t>
            </w:r>
          </w:p>
        </w:tc>
      </w:tr>
      <w:tr>
        <w:tc>
          <w:tcPr>
            <w:tcW w:type="dxa" w:w="1560"/>
            <w:vAlign w:val="center"/>
            <w:tcMar>
              <w:top w:w="80" w:type="dxa"/>
              <w:start w:w="120" w:type="dxa"/>
              <w:bottom w:w="80" w:type="dxa"/>
              <w:end w:w="120" w:type="dxa"/>
            </w:tcMar>
          </w:tcPr>
          <w:p>
            <w:pPr>
              <w:spacing w:after="0"/>
            </w:pPr>
            <w:r>
              <w:rPr>
                <w:sz w:val="17"/>
              </w:rPr>
              <w:t>Expand core eligibility</w:t>
            </w:r>
          </w:p>
        </w:tc>
        <w:tc>
          <w:tcPr>
            <w:tcW w:type="dxa" w:w="1560"/>
            <w:vAlign w:val="center"/>
            <w:tcMar>
              <w:top w:w="80" w:type="dxa"/>
              <w:start w:w="120" w:type="dxa"/>
              <w:bottom w:w="80" w:type="dxa"/>
              <w:end w:w="120" w:type="dxa"/>
            </w:tcMar>
          </w:tcPr>
          <w:p>
            <w:pPr>
              <w:spacing w:after="0"/>
            </w:pPr>
            <w:r>
              <w:rPr>
                <w:sz w:val="17"/>
              </w:rPr>
              <w:t>Existing PI pillar</w:t>
            </w:r>
          </w:p>
        </w:tc>
        <w:tc>
          <w:tcPr>
            <w:tcW w:type="dxa" w:w="1560"/>
            <w:vAlign w:val="center"/>
            <w:tcMar>
              <w:top w:w="80" w:type="dxa"/>
              <w:start w:w="120" w:type="dxa"/>
              <w:bottom w:w="80" w:type="dxa"/>
              <w:end w:w="120" w:type="dxa"/>
            </w:tcMar>
          </w:tcPr>
          <w:p>
            <w:pPr>
              <w:spacing w:after="0"/>
            </w:pPr>
            <w:r>
              <w:rPr>
                <w:sz w:val="17"/>
              </w:rPr>
              <w:t>eligibility for Scottish PI claim</w:t>
            </w:r>
          </w:p>
        </w:tc>
        <w:tc>
          <w:tcPr>
            <w:tcW w:type="dxa" w:w="1560"/>
            <w:vAlign w:val="center"/>
            <w:tcMar>
              <w:top w:w="80" w:type="dxa"/>
              <w:start w:w="120" w:type="dxa"/>
              <w:bottom w:w="80" w:type="dxa"/>
              <w:end w:w="120" w:type="dxa"/>
            </w:tcMar>
          </w:tcPr>
          <w:p>
            <w:pPr>
              <w:spacing w:after="0"/>
            </w:pPr>
            <w:r>
              <w:rPr>
                <w:sz w:val="17"/>
              </w:rPr>
              <w:t>What a claim is; elements; who may claim; shared fault; evidence; special cases; next step</w:t>
            </w:r>
          </w:p>
        </w:tc>
        <w:tc>
          <w:tcPr>
            <w:tcW w:type="dxa" w:w="1560"/>
            <w:vAlign w:val="center"/>
            <w:tcMar>
              <w:top w:w="80" w:type="dxa"/>
              <w:start w:w="120" w:type="dxa"/>
              <w:bottom w:w="80" w:type="dxa"/>
              <w:end w:w="120" w:type="dxa"/>
            </w:tcMar>
          </w:tcPr>
          <w:p>
            <w:pPr>
              <w:spacing w:after="0"/>
            </w:pPr>
            <w:r>
              <w:rPr>
                <w:sz w:val="17"/>
              </w:rPr>
              <w:t>Current direct answer is too categorical</w:t>
            </w:r>
          </w:p>
        </w:tc>
        <w:tc>
          <w:tcPr>
            <w:tcW w:type="dxa" w:w="1560"/>
            <w:vAlign w:val="center"/>
            <w:tcMar>
              <w:top w:w="80" w:type="dxa"/>
              <w:start w:w="120" w:type="dxa"/>
              <w:bottom w:w="80" w:type="dxa"/>
              <w:end w:w="120" w:type="dxa"/>
            </w:tcMar>
          </w:tcPr>
          <w:p>
            <w:pPr>
              <w:spacing w:after="0"/>
            </w:pPr>
            <w:r>
              <w:rPr>
                <w:sz w:val="17"/>
              </w:rPr>
              <w:t>High; solicitor</w:t>
            </w:r>
          </w:p>
        </w:tc>
      </w:tr>
      <w:tr>
        <w:tc>
          <w:tcPr>
            <w:tcW w:type="dxa" w:w="1560"/>
            <w:vAlign w:val="center"/>
            <w:tcMar>
              <w:top w:w="80" w:type="dxa"/>
              <w:start w:w="120" w:type="dxa"/>
              <w:bottom w:w="80" w:type="dxa"/>
              <w:end w:w="120" w:type="dxa"/>
            </w:tcMar>
          </w:tcPr>
          <w:p>
            <w:pPr>
              <w:spacing w:after="0"/>
            </w:pPr>
            <w:r>
              <w:rPr>
                <w:sz w:val="17"/>
              </w:rPr>
              <w:t>Expand funding with actual terms</w:t>
            </w:r>
          </w:p>
        </w:tc>
        <w:tc>
          <w:tcPr>
            <w:tcW w:type="dxa" w:w="1560"/>
            <w:vAlign w:val="center"/>
            <w:tcMar>
              <w:top w:w="80" w:type="dxa"/>
              <w:start w:w="120" w:type="dxa"/>
              <w:bottom w:w="80" w:type="dxa"/>
              <w:end w:w="120" w:type="dxa"/>
            </w:tcMar>
          </w:tcPr>
          <w:p>
            <w:pPr>
              <w:spacing w:after="0"/>
            </w:pPr>
            <w:r>
              <w:rPr>
                <w:sz w:val="17"/>
              </w:rPr>
              <w:t>Existing NWNF pillar</w:t>
            </w:r>
          </w:p>
        </w:tc>
        <w:tc>
          <w:tcPr>
            <w:tcW w:type="dxa" w:w="1560"/>
            <w:vAlign w:val="center"/>
            <w:tcMar>
              <w:top w:w="80" w:type="dxa"/>
              <w:start w:w="120" w:type="dxa"/>
              <w:bottom w:w="80" w:type="dxa"/>
              <w:end w:w="120" w:type="dxa"/>
            </w:tcMar>
          </w:tcPr>
          <w:p>
            <w:pPr>
              <w:spacing w:after="0"/>
            </w:pPr>
            <w:r>
              <w:rPr>
                <w:sz w:val="17"/>
              </w:rPr>
              <w:t>costs/deductions</w:t>
            </w:r>
          </w:p>
        </w:tc>
        <w:tc>
          <w:tcPr>
            <w:tcW w:type="dxa" w:w="1560"/>
            <w:vAlign w:val="center"/>
            <w:tcMar>
              <w:top w:w="80" w:type="dxa"/>
              <w:start w:w="120" w:type="dxa"/>
              <w:bottom w:w="80" w:type="dxa"/>
              <w:end w:w="120" w:type="dxa"/>
            </w:tcMar>
          </w:tcPr>
          <w:p>
            <w:pPr>
              <w:spacing w:after="0"/>
            </w:pPr>
            <w:r>
              <w:rPr>
                <w:sz w:val="17"/>
              </w:rPr>
              <w:t>Agreement used; if lose; if win; success fee; VAT; outlays; insurance; termination; examples; questions to ask</w:t>
            </w:r>
          </w:p>
        </w:tc>
        <w:tc>
          <w:tcPr>
            <w:tcW w:type="dxa" w:w="1560"/>
            <w:vAlign w:val="center"/>
            <w:tcMar>
              <w:top w:w="80" w:type="dxa"/>
              <w:start w:w="120" w:type="dxa"/>
              <w:bottom w:w="80" w:type="dxa"/>
              <w:end w:w="120" w:type="dxa"/>
            </w:tcMar>
          </w:tcPr>
          <w:p>
            <w:pPr>
              <w:spacing w:after="0"/>
            </w:pPr>
            <w:r>
              <w:rPr>
                <w:sz w:val="17"/>
              </w:rPr>
              <w:t>Provider terms absent</w:t>
            </w:r>
          </w:p>
        </w:tc>
        <w:tc>
          <w:tcPr>
            <w:tcW w:type="dxa" w:w="1560"/>
            <w:vAlign w:val="center"/>
            <w:tcMar>
              <w:top w:w="80" w:type="dxa"/>
              <w:start w:w="120" w:type="dxa"/>
              <w:bottom w:w="80" w:type="dxa"/>
              <w:end w:w="120" w:type="dxa"/>
            </w:tcMar>
          </w:tcPr>
          <w:p>
            <w:pPr>
              <w:spacing w:after="0"/>
            </w:pPr>
            <w:r>
              <w:rPr>
                <w:sz w:val="17"/>
              </w:rPr>
              <w:t>Critical; solicitor/compliance</w:t>
            </w:r>
          </w:p>
        </w:tc>
      </w:tr>
      <w:tr>
        <w:tc>
          <w:tcPr>
            <w:tcW w:type="dxa" w:w="1560"/>
            <w:vAlign w:val="center"/>
            <w:tcMar>
              <w:top w:w="80" w:type="dxa"/>
              <w:start w:w="120" w:type="dxa"/>
              <w:bottom w:w="80" w:type="dxa"/>
              <w:end w:w="120" w:type="dxa"/>
            </w:tcMar>
          </w:tcPr>
          <w:p>
            <w:pPr>
              <w:spacing w:after="0"/>
            </w:pPr>
            <w:r>
              <w:rPr>
                <w:sz w:val="17"/>
              </w:rPr>
              <w:t>Expand limitation</w:t>
            </w:r>
          </w:p>
        </w:tc>
        <w:tc>
          <w:tcPr>
            <w:tcW w:type="dxa" w:w="1560"/>
            <w:vAlign w:val="center"/>
            <w:tcMar>
              <w:top w:w="80" w:type="dxa"/>
              <w:start w:w="120" w:type="dxa"/>
              <w:bottom w:w="80" w:type="dxa"/>
              <w:end w:w="120" w:type="dxa"/>
            </w:tcMar>
          </w:tcPr>
          <w:p>
            <w:pPr>
              <w:spacing w:after="0"/>
            </w:pPr>
            <w:r>
              <w:rPr>
                <w:sz w:val="17"/>
              </w:rPr>
              <w:t>Existing limitation pillar</w:t>
            </w:r>
          </w:p>
        </w:tc>
        <w:tc>
          <w:tcPr>
            <w:tcW w:type="dxa" w:w="1560"/>
            <w:vAlign w:val="center"/>
            <w:tcMar>
              <w:top w:w="80" w:type="dxa"/>
              <w:start w:w="120" w:type="dxa"/>
              <w:bottom w:w="80" w:type="dxa"/>
              <w:end w:w="120" w:type="dxa"/>
            </w:tcMar>
          </w:tcPr>
          <w:p>
            <w:pPr>
              <w:spacing w:after="0"/>
            </w:pPr>
            <w:r>
              <w:rPr>
                <w:sz w:val="17"/>
              </w:rPr>
              <w:t>three-year rule/date of knowledge</w:t>
            </w:r>
          </w:p>
        </w:tc>
        <w:tc>
          <w:tcPr>
            <w:tcW w:type="dxa" w:w="1560"/>
            <w:vAlign w:val="center"/>
            <w:tcMar>
              <w:top w:w="80" w:type="dxa"/>
              <w:start w:w="120" w:type="dxa"/>
              <w:bottom w:w="80" w:type="dxa"/>
              <w:end w:w="120" w:type="dxa"/>
            </w:tcMar>
          </w:tcPr>
          <w:p>
            <w:pPr>
              <w:spacing w:after="0"/>
            </w:pPr>
            <w:r>
              <w:rPr>
                <w:sz w:val="17"/>
              </w:rPr>
              <w:t>s17; knowledge facts; children; death; incapacity; disease; clinical negligence; s19A; CICA/cross-border exclusions</w:t>
            </w:r>
          </w:p>
        </w:tc>
        <w:tc>
          <w:tcPr>
            <w:tcW w:type="dxa" w:w="1560"/>
            <w:vAlign w:val="center"/>
            <w:tcMar>
              <w:top w:w="80" w:type="dxa"/>
              <w:start w:w="120" w:type="dxa"/>
              <w:bottom w:w="80" w:type="dxa"/>
              <w:end w:w="120" w:type="dxa"/>
            </w:tcMar>
          </w:tcPr>
          <w:p>
            <w:pPr>
              <w:spacing w:after="0"/>
            </w:pPr>
            <w:r>
              <w:rPr>
                <w:sz w:val="17"/>
              </w:rPr>
              <w:t>Current summaries conflate “make/start claim” with raising proceedings</w:t>
            </w:r>
          </w:p>
        </w:tc>
        <w:tc>
          <w:tcPr>
            <w:tcW w:type="dxa" w:w="1560"/>
            <w:vAlign w:val="center"/>
            <w:tcMar>
              <w:top w:w="80" w:type="dxa"/>
              <w:start w:w="120" w:type="dxa"/>
              <w:bottom w:w="80" w:type="dxa"/>
              <w:end w:w="120" w:type="dxa"/>
            </w:tcMar>
          </w:tcPr>
          <w:p>
            <w:pPr>
              <w:spacing w:after="0"/>
            </w:pPr>
            <w:r>
              <w:rPr>
                <w:sz w:val="17"/>
              </w:rPr>
              <w:t>Critical; solicitor</w:t>
            </w:r>
          </w:p>
        </w:tc>
      </w:tr>
      <w:tr>
        <w:tc>
          <w:tcPr>
            <w:tcW w:type="dxa" w:w="1560"/>
            <w:vAlign w:val="center"/>
            <w:tcMar>
              <w:top w:w="80" w:type="dxa"/>
              <w:start w:w="120" w:type="dxa"/>
              <w:bottom w:w="80" w:type="dxa"/>
              <w:end w:w="120" w:type="dxa"/>
            </w:tcMar>
          </w:tcPr>
          <w:p>
            <w:pPr>
              <w:spacing w:after="0"/>
            </w:pPr>
            <w:r>
              <w:rPr>
                <w:sz w:val="17"/>
              </w:rPr>
              <w:t>Add “who handles your enquiry”</w:t>
            </w:r>
          </w:p>
        </w:tc>
        <w:tc>
          <w:tcPr>
            <w:tcW w:type="dxa" w:w="1560"/>
            <w:vAlign w:val="center"/>
            <w:tcMar>
              <w:top w:w="80" w:type="dxa"/>
              <w:start w:w="120" w:type="dxa"/>
              <w:bottom w:w="80" w:type="dxa"/>
              <w:end w:w="120" w:type="dxa"/>
            </w:tcMar>
          </w:tcPr>
          <w:p>
            <w:pPr>
              <w:spacing w:after="0"/>
            </w:pPr>
            <w:r>
              <w:rPr>
                <w:sz w:val="17"/>
              </w:rPr>
              <w:t>About + contact, not a new thin URL</w:t>
            </w:r>
          </w:p>
        </w:tc>
        <w:tc>
          <w:tcPr>
            <w:tcW w:type="dxa" w:w="1560"/>
            <w:vAlign w:val="center"/>
            <w:tcMar>
              <w:top w:w="80" w:type="dxa"/>
              <w:start w:w="120" w:type="dxa"/>
              <w:bottom w:w="80" w:type="dxa"/>
              <w:end w:w="120" w:type="dxa"/>
            </w:tcMar>
          </w:tcPr>
          <w:p>
            <w:pPr>
              <w:spacing w:after="0"/>
            </w:pPr>
            <w:r>
              <w:rPr>
                <w:sz w:val="17"/>
              </w:rPr>
              <w:t>provider/referral model</w:t>
            </w:r>
          </w:p>
        </w:tc>
        <w:tc>
          <w:tcPr>
            <w:tcW w:type="dxa" w:w="1560"/>
            <w:vAlign w:val="center"/>
            <w:tcMar>
              <w:top w:w="80" w:type="dxa"/>
              <w:start w:w="120" w:type="dxa"/>
              <w:bottom w:w="80" w:type="dxa"/>
              <w:end w:w="120" w:type="dxa"/>
            </w:tcMar>
          </w:tcPr>
          <w:p>
            <w:pPr>
              <w:spacing w:after="0"/>
            </w:pPr>
            <w:r>
              <w:rPr>
                <w:sz w:val="17"/>
              </w:rPr>
              <w:t>Operator; recipient; legal provider; regulator; data sharing; acceptance; complaints</w:t>
            </w:r>
          </w:p>
        </w:tc>
        <w:tc>
          <w:tcPr>
            <w:tcW w:type="dxa" w:w="1560"/>
            <w:vAlign w:val="center"/>
            <w:tcMar>
              <w:top w:w="80" w:type="dxa"/>
              <w:start w:w="120" w:type="dxa"/>
              <w:bottom w:w="80" w:type="dxa"/>
              <w:end w:w="120" w:type="dxa"/>
            </w:tcMar>
          </w:tcPr>
          <w:p>
            <w:pPr>
              <w:spacing w:after="0"/>
            </w:pPr>
            <w:r>
              <w:rPr>
                <w:sz w:val="17"/>
              </w:rPr>
              <w:t>Entity cannot be identified</w:t>
            </w:r>
          </w:p>
        </w:tc>
        <w:tc>
          <w:tcPr>
            <w:tcW w:type="dxa" w:w="1560"/>
            <w:vAlign w:val="center"/>
            <w:tcMar>
              <w:top w:w="80" w:type="dxa"/>
              <w:start w:w="120" w:type="dxa"/>
              <w:bottom w:w="80" w:type="dxa"/>
              <w:end w:w="120" w:type="dxa"/>
            </w:tcMar>
          </w:tcPr>
          <w:p>
            <w:pPr>
              <w:spacing w:after="0"/>
            </w:pPr>
            <w:r>
              <w:rPr>
                <w:sz w:val="17"/>
              </w:rPr>
              <w:t>Critical; compliance</w:t>
            </w:r>
          </w:p>
        </w:tc>
      </w:tr>
      <w:tr>
        <w:tc>
          <w:tcPr>
            <w:tcW w:type="dxa" w:w="1560"/>
            <w:vAlign w:val="center"/>
            <w:tcMar>
              <w:top w:w="80" w:type="dxa"/>
              <w:start w:w="120" w:type="dxa"/>
              <w:bottom w:w="80" w:type="dxa"/>
              <w:end w:w="120" w:type="dxa"/>
            </w:tcMar>
          </w:tcPr>
          <w:p>
            <w:pPr>
              <w:spacing w:after="0"/>
            </w:pPr>
            <w:r>
              <w:rPr>
                <w:sz w:val="17"/>
              </w:rPr>
              <w:t>Add medical assessment guide</w:t>
            </w:r>
          </w:p>
        </w:tc>
        <w:tc>
          <w:tcPr>
            <w:tcW w:type="dxa" w:w="1560"/>
            <w:vAlign w:val="center"/>
            <w:tcMar>
              <w:top w:w="80" w:type="dxa"/>
              <w:start w:w="120" w:type="dxa"/>
              <w:bottom w:w="80" w:type="dxa"/>
              <w:end w:w="120" w:type="dxa"/>
            </w:tcMar>
          </w:tcPr>
          <w:p>
            <w:pPr>
              <w:spacing w:after="0"/>
            </w:pPr>
            <w:r>
              <w:rPr>
                <w:sz w:val="17"/>
              </w:rPr>
              <w:t>Existing process/evidence page or one guide</w:t>
            </w:r>
          </w:p>
        </w:tc>
        <w:tc>
          <w:tcPr>
            <w:tcW w:type="dxa" w:w="1560"/>
            <w:vAlign w:val="center"/>
            <w:tcMar>
              <w:top w:w="80" w:type="dxa"/>
              <w:start w:w="120" w:type="dxa"/>
              <w:bottom w:w="80" w:type="dxa"/>
              <w:end w:w="120" w:type="dxa"/>
            </w:tcMar>
          </w:tcPr>
          <w:p>
            <w:pPr>
              <w:spacing w:after="0"/>
            </w:pPr>
            <w:r>
              <w:rPr>
                <w:sz w:val="17"/>
              </w:rPr>
              <w:t>do I need a medical examination</w:t>
            </w:r>
          </w:p>
        </w:tc>
        <w:tc>
          <w:tcPr>
            <w:tcW w:type="dxa" w:w="1560"/>
            <w:vAlign w:val="center"/>
            <w:tcMar>
              <w:top w:w="80" w:type="dxa"/>
              <w:start w:w="120" w:type="dxa"/>
              <w:bottom w:w="80" w:type="dxa"/>
              <w:end w:w="120" w:type="dxa"/>
            </w:tcMar>
          </w:tcPr>
          <w:p>
            <w:pPr>
              <w:spacing w:after="0"/>
            </w:pPr>
            <w:r>
              <w:rPr>
                <w:sz w:val="17"/>
              </w:rPr>
              <w:t>Why; who instructs; independence; records; attendance; report; privacy; disputed findings</w:t>
            </w:r>
          </w:p>
        </w:tc>
        <w:tc>
          <w:tcPr>
            <w:tcW w:type="dxa" w:w="1560"/>
            <w:vAlign w:val="center"/>
            <w:tcMar>
              <w:top w:w="80" w:type="dxa"/>
              <w:start w:w="120" w:type="dxa"/>
              <w:bottom w:w="80" w:type="dxa"/>
              <w:end w:w="120" w:type="dxa"/>
            </w:tcMar>
          </w:tcPr>
          <w:p>
            <w:pPr>
              <w:spacing w:after="0"/>
            </w:pPr>
            <w:r>
              <w:rPr>
                <w:sz w:val="17"/>
              </w:rPr>
              <w:t>Explicit user intent not fully owned</w:t>
            </w:r>
          </w:p>
        </w:tc>
        <w:tc>
          <w:tcPr>
            <w:tcW w:type="dxa" w:w="1560"/>
            <w:vAlign w:val="center"/>
            <w:tcMar>
              <w:top w:w="80" w:type="dxa"/>
              <w:start w:w="120" w:type="dxa"/>
              <w:bottom w:w="80" w:type="dxa"/>
              <w:end w:w="120" w:type="dxa"/>
            </w:tcMar>
          </w:tcPr>
          <w:p>
            <w:pPr>
              <w:spacing w:after="0"/>
            </w:pPr>
            <w:r>
              <w:rPr>
                <w:sz w:val="17"/>
              </w:rPr>
              <w:t>Medium; solicitor + clinician review</w:t>
            </w:r>
          </w:p>
        </w:tc>
      </w:tr>
      <w:tr>
        <w:tc>
          <w:tcPr>
            <w:tcW w:type="dxa" w:w="1560"/>
            <w:vAlign w:val="center"/>
            <w:tcMar>
              <w:top w:w="80" w:type="dxa"/>
              <w:start w:w="120" w:type="dxa"/>
              <w:bottom w:w="80" w:type="dxa"/>
              <w:end w:w="120" w:type="dxa"/>
            </w:tcMar>
          </w:tcPr>
          <w:p>
            <w:pPr>
              <w:spacing w:after="0"/>
            </w:pPr>
            <w:r>
              <w:rPr>
                <w:sz w:val="17"/>
              </w:rPr>
              <w:t>Add child claimant section</w:t>
            </w:r>
          </w:p>
        </w:tc>
        <w:tc>
          <w:tcPr>
            <w:tcW w:type="dxa" w:w="1560"/>
            <w:vAlign w:val="center"/>
            <w:tcMar>
              <w:top w:w="80" w:type="dxa"/>
              <w:start w:w="120" w:type="dxa"/>
              <w:bottom w:w="80" w:type="dxa"/>
              <w:end w:w="120" w:type="dxa"/>
            </w:tcMar>
          </w:tcPr>
          <w:p>
            <w:pPr>
              <w:spacing w:after="0"/>
            </w:pPr>
            <w:r>
              <w:rPr>
                <w:sz w:val="17"/>
              </w:rPr>
              <w:t>Existing PI + limitation pages</w:t>
            </w:r>
          </w:p>
        </w:tc>
        <w:tc>
          <w:tcPr>
            <w:tcW w:type="dxa" w:w="1560"/>
            <w:vAlign w:val="center"/>
            <w:tcMar>
              <w:top w:w="80" w:type="dxa"/>
              <w:start w:w="120" w:type="dxa"/>
              <w:bottom w:w="80" w:type="dxa"/>
              <w:end w:w="120" w:type="dxa"/>
            </w:tcMar>
          </w:tcPr>
          <w:p>
            <w:pPr>
              <w:spacing w:after="0"/>
            </w:pPr>
            <w:r>
              <w:rPr>
                <w:sz w:val="17"/>
              </w:rPr>
              <w:t>child personal injury claim Scotland</w:t>
            </w:r>
          </w:p>
        </w:tc>
        <w:tc>
          <w:tcPr>
            <w:tcW w:type="dxa" w:w="1560"/>
            <w:vAlign w:val="center"/>
            <w:tcMar>
              <w:top w:w="80" w:type="dxa"/>
              <w:start w:w="120" w:type="dxa"/>
              <w:bottom w:w="80" w:type="dxa"/>
              <w:end w:w="120" w:type="dxa"/>
            </w:tcMar>
          </w:tcPr>
          <w:p>
            <w:pPr>
              <w:spacing w:after="0"/>
            </w:pPr>
            <w:r>
              <w:rPr>
                <w:sz w:val="17"/>
              </w:rPr>
              <w:t>Who can act; limitation; settlement/court safeguards; capacity/turning 16; advice</w:t>
            </w:r>
          </w:p>
        </w:tc>
        <w:tc>
          <w:tcPr>
            <w:tcW w:type="dxa" w:w="1560"/>
            <w:vAlign w:val="center"/>
            <w:tcMar>
              <w:top w:w="80" w:type="dxa"/>
              <w:start w:w="120" w:type="dxa"/>
              <w:bottom w:w="80" w:type="dxa"/>
              <w:end w:w="120" w:type="dxa"/>
            </w:tcMar>
          </w:tcPr>
          <w:p>
            <w:pPr>
              <w:spacing w:after="0"/>
            </w:pPr>
            <w:r>
              <w:rPr>
                <w:sz w:val="17"/>
              </w:rPr>
              <w:t>Important special case</w:t>
            </w:r>
          </w:p>
        </w:tc>
        <w:tc>
          <w:tcPr>
            <w:tcW w:type="dxa" w:w="1560"/>
            <w:vAlign w:val="center"/>
            <w:tcMar>
              <w:top w:w="80" w:type="dxa"/>
              <w:start w:w="120" w:type="dxa"/>
              <w:bottom w:w="80" w:type="dxa"/>
              <w:end w:w="120" w:type="dxa"/>
            </w:tcMar>
          </w:tcPr>
          <w:p>
            <w:pPr>
              <w:spacing w:after="0"/>
            </w:pPr>
            <w:r>
              <w:rPr>
                <w:sz w:val="17"/>
              </w:rPr>
              <w:t>High; solicitor</w:t>
            </w:r>
          </w:p>
        </w:tc>
      </w:tr>
      <w:tr>
        <w:tc>
          <w:tcPr>
            <w:tcW w:type="dxa" w:w="1560"/>
            <w:vAlign w:val="center"/>
            <w:tcMar>
              <w:top w:w="80" w:type="dxa"/>
              <w:start w:w="120" w:type="dxa"/>
              <w:bottom w:w="80" w:type="dxa"/>
              <w:end w:w="120" w:type="dxa"/>
            </w:tcMar>
          </w:tcPr>
          <w:p>
            <w:pPr>
              <w:spacing w:after="0"/>
            </w:pPr>
            <w:r>
              <w:rPr>
                <w:sz w:val="17"/>
              </w:rPr>
              <w:t>Add cross-border section</w:t>
            </w:r>
          </w:p>
        </w:tc>
        <w:tc>
          <w:tcPr>
            <w:tcW w:type="dxa" w:w="1560"/>
            <w:vAlign w:val="center"/>
            <w:tcMar>
              <w:top w:w="80" w:type="dxa"/>
              <w:start w:w="120" w:type="dxa"/>
              <w:bottom w:w="80" w:type="dxa"/>
              <w:end w:w="120" w:type="dxa"/>
            </w:tcMar>
          </w:tcPr>
          <w:p>
            <w:pPr>
              <w:spacing w:after="0"/>
            </w:pPr>
            <w:r>
              <w:rPr>
                <w:sz w:val="17"/>
              </w:rPr>
              <w:t>Existing PI/process page</w:t>
            </w:r>
          </w:p>
        </w:tc>
        <w:tc>
          <w:tcPr>
            <w:tcW w:type="dxa" w:w="1560"/>
            <w:vAlign w:val="center"/>
            <w:tcMar>
              <w:top w:w="80" w:type="dxa"/>
              <w:start w:w="120" w:type="dxa"/>
              <w:bottom w:w="80" w:type="dxa"/>
              <w:end w:w="120" w:type="dxa"/>
            </w:tcMar>
          </w:tcPr>
          <w:p>
            <w:pPr>
              <w:spacing w:after="0"/>
            </w:pPr>
            <w:r>
              <w:rPr>
                <w:sz w:val="17"/>
              </w:rPr>
              <w:t>accident outside Scotland / non-Scottish parties</w:t>
            </w:r>
          </w:p>
        </w:tc>
        <w:tc>
          <w:tcPr>
            <w:tcW w:type="dxa" w:w="1560"/>
            <w:vAlign w:val="center"/>
            <w:tcMar>
              <w:top w:w="80" w:type="dxa"/>
              <w:start w:w="120" w:type="dxa"/>
              <w:bottom w:w="80" w:type="dxa"/>
              <w:end w:w="120" w:type="dxa"/>
            </w:tcMar>
          </w:tcPr>
          <w:p>
            <w:pPr>
              <w:spacing w:after="0"/>
            </w:pPr>
            <w:r>
              <w:rPr>
                <w:sz w:val="17"/>
              </w:rPr>
              <w:t>Applicable law/jurisdiction; travel/package/product routes; shorter limits; urgent advice</w:t>
            </w:r>
          </w:p>
        </w:tc>
        <w:tc>
          <w:tcPr>
            <w:tcW w:type="dxa" w:w="1560"/>
            <w:vAlign w:val="center"/>
            <w:tcMar>
              <w:top w:w="80" w:type="dxa"/>
              <w:start w:w="120" w:type="dxa"/>
              <w:bottom w:w="80" w:type="dxa"/>
              <w:end w:w="120" w:type="dxa"/>
            </w:tcMar>
          </w:tcPr>
          <w:p>
            <w:pPr>
              <w:spacing w:after="0"/>
            </w:pPr>
            <w:r>
              <w:rPr>
                <w:sz w:val="17"/>
              </w:rPr>
              <w:t>Current Scotland-wide assertion lacks boundary</w:t>
            </w:r>
          </w:p>
        </w:tc>
        <w:tc>
          <w:tcPr>
            <w:tcW w:type="dxa" w:w="1560"/>
            <w:vAlign w:val="center"/>
            <w:tcMar>
              <w:top w:w="80" w:type="dxa"/>
              <w:start w:w="120" w:type="dxa"/>
              <w:bottom w:w="80" w:type="dxa"/>
              <w:end w:w="120" w:type="dxa"/>
            </w:tcMar>
          </w:tcPr>
          <w:p>
            <w:pPr>
              <w:spacing w:after="0"/>
            </w:pPr>
            <w:r>
              <w:rPr>
                <w:sz w:val="17"/>
              </w:rPr>
              <w:t>High; specialist review</w:t>
            </w:r>
          </w:p>
        </w:tc>
      </w:tr>
      <w:tr>
        <w:tc>
          <w:tcPr>
            <w:tcW w:type="dxa" w:w="1560"/>
            <w:vAlign w:val="center"/>
            <w:tcMar>
              <w:top w:w="80" w:type="dxa"/>
              <w:start w:w="120" w:type="dxa"/>
              <w:bottom w:w="80" w:type="dxa"/>
              <w:end w:w="120" w:type="dxa"/>
            </w:tcMar>
          </w:tcPr>
          <w:p>
            <w:pPr>
              <w:spacing w:after="0"/>
            </w:pPr>
            <w:r>
              <w:rPr>
                <w:sz w:val="17"/>
              </w:rPr>
              <w:t>Strengthen fatal claims</w:t>
            </w:r>
          </w:p>
        </w:tc>
        <w:tc>
          <w:tcPr>
            <w:tcW w:type="dxa" w:w="1560"/>
            <w:vAlign w:val="center"/>
            <w:tcMar>
              <w:top w:w="80" w:type="dxa"/>
              <w:start w:w="120" w:type="dxa"/>
              <w:bottom w:w="80" w:type="dxa"/>
              <w:end w:w="120" w:type="dxa"/>
            </w:tcMar>
          </w:tcPr>
          <w:p>
            <w:pPr>
              <w:spacing w:after="0"/>
            </w:pPr>
            <w:r>
              <w:rPr>
                <w:sz w:val="17"/>
              </w:rPr>
              <w:t>Existing guide; new pillar only if truly offered</w:t>
            </w:r>
          </w:p>
        </w:tc>
        <w:tc>
          <w:tcPr>
            <w:tcW w:type="dxa" w:w="1560"/>
            <w:vAlign w:val="center"/>
            <w:tcMar>
              <w:top w:w="80" w:type="dxa"/>
              <w:start w:w="120" w:type="dxa"/>
              <w:bottom w:w="80" w:type="dxa"/>
              <w:end w:w="120" w:type="dxa"/>
            </w:tcMar>
          </w:tcPr>
          <w:p>
            <w:pPr>
              <w:spacing w:after="0"/>
            </w:pPr>
            <w:r>
              <w:rPr>
                <w:sz w:val="17"/>
              </w:rPr>
              <w:t>fatal accident claims Scotland</w:t>
            </w:r>
          </w:p>
        </w:tc>
        <w:tc>
          <w:tcPr>
            <w:tcW w:type="dxa" w:w="1560"/>
            <w:vAlign w:val="center"/>
            <w:tcMar>
              <w:top w:w="80" w:type="dxa"/>
              <w:start w:w="120" w:type="dxa"/>
              <w:bottom w:w="80" w:type="dxa"/>
              <w:end w:w="120" w:type="dxa"/>
            </w:tcMar>
          </w:tcPr>
          <w:p>
            <w:pPr>
              <w:spacing w:after="0"/>
            </w:pPr>
            <w:r>
              <w:rPr>
                <w:sz w:val="17"/>
              </w:rPr>
              <w:t>Who may claim; estate/deceased claim; relatives; financial dependency; evidence; inquests/FAI distinction; limitation</w:t>
            </w:r>
          </w:p>
        </w:tc>
        <w:tc>
          <w:tcPr>
            <w:tcW w:type="dxa" w:w="1560"/>
            <w:vAlign w:val="center"/>
            <w:tcMar>
              <w:top w:w="80" w:type="dxa"/>
              <w:start w:w="120" w:type="dxa"/>
              <w:bottom w:w="80" w:type="dxa"/>
              <w:end w:w="120" w:type="dxa"/>
            </w:tcMar>
          </w:tcPr>
          <w:p>
            <w:pPr>
              <w:spacing w:after="0"/>
            </w:pPr>
            <w:r>
              <w:rPr>
                <w:sz w:val="17"/>
              </w:rPr>
              <w:t>Current serious-injury paragraph is too compressed</w:t>
            </w:r>
          </w:p>
        </w:tc>
        <w:tc>
          <w:tcPr>
            <w:tcW w:type="dxa" w:w="1560"/>
            <w:vAlign w:val="center"/>
            <w:tcMar>
              <w:top w:w="80" w:type="dxa"/>
              <w:start w:w="120" w:type="dxa"/>
              <w:bottom w:w="80" w:type="dxa"/>
              <w:end w:w="120" w:type="dxa"/>
            </w:tcMar>
          </w:tcPr>
          <w:p>
            <w:pPr>
              <w:spacing w:after="0"/>
            </w:pPr>
            <w:r>
              <w:rPr>
                <w:sz w:val="17"/>
              </w:rPr>
              <w:t>High; specialist</w:t>
            </w:r>
          </w:p>
        </w:tc>
      </w:tr>
      <w:tr>
        <w:tc>
          <w:tcPr>
            <w:tcW w:type="dxa" w:w="1560"/>
            <w:vAlign w:val="center"/>
            <w:tcMar>
              <w:top w:w="80" w:type="dxa"/>
              <w:start w:w="120" w:type="dxa"/>
              <w:bottom w:w="80" w:type="dxa"/>
              <w:end w:w="120" w:type="dxa"/>
            </w:tcMar>
          </w:tcPr>
          <w:p>
            <w:pPr>
              <w:spacing w:after="0"/>
            </w:pPr>
            <w:r>
              <w:rPr>
                <w:sz w:val="17"/>
              </w:rPr>
              <w:t>Editorial policy</w:t>
            </w:r>
          </w:p>
        </w:tc>
        <w:tc>
          <w:tcPr>
            <w:tcW w:type="dxa" w:w="1560"/>
            <w:vAlign w:val="center"/>
            <w:tcMar>
              <w:top w:w="80" w:type="dxa"/>
              <w:start w:w="120" w:type="dxa"/>
              <w:bottom w:w="80" w:type="dxa"/>
              <w:end w:w="120" w:type="dxa"/>
            </w:tcMar>
          </w:tcPr>
          <w:p>
            <w:pPr>
              <w:spacing w:after="0"/>
            </w:pPr>
            <w:r>
              <w:rPr>
                <w:sz w:val="17"/>
              </w:rPr>
              <w:t>About sub-section or /editorial-policy only if substantive</w:t>
            </w:r>
          </w:p>
        </w:tc>
        <w:tc>
          <w:tcPr>
            <w:tcW w:type="dxa" w:w="1560"/>
            <w:vAlign w:val="center"/>
            <w:tcMar>
              <w:top w:w="80" w:type="dxa"/>
              <w:start w:w="120" w:type="dxa"/>
              <w:bottom w:w="80" w:type="dxa"/>
              <w:end w:w="120" w:type="dxa"/>
            </w:tcMar>
          </w:tcPr>
          <w:p>
            <w:pPr>
              <w:spacing w:after="0"/>
            </w:pPr>
            <w:r>
              <w:rPr>
                <w:sz w:val="17"/>
              </w:rPr>
              <w:t>how legal content is produced</w:t>
            </w:r>
          </w:p>
        </w:tc>
        <w:tc>
          <w:tcPr>
            <w:tcW w:type="dxa" w:w="1560"/>
            <w:vAlign w:val="center"/>
            <w:tcMar>
              <w:top w:w="80" w:type="dxa"/>
              <w:start w:w="120" w:type="dxa"/>
              <w:bottom w:w="80" w:type="dxa"/>
              <w:end w:w="120" w:type="dxa"/>
            </w:tcMar>
          </w:tcPr>
          <w:p>
            <w:pPr>
              <w:spacing w:after="0"/>
            </w:pPr>
            <w:r>
              <w:rPr>
                <w:sz w:val="17"/>
              </w:rPr>
              <w:t>Authors; review cadence; sources; corrections; AI use; conflicts</w:t>
            </w:r>
          </w:p>
        </w:tc>
        <w:tc>
          <w:tcPr>
            <w:tcW w:type="dxa" w:w="1560"/>
            <w:vAlign w:val="center"/>
            <w:tcMar>
              <w:top w:w="80" w:type="dxa"/>
              <w:start w:w="120" w:type="dxa"/>
              <w:bottom w:w="80" w:type="dxa"/>
              <w:end w:w="120" w:type="dxa"/>
            </w:tcMar>
          </w:tcPr>
          <w:p>
            <w:pPr>
              <w:spacing w:after="0"/>
            </w:pPr>
            <w:r>
              <w:rPr>
                <w:sz w:val="17"/>
              </w:rPr>
              <w:t>Needed for YMYL trust</w:t>
            </w:r>
          </w:p>
        </w:tc>
        <w:tc>
          <w:tcPr>
            <w:tcW w:type="dxa" w:w="1560"/>
            <w:vAlign w:val="center"/>
            <w:tcMar>
              <w:top w:w="80" w:type="dxa"/>
              <w:start w:w="120" w:type="dxa"/>
              <w:bottom w:w="80" w:type="dxa"/>
              <w:end w:w="120" w:type="dxa"/>
            </w:tcMar>
          </w:tcPr>
          <w:p>
            <w:pPr>
              <w:spacing w:after="0"/>
            </w:pPr>
            <w:r>
              <w:rPr>
                <w:sz w:val="17"/>
              </w:rPr>
              <w:t>Medium; compliance</w:t>
            </w:r>
          </w:p>
        </w:tc>
      </w:tr>
    </w:tbl>
    <w:p>
      <w:pPr>
        <w:spacing w:after="0"/>
      </w:pPr>
    </w:p>
    <w:p>
      <w:pPr>
        <w:pStyle w:val="Heading3"/>
      </w:pPr>
      <w:r>
        <w:t>Do not create</w:t>
      </w:r>
    </w:p>
    <w:p>
      <w:pPr>
        <w:pStyle w:val="ListBullet"/>
      </w:pPr>
      <w:r>
        <w:t>Ten more town pages or neighbourhood pages.</w:t>
      </w:r>
    </w:p>
    <w:p>
      <w:pPr>
        <w:pStyle w:val="ListBullet"/>
      </w:pPr>
      <w:r>
        <w:t>“Solicitors near me” doorway pages.</w:t>
      </w:r>
    </w:p>
    <w:p>
      <w:pPr>
        <w:pStyle w:val="ListBullet"/>
      </w:pPr>
      <w:r>
        <w:t>Separate thin pages for every synonym of accident claim/compensation lawyer.</w:t>
      </w:r>
    </w:p>
    <w:p>
      <w:pPr>
        <w:pStyle w:val="ListBullet"/>
      </w:pPr>
      <w:r>
        <w:t>A second limitation, no-win-no-fee, RTA, work-accident or compensation overview.</w:t>
      </w:r>
    </w:p>
    <w:p>
      <w:pPr>
        <w:pStyle w:val="ListBullet"/>
      </w:pPr>
      <w:r>
        <w:t>“Average payout” pages or calculators without current, Scottish-relevant methodology and solicitor sign-off.</w:t>
      </w:r>
    </w:p>
    <w:p>
      <w:pPr>
        <w:pStyle w:val="ListBullet"/>
      </w:pPr>
      <w:r>
        <w:t>Office pages without genuine staffed locations.</w:t>
      </w:r>
    </w:p>
    <w:p>
      <w:pPr>
        <w:pStyle w:val="ListBullet"/>
      </w:pPr>
      <w:r>
        <w:t>Case-result or testimonial pages without auditable evidence, consent and qualifications.</w:t>
      </w:r>
    </w:p>
    <w:p>
      <w:pPr>
        <w:pStyle w:val="Heading2"/>
      </w:pPr>
      <w:r>
        <w:t>7. Topical authority and internal-link plan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shd w:fill="E8EEF5"/>
          </w:tcPr>
          <w:p>
            <w:pPr>
              <w:spacing w:after="0"/>
            </w:pPr>
            <w:r>
              <w:rPr>
                <w:b/>
                <w:color w:val="0B2545"/>
                <w:sz w:val="17"/>
              </w:rPr>
              <w:t>Cluster</w:t>
            </w:r>
          </w:p>
        </w:tc>
        <w:tc>
          <w:tcPr>
            <w:tcW w:type="dxa" w:w="1872"/>
            <w:vAlign w:val="center"/>
            <w:tcMar>
              <w:top w:w="80" w:type="dxa"/>
              <w:start w:w="120" w:type="dxa"/>
              <w:bottom w:w="80" w:type="dxa"/>
              <w:end w:w="120" w:type="dxa"/>
            </w:tcMar>
            <w:shd w:fill="E8EEF5"/>
          </w:tcPr>
          <w:p>
            <w:pPr>
              <w:spacing w:after="0"/>
            </w:pPr>
            <w:r>
              <w:rPr>
                <w:b/>
                <w:color w:val="0B2545"/>
                <w:sz w:val="17"/>
              </w:rPr>
              <w:t>Pillar</w:t>
            </w:r>
          </w:p>
        </w:tc>
        <w:tc>
          <w:tcPr>
            <w:tcW w:type="dxa" w:w="1872"/>
            <w:vAlign w:val="center"/>
            <w:tcMar>
              <w:top w:w="80" w:type="dxa"/>
              <w:start w:w="120" w:type="dxa"/>
              <w:bottom w:w="80" w:type="dxa"/>
              <w:end w:w="120" w:type="dxa"/>
            </w:tcMar>
            <w:shd w:fill="E8EEF5"/>
          </w:tcPr>
          <w:p>
            <w:pPr>
              <w:spacing w:after="0"/>
            </w:pPr>
            <w:r>
              <w:rPr>
                <w:b/>
                <w:color w:val="0B2545"/>
                <w:sz w:val="17"/>
              </w:rPr>
              <w:t>Supporting pages</w:t>
            </w:r>
          </w:p>
        </w:tc>
        <w:tc>
          <w:tcPr>
            <w:tcW w:type="dxa" w:w="1872"/>
            <w:vAlign w:val="center"/>
            <w:tcMar>
              <w:top w:w="80" w:type="dxa"/>
              <w:start w:w="120" w:type="dxa"/>
              <w:bottom w:w="80" w:type="dxa"/>
              <w:end w:w="120" w:type="dxa"/>
            </w:tcMar>
            <w:shd w:fill="E8EEF5"/>
          </w:tcPr>
          <w:p>
            <w:pPr>
              <w:spacing w:after="0"/>
            </w:pPr>
            <w:r>
              <w:rPr>
                <w:b/>
                <w:color w:val="0B2545"/>
                <w:sz w:val="17"/>
              </w:rPr>
              <w:t>Natural anchors</w:t>
            </w:r>
          </w:p>
        </w:tc>
        <w:tc>
          <w:tcPr>
            <w:tcW w:type="dxa" w:w="1872"/>
            <w:vAlign w:val="center"/>
            <w:tcMar>
              <w:top w:w="80" w:type="dxa"/>
              <w:start w:w="120" w:type="dxa"/>
              <w:bottom w:w="80" w:type="dxa"/>
              <w:end w:w="120" w:type="dxa"/>
            </w:tcMar>
            <w:shd w:fill="E8EEF5"/>
          </w:tcPr>
          <w:p>
            <w:pPr>
              <w:spacing w:after="0"/>
            </w:pPr>
            <w:r>
              <w:rPr>
                <w:b/>
                <w:color w:val="0B2545"/>
                <w:sz w:val="17"/>
              </w:rPr>
              <w:t>Commercial value / merge controls</w:t>
            </w:r>
          </w:p>
        </w:tc>
      </w:tr>
      <w:tr>
        <w:tc>
          <w:tcPr>
            <w:tcW w:type="dxa" w:w="1872"/>
            <w:vAlign w:val="center"/>
            <w:tcMar>
              <w:top w:w="80" w:type="dxa"/>
              <w:start w:w="120" w:type="dxa"/>
              <w:bottom w:w="80" w:type="dxa"/>
              <w:end w:w="120" w:type="dxa"/>
            </w:tcMar>
          </w:tcPr>
          <w:p>
            <w:pPr>
              <w:spacing w:after="0"/>
            </w:pPr>
            <w:r>
              <w:rPr>
                <w:sz w:val="17"/>
              </w:rPr>
              <w:t>Core PI</w:t>
            </w:r>
          </w:p>
        </w:tc>
        <w:tc>
          <w:tcPr>
            <w:tcW w:type="dxa" w:w="1872"/>
            <w:vAlign w:val="center"/>
            <w:tcMar>
              <w:top w:w="80" w:type="dxa"/>
              <w:start w:w="120" w:type="dxa"/>
              <w:bottom w:w="80" w:type="dxa"/>
              <w:end w:w="120" w:type="dxa"/>
            </w:tcMar>
          </w:tcPr>
          <w:p>
            <w:pPr>
              <w:spacing w:after="0"/>
            </w:pPr>
            <w:r>
              <w:rPr>
                <w:sz w:val="17"/>
              </w:rPr>
              <w:t>/personal-injury-claims-scotland</w:t>
            </w:r>
          </w:p>
        </w:tc>
        <w:tc>
          <w:tcPr>
            <w:tcW w:type="dxa" w:w="1872"/>
            <w:vAlign w:val="center"/>
            <w:tcMar>
              <w:top w:w="80" w:type="dxa"/>
              <w:start w:w="120" w:type="dxa"/>
              <w:bottom w:w="80" w:type="dxa"/>
              <w:end w:w="120" w:type="dxa"/>
            </w:tcMar>
          </w:tcPr>
          <w:p>
            <w:pPr>
              <w:spacing w:after="0"/>
            </w:pPr>
            <w:r>
              <w:rPr>
                <w:sz w:val="17"/>
              </w:rPr>
              <w:t>eligibility, evidence, shared fault, denied liability, court</w:t>
            </w:r>
          </w:p>
        </w:tc>
        <w:tc>
          <w:tcPr>
            <w:tcW w:type="dxa" w:w="1872"/>
            <w:vAlign w:val="center"/>
            <w:tcMar>
              <w:top w:w="80" w:type="dxa"/>
              <w:start w:w="120" w:type="dxa"/>
              <w:bottom w:w="80" w:type="dxa"/>
              <w:end w:w="120" w:type="dxa"/>
            </w:tcMar>
          </w:tcPr>
          <w:p>
            <w:pPr>
              <w:spacing w:after="0"/>
            </w:pPr>
            <w:r>
              <w:rPr>
                <w:sz w:val="17"/>
              </w:rPr>
              <w:t>“evidence for a Scottish injury claim”, “if fault is shared”</w:t>
            </w:r>
          </w:p>
        </w:tc>
        <w:tc>
          <w:tcPr>
            <w:tcW w:type="dxa" w:w="1872"/>
            <w:vAlign w:val="center"/>
            <w:tcMar>
              <w:top w:w="80" w:type="dxa"/>
              <w:start w:w="120" w:type="dxa"/>
              <w:bottom w:w="80" w:type="dxa"/>
              <w:end w:w="120" w:type="dxa"/>
            </w:tcMar>
          </w:tcPr>
          <w:p>
            <w:pPr>
              <w:spacing w:after="0"/>
            </w:pPr>
            <w:r>
              <w:rPr>
                <w:sz w:val="17"/>
              </w:rPr>
              <w:t>Highest; homepage remains brand/commercial gateway, not a duplicate</w:t>
            </w:r>
          </w:p>
        </w:tc>
      </w:tr>
      <w:tr>
        <w:tc>
          <w:tcPr>
            <w:tcW w:type="dxa" w:w="1872"/>
            <w:vAlign w:val="center"/>
            <w:tcMar>
              <w:top w:w="80" w:type="dxa"/>
              <w:start w:w="120" w:type="dxa"/>
              <w:bottom w:w="80" w:type="dxa"/>
              <w:end w:w="120" w:type="dxa"/>
            </w:tcMar>
          </w:tcPr>
          <w:p>
            <w:pPr>
              <w:spacing w:after="0"/>
            </w:pPr>
            <w:r>
              <w:rPr>
                <w:sz w:val="17"/>
              </w:rPr>
              <w:t>Process/funding/compensation</w:t>
            </w:r>
          </w:p>
        </w:tc>
        <w:tc>
          <w:tcPr>
            <w:tcW w:type="dxa" w:w="1872"/>
            <w:vAlign w:val="center"/>
            <w:tcMar>
              <w:top w:w="80" w:type="dxa"/>
              <w:start w:w="120" w:type="dxa"/>
              <w:bottom w:w="80" w:type="dxa"/>
              <w:end w:w="120" w:type="dxa"/>
            </w:tcMar>
          </w:tcPr>
          <w:p>
            <w:pPr>
              <w:spacing w:after="0"/>
            </w:pPr>
            <w:r>
              <w:rPr>
                <w:sz w:val="17"/>
              </w:rPr>
              <w:t>process, funding, compensation and limitation pillars</w:t>
            </w:r>
          </w:p>
        </w:tc>
        <w:tc>
          <w:tcPr>
            <w:tcW w:type="dxa" w:w="1872"/>
            <w:vAlign w:val="center"/>
            <w:tcMar>
              <w:top w:w="80" w:type="dxa"/>
              <w:start w:w="120" w:type="dxa"/>
              <w:bottom w:w="80" w:type="dxa"/>
              <w:end w:w="120" w:type="dxa"/>
            </w:tcMar>
          </w:tcPr>
          <w:p>
            <w:pPr>
              <w:spacing w:after="0"/>
            </w:pPr>
            <w:r>
              <w:rPr>
                <w:sz w:val="17"/>
              </w:rPr>
              <w:t>medical exam, evidence, court, valuation</w:t>
            </w:r>
          </w:p>
        </w:tc>
        <w:tc>
          <w:tcPr>
            <w:tcW w:type="dxa" w:w="1872"/>
            <w:vAlign w:val="center"/>
            <w:tcMar>
              <w:top w:w="80" w:type="dxa"/>
              <w:start w:w="120" w:type="dxa"/>
              <w:bottom w:w="80" w:type="dxa"/>
              <w:end w:w="120" w:type="dxa"/>
            </w:tcMar>
          </w:tcPr>
          <w:p>
            <w:pPr>
              <w:spacing w:after="0"/>
            </w:pPr>
            <w:r>
              <w:rPr>
                <w:sz w:val="17"/>
              </w:rPr>
              <w:t>“three-year limitation framework”, “how funding deductions work”</w:t>
            </w:r>
          </w:p>
        </w:tc>
        <w:tc>
          <w:tcPr>
            <w:tcW w:type="dxa" w:w="1872"/>
            <w:vAlign w:val="center"/>
            <w:tcMar>
              <w:top w:w="80" w:type="dxa"/>
              <w:start w:w="120" w:type="dxa"/>
              <w:bottom w:w="80" w:type="dxa"/>
              <w:end w:w="120" w:type="dxa"/>
            </w:tcMar>
          </w:tcPr>
          <w:p>
            <w:pPr>
              <w:spacing w:after="0"/>
            </w:pPr>
            <w:r>
              <w:rPr>
                <w:sz w:val="17"/>
              </w:rPr>
              <w:t>High; merge overview guides into pillars</w:t>
            </w:r>
          </w:p>
        </w:tc>
      </w:tr>
      <w:tr>
        <w:tc>
          <w:tcPr>
            <w:tcW w:type="dxa" w:w="1872"/>
            <w:vAlign w:val="center"/>
            <w:tcMar>
              <w:top w:w="80" w:type="dxa"/>
              <w:start w:w="120" w:type="dxa"/>
              <w:bottom w:w="80" w:type="dxa"/>
              <w:end w:w="120" w:type="dxa"/>
            </w:tcMar>
          </w:tcPr>
          <w:p>
            <w:pPr>
              <w:spacing w:after="0"/>
            </w:pPr>
            <w:r>
              <w:rPr>
                <w:sz w:val="17"/>
              </w:rPr>
              <w:t>Road traffic</w:t>
            </w:r>
          </w:p>
        </w:tc>
        <w:tc>
          <w:tcPr>
            <w:tcW w:type="dxa" w:w="1872"/>
            <w:vAlign w:val="center"/>
            <w:tcMar>
              <w:top w:w="80" w:type="dxa"/>
              <w:start w:w="120" w:type="dxa"/>
              <w:bottom w:w="80" w:type="dxa"/>
              <w:end w:w="120" w:type="dxa"/>
            </w:tcMar>
          </w:tcPr>
          <w:p>
            <w:pPr>
              <w:spacing w:after="0"/>
            </w:pPr>
            <w:r>
              <w:rPr>
                <w:sz w:val="17"/>
              </w:rPr>
              <w:t>RTA pillar</w:t>
            </w:r>
          </w:p>
        </w:tc>
        <w:tc>
          <w:tcPr>
            <w:tcW w:type="dxa" w:w="1872"/>
            <w:vAlign w:val="center"/>
            <w:tcMar>
              <w:top w:w="80" w:type="dxa"/>
              <w:start w:w="120" w:type="dxa"/>
              <w:bottom w:w="80" w:type="dxa"/>
              <w:end w:w="120" w:type="dxa"/>
            </w:tcMar>
          </w:tcPr>
          <w:p>
            <w:pPr>
              <w:spacing w:after="0"/>
            </w:pPr>
            <w:r>
              <w:rPr>
                <w:sz w:val="17"/>
              </w:rPr>
              <w:t>whiplash, cycling, motorcycle; future pedestrian/MIB only if substantive</w:t>
            </w:r>
          </w:p>
        </w:tc>
        <w:tc>
          <w:tcPr>
            <w:tcW w:type="dxa" w:w="1872"/>
            <w:vAlign w:val="center"/>
            <w:tcMar>
              <w:top w:w="80" w:type="dxa"/>
              <w:start w:w="120" w:type="dxa"/>
              <w:bottom w:w="80" w:type="dxa"/>
              <w:end w:w="120" w:type="dxa"/>
            </w:tcMar>
          </w:tcPr>
          <w:p>
            <w:pPr>
              <w:spacing w:after="0"/>
            </w:pPr>
            <w:r>
              <w:rPr>
                <w:sz w:val="17"/>
              </w:rPr>
              <w:t>“road-traffic claim evidence”, “uninsured driver claims”</w:t>
            </w:r>
          </w:p>
        </w:tc>
        <w:tc>
          <w:tcPr>
            <w:tcW w:type="dxa" w:w="1872"/>
            <w:vAlign w:val="center"/>
            <w:tcMar>
              <w:top w:w="80" w:type="dxa"/>
              <w:start w:w="120" w:type="dxa"/>
              <w:bottom w:w="80" w:type="dxa"/>
              <w:end w:w="120" w:type="dxa"/>
            </w:tcMar>
          </w:tcPr>
          <w:p>
            <w:pPr>
              <w:spacing w:after="0"/>
            </w:pPr>
            <w:r>
              <w:rPr>
                <w:sz w:val="17"/>
              </w:rPr>
              <w:t>High; redirect duplicate RTA guide</w:t>
            </w:r>
          </w:p>
        </w:tc>
      </w:tr>
      <w:tr>
        <w:tc>
          <w:tcPr>
            <w:tcW w:type="dxa" w:w="1872"/>
            <w:vAlign w:val="center"/>
            <w:tcMar>
              <w:top w:w="80" w:type="dxa"/>
              <w:start w:w="120" w:type="dxa"/>
              <w:bottom w:w="80" w:type="dxa"/>
              <w:end w:w="120" w:type="dxa"/>
            </w:tcMar>
          </w:tcPr>
          <w:p>
            <w:pPr>
              <w:spacing w:after="0"/>
            </w:pPr>
            <w:r>
              <w:rPr>
                <w:sz w:val="17"/>
              </w:rPr>
              <w:t>Work</w:t>
            </w:r>
          </w:p>
        </w:tc>
        <w:tc>
          <w:tcPr>
            <w:tcW w:type="dxa" w:w="1872"/>
            <w:vAlign w:val="center"/>
            <w:tcMar>
              <w:top w:w="80" w:type="dxa"/>
              <w:start w:w="120" w:type="dxa"/>
              <w:bottom w:w="80" w:type="dxa"/>
              <w:end w:w="120" w:type="dxa"/>
            </w:tcMar>
          </w:tcPr>
          <w:p>
            <w:pPr>
              <w:spacing w:after="0"/>
            </w:pPr>
            <w:r>
              <w:rPr>
                <w:sz w:val="17"/>
              </w:rPr>
              <w:t>work pillar</w:t>
            </w:r>
          </w:p>
        </w:tc>
        <w:tc>
          <w:tcPr>
            <w:tcW w:type="dxa" w:w="1872"/>
            <w:vAlign w:val="center"/>
            <w:tcMar>
              <w:top w:w="80" w:type="dxa"/>
              <w:start w:w="120" w:type="dxa"/>
              <w:bottom w:w="80" w:type="dxa"/>
              <w:end w:w="120" w:type="dxa"/>
            </w:tcMar>
          </w:tcPr>
          <w:p>
            <w:pPr>
              <w:spacing w:after="0"/>
            </w:pPr>
            <w:r>
              <w:rPr>
                <w:sz w:val="17"/>
              </w:rPr>
              <w:t>construction, offshore; future employer reassurance section</w:t>
            </w:r>
          </w:p>
        </w:tc>
        <w:tc>
          <w:tcPr>
            <w:tcW w:type="dxa" w:w="1872"/>
            <w:vAlign w:val="center"/>
            <w:tcMar>
              <w:top w:w="80" w:type="dxa"/>
              <w:start w:w="120" w:type="dxa"/>
              <w:bottom w:w="80" w:type="dxa"/>
              <w:end w:w="120" w:type="dxa"/>
            </w:tcMar>
          </w:tcPr>
          <w:p>
            <w:pPr>
              <w:spacing w:after="0"/>
            </w:pPr>
            <w:r>
              <w:rPr>
                <w:sz w:val="17"/>
              </w:rPr>
              <w:t>“accident at work claim”, “preserve workplace evidence”</w:t>
            </w:r>
          </w:p>
        </w:tc>
        <w:tc>
          <w:tcPr>
            <w:tcW w:type="dxa" w:w="1872"/>
            <w:vAlign w:val="center"/>
            <w:tcMar>
              <w:top w:w="80" w:type="dxa"/>
              <w:start w:w="120" w:type="dxa"/>
              <w:bottom w:w="80" w:type="dxa"/>
              <w:end w:w="120" w:type="dxa"/>
            </w:tcMar>
          </w:tcPr>
          <w:p>
            <w:pPr>
              <w:spacing w:after="0"/>
            </w:pPr>
            <w:r>
              <w:rPr>
                <w:sz w:val="17"/>
              </w:rPr>
              <w:t>High; merge duplicate overview</w:t>
            </w:r>
          </w:p>
        </w:tc>
      </w:tr>
      <w:tr>
        <w:tc>
          <w:tcPr>
            <w:tcW w:type="dxa" w:w="1872"/>
            <w:vAlign w:val="center"/>
            <w:tcMar>
              <w:top w:w="80" w:type="dxa"/>
              <w:start w:w="120" w:type="dxa"/>
              <w:bottom w:w="80" w:type="dxa"/>
              <w:end w:w="120" w:type="dxa"/>
            </w:tcMar>
          </w:tcPr>
          <w:p>
            <w:pPr>
              <w:spacing w:after="0"/>
            </w:pPr>
            <w:r>
              <w:rPr>
                <w:sz w:val="17"/>
              </w:rPr>
              <w:t>Public place</w:t>
            </w:r>
          </w:p>
        </w:tc>
        <w:tc>
          <w:tcPr>
            <w:tcW w:type="dxa" w:w="1872"/>
            <w:vAlign w:val="center"/>
            <w:tcMar>
              <w:top w:w="80" w:type="dxa"/>
              <w:start w:w="120" w:type="dxa"/>
              <w:bottom w:w="80" w:type="dxa"/>
              <w:end w:w="120" w:type="dxa"/>
            </w:tcMar>
          </w:tcPr>
          <w:p>
            <w:pPr>
              <w:spacing w:after="0"/>
            </w:pPr>
            <w:r>
              <w:rPr>
                <w:sz w:val="17"/>
              </w:rPr>
              <w:t>public-place pillar</w:t>
            </w:r>
          </w:p>
        </w:tc>
        <w:tc>
          <w:tcPr>
            <w:tcW w:type="dxa" w:w="1872"/>
            <w:vAlign w:val="center"/>
            <w:tcMar>
              <w:top w:w="80" w:type="dxa"/>
              <w:start w:w="120" w:type="dxa"/>
              <w:bottom w:w="80" w:type="dxa"/>
              <w:end w:w="120" w:type="dxa"/>
            </w:tcMar>
          </w:tcPr>
          <w:p>
            <w:pPr>
              <w:spacing w:after="0"/>
            </w:pPr>
            <w:r>
              <w:rPr>
                <w:sz w:val="17"/>
              </w:rPr>
              <w:t>slip/trip, supermarket, council pavement</w:t>
            </w:r>
          </w:p>
        </w:tc>
        <w:tc>
          <w:tcPr>
            <w:tcW w:type="dxa" w:w="1872"/>
            <w:vAlign w:val="center"/>
            <w:tcMar>
              <w:top w:w="80" w:type="dxa"/>
              <w:start w:w="120" w:type="dxa"/>
              <w:bottom w:w="80" w:type="dxa"/>
              <w:end w:w="120" w:type="dxa"/>
            </w:tcMar>
          </w:tcPr>
          <w:p>
            <w:pPr>
              <w:spacing w:after="0"/>
            </w:pPr>
            <w:r>
              <w:rPr>
                <w:sz w:val="17"/>
              </w:rPr>
              <w:t>“occupiers’ liability claim”, “council road-defect evidence”</w:t>
            </w:r>
          </w:p>
        </w:tc>
        <w:tc>
          <w:tcPr>
            <w:tcW w:type="dxa" w:w="1872"/>
            <w:vAlign w:val="center"/>
            <w:tcMar>
              <w:top w:w="80" w:type="dxa"/>
              <w:start w:w="120" w:type="dxa"/>
              <w:bottom w:w="80" w:type="dxa"/>
              <w:end w:w="120" w:type="dxa"/>
            </w:tcMar>
          </w:tcPr>
          <w:p>
            <w:pPr>
              <w:spacing w:after="0"/>
            </w:pPr>
            <w:r>
              <w:rPr>
                <w:sz w:val="17"/>
              </w:rPr>
              <w:t>Medium/high; distinguish occupier vs roads authority</w:t>
            </w:r>
          </w:p>
        </w:tc>
      </w:tr>
      <w:tr>
        <w:tc>
          <w:tcPr>
            <w:tcW w:type="dxa" w:w="1872"/>
            <w:vAlign w:val="center"/>
            <w:tcMar>
              <w:top w:w="80" w:type="dxa"/>
              <w:start w:w="120" w:type="dxa"/>
              <w:bottom w:w="80" w:type="dxa"/>
              <w:end w:w="120" w:type="dxa"/>
            </w:tcMar>
          </w:tcPr>
          <w:p>
            <w:pPr>
              <w:spacing w:after="0"/>
            </w:pPr>
            <w:r>
              <w:rPr>
                <w:sz w:val="17"/>
              </w:rPr>
              <w:t>Medical</w:t>
            </w:r>
          </w:p>
        </w:tc>
        <w:tc>
          <w:tcPr>
            <w:tcW w:type="dxa" w:w="1872"/>
            <w:vAlign w:val="center"/>
            <w:tcMar>
              <w:top w:w="80" w:type="dxa"/>
              <w:start w:w="120" w:type="dxa"/>
              <w:bottom w:w="80" w:type="dxa"/>
              <w:end w:w="120" w:type="dxa"/>
            </w:tcMar>
          </w:tcPr>
          <w:p>
            <w:pPr>
              <w:spacing w:after="0"/>
            </w:pPr>
            <w:r>
              <w:rPr>
                <w:sz w:val="17"/>
              </w:rPr>
              <w:t>medical pillar</w:t>
            </w:r>
          </w:p>
        </w:tc>
        <w:tc>
          <w:tcPr>
            <w:tcW w:type="dxa" w:w="1872"/>
            <w:vAlign w:val="center"/>
            <w:tcMar>
              <w:top w:w="80" w:type="dxa"/>
              <w:start w:w="120" w:type="dxa"/>
              <w:bottom w:w="80" w:type="dxa"/>
              <w:end w:w="120" w:type="dxa"/>
            </w:tcMar>
          </w:tcPr>
          <w:p>
            <w:pPr>
              <w:spacing w:after="0"/>
            </w:pPr>
            <w:r>
              <w:rPr>
                <w:sz w:val="17"/>
              </w:rPr>
              <w:t>proof, NHS, GP, birth, prescription, cancer, care home</w:t>
            </w:r>
          </w:p>
        </w:tc>
        <w:tc>
          <w:tcPr>
            <w:tcW w:type="dxa" w:w="1872"/>
            <w:vAlign w:val="center"/>
            <w:tcMar>
              <w:top w:w="80" w:type="dxa"/>
              <w:start w:w="120" w:type="dxa"/>
              <w:bottom w:w="80" w:type="dxa"/>
              <w:end w:w="120" w:type="dxa"/>
            </w:tcMar>
          </w:tcPr>
          <w:p>
            <w:pPr>
              <w:spacing w:after="0"/>
            </w:pPr>
            <w:r>
              <w:rPr>
                <w:sz w:val="17"/>
              </w:rPr>
              <w:t>“breach and causation in clinical negligence”</w:t>
            </w:r>
          </w:p>
        </w:tc>
        <w:tc>
          <w:tcPr>
            <w:tcW w:type="dxa" w:w="1872"/>
            <w:vAlign w:val="center"/>
            <w:tcMar>
              <w:top w:w="80" w:type="dxa"/>
              <w:start w:w="120" w:type="dxa"/>
              <w:bottom w:w="80" w:type="dxa"/>
              <w:end w:w="120" w:type="dxa"/>
            </w:tcMar>
          </w:tcPr>
          <w:p>
            <w:pPr>
              <w:spacing w:after="0"/>
            </w:pPr>
            <w:r>
              <w:rPr>
                <w:sz w:val="17"/>
              </w:rPr>
              <w:t>High but highest YMYL review burden</w:t>
            </w:r>
          </w:p>
        </w:tc>
      </w:tr>
      <w:tr>
        <w:tc>
          <w:tcPr>
            <w:tcW w:type="dxa" w:w="1872"/>
            <w:vAlign w:val="center"/>
            <w:tcMar>
              <w:top w:w="80" w:type="dxa"/>
              <w:start w:w="120" w:type="dxa"/>
              <w:bottom w:w="80" w:type="dxa"/>
              <w:end w:w="120" w:type="dxa"/>
            </w:tcMar>
          </w:tcPr>
          <w:p>
            <w:pPr>
              <w:spacing w:after="0"/>
            </w:pPr>
            <w:r>
              <w:rPr>
                <w:sz w:val="17"/>
              </w:rPr>
              <w:t>Serious/fatal</w:t>
            </w:r>
          </w:p>
        </w:tc>
        <w:tc>
          <w:tcPr>
            <w:tcW w:type="dxa" w:w="1872"/>
            <w:vAlign w:val="center"/>
            <w:tcMar>
              <w:top w:w="80" w:type="dxa"/>
              <w:start w:w="120" w:type="dxa"/>
              <w:bottom w:w="80" w:type="dxa"/>
              <w:end w:w="120" w:type="dxa"/>
            </w:tcMar>
          </w:tcPr>
          <w:p>
            <w:pPr>
              <w:spacing w:after="0"/>
            </w:pPr>
            <w:r>
              <w:rPr>
                <w:sz w:val="17"/>
              </w:rPr>
              <w:t>serious pillar</w:t>
            </w:r>
          </w:p>
        </w:tc>
        <w:tc>
          <w:tcPr>
            <w:tcW w:type="dxa" w:w="1872"/>
            <w:vAlign w:val="center"/>
            <w:tcMar>
              <w:top w:w="80" w:type="dxa"/>
              <w:start w:w="120" w:type="dxa"/>
              <w:bottom w:w="80" w:type="dxa"/>
              <w:end w:w="120" w:type="dxa"/>
            </w:tcMar>
          </w:tcPr>
          <w:p>
            <w:pPr>
              <w:spacing w:after="0"/>
            </w:pPr>
            <w:r>
              <w:rPr>
                <w:sz w:val="17"/>
              </w:rPr>
              <w:t>rehabilitation, fatal guide</w:t>
            </w:r>
          </w:p>
        </w:tc>
        <w:tc>
          <w:tcPr>
            <w:tcW w:type="dxa" w:w="1872"/>
            <w:vAlign w:val="center"/>
            <w:tcMar>
              <w:top w:w="80" w:type="dxa"/>
              <w:start w:w="120" w:type="dxa"/>
              <w:bottom w:w="80" w:type="dxa"/>
              <w:end w:w="120" w:type="dxa"/>
            </w:tcMar>
          </w:tcPr>
          <w:p>
            <w:pPr>
              <w:spacing w:after="0"/>
            </w:pPr>
            <w:r>
              <w:rPr>
                <w:sz w:val="17"/>
              </w:rPr>
              <w:t>“future-care evidence”, “relatives’ claims after a death”</w:t>
            </w:r>
          </w:p>
        </w:tc>
        <w:tc>
          <w:tcPr>
            <w:tcW w:type="dxa" w:w="1872"/>
            <w:vAlign w:val="center"/>
            <w:tcMar>
              <w:top w:w="80" w:type="dxa"/>
              <w:start w:w="120" w:type="dxa"/>
              <w:bottom w:w="80" w:type="dxa"/>
              <w:end w:w="120" w:type="dxa"/>
            </w:tcMar>
          </w:tcPr>
          <w:p>
            <w:pPr>
              <w:spacing w:after="0"/>
            </w:pPr>
            <w:r>
              <w:rPr>
                <w:sz w:val="17"/>
              </w:rPr>
              <w:t>High; no injury micro-pages without depth</w:t>
            </w:r>
          </w:p>
        </w:tc>
      </w:tr>
      <w:tr>
        <w:tc>
          <w:tcPr>
            <w:tcW w:type="dxa" w:w="1872"/>
            <w:vAlign w:val="center"/>
            <w:tcMar>
              <w:top w:w="80" w:type="dxa"/>
              <w:start w:w="120" w:type="dxa"/>
              <w:bottom w:w="80" w:type="dxa"/>
              <w:end w:w="120" w:type="dxa"/>
            </w:tcMar>
          </w:tcPr>
          <w:p>
            <w:pPr>
              <w:spacing w:after="0"/>
            </w:pPr>
            <w:r>
              <w:rPr>
                <w:sz w:val="17"/>
              </w:rPr>
              <w:t>Industrial disease</w:t>
            </w:r>
          </w:p>
        </w:tc>
        <w:tc>
          <w:tcPr>
            <w:tcW w:type="dxa" w:w="1872"/>
            <w:vAlign w:val="center"/>
            <w:tcMar>
              <w:top w:w="80" w:type="dxa"/>
              <w:start w:w="120" w:type="dxa"/>
              <w:bottom w:w="80" w:type="dxa"/>
              <w:end w:w="120" w:type="dxa"/>
            </w:tcMar>
          </w:tcPr>
          <w:p>
            <w:pPr>
              <w:spacing w:after="0"/>
            </w:pPr>
            <w:r>
              <w:rPr>
                <w:sz w:val="17"/>
              </w:rPr>
              <w:t>industrial pillar</w:t>
            </w:r>
          </w:p>
        </w:tc>
        <w:tc>
          <w:tcPr>
            <w:tcW w:type="dxa" w:w="1872"/>
            <w:vAlign w:val="center"/>
            <w:tcMar>
              <w:top w:w="80" w:type="dxa"/>
              <w:start w:w="120" w:type="dxa"/>
              <w:bottom w:w="80" w:type="dxa"/>
              <w:end w:w="120" w:type="dxa"/>
            </w:tcMar>
          </w:tcPr>
          <w:p>
            <w:pPr>
              <w:spacing w:after="0"/>
            </w:pPr>
            <w:r>
              <w:rPr>
                <w:sz w:val="17"/>
              </w:rPr>
              <w:t>asbestos, NIHL, HAVS, delayed symptoms</w:t>
            </w:r>
          </w:p>
        </w:tc>
        <w:tc>
          <w:tcPr>
            <w:tcW w:type="dxa" w:w="1872"/>
            <w:vAlign w:val="center"/>
            <w:tcMar>
              <w:top w:w="80" w:type="dxa"/>
              <w:start w:w="120" w:type="dxa"/>
              <w:bottom w:w="80" w:type="dxa"/>
              <w:end w:w="120" w:type="dxa"/>
            </w:tcMar>
          </w:tcPr>
          <w:p>
            <w:pPr>
              <w:spacing w:after="0"/>
            </w:pPr>
            <w:r>
              <w:rPr>
                <w:sz w:val="17"/>
              </w:rPr>
              <w:t>“date of knowledge in disease claims”</w:t>
            </w:r>
          </w:p>
        </w:tc>
        <w:tc>
          <w:tcPr>
            <w:tcW w:type="dxa" w:w="1872"/>
            <w:vAlign w:val="center"/>
            <w:tcMar>
              <w:top w:w="80" w:type="dxa"/>
              <w:start w:w="120" w:type="dxa"/>
              <w:bottom w:w="80" w:type="dxa"/>
              <w:end w:w="120" w:type="dxa"/>
            </w:tcMar>
          </w:tcPr>
          <w:p>
            <w:pPr>
              <w:spacing w:after="0"/>
            </w:pPr>
            <w:r>
              <w:rPr>
                <w:sz w:val="17"/>
              </w:rPr>
              <w:t>High; cite disease/statutory scheme distinctions</w:t>
            </w:r>
          </w:p>
        </w:tc>
      </w:tr>
      <w:tr>
        <w:tc>
          <w:tcPr>
            <w:tcW w:type="dxa" w:w="1872"/>
            <w:vAlign w:val="center"/>
            <w:tcMar>
              <w:top w:w="80" w:type="dxa"/>
              <w:start w:w="120" w:type="dxa"/>
              <w:bottom w:w="80" w:type="dxa"/>
              <w:end w:w="120" w:type="dxa"/>
            </w:tcMar>
          </w:tcPr>
          <w:p>
            <w:pPr>
              <w:spacing w:after="0"/>
            </w:pPr>
            <w:r>
              <w:rPr>
                <w:sz w:val="17"/>
              </w:rPr>
              <w:t>CICA</w:t>
            </w:r>
          </w:p>
        </w:tc>
        <w:tc>
          <w:tcPr>
            <w:tcW w:type="dxa" w:w="1872"/>
            <w:vAlign w:val="center"/>
            <w:tcMar>
              <w:top w:w="80" w:type="dxa"/>
              <w:start w:w="120" w:type="dxa"/>
              <w:bottom w:w="80" w:type="dxa"/>
              <w:end w:w="120" w:type="dxa"/>
            </w:tcMar>
          </w:tcPr>
          <w:p>
            <w:pPr>
              <w:spacing w:after="0"/>
            </w:pPr>
            <w:r>
              <w:rPr>
                <w:sz w:val="17"/>
              </w:rPr>
              <w:t>CICA pillar</w:t>
            </w:r>
          </w:p>
        </w:tc>
        <w:tc>
          <w:tcPr>
            <w:tcW w:type="dxa" w:w="1872"/>
            <w:vAlign w:val="center"/>
            <w:tcMar>
              <w:top w:w="80" w:type="dxa"/>
              <w:start w:w="120" w:type="dxa"/>
              <w:bottom w:w="80" w:type="dxa"/>
              <w:end w:w="120" w:type="dxa"/>
            </w:tcMar>
          </w:tcPr>
          <w:p>
            <w:pPr>
              <w:spacing w:after="0"/>
            </w:pPr>
            <w:r>
              <w:rPr>
                <w:sz w:val="17"/>
              </w:rPr>
              <w:t>one reviewed guide only if a distinct sub-intent appears</w:t>
            </w:r>
          </w:p>
        </w:tc>
        <w:tc>
          <w:tcPr>
            <w:tcW w:type="dxa" w:w="1872"/>
            <w:vAlign w:val="center"/>
            <w:tcMar>
              <w:top w:w="80" w:type="dxa"/>
              <w:start w:w="120" w:type="dxa"/>
              <w:bottom w:w="80" w:type="dxa"/>
              <w:end w:w="120" w:type="dxa"/>
            </w:tcMar>
          </w:tcPr>
          <w:p>
            <w:pPr>
              <w:spacing w:after="0"/>
            </w:pPr>
            <w:r>
              <w:rPr>
                <w:sz w:val="17"/>
              </w:rPr>
              <w:t>“CICA’s two-year application rule”</w:t>
            </w:r>
          </w:p>
        </w:tc>
        <w:tc>
          <w:tcPr>
            <w:tcW w:type="dxa" w:w="1872"/>
            <w:vAlign w:val="center"/>
            <w:tcMar>
              <w:top w:w="80" w:type="dxa"/>
              <w:start w:w="120" w:type="dxa"/>
              <w:bottom w:w="80" w:type="dxa"/>
              <w:end w:w="120" w:type="dxa"/>
            </w:tcMar>
          </w:tcPr>
          <w:p>
            <w:pPr>
              <w:spacing w:after="0"/>
            </w:pPr>
            <w:r>
              <w:rPr>
                <w:sz w:val="17"/>
              </w:rPr>
              <w:t>Medium; isolate from civil three-year messaging</w:t>
            </w:r>
          </w:p>
        </w:tc>
      </w:tr>
      <w:tr>
        <w:tc>
          <w:tcPr>
            <w:tcW w:type="dxa" w:w="1872"/>
            <w:vAlign w:val="center"/>
            <w:tcMar>
              <w:top w:w="80" w:type="dxa"/>
              <w:start w:w="120" w:type="dxa"/>
              <w:bottom w:w="80" w:type="dxa"/>
              <w:end w:w="120" w:type="dxa"/>
            </w:tcMar>
          </w:tcPr>
          <w:p>
            <w:pPr>
              <w:spacing w:after="0"/>
            </w:pPr>
            <w:r>
              <w:rPr>
                <w:sz w:val="17"/>
              </w:rPr>
              <w:t>Location</w:t>
            </w:r>
          </w:p>
        </w:tc>
        <w:tc>
          <w:tcPr>
            <w:tcW w:type="dxa" w:w="1872"/>
            <w:vAlign w:val="center"/>
            <w:tcMar>
              <w:top w:w="80" w:type="dxa"/>
              <w:start w:w="120" w:type="dxa"/>
              <w:bottom w:w="80" w:type="dxa"/>
              <w:end w:w="120" w:type="dxa"/>
            </w:tcMar>
          </w:tcPr>
          <w:p>
            <w:pPr>
              <w:spacing w:after="0"/>
            </w:pPr>
            <w:r>
              <w:rPr>
                <w:sz w:val="17"/>
              </w:rPr>
              <w:t>one Scotland service-area hub initially</w:t>
            </w:r>
          </w:p>
        </w:tc>
        <w:tc>
          <w:tcPr>
            <w:tcW w:type="dxa" w:w="1872"/>
            <w:vAlign w:val="center"/>
            <w:tcMar>
              <w:top w:w="80" w:type="dxa"/>
              <w:start w:w="120" w:type="dxa"/>
              <w:bottom w:w="80" w:type="dxa"/>
              <w:end w:w="120" w:type="dxa"/>
            </w:tcMar>
          </w:tcPr>
          <w:p>
            <w:pPr>
              <w:spacing w:after="0"/>
            </w:pPr>
            <w:r>
              <w:rPr>
                <w:sz w:val="17"/>
              </w:rPr>
              <w:t>at most verified high-value city pages</w:t>
            </w:r>
          </w:p>
        </w:tc>
        <w:tc>
          <w:tcPr>
            <w:tcW w:type="dxa" w:w="1872"/>
            <w:vAlign w:val="center"/>
            <w:tcMar>
              <w:top w:w="80" w:type="dxa"/>
              <w:start w:w="120" w:type="dxa"/>
              <w:bottom w:w="80" w:type="dxa"/>
              <w:end w:w="120" w:type="dxa"/>
            </w:tcMar>
          </w:tcPr>
          <w:p>
            <w:pPr>
              <w:spacing w:after="0"/>
            </w:pPr>
            <w:r>
              <w:rPr>
                <w:sz w:val="17"/>
              </w:rPr>
              <w:t>“serving people across Scotland”</w:t>
            </w:r>
          </w:p>
        </w:tc>
        <w:tc>
          <w:tcPr>
            <w:tcW w:type="dxa" w:w="1872"/>
            <w:vAlign w:val="center"/>
            <w:tcMar>
              <w:top w:w="80" w:type="dxa"/>
              <w:start w:w="120" w:type="dxa"/>
              <w:bottom w:w="80" w:type="dxa"/>
              <w:end w:w="120" w:type="dxa"/>
            </w:tcMar>
          </w:tcPr>
          <w:p>
            <w:pPr>
              <w:spacing w:after="0"/>
            </w:pPr>
            <w:r>
              <w:rPr>
                <w:sz w:val="17"/>
              </w:rPr>
              <w:t>Medium; no exact-match footer spam</w:t>
            </w:r>
          </w:p>
        </w:tc>
      </w:tr>
    </w:tbl>
    <w:p>
      <w:pPr>
        <w:spacing w:after="0"/>
      </w:pPr>
    </w:p>
    <w:p>
      <w:pPr>
        <w:pStyle w:val="Heading3"/>
      </w:pPr>
      <w:r>
        <w:t>Linking rules</w:t>
      </w:r>
    </w:p>
    <w:p>
      <w:pPr>
        <w:pStyle w:val="ListBullet"/>
      </w:pPr>
      <w:r>
        <w:t>Every guide links once near the first relevant decision point to its pillar, once to limitation when time-sensitive, once to funding where relevant and once to contact with a descriptive non-pressuring CTA.</w:t>
      </w:r>
    </w:p>
    <w:p>
      <w:pPr>
        <w:pStyle w:val="ListBullet"/>
      </w:pPr>
      <w:r>
        <w:t>Pillars link to 3–6 genuinely useful guides, not every article.</w:t>
      </w:r>
    </w:p>
    <w:p>
      <w:pPr>
        <w:pStyle w:val="ListBullet"/>
      </w:pPr>
      <w:r>
        <w:t>Breadcrumbs: Home → Claim type/Guides → Article. City pages: Home → Areas served → City, if an areas hub exists.</w:t>
      </w:r>
    </w:p>
    <w:p>
      <w:pPr>
        <w:pStyle w:val="ListBullet"/>
      </w:pPr>
      <w:r>
        <w:t>Vary anchors naturally; avoid sitewide exact-match city anchors.</w:t>
      </w:r>
    </w:p>
    <w:p>
      <w:pPr>
        <w:pStyle w:val="ListBullet"/>
      </w:pPr>
      <w:r>
        <w:t>Add automated orphan checking to CI and maintain one content registry for URL, parent, primary intent, author, reviewer and dates.</w:t>
      </w:r>
    </w:p>
    <w:p>
      <w:pPr>
        <w:pStyle w:val="Heading2"/>
      </w:pPr>
      <w:r>
        <w:t>8. On-page, trust and conversion review</w:t>
      </w:r>
    </w:p>
    <w:p>
      <w:pPr>
        <w:pStyle w:val="Heading3"/>
      </w:pPr>
      <w:r>
        <w:t>Above the fold</w:t>
      </w:r>
    </w:p>
    <w:p>
      <w:r>
        <w:t>Current H1 and proposition are keyword-clear but unsupported. Replace with a factual formulation after provider verification:</w:t>
      </w:r>
    </w:p>
    <w:p>
      <w:pPr>
        <w:ind w:left="360"/>
      </w:pPr>
      <w:r>
        <w:rPr>
          <w:b/>
          <w:i/>
          <w:color w:val="5A636E"/>
        </w:rPr>
        <w:t>Personal injury claims in Scotland, handled by [verified firm].</w:t>
      </w:r>
    </w:p>
    <w:p>
      <w:pPr>
        <w:ind w:left="360"/>
      </w:pPr>
      <w:r>
        <w:rPr>
          <w:i/>
          <w:color w:val="5A636E"/>
        </w:rPr>
        <w:t>Speak to a Scottish personal-injury team about whether a civil claim or another route may apply. An initial enquiry does not guarantee that your case will be accepted.</w:t>
      </w:r>
    </w:p>
    <w:p>
      <w:r>
        <w:t>Directly below:</w:t>
      </w:r>
    </w:p>
    <w:p>
      <w:pPr>
        <w:ind w:left="360"/>
      </w:pPr>
      <w:r>
        <w:rPr>
          <w:i/>
          <w:color w:val="5A636E"/>
        </w:rPr>
        <w:t>Accident Claims Scotland is [trading style/website] operated by [legal entity]. Legal services are provided by [firm], regulated by [regulator] under membership number [verified number]. [Explain referral relationship, if any.]</w:t>
      </w:r>
    </w:p>
    <w:p>
      <w:pPr>
        <w:pStyle w:val="Heading3"/>
      </w:pPr>
      <w:r>
        <w:t>Form</w:t>
      </w:r>
    </w:p>
    <w:p>
      <w:pPr>
        <w:pStyle w:val="ListBullet"/>
      </w:pPr>
      <w:r>
        <w:t>Ask only the minimum needed initially: name, one contact method, broad claim category, date and short description.</w:t>
      </w:r>
    </w:p>
    <w:p>
      <w:pPr>
        <w:pStyle w:val="ListBullet"/>
      </w:pPr>
      <w:r>
        <w:t>Explain who receives the data before the submit button.</w:t>
      </w:r>
    </w:p>
    <w:p>
      <w:pPr>
        <w:pStyle w:val="ListBullet"/>
      </w:pPr>
      <w:r>
        <w:t>Offer phone, email and accessible callback options, but only real monitored channels.</w:t>
      </w:r>
    </w:p>
    <w:p>
      <w:pPr>
        <w:pStyle w:val="ListBullet"/>
      </w:pPr>
      <w:r>
        <w:t>Do not promise “confidential” until data flows/processors/security are documented.</w:t>
      </w:r>
    </w:p>
    <w:p>
      <w:pPr>
        <w:pStyle w:val="ListBullet"/>
      </w:pPr>
      <w:r>
        <w:t>State a realistic response window and what to do if a limitation date is close. Make clear that submitting the form does not stop a time limit and does not create a solicitor-client relationship.</w:t>
      </w:r>
    </w:p>
    <w:p>
      <w:pPr>
        <w:pStyle w:val="ListBullet"/>
      </w:pPr>
      <w:r>
        <w:t>Preserve entered values when validation/delivery fails.</w:t>
      </w:r>
    </w:p>
    <w:p>
      <w:pPr>
        <w:pStyle w:val="ListBullet"/>
      </w:pPr>
      <w:r>
        <w:t>Confirmation must provide a reference and be sent only after durable acceptance.</w:t>
      </w:r>
    </w:p>
    <w:p>
      <w:r>
        <w:t>Suggested acknowledgement:</w:t>
      </w:r>
    </w:p>
    <w:p>
      <w:pPr>
        <w:ind w:left="360"/>
      </w:pPr>
      <w:r>
        <w:rPr>
          <w:b/>
          <w:i/>
          <w:color w:val="5A636E"/>
        </w:rPr>
        <w:t>We have received your enquiry (reference [ID]).</w:t>
      </w:r>
      <w:r>
        <w:rPr>
          <w:i/>
          <w:color w:val="5A636E"/>
        </w:rPr>
        <w:t xml:space="preserve"> It will be reviewed by [verified recipient]. We aim to contact you within [verified period]. Sending this form does not mean that a solicitor has accepted your case and does not stop any legal time limit. If a deadline may be close, seek urgent independent advice.</w:t>
      </w:r>
    </w:p>
    <w:p>
      <w:pPr>
        <w:pStyle w:val="Heading3"/>
      </w:pPr>
      <w:r>
        <w:t>Claims requiring evidence or amendment</w:t>
      </w:r>
    </w:p>
    <w:p>
      <w:r>
        <w:t>Remove or prove:</w:t>
      </w:r>
    </w:p>
    <w:p>
      <w:pPr>
        <w:pStyle w:val="ListBullet"/>
      </w:pPr>
      <w:r>
        <w:t>“Regulated by the Law Society of Scotland”</w:t>
      </w:r>
    </w:p>
    <w:p>
      <w:pPr>
        <w:pStyle w:val="ListBullet"/>
      </w:pPr>
      <w:r>
        <w:t>“our Scottish solicitors”</w:t>
      </w:r>
    </w:p>
    <w:p>
      <w:pPr>
        <w:pStyle w:val="ListBullet"/>
      </w:pPr>
      <w:r>
        <w:t>“regulated Scottish practice”</w:t>
      </w:r>
    </w:p>
    <w:p>
      <w:pPr>
        <w:pStyle w:val="ListBullet"/>
      </w:pPr>
      <w:r>
        <w:t>“solicitor-led claims/service”</w:t>
      </w:r>
    </w:p>
    <w:p>
      <w:pPr>
        <w:pStyle w:val="ListBullet"/>
      </w:pPr>
      <w:r>
        <w:t>every “we handle” claim type</w:t>
      </w:r>
    </w:p>
    <w:p>
      <w:pPr>
        <w:pStyle w:val="ListBullet"/>
      </w:pPr>
      <w:r>
        <w:t>“no win, no fee available”</w:t>
      </w:r>
    </w:p>
    <w:p>
      <w:pPr>
        <w:pStyle w:val="ListBullet"/>
      </w:pPr>
      <w:r>
        <w:t>“no obligation” and “confidential” operational promises</w:t>
      </w:r>
    </w:p>
    <w:p>
      <w:pPr>
        <w:pStyle w:val="ListBullet"/>
      </w:pPr>
      <w:r>
        <w:t>office/location coverage claims</w:t>
      </w:r>
    </w:p>
    <w:p>
      <w:pPr>
        <w:pStyle w:val="ListBullet"/>
      </w:pPr>
      <w:r>
        <w:t>author/reviewer and date assertions</w:t>
      </w:r>
    </w:p>
    <w:p>
      <w:pPr>
        <w:pStyle w:val="ListBullet"/>
      </w:pPr>
      <w:r>
        <w:t>implied expertise in offshore, birth injury, cancer, asbestos and catastrophic injury</w:t>
      </w:r>
    </w:p>
    <w:p>
      <w:r>
        <w:t>Legally qualify:</w:t>
      </w:r>
    </w:p>
    <w:p>
      <w:pPr>
        <w:pStyle w:val="ListBullet"/>
      </w:pPr>
      <w:r>
        <w:t>“accident was not your fault” (shared fault can still be relevant).</w:t>
      </w:r>
    </w:p>
    <w:p>
      <w:pPr>
        <w:pStyle w:val="ListBullet"/>
      </w:pPr>
      <w:r>
        <w:t>“within the last three years” (not the complete statutory test; proceedings generally need to be raised in time).</w:t>
      </w:r>
    </w:p>
    <w:p>
      <w:pPr>
        <w:pStyle w:val="ListBullet"/>
      </w:pPr>
      <w:r>
        <w:t>“missing the deadline extinguishes your right” (use careful limitation language; distinguish prescription).</w:t>
      </w:r>
    </w:p>
    <w:p>
      <w:pPr>
        <w:pStyle w:val="ListBullet"/>
      </w:pPr>
      <w:r>
        <w:t>court discretion under section 19A (never imply extension is routine).</w:t>
      </w:r>
    </w:p>
    <w:p>
      <w:pPr>
        <w:pStyle w:val="ListBullet"/>
      </w:pPr>
      <w:r>
        <w:t>compensation/time estimates.</w:t>
      </w:r>
    </w:p>
    <w:p>
      <w:pPr>
        <w:pStyle w:val="ListBullet"/>
      </w:pPr>
      <w:r>
        <w:t>“you will not pay if unsuccessful” unless the actual agreement deals with outlays, insurance, termination, dishonesty/non-cooperation and adverse expenses.</w:t>
      </w:r>
    </w:p>
    <w:p>
      <w:pPr>
        <w:pStyle w:val="ListBullet"/>
      </w:pPr>
      <w:r>
        <w:t>employer/job reassurance; do not promise no employment consequences.</w:t>
      </w:r>
    </w:p>
    <w:p>
      <w:pPr>
        <w:pStyle w:val="Heading2"/>
      </w:pPr>
      <w:r>
        <w:t>9. Competitor review</w:t>
      </w:r>
    </w:p>
    <w:p>
      <w:r>
        <w:t>The public search snapshot on 28 July 2026 surfaced these organic competitors. Rankings vary by location, device and personalisation; this is not a rank report.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start w:w="120" w:type="dxa"/>
              <w:bottom w:w="80" w:type="dxa"/>
              <w:end w:w="120" w:type="dxa"/>
            </w:tcMar>
            <w:shd w:fill="E8EEF5"/>
          </w:tcPr>
          <w:p>
            <w:pPr>
              <w:spacing w:after="0"/>
            </w:pPr>
            <w:r>
              <w:rPr>
                <w:b/>
                <w:color w:val="0B2545"/>
                <w:sz w:val="17"/>
              </w:rPr>
              <w:t>Competitor</w:t>
            </w:r>
          </w:p>
        </w:tc>
        <w:tc>
          <w:tcPr>
            <w:tcW w:type="dxa" w:w="4680"/>
            <w:vAlign w:val="center"/>
            <w:tcMar>
              <w:top w:w="80" w:type="dxa"/>
              <w:start w:w="120" w:type="dxa"/>
              <w:bottom w:w="80" w:type="dxa"/>
              <w:end w:w="120" w:type="dxa"/>
            </w:tcMar>
            <w:shd w:fill="E8EEF5"/>
          </w:tcPr>
          <w:p>
            <w:pPr>
              <w:spacing w:after="0"/>
            </w:pPr>
            <w:r>
              <w:rPr>
                <w:b/>
                <w:color w:val="0B2545"/>
                <w:sz w:val="17"/>
              </w:rPr>
              <w:t>Visible strength</w:t>
            </w:r>
          </w:p>
        </w:tc>
        <w:tc>
          <w:tcPr>
            <w:tcW w:type="dxa" w:w="1656"/>
            <w:vAlign w:val="center"/>
            <w:tcMar>
              <w:top w:w="80" w:type="dxa"/>
              <w:start w:w="120" w:type="dxa"/>
              <w:bottom w:w="80" w:type="dxa"/>
              <w:end w:w="120" w:type="dxa"/>
            </w:tcMar>
            <w:shd w:fill="E8EEF5"/>
          </w:tcPr>
          <w:p>
            <w:pPr>
              <w:spacing w:after="0"/>
            </w:pPr>
            <w:r>
              <w:rPr>
                <w:b/>
                <w:color w:val="0B2545"/>
                <w:sz w:val="17"/>
              </w:rPr>
              <w:t>Weakness/opportunity</w:t>
            </w:r>
          </w:p>
        </w:tc>
        <w:tc>
          <w:tcPr>
            <w:tcW w:type="dxa" w:w="2232"/>
            <w:vAlign w:val="center"/>
            <w:tcMar>
              <w:top w:w="80" w:type="dxa"/>
              <w:start w:w="120" w:type="dxa"/>
              <w:bottom w:w="80" w:type="dxa"/>
              <w:end w:w="120" w:type="dxa"/>
            </w:tcMar>
            <w:shd w:fill="E8EEF5"/>
          </w:tcPr>
          <w:p>
            <w:pPr>
              <w:spacing w:after="0"/>
            </w:pPr>
            <w:r>
              <w:rPr>
                <w:b/>
                <w:color w:val="0B2545"/>
                <w:sz w:val="17"/>
              </w:rPr>
              <w:t>Practical lesson</w:t>
            </w:r>
          </w:p>
        </w:tc>
      </w:tr>
      <w:tr>
        <w:tc>
          <w:tcPr>
            <w:tcW w:type="dxa" w:w="792"/>
            <w:vAlign w:val="center"/>
            <w:tcMar>
              <w:top w:w="80" w:type="dxa"/>
              <w:start w:w="120" w:type="dxa"/>
              <w:bottom w:w="80" w:type="dxa"/>
              <w:end w:w="120" w:type="dxa"/>
            </w:tcMar>
          </w:tcPr>
          <w:p>
            <w:pPr>
              <w:spacing w:after="0"/>
            </w:pPr>
            <w:r>
              <w:rPr>
                <w:sz w:val="17"/>
              </w:rPr>
              <w:t>Winn Solicitors (Scotland) LLP, winnscotland.com</w:t>
            </w:r>
          </w:p>
        </w:tc>
        <w:tc>
          <w:tcPr>
            <w:tcW w:type="dxa" w:w="4680"/>
            <w:vAlign w:val="center"/>
            <w:tcMar>
              <w:top w:w="80" w:type="dxa"/>
              <w:start w:w="120" w:type="dxa"/>
              <w:bottom w:w="80" w:type="dxa"/>
              <w:end w:w="120" w:type="dxa"/>
            </w:tcMar>
          </w:tcPr>
          <w:p>
            <w:pPr>
              <w:spacing w:after="0"/>
            </w:pPr>
            <w:r>
              <w:rPr>
                <w:sz w:val="17"/>
              </w:rPr>
              <w:t>Clear firm identity, contact details, service categories, process and partner network</w:t>
            </w:r>
          </w:p>
        </w:tc>
        <w:tc>
          <w:tcPr>
            <w:tcW w:type="dxa" w:w="1656"/>
            <w:vAlign w:val="center"/>
            <w:tcMar>
              <w:top w:w="80" w:type="dxa"/>
              <w:start w:w="120" w:type="dxa"/>
              <w:bottom w:w="80" w:type="dxa"/>
              <w:end w:w="120" w:type="dxa"/>
            </w:tcMar>
          </w:tcPr>
          <w:p>
            <w:pPr>
              <w:spacing w:after="0"/>
            </w:pPr>
            <w:r>
              <w:rPr>
                <w:sz w:val="17"/>
              </w:rPr>
              <w:t>Broad promotional statements need close qualification</w:t>
            </w:r>
          </w:p>
        </w:tc>
        <w:tc>
          <w:tcPr>
            <w:tcW w:type="dxa" w:w="2232"/>
            <w:vAlign w:val="center"/>
            <w:tcMar>
              <w:top w:w="80" w:type="dxa"/>
              <w:start w:w="120" w:type="dxa"/>
              <w:bottom w:w="80" w:type="dxa"/>
              <w:end w:w="120" w:type="dxa"/>
            </w:tcMar>
          </w:tcPr>
          <w:p>
            <w:pPr>
              <w:spacing w:after="0"/>
            </w:pPr>
            <w:r>
              <w:rPr>
                <w:sz w:val="17"/>
              </w:rPr>
              <w:t>Match entity clarity and exceed it with transparent funding and primary sources</w:t>
            </w:r>
          </w:p>
        </w:tc>
      </w:tr>
      <w:tr>
        <w:tc>
          <w:tcPr>
            <w:tcW w:type="dxa" w:w="792"/>
            <w:vAlign w:val="center"/>
            <w:tcMar>
              <w:top w:w="80" w:type="dxa"/>
              <w:start w:w="120" w:type="dxa"/>
              <w:bottom w:w="80" w:type="dxa"/>
              <w:end w:w="120" w:type="dxa"/>
            </w:tcMar>
          </w:tcPr>
          <w:p>
            <w:pPr>
              <w:spacing w:after="0"/>
            </w:pPr>
            <w:r>
              <w:rPr>
                <w:sz w:val="17"/>
              </w:rPr>
              <w:t>Scotland Claims, scotlandclaims.co.uk</w:t>
            </w:r>
          </w:p>
        </w:tc>
        <w:tc>
          <w:tcPr>
            <w:tcW w:type="dxa" w:w="4680"/>
            <w:vAlign w:val="center"/>
            <w:tcMar>
              <w:top w:w="80" w:type="dxa"/>
              <w:start w:w="120" w:type="dxa"/>
              <w:bottom w:w="80" w:type="dxa"/>
              <w:end w:w="120" w:type="dxa"/>
            </w:tcMar>
          </w:tcPr>
          <w:p>
            <w:pPr>
              <w:spacing w:after="0"/>
            </w:pPr>
            <w:r>
              <w:rPr>
                <w:sz w:val="17"/>
              </w:rPr>
              <w:t>Strong “100% compensation” differentiation and callback journey</w:t>
            </w:r>
          </w:p>
        </w:tc>
        <w:tc>
          <w:tcPr>
            <w:tcW w:type="dxa" w:w="1656"/>
            <w:vAlign w:val="center"/>
            <w:tcMar>
              <w:top w:w="80" w:type="dxa"/>
              <w:start w:w="120" w:type="dxa"/>
              <w:bottom w:w="80" w:type="dxa"/>
              <w:end w:w="120" w:type="dxa"/>
            </w:tcMar>
          </w:tcPr>
          <w:p>
            <w:pPr>
              <w:spacing w:after="0"/>
            </w:pPr>
            <w:r>
              <w:rPr>
                <w:sz w:val="17"/>
              </w:rPr>
              <w:t>Aggressive guarantees/comparisons create evidential/compliance questions</w:t>
            </w:r>
          </w:p>
        </w:tc>
        <w:tc>
          <w:tcPr>
            <w:tcW w:type="dxa" w:w="2232"/>
            <w:vAlign w:val="center"/>
            <w:tcMar>
              <w:top w:w="80" w:type="dxa"/>
              <w:start w:w="120" w:type="dxa"/>
              <w:bottom w:w="80" w:type="dxa"/>
              <w:end w:w="120" w:type="dxa"/>
            </w:tcMar>
          </w:tcPr>
          <w:p>
            <w:pPr>
              <w:spacing w:after="0"/>
            </w:pPr>
            <w:r>
              <w:rPr>
                <w:sz w:val="17"/>
              </w:rPr>
              <w:t>Differentiate through balanced, verifiable explanation rather than superlatives</w:t>
            </w:r>
          </w:p>
        </w:tc>
      </w:tr>
      <w:tr>
        <w:tc>
          <w:tcPr>
            <w:tcW w:type="dxa" w:w="792"/>
            <w:vAlign w:val="center"/>
            <w:tcMar>
              <w:top w:w="80" w:type="dxa"/>
              <w:start w:w="120" w:type="dxa"/>
              <w:bottom w:w="80" w:type="dxa"/>
              <w:end w:w="120" w:type="dxa"/>
            </w:tcMar>
          </w:tcPr>
          <w:p>
            <w:pPr>
              <w:spacing w:after="0"/>
            </w:pPr>
            <w:r>
              <w:rPr>
                <w:sz w:val="17"/>
              </w:rPr>
              <w:t>ACS Accident Claims Scotland, accidentclaimsscotland.co.uk</w:t>
            </w:r>
          </w:p>
        </w:tc>
        <w:tc>
          <w:tcPr>
            <w:tcW w:type="dxa" w:w="4680"/>
            <w:vAlign w:val="center"/>
            <w:tcMar>
              <w:top w:w="80" w:type="dxa"/>
              <w:start w:w="120" w:type="dxa"/>
              <w:bottom w:w="80" w:type="dxa"/>
              <w:end w:w="120" w:type="dxa"/>
            </w:tcMar>
          </w:tcPr>
          <w:p>
            <w:pPr>
              <w:spacing w:after="0"/>
            </w:pPr>
            <w:r>
              <w:rPr>
                <w:sz w:val="17"/>
              </w:rPr>
              <w:t>Exact-match brand history and focused PI categories</w:t>
            </w:r>
          </w:p>
        </w:tc>
        <w:tc>
          <w:tcPr>
            <w:tcW w:type="dxa" w:w="1656"/>
            <w:vAlign w:val="center"/>
            <w:tcMar>
              <w:top w:w="80" w:type="dxa"/>
              <w:start w:w="120" w:type="dxa"/>
              <w:bottom w:w="80" w:type="dxa"/>
              <w:end w:w="120" w:type="dxa"/>
            </w:tcMar>
          </w:tcPr>
          <w:p>
            <w:pPr>
              <w:spacing w:after="0"/>
            </w:pPr>
            <w:r>
              <w:rPr>
                <w:sz w:val="17"/>
              </w:rPr>
              <w:t>Potentially dated/generic presentation</w:t>
            </w:r>
          </w:p>
        </w:tc>
        <w:tc>
          <w:tcPr>
            <w:tcW w:type="dxa" w:w="2232"/>
            <w:vAlign w:val="center"/>
            <w:tcMar>
              <w:top w:w="80" w:type="dxa"/>
              <w:start w:w="120" w:type="dxa"/>
              <w:bottom w:w="80" w:type="dxa"/>
              <w:end w:w="120" w:type="dxa"/>
            </w:tcMar>
          </w:tcPr>
          <w:p>
            <w:pPr>
              <w:spacing w:after="0"/>
            </w:pPr>
            <w:r>
              <w:rPr>
                <w:sz w:val="17"/>
              </w:rPr>
              <w:t>Avoid brand confusion; make legal entity and domain unmistakable</w:t>
            </w:r>
          </w:p>
        </w:tc>
      </w:tr>
      <w:tr>
        <w:tc>
          <w:tcPr>
            <w:tcW w:type="dxa" w:w="792"/>
            <w:vAlign w:val="center"/>
            <w:tcMar>
              <w:top w:w="80" w:type="dxa"/>
              <w:start w:w="120" w:type="dxa"/>
              <w:bottom w:w="80" w:type="dxa"/>
              <w:end w:w="120" w:type="dxa"/>
            </w:tcMar>
          </w:tcPr>
          <w:p>
            <w:pPr>
              <w:spacing w:after="0"/>
            </w:pPr>
            <w:r>
              <w:rPr>
                <w:sz w:val="17"/>
              </w:rPr>
              <w:t>Scottish Accident, scottishaccident.co.uk</w:t>
            </w:r>
          </w:p>
        </w:tc>
        <w:tc>
          <w:tcPr>
            <w:tcW w:type="dxa" w:w="4680"/>
            <w:vAlign w:val="center"/>
            <w:tcMar>
              <w:top w:w="80" w:type="dxa"/>
              <w:start w:w="120" w:type="dxa"/>
              <w:bottom w:w="80" w:type="dxa"/>
              <w:end w:w="120" w:type="dxa"/>
            </w:tcMar>
          </w:tcPr>
          <w:p>
            <w:pPr>
              <w:spacing w:after="0"/>
            </w:pPr>
            <w:r>
              <w:rPr>
                <w:sz w:val="17"/>
              </w:rPr>
              <w:t>Multilingual intake, clear registered/FCA identity, end-to-end accident-management proposition</w:t>
            </w:r>
          </w:p>
        </w:tc>
        <w:tc>
          <w:tcPr>
            <w:tcW w:type="dxa" w:w="1656"/>
            <w:vAlign w:val="center"/>
            <w:tcMar>
              <w:top w:w="80" w:type="dxa"/>
              <w:start w:w="120" w:type="dxa"/>
              <w:bottom w:w="80" w:type="dxa"/>
              <w:end w:w="120" w:type="dxa"/>
            </w:tcMar>
          </w:tcPr>
          <w:p>
            <w:pPr>
              <w:spacing w:after="0"/>
            </w:pPr>
            <w:r>
              <w:rPr>
                <w:sz w:val="17"/>
              </w:rPr>
              <w:t>Claims-management/referral model differs from a solicitor practice</w:t>
            </w:r>
          </w:p>
        </w:tc>
        <w:tc>
          <w:tcPr>
            <w:tcW w:type="dxa" w:w="2232"/>
            <w:vAlign w:val="center"/>
            <w:tcMar>
              <w:top w:w="80" w:type="dxa"/>
              <w:start w:w="120" w:type="dxa"/>
              <w:bottom w:w="80" w:type="dxa"/>
              <w:end w:w="120" w:type="dxa"/>
            </w:tcMar>
          </w:tcPr>
          <w:p>
            <w:pPr>
              <w:spacing w:after="0"/>
            </w:pPr>
            <w:r>
              <w:rPr>
                <w:sz w:val="17"/>
              </w:rPr>
              <w:t>State model as clearly; accessible multilingual service is a real differentiator if operationally supported</w:t>
            </w:r>
          </w:p>
        </w:tc>
      </w:tr>
      <w:tr>
        <w:tc>
          <w:tcPr>
            <w:tcW w:type="dxa" w:w="792"/>
            <w:vAlign w:val="center"/>
            <w:tcMar>
              <w:top w:w="80" w:type="dxa"/>
              <w:start w:w="120" w:type="dxa"/>
              <w:bottom w:w="80" w:type="dxa"/>
              <w:end w:w="120" w:type="dxa"/>
            </w:tcMar>
          </w:tcPr>
          <w:p>
            <w:pPr>
              <w:spacing w:after="0"/>
            </w:pPr>
            <w:r>
              <w:rPr>
                <w:sz w:val="17"/>
              </w:rPr>
              <w:t>Stewart Legal, stewartlegal.co.uk</w:t>
            </w:r>
          </w:p>
        </w:tc>
        <w:tc>
          <w:tcPr>
            <w:tcW w:type="dxa" w:w="4680"/>
            <w:vAlign w:val="center"/>
            <w:tcMar>
              <w:top w:w="80" w:type="dxa"/>
              <w:start w:w="120" w:type="dxa"/>
              <w:bottom w:w="80" w:type="dxa"/>
              <w:end w:w="120" w:type="dxa"/>
            </w:tcMar>
          </w:tcPr>
          <w:p>
            <w:pPr>
              <w:spacing w:after="0"/>
            </w:pPr>
            <w:r>
              <w:rPr>
                <w:sz w:val="17"/>
              </w:rPr>
              <w:t>Named specialist/solicitor-advocate positioning, broad Scottish PI scope</w:t>
            </w:r>
          </w:p>
        </w:tc>
        <w:tc>
          <w:tcPr>
            <w:tcW w:type="dxa" w:w="1656"/>
            <w:vAlign w:val="center"/>
            <w:tcMar>
              <w:top w:w="80" w:type="dxa"/>
              <w:start w:w="120" w:type="dxa"/>
              <w:bottom w:w="80" w:type="dxa"/>
              <w:end w:w="120" w:type="dxa"/>
            </w:tcMar>
          </w:tcPr>
          <w:p>
            <w:pPr>
              <w:spacing w:after="0"/>
            </w:pPr>
            <w:r>
              <w:rPr>
                <w:sz w:val="17"/>
              </w:rPr>
              <w:t>Broad scope still requires deep topic support</w:t>
            </w:r>
          </w:p>
        </w:tc>
        <w:tc>
          <w:tcPr>
            <w:tcW w:type="dxa" w:w="2232"/>
            <w:vAlign w:val="center"/>
            <w:tcMar>
              <w:top w:w="80" w:type="dxa"/>
              <w:start w:w="120" w:type="dxa"/>
              <w:bottom w:w="80" w:type="dxa"/>
              <w:end w:w="120" w:type="dxa"/>
            </w:tcMar>
          </w:tcPr>
          <w:p>
            <w:pPr>
              <w:spacing w:after="0"/>
            </w:pPr>
            <w:r>
              <w:rPr>
                <w:sz w:val="17"/>
              </w:rPr>
              <w:t>Named expertise is more persuasive than anonymous “specialists”</w:t>
            </w:r>
          </w:p>
        </w:tc>
      </w:tr>
      <w:tr>
        <w:tc>
          <w:tcPr>
            <w:tcW w:type="dxa" w:w="792"/>
            <w:vAlign w:val="center"/>
            <w:tcMar>
              <w:top w:w="80" w:type="dxa"/>
              <w:start w:w="120" w:type="dxa"/>
              <w:bottom w:w="80" w:type="dxa"/>
              <w:end w:w="120" w:type="dxa"/>
            </w:tcMar>
          </w:tcPr>
          <w:p>
            <w:pPr>
              <w:spacing w:after="0"/>
            </w:pPr>
            <w:r>
              <w:rPr>
                <w:sz w:val="17"/>
              </w:rPr>
              <w:t>Gildeas, gildeas.net</w:t>
            </w:r>
          </w:p>
        </w:tc>
        <w:tc>
          <w:tcPr>
            <w:tcW w:type="dxa" w:w="4680"/>
            <w:vAlign w:val="center"/>
            <w:tcMar>
              <w:top w:w="80" w:type="dxa"/>
              <w:start w:w="120" w:type="dxa"/>
              <w:bottom w:w="80" w:type="dxa"/>
              <w:end w:w="120" w:type="dxa"/>
            </w:tcMar>
          </w:tcPr>
          <w:p>
            <w:pPr>
              <w:spacing w:after="0"/>
            </w:pPr>
            <w:r>
              <w:rPr>
                <w:sz w:val="17"/>
              </w:rPr>
              <w:t>Recognised Scottish firm, Law Society-accredited specialist claim, guide assets</w:t>
            </w:r>
          </w:p>
        </w:tc>
        <w:tc>
          <w:tcPr>
            <w:tcW w:type="dxa" w:w="1656"/>
            <w:vAlign w:val="center"/>
            <w:tcMar>
              <w:top w:w="80" w:type="dxa"/>
              <w:start w:w="120" w:type="dxa"/>
              <w:bottom w:w="80" w:type="dxa"/>
              <w:end w:w="120" w:type="dxa"/>
            </w:tcMar>
          </w:tcPr>
          <w:p>
            <w:pPr>
              <w:spacing w:after="0"/>
            </w:pPr>
            <w:r>
              <w:rPr>
                <w:sz w:val="17"/>
              </w:rPr>
              <w:t>Some publisher material may be less structured for answers</w:t>
            </w:r>
          </w:p>
        </w:tc>
        <w:tc>
          <w:tcPr>
            <w:tcW w:type="dxa" w:w="2232"/>
            <w:vAlign w:val="center"/>
            <w:tcMar>
              <w:top w:w="80" w:type="dxa"/>
              <w:start w:w="120" w:type="dxa"/>
              <w:bottom w:w="80" w:type="dxa"/>
              <w:end w:w="120" w:type="dxa"/>
            </w:tcMar>
          </w:tcPr>
          <w:p>
            <w:pPr>
              <w:spacing w:after="0"/>
            </w:pPr>
            <w:r>
              <w:rPr>
                <w:sz w:val="17"/>
              </w:rPr>
              <w:t>Build verifiable expert profiles and accessible HTML guides</w:t>
            </w:r>
          </w:p>
        </w:tc>
      </w:tr>
      <w:tr>
        <w:tc>
          <w:tcPr>
            <w:tcW w:type="dxa" w:w="792"/>
            <w:vAlign w:val="center"/>
            <w:tcMar>
              <w:top w:w="80" w:type="dxa"/>
              <w:start w:w="120" w:type="dxa"/>
              <w:bottom w:w="80" w:type="dxa"/>
              <w:end w:w="120" w:type="dxa"/>
            </w:tcMar>
          </w:tcPr>
          <w:p>
            <w:pPr>
              <w:spacing w:after="0"/>
            </w:pPr>
            <w:r>
              <w:rPr>
                <w:sz w:val="17"/>
              </w:rPr>
              <w:t>Slater and Gordon Scotland</w:t>
            </w:r>
          </w:p>
        </w:tc>
        <w:tc>
          <w:tcPr>
            <w:tcW w:type="dxa" w:w="4680"/>
            <w:vAlign w:val="center"/>
            <w:tcMar>
              <w:top w:w="80" w:type="dxa"/>
              <w:start w:w="120" w:type="dxa"/>
              <w:bottom w:w="80" w:type="dxa"/>
              <w:end w:w="120" w:type="dxa"/>
            </w:tcMar>
          </w:tcPr>
          <w:p>
            <w:pPr>
              <w:spacing w:after="0"/>
            </w:pPr>
            <w:r>
              <w:rPr>
                <w:sz w:val="17"/>
              </w:rPr>
              <w:t>Brand authority, detailed Scottish funding content</w:t>
            </w:r>
          </w:p>
        </w:tc>
        <w:tc>
          <w:tcPr>
            <w:tcW w:type="dxa" w:w="1656"/>
            <w:vAlign w:val="center"/>
            <w:tcMar>
              <w:top w:w="80" w:type="dxa"/>
              <w:start w:w="120" w:type="dxa"/>
              <w:bottom w:w="80" w:type="dxa"/>
              <w:end w:w="120" w:type="dxa"/>
            </w:tcMar>
          </w:tcPr>
          <w:p>
            <w:pPr>
              <w:spacing w:after="0"/>
            </w:pPr>
            <w:r>
              <w:rPr>
                <w:sz w:val="17"/>
              </w:rPr>
              <w:t>National brand may feel less locally specific</w:t>
            </w:r>
          </w:p>
        </w:tc>
        <w:tc>
          <w:tcPr>
            <w:tcW w:type="dxa" w:w="2232"/>
            <w:vAlign w:val="center"/>
            <w:tcMar>
              <w:top w:w="80" w:type="dxa"/>
              <w:start w:w="120" w:type="dxa"/>
              <w:bottom w:w="80" w:type="dxa"/>
              <w:end w:w="120" w:type="dxa"/>
            </w:tcMar>
          </w:tcPr>
          <w:p>
            <w:pPr>
              <w:spacing w:after="0"/>
            </w:pPr>
            <w:r>
              <w:rPr>
                <w:sz w:val="17"/>
              </w:rPr>
              <w:t>Win on precise Scots-law explanations and transparent local responsibility</w:t>
            </w:r>
          </w:p>
        </w:tc>
      </w:tr>
      <w:tr>
        <w:tc>
          <w:tcPr>
            <w:tcW w:type="dxa" w:w="792"/>
            <w:vAlign w:val="center"/>
            <w:tcMar>
              <w:top w:w="80" w:type="dxa"/>
              <w:start w:w="120" w:type="dxa"/>
              <w:bottom w:w="80" w:type="dxa"/>
              <w:end w:w="120" w:type="dxa"/>
            </w:tcMar>
          </w:tcPr>
          <w:p>
            <w:pPr>
              <w:spacing w:after="0"/>
            </w:pPr>
            <w:r>
              <w:rPr>
                <w:sz w:val="17"/>
              </w:rPr>
              <w:t>SCTS/GOV.UK/HSE/NHS/legislation.gov.uk</w:t>
            </w:r>
          </w:p>
        </w:tc>
        <w:tc>
          <w:tcPr>
            <w:tcW w:type="dxa" w:w="4680"/>
            <w:vAlign w:val="center"/>
            <w:tcMar>
              <w:top w:w="80" w:type="dxa"/>
              <w:start w:w="120" w:type="dxa"/>
              <w:bottom w:w="80" w:type="dxa"/>
              <w:end w:w="120" w:type="dxa"/>
            </w:tcMar>
          </w:tcPr>
          <w:p>
            <w:pPr>
              <w:spacing w:after="0"/>
            </w:pPr>
            <w:r>
              <w:rPr>
                <w:sz w:val="17"/>
              </w:rPr>
              <w:t>Primary authority and high citation trust</w:t>
            </w:r>
          </w:p>
        </w:tc>
        <w:tc>
          <w:tcPr>
            <w:tcW w:type="dxa" w:w="1656"/>
            <w:vAlign w:val="center"/>
            <w:tcMar>
              <w:top w:w="80" w:type="dxa"/>
              <w:start w:w="120" w:type="dxa"/>
              <w:bottom w:w="80" w:type="dxa"/>
              <w:end w:w="120" w:type="dxa"/>
            </w:tcMar>
          </w:tcPr>
          <w:p>
            <w:pPr>
              <w:spacing w:after="0"/>
            </w:pPr>
            <w:r>
              <w:rPr>
                <w:sz w:val="17"/>
              </w:rPr>
              <w:t>Not commercial or personalised</w:t>
            </w:r>
          </w:p>
        </w:tc>
        <w:tc>
          <w:tcPr>
            <w:tcW w:type="dxa" w:w="2232"/>
            <w:vAlign w:val="center"/>
            <w:tcMar>
              <w:top w:w="80" w:type="dxa"/>
              <w:start w:w="120" w:type="dxa"/>
              <w:bottom w:w="80" w:type="dxa"/>
              <w:end w:w="120" w:type="dxa"/>
            </w:tcMar>
          </w:tcPr>
          <w:p>
            <w:pPr>
              <w:spacing w:after="0"/>
            </w:pPr>
            <w:r>
              <w:rPr>
                <w:sz w:val="17"/>
              </w:rPr>
              <w:t>Cite them; add plain-English decision support they do not provide</w:t>
            </w:r>
          </w:p>
        </w:tc>
      </w:tr>
    </w:tbl>
    <w:p>
      <w:pPr>
        <w:spacing w:after="0"/>
      </w:pPr>
    </w:p>
    <w:p>
      <w:r>
        <w:t>Backlink strength, traffic and conversion cannot be inferred from SERPs. Use licensed backlink data and analytics before claiming a gap.</w:t>
      </w:r>
    </w:p>
    <w:p>
      <w:pPr>
        <w:pStyle w:val="Heading2"/>
      </w:pPr>
      <w:r>
        <w:t>10. Legal accuracy and authoritative-source review</w:t>
      </w:r>
    </w:p>
    <w:p>
      <w:pPr>
        <w:pStyle w:val="Heading3"/>
      </w:pPr>
      <w:r>
        <w:t>Limitation</w:t>
      </w:r>
    </w:p>
    <w:p>
      <w:r>
        <w:t>The key source is the Prescription and Limitation (Scotland) Act 1973 — https://www.legislation.gov.uk/ukpga/1973/52/contents. The site should explain that section 17 generally bars an action for personal injuries unless proceedings are brought within the statutory period calculated under the section, including the relevant date-of-knowledge provisions. It should identify the statutory knowledge facts accurately, not reduce them to “discovering negligence”. Section 19A gives the court equitable discretion to allow an otherwise time-barred personal-injury action, but exercise is case-specific and never guaranteed. Children, incapacity, death, disease, abuse, product liability, accidents abroad and CICA require separate analysis.</w:t>
      </w:r>
    </w:p>
    <w:p>
      <w:r>
        <w:t xml:space="preserve">Use “limitation” for the personal-injury triennium and avoid casually calling it a “prescriptive period”. Most importantly, </w:t>
      </w:r>
      <w:r>
        <w:rPr>
          <w:b/>
        </w:rPr>
        <w:t>contacting a solicitor or submitting this form is not the same as raising court proceedings</w:t>
      </w:r>
      <w:r>
        <w:t>.</w:t>
      </w:r>
    </w:p>
    <w:p>
      <w:pPr>
        <w:pStyle w:val="Heading3"/>
      </w:pPr>
      <w:r>
        <w:t>CICA</w:t>
      </w:r>
    </w:p>
    <w:p>
      <w:r>
        <w:t>The official CICA guide — https://www.gov.uk/guidance/criminal-injuries-compensation-a-guide says adult applications should normally be made as soon as reasonably practicable and not later than two years after the incident, with distinct provisions for applicants who were under 18 and limited extension conditions. Eligibility and awards come from the 2012 Scheme/tariff. This is not an ordinary negligence action and must not inherit the sitewide three-year wording.</w:t>
      </w:r>
    </w:p>
    <w:p>
      <w:pPr>
        <w:pStyle w:val="Heading3"/>
      </w:pPr>
      <w:r>
        <w:t>Court process</w:t>
      </w:r>
    </w:p>
    <w:p>
      <w:r>
        <w:t>The Scottish Courts and Tribunals Service National Personal Injury Court page — https://scotcourts.gov.uk/courts-and-tribunals/sheriff-and-justice-of-the-peace-courts/national-personal-injury-court/ confirms an all-Scotland specialist sheriff court. Do not imply every claim is brought there or that the user will never attend court. Explain that forum/procedure depends on the case and that many claims settle without a proof/trial.</w:t>
      </w:r>
    </w:p>
    <w:p>
      <w:pPr>
        <w:pStyle w:val="Heading3"/>
      </w:pPr>
      <w:r>
        <w:t>Funding</w:t>
      </w:r>
    </w:p>
    <w:p>
      <w:r>
        <w:t>The site must publish the actual Scottish funding arrangement, not a generic “no win no fee” slogan. Have a Scottish solicitor check the Civil Litigation (Expenses and Group Proceedings) (Scotland) Act 2018 framework and applicable success-fee regulations/current professional guidance. Explain:</w:t>
      </w:r>
    </w:p>
    <w:p>
      <w:pPr>
        <w:pStyle w:val="ListBullet"/>
      </w:pPr>
      <w:r>
        <w:t>what agreement the client signs;</w:t>
      </w:r>
    </w:p>
    <w:p>
      <w:pPr>
        <w:pStyle w:val="ListBullet"/>
      </w:pPr>
      <w:r>
        <w:t>whether the percentage includes VAT;</w:t>
      </w:r>
    </w:p>
    <w:p>
      <w:pPr>
        <w:pStyle w:val="ListBullet"/>
      </w:pPr>
      <w:r>
        <w:t>which damages form the calculation base and any statutory cap;</w:t>
      </w:r>
    </w:p>
    <w:p>
      <w:pPr>
        <w:pStyle w:val="ListBullet"/>
      </w:pPr>
      <w:r>
        <w:t>treatment of future damages;</w:t>
      </w:r>
    </w:p>
    <w:p>
      <w:pPr>
        <w:pStyle w:val="ListBullet"/>
      </w:pPr>
      <w:r>
        <w:t>outlays and after-the-event insurance;</w:t>
      </w:r>
    </w:p>
    <w:p>
      <w:pPr>
        <w:pStyle w:val="ListBullet"/>
      </w:pPr>
      <w:r>
        <w:t>adverse expenses/QOCS limits and exceptions;</w:t>
      </w:r>
    </w:p>
    <w:p>
      <w:pPr>
        <w:pStyle w:val="ListBullet"/>
      </w:pPr>
      <w:r>
        <w:t>early termination, rejection of advice, dishonesty or non-cooperation;</w:t>
      </w:r>
    </w:p>
    <w:p>
      <w:pPr>
        <w:pStyle w:val="ListBullet"/>
      </w:pPr>
      <w:r>
        <w:t>who receives recovered judicial expenses.</w:t>
      </w:r>
    </w:p>
    <w:p>
      <w:pPr>
        <w:pStyle w:val="Heading3"/>
      </w:pPr>
      <w:r>
        <w:t>Privacy/marketing</w:t>
      </w:r>
    </w:p>
    <w:p>
      <w:r>
        <w:t>The enquiry is likely to contain health information. The controller/processor/referral chain, lawful basis, special-category condition, retention, international transfers and data-subject rights need specific review. Cookie consent is required before non-essential storage/access under PECR; a static cookie policy is not a consent mechanism. Claims-management marketing may also engage FCA rules depending on the operator/model. See the ICO cookies guidance — https://ico.org.uk/for-organisations/direct-marketing-and-privacy-and-electronic-communications/guide-to-pecr/cookies-and-similar-technologies/ and ASA/CAP claims-management guidance — https://www.asa.org.uk/advice-online/litigation-claims-management.html.</w:t>
      </w:r>
    </w:p>
    <w:p>
      <w:pPr>
        <w:pStyle w:val="Heading2"/>
      </w:pPr>
      <w:r>
        <w:t>11. Schema plan</w:t>
      </w:r>
    </w:p>
    <w:p>
      <w:pPr>
        <w:pStyle w:val="Heading3"/>
      </w:pPr>
      <w:r>
        <w:t>Use after verification</w:t>
      </w:r>
    </w:p>
    <w:p>
      <w:pPr>
        <w:pStyle w:val="ListBullet"/>
      </w:pPr>
      <w:r>
        <w:t xml:space="preserve">Sitewide: </w:t>
      </w:r>
      <w:r>
        <w:rPr>
          <w:rFonts w:ascii="Consolas" w:hAnsi="Consolas"/>
          <w:sz w:val="19"/>
        </w:rPr>
        <w:t>Organization</w:t>
      </w:r>
      <w:r>
        <w:t xml:space="preserve"> (or </w:t>
      </w:r>
      <w:r>
        <w:rPr>
          <w:rFonts w:ascii="Consolas" w:hAnsi="Consolas"/>
          <w:sz w:val="19"/>
        </w:rPr>
        <w:t>LegalService</w:t>
      </w:r>
      <w:r>
        <w:t xml:space="preserve"> only when the operator really is the regulated provider), </w:t>
      </w:r>
      <w:r>
        <w:rPr>
          <w:rFonts w:ascii="Consolas" w:hAnsi="Consolas"/>
          <w:sz w:val="19"/>
        </w:rPr>
        <w:t>WebSite</w:t>
      </w:r>
      <w:r>
        <w:t>.</w:t>
      </w:r>
    </w:p>
    <w:p>
      <w:pPr>
        <w:pStyle w:val="ListBullet"/>
      </w:pPr>
      <w:r>
        <w:t xml:space="preserve">Service page: </w:t>
      </w:r>
      <w:r>
        <w:rPr>
          <w:rFonts w:ascii="Consolas" w:hAnsi="Consolas"/>
          <w:sz w:val="19"/>
        </w:rPr>
        <w:t>WebPage</w:t>
      </w:r>
      <w:r>
        <w:t xml:space="preserve"> + </w:t>
      </w:r>
      <w:r>
        <w:rPr>
          <w:rFonts w:ascii="Consolas" w:hAnsi="Consolas"/>
          <w:sz w:val="19"/>
        </w:rPr>
        <w:t>Service</w:t>
      </w:r>
      <w:r>
        <w:t xml:space="preserve">, </w:t>
      </w:r>
      <w:r>
        <w:rPr>
          <w:rFonts w:ascii="Consolas" w:hAnsi="Consolas"/>
          <w:sz w:val="19"/>
        </w:rPr>
        <w:t>isPartOf</w:t>
      </w:r>
      <w:r>
        <w:t xml:space="preserve">, </w:t>
      </w:r>
      <w:r>
        <w:rPr>
          <w:rFonts w:ascii="Consolas" w:hAnsi="Consolas"/>
          <w:sz w:val="19"/>
        </w:rPr>
        <w:t>provider</w:t>
      </w:r>
      <w:r>
        <w:t xml:space="preserve"> pointing to one verified organisation ID.</w:t>
      </w:r>
    </w:p>
    <w:p>
      <w:pPr>
        <w:pStyle w:val="ListBullet"/>
      </w:pPr>
      <w:r>
        <w:t xml:space="preserve">Article: </w:t>
      </w:r>
      <w:r>
        <w:rPr>
          <w:rFonts w:ascii="Consolas" w:hAnsi="Consolas"/>
          <w:sz w:val="19"/>
        </w:rPr>
        <w:t>Article</w:t>
      </w:r>
      <w:r>
        <w:t xml:space="preserve"> with real </w:t>
      </w:r>
      <w:r>
        <w:rPr>
          <w:rFonts w:ascii="Consolas" w:hAnsi="Consolas"/>
          <w:sz w:val="19"/>
        </w:rPr>
        <w:t>Person</w:t>
      </w:r>
      <w:r>
        <w:t xml:space="preserve"> author/reviewer, actual dates and publisher.</w:t>
      </w:r>
    </w:p>
    <w:p>
      <w:pPr>
        <w:pStyle w:val="ListBullet"/>
      </w:pPr>
      <w:r>
        <w:t xml:space="preserve">Breadcrumbs: </w:t>
      </w:r>
      <w:r>
        <w:rPr>
          <w:rFonts w:ascii="Consolas" w:hAnsi="Consolas"/>
          <w:sz w:val="19"/>
        </w:rPr>
        <w:t>BreadcrumbList</w:t>
      </w:r>
      <w:r>
        <w:t>.</w:t>
      </w:r>
    </w:p>
    <w:p>
      <w:pPr>
        <w:pStyle w:val="ListBullet"/>
      </w:pPr>
      <w:r>
        <w:t xml:space="preserve">FAQs: </w:t>
      </w:r>
      <w:r>
        <w:rPr>
          <w:rFonts w:ascii="Consolas" w:hAnsi="Consolas"/>
          <w:sz w:val="19"/>
        </w:rPr>
        <w:t>FAQPage</w:t>
      </w:r>
      <w:r>
        <w:t xml:space="preserve"> only for visible, non-repetitive questions; do not expect Google rich results.</w:t>
      </w:r>
    </w:p>
    <w:p>
      <w:pPr>
        <w:pStyle w:val="ListBullet"/>
      </w:pPr>
      <w:r>
        <w:t xml:space="preserve">City page: </w:t>
      </w:r>
      <w:r>
        <w:rPr>
          <w:rFonts w:ascii="Consolas" w:hAnsi="Consolas"/>
          <w:sz w:val="19"/>
        </w:rPr>
        <w:t>WebPage</w:t>
      </w:r>
      <w:r>
        <w:t>/</w:t>
      </w:r>
      <w:r>
        <w:rPr>
          <w:rFonts w:ascii="Consolas" w:hAnsi="Consolas"/>
          <w:sz w:val="19"/>
        </w:rPr>
        <w:t>Service.areaServed</w:t>
      </w:r>
      <w:r>
        <w:t xml:space="preserve">; no </w:t>
      </w:r>
      <w:r>
        <w:rPr>
          <w:rFonts w:ascii="Consolas" w:hAnsi="Consolas"/>
          <w:sz w:val="19"/>
        </w:rPr>
        <w:t>LocalBusiness</w:t>
      </w:r>
      <w:r>
        <w:t xml:space="preserve"> or local address unless a genuine location operates there.</w:t>
      </w:r>
    </w:p>
    <w:p>
      <w:pPr>
        <w:pStyle w:val="Heading3"/>
      </w:pPr>
      <w:r>
        <w:t>Verified-value template</w:t>
      </w:r>
    </w:p>
    <w:p>
      <w:r>
        <w:rPr>
          <w:rFonts w:ascii="Consolas" w:hAnsi="Consolas"/>
          <w:sz w:val="19"/>
        </w:rPr>
      </w:r>
      <w:r>
        <w:t>`json</w:t>
      </w:r>
    </w:p>
    <w:p>
      <w:r>
        <w:t>{</w:t>
      </w:r>
    </w:p>
    <w:p>
      <w:r>
        <w:t xml:space="preserve">  "@context": "https://schema.org",</w:t>
      </w:r>
    </w:p>
    <w:p>
      <w:r>
        <w:t xml:space="preserve">  "@graph": [</w:t>
      </w:r>
    </w:p>
    <w:p>
      <w:r>
        <w:t xml:space="preserve">    {</w:t>
      </w:r>
    </w:p>
    <w:p>
      <w:r>
        <w:t xml:space="preserve">      "@type": "Organization",</w:t>
      </w:r>
    </w:p>
    <w:p>
      <w:r>
        <w:t xml:space="preserve">      "@id": "https://www.accident-claims-scotland.com/#organization",</w:t>
      </w:r>
    </w:p>
    <w:p>
      <w:r>
        <w:t xml:space="preserve">      "name": "REPLACE WITH VERIFIED LEGAL NAME",</w:t>
      </w:r>
    </w:p>
    <w:p>
      <w:r>
        <w:t xml:space="preserve">      "alternateName": "Accident Claims Scotland",</w:t>
      </w:r>
    </w:p>
    <w:p>
      <w:r>
        <w:t xml:space="preserve">      "url": "https://www.accident-claims-scotland.com/",</w:t>
      </w:r>
    </w:p>
    <w:p>
      <w:r>
        <w:t xml:space="preserve">      "telephone": "REPLACE WITH VERIFIED VALUE",</w:t>
      </w:r>
    </w:p>
    <w:p>
      <w:r>
        <w:t xml:space="preserve">      "email": "REPLACE WITH VERIFIED VALUE",</w:t>
      </w:r>
    </w:p>
    <w:p>
      <w:r>
        <w:t xml:space="preserve">      "address": {</w:t>
      </w:r>
    </w:p>
    <w:p>
      <w:r>
        <w:t xml:space="preserve">        "@type": "PostalAddress",</w:t>
      </w:r>
    </w:p>
    <w:p>
      <w:r>
        <w:t xml:space="preserve">        "streetAddress": "REPLACE WITH VERIFIED VALUE",</w:t>
      </w:r>
    </w:p>
    <w:p>
      <w:r>
        <w:t xml:space="preserve">        "addressLocality": "REPLACE WITH VERIFIED VALUE",</w:t>
      </w:r>
    </w:p>
    <w:p>
      <w:r>
        <w:t xml:space="preserve">        "postalCode": "REPLACE WITH VERIFIED VALUE",</w:t>
      </w:r>
    </w:p>
    <w:p>
      <w:r>
        <w:t xml:space="preserve">        "addressCountry": "GB"</w:t>
      </w:r>
    </w:p>
    <w:p>
      <w:r>
        <w:t xml:space="preserve">      },</w:t>
      </w:r>
    </w:p>
    <w:p>
      <w:r>
        <w:t xml:space="preserve">      "sameAs": [</w:t>
      </w:r>
    </w:p>
    <w:p>
      <w:r>
        <w:t xml:space="preserve">        "REPLACE WITH VERIFIED REGULATOR OR OFFICIAL PROFILE URL"</w:t>
      </w:r>
    </w:p>
    <w:p>
      <w:r>
        <w:t xml:space="preserve">      ]</w:t>
      </w:r>
    </w:p>
    <w:p>
      <w:r>
        <w:t xml:space="preserve">    },</w:t>
      </w:r>
    </w:p>
    <w:p>
      <w:r>
        <w:t xml:space="preserve">    {</w:t>
      </w:r>
    </w:p>
    <w:p>
      <w:r>
        <w:t xml:space="preserve">      "@type": "WebSite",</w:t>
      </w:r>
    </w:p>
    <w:p>
      <w:r>
        <w:t xml:space="preserve">      "@id": "https://www.accident-claims-scotland.com/#website",</w:t>
      </w:r>
    </w:p>
    <w:p>
      <w:r>
        <w:t xml:space="preserve">      "url": "https://www.accident-claims-scotland.com/",</w:t>
      </w:r>
    </w:p>
    <w:p>
      <w:r>
        <w:t xml:space="preserve">      "name": "Accident Claims Scotland",</w:t>
      </w:r>
    </w:p>
    <w:p>
      <w:r>
        <w:t xml:space="preserve">      "publisher": {</w:t>
      </w:r>
    </w:p>
    <w:p>
      <w:r>
        <w:t xml:space="preserve">        "@id": "https://www.accident-claims-scotland.com/#organization"</w:t>
      </w:r>
    </w:p>
    <w:p>
      <w:r>
        <w:t xml:space="preserve">      }</w:t>
      </w:r>
    </w:p>
    <w:p>
      <w:r>
        <w:t xml:space="preserve">    }</w:t>
      </w:r>
    </w:p>
    <w:p>
      <w:r>
        <w:t xml:space="preserve">  ]</w:t>
      </w:r>
    </w:p>
    <w:p>
      <w:r>
        <w:t>}</w:t>
      </w:r>
    </w:p>
    <w:p>
      <w:r>
        <w:rPr>
          <w:rFonts w:ascii="Consolas" w:hAnsi="Consolas"/>
          <w:sz w:val="19"/>
        </w:rPr>
      </w:r>
      <w:r>
        <w:rPr>
          <w:rFonts w:ascii="Consolas" w:hAnsi="Consolas"/>
          <w:sz w:val="19"/>
        </w:rPr>
      </w:r>
    </w:p>
    <w:p>
      <w:r>
        <w:t>If the website operator and legal provider differ, model both as separate organisations and state the relationship visibly; do not collapse them into one entity.</w:t>
      </w:r>
    </w:p>
    <w:p>
      <w:pPr>
        <w:pStyle w:val="Heading2"/>
      </w:pPr>
      <w:r>
        <w:t>12. Reusable AI-search-friendly answer blocks</w:t>
      </w:r>
    </w:p>
    <w:p>
      <w:r>
        <w:t>These are editorial starting points, not approved legal text.</w:t>
      </w:r>
    </w:p>
    <w:p>
      <w:r>
        <w:rPr>
          <w:b/>
        </w:rPr>
        <w:t>What is a personal-injury claim in Scotland?</w:t>
      </w:r>
    </w:p>
    <w:p>
      <w:r>
        <w:t>A personal-injury claim is a civil claim seeking damages for injury and related loss caused by another person or organisation’s legally actionable fault. A claimant generally needs evidence of fault, causation and loss. Different rules may apply to criminal injuries, workplace schemes, clinical negligence and cross-border cases. Source: Prescription and Limitation (Scotland) Act 1973 and specialist Scottish advice.</w:t>
      </w:r>
    </w:p>
    <w:p>
      <w:r>
        <w:rPr>
          <w:b/>
        </w:rPr>
        <w:t>Can I make an accident claim in Scotland?</w:t>
      </w:r>
    </w:p>
    <w:p>
      <w:r>
        <w:t>You may be able to claim if Scots law applies, another party was legally at fault, that fault caused injury and loss, and court proceedings can still be raised in time. Shared fault does not always prevent a claim, but may reduce damages. Eligibility depends on the facts and evidence.</w:t>
      </w:r>
    </w:p>
    <w:p>
      <w:r>
        <w:rPr>
          <w:b/>
        </w:rPr>
        <w:t>Who may be eligible?</w:t>
      </w:r>
    </w:p>
    <w:p>
      <w:r>
        <w:t>An injured adult, a child acting through an appropriate representative, or in some circumstances relatives or an executor after a death may have a claim. The correct claimant, procedure and time limit depend on the circumstances, so specialist advice is important.</w:t>
      </w:r>
    </w:p>
    <w:p>
      <w:r>
        <w:rPr>
          <w:b/>
        </w:rPr>
        <w:t>What if I was partly at fault?</w:t>
      </w:r>
    </w:p>
    <w:p>
      <w:r>
        <w:t>A claim may still be possible. Under contributory-negligence principles, damages can be reduced to reflect the claimant’s share of responsibility. The percentage is evidence- and case-specific; it should not be predicted without examining the facts.</w:t>
      </w:r>
    </w:p>
    <w:p>
      <w:r>
        <w:rPr>
          <w:b/>
        </w:rPr>
        <w:t>What is the personal-injury time limit in Scotland?</w:t>
      </w:r>
    </w:p>
    <w:p>
      <w:r>
        <w:t>For many Scottish personal-injury actions, court proceedings generally must be raised within three years of the injury or a later statutory date of knowledge. The calculation and exceptions are fact-sensitive. Children, incapacity, death, disease, abuse, CICA and cross-border matters may differ. Contacting a solicitor alone does not raise proceedings. Source: 1973 Act, sections 17–19A.</w:t>
      </w:r>
    </w:p>
    <w:p>
      <w:r>
        <w:rPr>
          <w:b/>
        </w:rPr>
        <w:t>What does date of knowledge mean?</w:t>
      </w:r>
    </w:p>
    <w:p>
      <w:r>
        <w:t>Date of knowledge is a statutory concept used when relevant facts about the injury, its attribution and the defender were not known at the time. It is not automatically the date of diagnosis or the date someone was told “negligence occurred”. Actual and reasonably discoverable knowledge may matter. A Scottish solicitor should assess the evidence.</w:t>
      </w:r>
    </w:p>
    <w:p>
      <w:r>
        <w:rPr>
          <w:b/>
        </w:rPr>
        <w:t>What evidence will I need?</w:t>
      </w:r>
    </w:p>
    <w:p>
      <w:r>
        <w:t>Useful evidence can include medical records, accident reports, photographs, CCTV, witness details, correspondence, employment records and proof of financial loss. The evidence needed varies by claim. Preserve it promptly and avoid changing or overstating what happened.</w:t>
      </w:r>
    </w:p>
    <w:p>
      <w:r>
        <w:rPr>
          <w:b/>
        </w:rPr>
        <w:t>Will I need a medical examination?</w:t>
      </w:r>
    </w:p>
    <w:p>
      <w:r>
        <w:t>Often, medical evidence is needed to connect the accident with the injury and assess prognosis. A solicitor may arrange an independent examination by an appropriate expert. Whether one is needed, and what records are reviewed, depends on the claim.</w:t>
      </w:r>
    </w:p>
    <w:p>
      <w:r>
        <w:rPr>
          <w:b/>
        </w:rPr>
        <w:t>How much compensation might be available?</w:t>
      </w:r>
    </w:p>
    <w:p>
      <w:r>
        <w:t>There is no reliable figure without evidence. Scottish damages may include compensation for pain and suffering (often called solatium) and proved past or future financial losses such as earnings, care, treatment or travel. Severity, prognosis, causation and evidence all affect value.</w:t>
      </w:r>
    </w:p>
    <w:p>
      <w:r>
        <w:rPr>
          <w:b/>
        </w:rPr>
        <w:t>What losses can be included?</w:t>
      </w:r>
    </w:p>
    <w:p>
      <w:r>
        <w:t>Depending on the case, damages may cover solatium, lost earnings, care and assistance, treatment, travel, equipment, accommodation and future needs. Every item must be legally recoverable, caused by the wrong and supported by evidence; double recovery is not allowed.</w:t>
      </w:r>
    </w:p>
    <w:p>
      <w:r>
        <w:rPr>
          <w:b/>
        </w:rPr>
        <w:t>How long can a claim take?</w:t>
      </w:r>
    </w:p>
    <w:p>
      <w:r>
        <w:t>There is no fixed duration. A straightforward admitted-liability claim may resolve sooner than a serious-injury, clinical-negligence or disputed-liability case. Treatment, prognosis, expert evidence and court procedure can all affect timing. Do not settle before the evidence allows a responsible valuation.</w:t>
      </w:r>
    </w:p>
    <w:p>
      <w:r>
        <w:rPr>
          <w:b/>
        </w:rPr>
        <w:t>Will I have to go to court?</w:t>
      </w:r>
    </w:p>
    <w:p>
      <w:r>
        <w:t>Many claims settle without a proof or trial, but court proceedings may be needed to protect a time limit or resolve liability/value. Starting proceedings does not necessarily mean a final hearing. Your solicitor should explain the forum, risks and whether attendance may be required. Source: SCTS.</w:t>
      </w:r>
    </w:p>
    <w:p>
      <w:r>
        <w:rPr>
          <w:b/>
        </w:rPr>
        <w:t>How does no win no fee work in Scotland?</w:t>
      </w:r>
    </w:p>
    <w:p>
      <w:r>
        <w:t>“No win no fee” is a general label, not a complete price. The written agreement should explain what happens if the claim wins or loses, any success fee or deduction, VAT, outlays, insurance, adverse-expense risk and termination. Terms vary, so read the actual agreement before signing.</w:t>
      </w:r>
    </w:p>
    <w:p>
      <w:r>
        <w:rPr>
          <w:b/>
        </w:rPr>
        <w:t>Could fees or deductions apply?</w:t>
      </w:r>
    </w:p>
    <w:p>
      <w:r>
        <w:t>Yes, depending on the agreement. A success fee, VAT, insurance premium or unrecovered outlay may be relevant, while statutory caps and special treatment may apply to parts of damages. The provider should give a worked explanation based on its verified terms.</w:t>
      </w:r>
    </w:p>
    <w:p>
      <w:r>
        <w:rPr>
          <w:b/>
        </w:rPr>
        <w:t>Can I claim against my employer without losing my job?</w:t>
      </w:r>
    </w:p>
    <w:p>
      <w:r>
        <w:t>An employee may have a civil claim where an employer’s breach caused injury, and employers commonly carry liability insurance. Employment consequences cannot be guaranteed. Keep records, obtain advice and raise any retaliation or dismissal concern with an employment-law specialist.</w:t>
      </w:r>
    </w:p>
    <w:p>
      <w:r>
        <w:rPr>
          <w:b/>
        </w:rPr>
        <w:t>Can a child make a claim?</w:t>
      </w:r>
    </w:p>
    <w:p>
      <w:r>
        <w:t>Potentially, yes, through the appropriate adult procedure. Scottish limitation and court safeguards for children differ from the standard adult position. Because age, capacity and settlement approval affect the route, seek Scottish advice promptly rather than waiting.</w:t>
      </w:r>
    </w:p>
    <w:p>
      <w:r>
        <w:rPr>
          <w:b/>
        </w:rPr>
        <w:t>How does CICA differ from a civil claim?</w:t>
      </w:r>
    </w:p>
    <w:p>
      <w:r>
        <w:t>CICA applies the Criminal Injuries Compensation Scheme and tariff; it is not a negligence action and the offender does not need to be sued. Adult applications are normally subject to a two-year rule, with limited exceptions. A civil claim may sometimes exist separately. Source: GOV.UK/CICA.</w:t>
      </w:r>
    </w:p>
    <w:p>
      <w:r>
        <w:rPr>
          <w:b/>
        </w:rPr>
        <w:t>What happens after I make an enquiry?</w:t>
      </w:r>
    </w:p>
    <w:p>
      <w:r>
        <w:t>The recipient should confirm who has received the information, check urgency and conflicts, assess whether the matter is within scope, and explain funding and next steps. An enquiry is not the same as case acceptance and does not stop a time limit. The current website must not use this block until its form actually delivers enquiries.</w:t>
      </w:r>
    </w:p>
    <w:p>
      <w:pPr>
        <w:pStyle w:val="Heading2"/>
      </w:pPr>
      <w:r>
        <w:t>13. 30/60/90-day implementation plan</w:t>
      </w:r>
    </w:p>
    <w:p>
      <w:pPr>
        <w:pStyle w:val="Heading3"/>
      </w:pPr>
      <w:r>
        <w:t>First 72 hours</w:t>
      </w:r>
    </w:p>
    <w:p>
      <w:pPr>
        <w:pStyle w:val="ListBullet"/>
      </w:pPr>
      <w:r>
        <w:t>Disable or unpublish the public form and unsupported claims.</w:t>
      </w:r>
    </w:p>
    <w:p>
      <w:pPr>
        <w:pStyle w:val="ListBullet"/>
      </w:pPr>
      <w:r>
        <w:t>Remove placeholder JSON-LD and local-business markup.</w:t>
      </w:r>
    </w:p>
    <w:p>
      <w:pPr>
        <w:pStyle w:val="ListBullet"/>
      </w:pPr>
      <w:r>
        <w:t>Decide whether to place the whole domain behind a maintenance/noindex response.</w:t>
      </w:r>
    </w:p>
    <w:p>
      <w:pPr>
        <w:pStyle w:val="ListBullet"/>
      </w:pPr>
      <w:r>
        <w:t>Preserve logs and investigate whether anyone has used the simulated form.</w:t>
      </w:r>
    </w:p>
    <w:p>
      <w:pPr>
        <w:pStyle w:val="ListBullet"/>
      </w:pPr>
      <w:r>
        <w:t>Establish real ownership, controller and legal-provider facts.</w:t>
      </w:r>
    </w:p>
    <w:p>
      <w:pPr>
        <w:pStyle w:val="Heading3"/>
      </w:pPr>
      <w:r>
        <w:t>Days 1–30</w:t>
      </w:r>
    </w:p>
    <w:p>
      <w:pPr>
        <w:pStyle w:val="ListBullet"/>
      </w:pPr>
      <w:r>
        <w:t>Implement/test secure enquiry delivery and operational response.</w:t>
      </w:r>
    </w:p>
    <w:p>
      <w:pPr>
        <w:pStyle w:val="ListBullet"/>
      </w:pPr>
      <w:r>
        <w:t>Replace all placeholders and create verified About, Contact, Privacy, Cookies, Terms and Complaints content.</w:t>
      </w:r>
    </w:p>
    <w:p>
      <w:pPr>
        <w:pStyle w:val="ListBullet"/>
      </w:pPr>
      <w:r>
        <w:t>Complete solicitor review of homepage, PI, limitation, funding and CICA pages first.</w:t>
      </w:r>
    </w:p>
    <w:p>
      <w:pPr>
        <w:pStyle w:val="ListBullet"/>
      </w:pPr>
      <w:r>
        <w:t>Remove/noindex thin city pages.</w:t>
      </w:r>
    </w:p>
    <w:p>
      <w:pPr>
        <w:pStyle w:val="ListBullet"/>
      </w:pPr>
      <w:r>
        <w:t>Fix lint and create CI release gates.</w:t>
      </w:r>
    </w:p>
    <w:p>
      <w:pPr>
        <w:pStyle w:val="ListBullet"/>
      </w:pPr>
      <w:r>
        <w:t>Create one content registry and merge duplicate intents with single-hop 301s.</w:t>
      </w:r>
    </w:p>
    <w:p>
      <w:pPr>
        <w:pStyle w:val="Heading3"/>
      </w:pPr>
      <w:r>
        <w:t>Days 31–60</w:t>
      </w:r>
    </w:p>
    <w:p>
      <w:pPr>
        <w:pStyle w:val="ListBullet"/>
      </w:pPr>
      <w:r>
        <w:t>Review remaining service pages and highest-value guides.</w:t>
      </w:r>
    </w:p>
    <w:p>
      <w:pPr>
        <w:pStyle w:val="ListBullet"/>
      </w:pPr>
      <w:r>
        <w:t>Add expert profiles, citations, real dates and editorial policy.</w:t>
      </w:r>
    </w:p>
    <w:p>
      <w:pPr>
        <w:pStyle w:val="ListBullet"/>
      </w:pPr>
      <w:r>
        <w:t>Add measured analytics/consent and connect GSC/Bing.</w:t>
      </w:r>
    </w:p>
    <w:p>
      <w:pPr>
        <w:pStyle w:val="ListBullet"/>
      </w:pPr>
      <w:r>
        <w:t>Run accessibility testing with keyboard, screen reader, 200%/400% zoom and mobile devices.</w:t>
      </w:r>
    </w:p>
    <w:p>
      <w:pPr>
        <w:pStyle w:val="ListBullet"/>
      </w:pPr>
      <w:r>
        <w:t>Establish CWV baseline and fix template-level issues.</w:t>
      </w:r>
    </w:p>
    <w:p>
      <w:pPr>
        <w:pStyle w:val="Heading3"/>
      </w:pPr>
      <w:r>
        <w:t>Days 61–90</w:t>
      </w:r>
    </w:p>
    <w:p>
      <w:pPr>
        <w:pStyle w:val="ListBullet"/>
      </w:pPr>
      <w:r>
        <w:t>Relaunch only after compliance sign-off and end-to-end form tests.</w:t>
      </w:r>
    </w:p>
    <w:p>
      <w:pPr>
        <w:pStyle w:val="ListBullet"/>
      </w:pPr>
      <w:r>
        <w:t>Submit clean sitemap; request recrawl for priority pages.</w:t>
      </w:r>
    </w:p>
    <w:p>
      <w:pPr>
        <w:pStyle w:val="ListBullet"/>
      </w:pPr>
      <w:r>
        <w:t>Begin evidence-led digital PR and expert commentary, not bulk link building.</w:t>
      </w:r>
    </w:p>
    <w:p>
      <w:pPr>
        <w:pStyle w:val="ListBullet"/>
      </w:pPr>
      <w:r>
        <w:t>Use real query/conversion data to decide which city pages and new guides deserve investment.</w:t>
      </w:r>
    </w:p>
    <w:p>
      <w:pPr>
        <w:pStyle w:val="ListBullet"/>
      </w:pPr>
      <w:r>
        <w:t>Review qualified-enquiry rate, not raw form volume.</w:t>
      </w:r>
    </w:p>
    <w:p>
      <w:pPr>
        <w:pStyle w:val="Heading2"/>
      </w:pPr>
      <w:r>
        <w:t>Final conclusion</w:t>
      </w:r>
    </w:p>
    <w:p>
      <w:r>
        <w:t>The site’s information architecture is substantially better than a typical thin exact-match lead-generation site, and it could become a useful Scottish personal-injury resource. Its present public implementation, however, creates a severe mismatch between appearance and reality. The launch gate is not “more SEO content”; it is verified identity, lawful and truthful operation, real enquiry delivery, accountable Scottish legal review and removal of fabricated placeholder signals. Only after those are fixed should indexation, local expansion, AI visibility and conversion optimisation proceed.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36E"/>
        <w:sz w:val="16"/>
      </w:rPr>
      <w:t>SEO • AI search • Scots-law content • trust • conversion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636E"/>
        <w:sz w:val="17"/>
      </w:rPr>
      <w:t>ACCIDENT CLAIMS SCOTLAND  |  INDEPENDENT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Claims Scotland — Full SEO, AI Search, Legal Content and Conversion Audit</dc:title>
  <dc:subject>Revalidated website and codebase audit</dc:subject>
  <dc:creator>Independent audit prepared with Codex</dc:creator>
  <cp:keywords>SEO, AI search, Scottish personal injury, legal content, conversion,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