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sz ns0:val="32"/>
        </ns0:rPr>
        <ns0:t>ACTA DE ENTREGA Y ACEPTACIÓN</ns0:t>
      </ns0:r>
    </ns0:p>
    <ns0:p>
      <ns0:pPr>
        <ns0:jc ns0:val="center"/>
      </ns0:pPr>
      <ns0:r>
        <ns0:rPr>
          <ns0:i/>
          <ns0:sz ns0:val="22"/>
        </ns0:rPr>
        <ns0:t>Lugar y fecha: Naucalpan, Estado de México — 16/11/2025</ns0:t>
      </ns0:r>
    </ns0:p>
    <ns0:p>
      <ns0:r>
        <ns0:rPr>
          <ns0:b/>
          <ns0:sz ns0:val="24"/>
        </ns0:rPr>
        <ns0:t>Partes</ns0:t>
      </ns0:r>
    </ns0:p>
    <ns0:p>
      <ns0:r>
        <ns0:t>Adrián Flores Cortés, en su carácter de autor y titular de los derechos patrimoniales del software descrito más adelante, con domicilio en Calgary 6, Col. Las Américas, Naucalpan, Estado de México, CP 53040, en lo sucesivo “El Proveedor”; y</ns0:t>
      </ns0:r>
    </ns0:p>
    <ns0:p>
      <ns0:r>
        <ns0:t>Ana Ofelia Arizabalo Arce, con domicilio en Popocatépetl 104, Col. Cuauhtémoc, Cuautla, Morelos, CP 62900, en lo sucesivo “La Contratante”.</ns0:t>
      </ns0:r>
    </ns0:p>
    <ns0:p>
      <ns0:r>
        <ns0:rPr>
          <ns0:b/>
          <ns0:sz ns0:val="24"/>
        </ns0:rPr>
        <ns0:t>Constancias</ns0:t>
      </ns0:r>
    </ns0:p>
    <ns0:p>
      <ns0:r>
        <ns0:t>1) Entrega técnica. El Proveedor entrega la Plataforma de Gamificación Educativa operando en http://74.208.126.102 conforme al Anexo A (Entregables y Alcance Real).</ns0:t>
      </ns0:r>
    </ns0:p>
    <ns0:p>
      <ns0:r>
        <ns0:t>2) Prueba inmediata. La Contratante puede autenticarse, realizar actividades incluidas y visualizar el progreso dentro del alcance del Anexo A.</ns0:t>
      </ns0:r>
    </ns0:p>
    <ns0:p>
      <ns0:r>
        <ns0:t>3) Aceptación expresa. Con la firma de esta Acta, La Contratante acepta lo entregado.</ns0:t>
      </ns0:r>
    </ns0:p>
    <ns0:p>
      <ns0:r>
        <ns0:t>4) Aceptación tácita (5 días hábiles). Si dentro de 5 (cinco) días hábiles contados a partir del día hábil siguiente a esta fecha no se notifica por escrito un Defecto Bloqueante (falla que impida el flujo principal: iniciar sesión, realizar actividades incluidas, guardar resultados, ver progreso), se tendrá por aceptado lo entregado.</ns0:t>
      </ns0:r>
    </ns0:p>
    <ns0:p>
      <ns0:r>
        <ns0:t xml:space="preserve">   - Días hábiles: lunes a viernes, excluyendo fines de semana y días inhábiles oficiales. Notificación: rckrdmrd@gmail.com (y/o WhatsApp 5568688733) a más tardar 18:00 h del quinto día hábil.</ns0:t>
      </ns0:r>
    </ns0:p>
    <ns0:p>
      <ns0:r>
        <ns0:t>6) Pago final. A la aceptación (expresa o tácita) la Contratante liquida el saldo pendiente $32,000.00 MXN.</ns0:t>
      </ns0:r>
    </ns0:p>
    <ns0:p>
      <ns0:r>
        <ns0:t>7) Cesión patrimonial. La Cesión de Derechos Patrimoniales (Anexo D) surte efectos únicamente al pago total del saldo.</ns0:t>
      </ns0:r>
    </ns0:p>
    <ns0:p>
      <ns0:r>
        <ns0:rPr>
          <ns0:b/>
          <ns0:sz ns0:val="24"/>
        </ns0:rPr>
        <ns0:t>Firmas</ns0:t>
      </ns0:r>
    </ns0:p>
    <ns0:p>
      <ns0:r>
        <ns0:t>EL PROVEEDOR</ns0:t>
      </ns0:r>
    </ns0:p>
    <ns0:p>
      <ns0:r>
        <ns0:t>Adrián Flores Cortés</ns0:t>
      </ns0:r>
    </ns0:p>
    <ns0:p>
      <ns0:r>
        <ns0:t>_____________________________</ns0:t>
      </ns0:r>
    </ns0:p>
    <ns0:p>
      <ns0:r>
        <ns0:br/>
        <ns0:t>LA CONTRATANTE</ns0:t>
      </ns0:r>
    </ns0:p>
    <ns0:p>
      <ns0:r>
        <ns0:t>Ana Ofelia Arizabalo Arce</ns0:t>
      </ns0:r>
    </ns0:p>
    <ns0:p>
      <ns0:r>
        <ns0:t>_____________________________</ns0:t>
      </ns0:r>
    </ns0:p>
    <ns0:p/>
    <ns0:p>
      <ns0:r>
        <ns0:t>5) Exclusiones. No se incluyen soporte posterior, matriz de defectos ni mejoras no listadas en el Anexo A.</ns0:t>
      </ns0:r>
    </ns0:p>
    <ns0:p>
      <ns0:r>
        <ns0:t>El plazo de 5 (cinco) días hábiles se computa a partir del día hábil siguiente a la entrega (lunes 18/11/2025, primer día hábil posterior al 16/11) y concluye el viernes 21/11/2025 a las 18:00, hora de la Ciudad de México.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