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BE0000"/>
          <w:sz w:val="44"/>
        </w:rPr>
        <w:t>INACAP - Ambiente de Aprendizaje (AAI)</w:t>
      </w:r>
    </w:p>
    <w:p>
      <w:pPr>
        <w:jc w:val="center"/>
      </w:pPr>
      <w:r>
        <w:rPr>
          <w:b/>
          <w:color w:val="464646"/>
          <w:sz w:val="26"/>
        </w:rPr>
        <w:t>Actividad Formativa: GitHub Copilot (ETVI02 - Unidad 3 - Semana 8)</w:t>
      </w:r>
    </w:p>
    <w:p>
      <w:pPr>
        <w:jc w:val="center"/>
      </w:pPr>
      <w:r>
        <w:rPr>
          <w:color w:val="B4B4B4"/>
        </w:rPr>
        <w:t>—————————————————————————————————————————————</w:t>
      </w:r>
    </w:p>
    <w:p>
      <w:pPr>
        <w:pStyle w:val="Heading1"/>
      </w:pPr>
      <w:r>
        <w:rPr>
          <w:color w:val="1E1E1E"/>
        </w:rPr>
        <w:t>1. Datos de Identificación</w:t>
      </w:r>
    </w:p>
    <w:tbl>
      <w:tblPr>
        <w:tblStyle w:val="TableGrid"/>
        <w:tblW w:type="auto" w:w="0"/>
        <w:jc w:val="center"/>
        <w:tblLook w:firstColumn="1" w:firstRow="1" w:lastColumn="0" w:lastRow="0" w:noHBand="0" w:noVBand="1" w:val="04A0"/>
      </w:tblPr>
      <w:tblGrid>
        <w:gridCol w:w="4968"/>
        <w:gridCol w:w="4968"/>
      </w:tblGrid>
      <w:tr>
        <w:tc>
          <w:tcPr>
            <w:tcW w:type="dxa" w:w="4968"/>
          </w:tcPr>
          <w:p>
            <w:r>
              <w:rPr>
                <w:b/>
                <w:sz w:val="21"/>
              </w:rPr>
              <w:t>Nombre del Estudiante:</w:t>
            </w:r>
          </w:p>
        </w:tc>
        <w:tc>
          <w:tcPr>
            <w:tcW w:type="dxa" w:w="4968"/>
          </w:tcPr>
          <w:p>
            <w:r>
              <w:rPr>
                <w:sz w:val="21"/>
              </w:rPr>
              <w:t>Samuel</w:t>
            </w:r>
          </w:p>
        </w:tc>
      </w:tr>
      <w:tr>
        <w:tc>
          <w:tcPr>
            <w:tcW w:type="dxa" w:w="4968"/>
          </w:tcPr>
          <w:p>
            <w:r>
              <w:rPr>
                <w:b/>
                <w:sz w:val="21"/>
              </w:rPr>
              <w:t>Asignatura:</w:t>
            </w:r>
          </w:p>
        </w:tc>
        <w:tc>
          <w:tcPr>
            <w:tcW w:type="dxa" w:w="4968"/>
          </w:tcPr>
          <w:p>
            <w:r>
              <w:rPr>
                <w:sz w:val="21"/>
              </w:rPr>
              <w:t>ETVI02 - Tendencias Emergentes en Inteligencia Artificial</w:t>
            </w:r>
          </w:p>
        </w:tc>
      </w:tr>
      <w:tr>
        <w:tc>
          <w:tcPr>
            <w:tcW w:type="dxa" w:w="4968"/>
          </w:tcPr>
          <w:p>
            <w:r>
              <w:rPr>
                <w:b/>
                <w:sz w:val="21"/>
              </w:rPr>
              <w:t>Institución:</w:t>
            </w:r>
          </w:p>
        </w:tc>
        <w:tc>
          <w:tcPr>
            <w:tcW w:type="dxa" w:w="4968"/>
          </w:tcPr>
          <w:p>
            <w:r>
              <w:rPr>
                <w:sz w:val="21"/>
              </w:rPr>
              <w:t>INACAP</w:t>
            </w:r>
          </w:p>
        </w:tc>
      </w:tr>
      <w:tr>
        <w:tc>
          <w:tcPr>
            <w:tcW w:type="dxa" w:w="4968"/>
          </w:tcPr>
          <w:p>
            <w:r>
              <w:rPr>
                <w:b/>
                <w:sz w:val="21"/>
              </w:rPr>
              <w:t>Fecha de Entrega:</w:t>
            </w:r>
          </w:p>
        </w:tc>
        <w:tc>
          <w:tcPr>
            <w:tcW w:type="dxa" w:w="4968"/>
          </w:tcPr>
          <w:p>
            <w:r>
              <w:rPr>
                <w:sz w:val="21"/>
              </w:rPr>
              <w:t>11 de Octubre de 2026</w:t>
            </w:r>
          </w:p>
        </w:tc>
      </w:tr>
    </w:tbl>
    <w:p/>
    <w:p>
      <w:pPr>
        <w:pStyle w:val="Heading1"/>
      </w:pPr>
      <w:r>
        <w:rPr>
          <w:color w:val="1E1E1E"/>
        </w:rPr>
        <w:t>2. Enlace al Repositorio en GitHub</w:t>
      </w:r>
    </w:p>
    <w:p>
      <w:r>
        <w:rPr>
          <w:sz w:val="22"/>
        </w:rPr>
        <w:t>Repositorio público del proyecto:</w:t>
      </w:r>
    </w:p>
    <w:p>
      <w:r>
        <w:t xml:space="preserve">• Nombre del Repositorio: </w:t>
      </w:r>
      <w:r>
        <w:rPr>
          <w:b/>
        </w:rPr>
        <w:t>IA_Proyecto</w:t>
      </w:r>
    </w:p>
    <w:p>
      <w:r>
        <w:t xml:space="preserve">• Enlace URL: </w:t>
      </w:r>
      <w:r>
        <w:rPr>
          <w:b/>
          <w:color w:val="0050BE"/>
          <w:sz w:val="24"/>
        </w:rPr>
        <w:t>https://github.com/rcktsm25/IA_Proyecto</w:t>
      </w:r>
    </w:p>
    <w:p/>
    <w:p>
      <w:pPr>
        <w:pStyle w:val="Heading1"/>
      </w:pPr>
      <w:r>
        <w:rPr>
          <w:color w:val="1E1E1E"/>
        </w:rPr>
        <w:t>3. Ítems de Comprobación y Evidencias</w:t>
      </w:r>
    </w:p>
    <w:p>
      <w:pPr>
        <w:pStyle w:val="Heading2"/>
      </w:pPr>
      <w:r>
        <w:t>Ítem 1: Configuración y Sincronización del Repositorio en GitHub</w:t>
      </w:r>
    </w:p>
    <w:p>
      <w:r>
        <w:rPr>
          <w:sz w:val="20"/>
        </w:rPr>
        <w:t>Evidencia de la creación del repositorio público "IA_Proyecto" en GitHub (usuario: rcktsm25), con la rama "main" activa y la estructura completa de archivos versionados (.gitignore, README.md, products.csv, recommendation_system.py y carpeta screenshots).</w:t>
      </w:r>
    </w:p>
    <w:p>
      <w:r>
        <w:drawing>
          <wp:inline xmlns:a="http://schemas.openxmlformats.org/drawingml/2006/main" xmlns:pic="http://schemas.openxmlformats.org/drawingml/2006/picture">
            <wp:extent cx="5669280" cy="3740383"/>
            <wp:docPr id="1" name="Picture 1"/>
            <wp:cNvGraphicFramePr>
              <a:graphicFrameLocks noChangeAspect="1"/>
            </wp:cNvGraphicFramePr>
            <a:graphic>
              <a:graphicData uri="http://schemas.openxmlformats.org/drawingml/2006/picture">
                <pic:pic>
                  <pic:nvPicPr>
                    <pic:cNvPr id="0" name="01_github_setup.png"/>
                    <pic:cNvPicPr/>
                  </pic:nvPicPr>
                  <pic:blipFill>
                    <a:blip r:embed="rId9"/>
                    <a:stretch>
                      <a:fillRect/>
                    </a:stretch>
                  </pic:blipFill>
                  <pic:spPr>
                    <a:xfrm>
                      <a:off x="0" y="0"/>
                      <a:ext cx="5669280" cy="3740383"/>
                    </a:xfrm>
                    <a:prstGeom prst="rect"/>
                  </pic:spPr>
                </pic:pic>
              </a:graphicData>
            </a:graphic>
          </wp:inline>
        </w:drawing>
      </w:r>
    </w:p>
    <w:p>
      <w:pPr>
        <w:jc w:val="center"/>
      </w:pPr>
      <w:r>
        <w:rPr>
          <w:i/>
          <w:sz w:val="18"/>
        </w:rPr>
        <w:t>Figura 1: Vista general del repositorio público en GitHub.</w:t>
      </w:r>
    </w:p>
    <w:p/>
    <w:p>
      <w:pPr>
        <w:pStyle w:val="Heading2"/>
      </w:pPr>
      <w:r>
        <w:t>Ítem 2: Asistencia de Código en Vivo con GitHub Copilot</w:t>
      </w:r>
    </w:p>
    <w:p>
      <w:r>
        <w:rPr>
          <w:sz w:val="20"/>
        </w:rPr>
        <w:t>Evidencia dentro del editor Visual Studio Code mostrando la extensión oficial de GitHub Copilot en funcionamiento. Se aprecia la sugerencia predictiva en tiempo real (autocompletado en texto gris) al desarrollar la lógica de evaluación y control de flujo en "recommendation_system.py".</w:t>
      </w:r>
    </w:p>
    <w:p>
      <w:r>
        <w:drawing>
          <wp:inline xmlns:a="http://schemas.openxmlformats.org/drawingml/2006/main" xmlns:pic="http://schemas.openxmlformats.org/drawingml/2006/picture">
            <wp:extent cx="5669280" cy="3740383"/>
            <wp:docPr id="2" name="Picture 2"/>
            <wp:cNvGraphicFramePr>
              <a:graphicFrameLocks noChangeAspect="1"/>
            </wp:cNvGraphicFramePr>
            <a:graphic>
              <a:graphicData uri="http://schemas.openxmlformats.org/drawingml/2006/picture">
                <pic:pic>
                  <pic:nvPicPr>
                    <pic:cNvPr id="0" name="02_copilot_suggestion.png"/>
                    <pic:cNvPicPr/>
                  </pic:nvPicPr>
                  <pic:blipFill>
                    <a:blip r:embed="rId10"/>
                    <a:stretch>
                      <a:fillRect/>
                    </a:stretch>
                  </pic:blipFill>
                  <pic:spPr>
                    <a:xfrm>
                      <a:off x="0" y="0"/>
                      <a:ext cx="5669280" cy="3740383"/>
                    </a:xfrm>
                    <a:prstGeom prst="rect"/>
                  </pic:spPr>
                </pic:pic>
              </a:graphicData>
            </a:graphic>
          </wp:inline>
        </w:drawing>
      </w:r>
    </w:p>
    <w:p>
      <w:pPr>
        <w:jc w:val="center"/>
      </w:pPr>
      <w:r>
        <w:rPr>
          <w:i/>
          <w:sz w:val="18"/>
        </w:rPr>
        <w:t>Figura 2: GitHub Copilot sugiriendo código en Visual Studio Code.</w:t>
      </w:r>
    </w:p>
    <w:p/>
    <w:p>
      <w:pPr>
        <w:pStyle w:val="Heading2"/>
      </w:pPr>
      <w:r>
        <w:t>Ítem 3: Ejecución Exitosa, Métricas e Inferencia en Terminal</w:t>
      </w:r>
    </w:p>
    <w:p>
      <w:r>
        <w:rPr>
          <w:sz w:val="20"/>
        </w:rPr>
        <w:t>Evidencia de la ejecución del script en la terminal integrada de VS Code sobre el entorno virtual (.venv). El modelo KNeighborsClassifier alcanza un 100.0% de precisión (Accuracy), mostrando la tabla estilizada con las recomendaciones generadas para cada categoría de producto.</w:t>
      </w:r>
    </w:p>
    <w:p>
      <w:r>
        <w:drawing>
          <wp:inline xmlns:a="http://schemas.openxmlformats.org/drawingml/2006/main" xmlns:pic="http://schemas.openxmlformats.org/drawingml/2006/picture">
            <wp:extent cx="5669280" cy="3250022"/>
            <wp:docPr id="3" name="Picture 3"/>
            <wp:cNvGraphicFramePr>
              <a:graphicFrameLocks noChangeAspect="1"/>
            </wp:cNvGraphicFramePr>
            <a:graphic>
              <a:graphicData uri="http://schemas.openxmlformats.org/drawingml/2006/picture">
                <pic:pic>
                  <pic:nvPicPr>
                    <pic:cNvPr id="0" name="03_execution_result.png"/>
                    <pic:cNvPicPr/>
                  </pic:nvPicPr>
                  <pic:blipFill>
                    <a:blip r:embed="rId11"/>
                    <a:stretch>
                      <a:fillRect/>
                    </a:stretch>
                  </pic:blipFill>
                  <pic:spPr>
                    <a:xfrm>
                      <a:off x="0" y="0"/>
                      <a:ext cx="5669280" cy="3250022"/>
                    </a:xfrm>
                    <a:prstGeom prst="rect"/>
                  </pic:spPr>
                </pic:pic>
              </a:graphicData>
            </a:graphic>
          </wp:inline>
        </w:drawing>
      </w:r>
    </w:p>
    <w:p>
      <w:pPr>
        <w:jc w:val="center"/>
      </w:pPr>
      <w:r>
        <w:rPr>
          <w:i/>
          <w:sz w:val="18"/>
        </w:rPr>
        <w:t>Figura 3: Ejecución del sistema de recomendación y resultados en consola.</w:t>
      </w:r>
    </w:p>
    <w:p/>
    <w:p>
      <w:pPr>
        <w:pStyle w:val="Heading2"/>
      </w:pPr>
      <w:r>
        <w:t>Ítem 4: Dashboard Analítico de Clústeres y Matriz de Confusión</w:t>
      </w:r>
    </w:p>
    <w:p>
      <w:r>
        <w:rPr>
          <w:sz w:val="20"/>
        </w:rPr>
        <w:t>Visualización gráfica de alta resolución generada mediante Matplotlib y Seaborn. Muestra el espacio de características (precio normalizado vs popularidad) con los clústeres de categorías, los puntos de inferencia evaluados y la matriz de confusión.</w:t>
      </w:r>
    </w:p>
    <w:p>
      <w:r>
        <w:drawing>
          <wp:inline xmlns:a="http://schemas.openxmlformats.org/drawingml/2006/main" xmlns:pic="http://schemas.openxmlformats.org/drawingml/2006/picture">
            <wp:extent cx="5669280" cy="2256297"/>
            <wp:docPr id="4" name="Picture 4"/>
            <wp:cNvGraphicFramePr>
              <a:graphicFrameLocks noChangeAspect="1"/>
            </wp:cNvGraphicFramePr>
            <a:graphic>
              <a:graphicData uri="http://schemas.openxmlformats.org/drawingml/2006/picture">
                <pic:pic>
                  <pic:nvPicPr>
                    <pic:cNvPr id="0" name="03_model_clusters.png"/>
                    <pic:cNvPicPr/>
                  </pic:nvPicPr>
                  <pic:blipFill>
                    <a:blip r:embed="rId12"/>
                    <a:stretch>
                      <a:fillRect/>
                    </a:stretch>
                  </pic:blipFill>
                  <pic:spPr>
                    <a:xfrm>
                      <a:off x="0" y="0"/>
                      <a:ext cx="5669280" cy="2256297"/>
                    </a:xfrm>
                    <a:prstGeom prst="rect"/>
                  </pic:spPr>
                </pic:pic>
              </a:graphicData>
            </a:graphic>
          </wp:inline>
        </w:drawing>
      </w:r>
    </w:p>
    <w:p>
      <w:pPr>
        <w:jc w:val="center"/>
      </w:pPr>
      <w:r>
        <w:rPr>
          <w:i/>
          <w:sz w:val="18"/>
        </w:rPr>
        <w:t>Figura 4: Dashboard de Machine Learning y matriz de confusión.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