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ED5B6" w14:textId="4B3C9B28" w:rsidR="00CB2BF0" w:rsidRDefault="00CB2BF0" w:rsidP="00CB2BF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9095861"/>
      <w:r w:rsidRPr="00CB2BF0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 xml:space="preserve">May 2025 – </w:t>
      </w:r>
      <w:r w:rsidR="00F81BF7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>Yelloweye</w:t>
      </w:r>
      <w:r w:rsidRPr="00CB2BF0">
        <w:rPr>
          <w:rFonts w:ascii="Times New Roman" w:hAnsi="Times New Roman" w:cs="Times New Roman"/>
          <w:b/>
          <w:bCs/>
          <w:color w:val="auto"/>
          <w:sz w:val="28"/>
          <w:szCs w:val="28"/>
          <w:highlight w:val="cyan"/>
        </w:rPr>
        <w:t xml:space="preserve"> Rockfish Update Assessment [MAB]</w:t>
      </w:r>
    </w:p>
    <w:p w14:paraId="5AA70501" w14:textId="77777777" w:rsidR="00BC012E" w:rsidRDefault="00BC012E" w:rsidP="00BC012E">
      <w:pPr>
        <w:rPr>
          <w:lang w:eastAsia="en-US"/>
        </w:rPr>
      </w:pPr>
    </w:p>
    <w:p w14:paraId="1841D448" w14:textId="25AB1A7D" w:rsidR="00BC012E" w:rsidRDefault="00BC012E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MAB: It would be helpful for the reader if </w:t>
      </w:r>
      <w:r w:rsidR="00E302D1">
        <w:rPr>
          <w:rFonts w:ascii="Times New Roman" w:hAnsi="Times New Roman" w:cs="Times New Roman"/>
          <w:sz w:val="24"/>
          <w:szCs w:val="24"/>
          <w:lang w:eastAsia="en-US"/>
        </w:rPr>
        <w:t xml:space="preserve">tables span across pages, to </w:t>
      </w:r>
      <w:commentRangeStart w:id="1"/>
      <w:commentRangeStart w:id="2"/>
      <w:r w:rsidR="00E302D1">
        <w:rPr>
          <w:rFonts w:ascii="Times New Roman" w:hAnsi="Times New Roman" w:cs="Times New Roman"/>
          <w:sz w:val="24"/>
          <w:szCs w:val="24"/>
          <w:lang w:eastAsia="en-US"/>
        </w:rPr>
        <w:t xml:space="preserve">repeat the table header </w:t>
      </w:r>
      <w:commentRangeEnd w:id="1"/>
      <w:r w:rsidR="00F56E59">
        <w:rPr>
          <w:rStyle w:val="CommentReference"/>
        </w:rPr>
        <w:commentReference w:id="1"/>
      </w:r>
      <w:commentRangeEnd w:id="2"/>
      <w:r w:rsidR="002A34F3">
        <w:rPr>
          <w:rStyle w:val="CommentReference"/>
        </w:rPr>
        <w:commentReference w:id="2"/>
      </w:r>
      <w:r w:rsidR="00E302D1">
        <w:rPr>
          <w:rFonts w:ascii="Times New Roman" w:hAnsi="Times New Roman" w:cs="Times New Roman"/>
          <w:sz w:val="24"/>
          <w:szCs w:val="24"/>
          <w:lang w:eastAsia="en-US"/>
        </w:rPr>
        <w:t>(e.g. Table 2).</w:t>
      </w:r>
    </w:p>
    <w:p w14:paraId="6C0CAF69" w14:textId="77777777" w:rsidR="00E302D1" w:rsidRDefault="00E302D1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792B42A6" w14:textId="29F8091C" w:rsidR="00E302D1" w:rsidRPr="00552FA9" w:rsidRDefault="00E302D1" w:rsidP="00BC012E">
      <w:pPr>
        <w:rPr>
          <w:rFonts w:ascii="Times New Roman" w:hAnsi="Times New Roman" w:cs="Times New Roman"/>
          <w:strike/>
          <w:sz w:val="24"/>
          <w:szCs w:val="24"/>
          <w:lang w:eastAsia="en-US"/>
        </w:rPr>
      </w:pPr>
      <w:r w:rsidRPr="00552FA9">
        <w:rPr>
          <w:rFonts w:ascii="Times New Roman" w:hAnsi="Times New Roman" w:cs="Times New Roman"/>
          <w:strike/>
          <w:sz w:val="24"/>
          <w:szCs w:val="24"/>
          <w:lang w:eastAsia="en-US"/>
        </w:rPr>
        <w:t>Table 7 is missing…</w:t>
      </w:r>
    </w:p>
    <w:p w14:paraId="4053DE4E" w14:textId="77777777" w:rsidR="00E302D1" w:rsidRDefault="00E302D1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891C4FE" w14:textId="56089EFA" w:rsidR="00E302D1" w:rsidRDefault="00816E5E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0E738E">
        <w:rPr>
          <w:rFonts w:ascii="Times New Roman" w:hAnsi="Times New Roman" w:cs="Times New Roman"/>
          <w:strike/>
          <w:sz w:val="24"/>
          <w:szCs w:val="24"/>
          <w:lang w:eastAsia="en-US"/>
        </w:rPr>
        <w:t>Might be good to have a few decimal places in Table 19 values</w:t>
      </w:r>
      <w:r w:rsidR="00551683">
        <w:rPr>
          <w:rFonts w:ascii="Times New Roman" w:hAnsi="Times New Roman" w:cs="Times New Roman"/>
          <w:sz w:val="24"/>
          <w:szCs w:val="24"/>
          <w:lang w:eastAsia="en-US"/>
        </w:rPr>
        <w:t xml:space="preserve"> (and which P* was used)</w:t>
      </w:r>
      <w:r>
        <w:rPr>
          <w:rFonts w:ascii="Times New Roman" w:hAnsi="Times New Roman" w:cs="Times New Roman"/>
          <w:sz w:val="24"/>
          <w:szCs w:val="24"/>
          <w:lang w:eastAsia="en-US"/>
        </w:rPr>
        <w:t>?</w:t>
      </w:r>
    </w:p>
    <w:p w14:paraId="43353AD9" w14:textId="77777777" w:rsidR="00551683" w:rsidRDefault="00551683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0AC843F7" w14:textId="6C3B6D1D" w:rsidR="00551683" w:rsidRPr="004308FF" w:rsidRDefault="00870800" w:rsidP="00BC012E">
      <w:pPr>
        <w:rPr>
          <w:rFonts w:ascii="Times New Roman" w:hAnsi="Times New Roman" w:cs="Times New Roman"/>
          <w:strike/>
          <w:sz w:val="24"/>
          <w:szCs w:val="24"/>
          <w:lang w:eastAsia="en-US"/>
        </w:rPr>
      </w:pPr>
      <w:r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 xml:space="preserve">Would be good to check bookmarks in file to guide </w:t>
      </w:r>
      <w:r w:rsidR="00B6146D"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>navigation to sections. Missing for Figures?</w:t>
      </w:r>
    </w:p>
    <w:p w14:paraId="7B3AAF76" w14:textId="77777777" w:rsidR="00551683" w:rsidRDefault="00551683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5B53E0C" w14:textId="1B79A2F8" w:rsidR="00551683" w:rsidRPr="004308FF" w:rsidRDefault="00B6146D" w:rsidP="00BC012E">
      <w:pPr>
        <w:rPr>
          <w:rFonts w:ascii="Times New Roman" w:hAnsi="Times New Roman" w:cs="Times New Roman"/>
          <w:strike/>
          <w:sz w:val="24"/>
          <w:szCs w:val="24"/>
          <w:lang w:eastAsia="en-US"/>
        </w:rPr>
      </w:pPr>
      <w:proofErr w:type="gramStart"/>
      <w:r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>Figure</w:t>
      </w:r>
      <w:proofErr w:type="gramEnd"/>
      <w:r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 xml:space="preserve"> 5</w:t>
      </w:r>
      <w:r w:rsidR="00BE0156"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 xml:space="preserve"> and 8 are </w:t>
      </w:r>
      <w:r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>cut off on right</w:t>
      </w:r>
    </w:p>
    <w:p w14:paraId="7F6D39D0" w14:textId="77777777" w:rsidR="00B6146D" w:rsidRDefault="00B6146D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40EFBF9F" w14:textId="5FA628B4" w:rsidR="00B6146D" w:rsidRPr="004308FF" w:rsidRDefault="00BE0156" w:rsidP="00BC012E">
      <w:pPr>
        <w:rPr>
          <w:rFonts w:ascii="Times New Roman" w:hAnsi="Times New Roman" w:cs="Times New Roman"/>
          <w:strike/>
          <w:sz w:val="24"/>
          <w:szCs w:val="24"/>
          <w:lang w:eastAsia="en-US"/>
        </w:rPr>
      </w:pPr>
      <w:r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 xml:space="preserve">Not sure what the 6 is on </w:t>
      </w:r>
      <w:proofErr w:type="spellStart"/>
      <w:r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>pg</w:t>
      </w:r>
      <w:proofErr w:type="spellEnd"/>
      <w:r w:rsidRPr="004308FF">
        <w:rPr>
          <w:rFonts w:ascii="Times New Roman" w:hAnsi="Times New Roman" w:cs="Times New Roman"/>
          <w:strike/>
          <w:sz w:val="24"/>
          <w:szCs w:val="24"/>
          <w:lang w:eastAsia="en-US"/>
        </w:rPr>
        <w:t xml:space="preserve"> 75</w:t>
      </w:r>
    </w:p>
    <w:p w14:paraId="02384872" w14:textId="77777777" w:rsidR="00BE0156" w:rsidRDefault="00BE0156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1ECC4D0" w14:textId="4EA031A8" w:rsidR="00BE0156" w:rsidRPr="008355FB" w:rsidRDefault="00D72FE9" w:rsidP="00BC012E">
      <w:pPr>
        <w:rPr>
          <w:rFonts w:ascii="Times New Roman" w:hAnsi="Times New Roman" w:cs="Times New Roman"/>
          <w:strike/>
          <w:sz w:val="24"/>
          <w:szCs w:val="24"/>
          <w:lang w:eastAsia="en-US"/>
        </w:rPr>
      </w:pPr>
      <w:r w:rsidRPr="008355FB">
        <w:rPr>
          <w:rFonts w:ascii="Times New Roman" w:hAnsi="Times New Roman" w:cs="Times New Roman"/>
          <w:strike/>
          <w:sz w:val="24"/>
          <w:szCs w:val="24"/>
          <w:lang w:eastAsia="en-US"/>
        </w:rPr>
        <w:t>Figure 73 can just have the year in the legend</w:t>
      </w:r>
      <w:r w:rsidR="006A595B" w:rsidRPr="008355FB">
        <w:rPr>
          <w:rFonts w:ascii="Times New Roman" w:hAnsi="Times New Roman" w:cs="Times New Roman"/>
          <w:strike/>
          <w:sz w:val="24"/>
          <w:szCs w:val="24"/>
          <w:lang w:eastAsia="en-US"/>
        </w:rPr>
        <w:t xml:space="preserve"> if that makes it easier to fit to page</w:t>
      </w:r>
    </w:p>
    <w:p w14:paraId="73DFCC9C" w14:textId="77777777" w:rsidR="00E302D1" w:rsidRDefault="00E302D1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66B9436D" w14:textId="7D7A1B19" w:rsidR="006A595B" w:rsidRPr="00BC012E" w:rsidRDefault="006A595B" w:rsidP="00BC012E">
      <w:pPr>
        <w:rPr>
          <w:rFonts w:ascii="Times New Roman" w:hAnsi="Times New Roman" w:cs="Times New Roman"/>
          <w:sz w:val="24"/>
          <w:szCs w:val="24"/>
          <w:lang w:eastAsia="en-US"/>
        </w:rPr>
      </w:pPr>
      <w:commentRangeStart w:id="3"/>
      <w:r>
        <w:rPr>
          <w:rFonts w:ascii="Times New Roman" w:hAnsi="Times New Roman" w:cs="Times New Roman"/>
          <w:sz w:val="24"/>
          <w:szCs w:val="24"/>
          <w:lang w:eastAsia="en-US"/>
        </w:rPr>
        <w:t xml:space="preserve">I like the Acronyms page </w:t>
      </w:r>
      <w:commentRangeEnd w:id="3"/>
      <w:r w:rsidR="008355FB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  <w:lang w:eastAsia="en-US"/>
        </w:rPr>
        <w:t>– if you wish, that could be moved up to earlier in the document</w:t>
      </w:r>
      <w:r w:rsidR="00E13910">
        <w:rPr>
          <w:rFonts w:ascii="Times New Roman" w:hAnsi="Times New Roman" w:cs="Times New Roman"/>
          <w:sz w:val="24"/>
          <w:szCs w:val="24"/>
          <w:lang w:eastAsia="en-US"/>
        </w:rPr>
        <w:t>, perhaps between Disclaimer and prior to Exec Summary?</w:t>
      </w:r>
      <w:r w:rsidR="00A11DA4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104C9BCC" w14:textId="6C6416E2" w:rsidR="00CB2BF0" w:rsidRPr="00CB2BF0" w:rsidRDefault="00CB2BF0" w:rsidP="00CB2BF0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B2BF0">
        <w:rPr>
          <w:rFonts w:ascii="Times New Roman" w:hAnsi="Times New Roman" w:cs="Times New Roman"/>
          <w:b/>
          <w:bCs/>
          <w:color w:val="auto"/>
          <w:sz w:val="28"/>
          <w:szCs w:val="28"/>
        </w:rPr>
        <w:t>Appendix C: Check List of Elements to be included in Full/Update/Data-Moderate Assessment Documents</w:t>
      </w:r>
      <w:bookmarkEnd w:id="0"/>
    </w:p>
    <w:p w14:paraId="6601A691" w14:textId="77777777" w:rsidR="00CB2BF0" w:rsidRDefault="00CB2BF0" w:rsidP="00CB2BF0"/>
    <w:tbl>
      <w:tblPr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8284"/>
      </w:tblGrid>
      <w:tr w:rsidR="00CB2BF0" w14:paraId="27778332" w14:textId="77777777" w:rsidTr="00622E57">
        <w:trPr>
          <w:cantSplit/>
          <w:trHeight w:val="315"/>
          <w:tblHeader/>
        </w:trPr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5FF120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82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B23A68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Element description</w:t>
            </w:r>
          </w:p>
        </w:tc>
      </w:tr>
      <w:tr w:rsidR="00CB2BF0" w14:paraId="08168FF8" w14:textId="77777777" w:rsidTr="00622E57">
        <w:trPr>
          <w:trHeight w:val="315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0DFB8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A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C3656A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 names and affiliations</w:t>
            </w:r>
          </w:p>
        </w:tc>
      </w:tr>
      <w:tr w:rsidR="00CB2BF0" w14:paraId="441EA404" w14:textId="77777777" w:rsidTr="00622E57">
        <w:trPr>
          <w:trHeight w:val="37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DC541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A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A5363E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Citation instructions, following the title page.</w:t>
            </w:r>
          </w:p>
        </w:tc>
      </w:tr>
      <w:tr w:rsidR="00CB2BF0" w14:paraId="098BCD4D" w14:textId="77777777" w:rsidTr="00622E57">
        <w:trPr>
          <w:trHeight w:val="333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870FD5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74B2C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Executive Summary</w:t>
            </w:r>
          </w:p>
        </w:tc>
      </w:tr>
      <w:tr w:rsidR="00CB2BF0" w14:paraId="2F3C94C6" w14:textId="77777777" w:rsidTr="00622E57">
        <w:trPr>
          <w:trHeight w:val="315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FAF2E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057FF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Stock description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Species and area; basis for regional management.</w:t>
            </w:r>
          </w:p>
        </w:tc>
      </w:tr>
      <w:tr w:rsidR="00CB2BF0" w14:paraId="4E8EF78B" w14:textId="77777777" w:rsidTr="00622E57">
        <w:trPr>
          <w:trHeight w:val="63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4402E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EECCC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Catches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Table with last 10 years;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graph with long term information.</w:t>
            </w:r>
          </w:p>
        </w:tc>
      </w:tr>
      <w:tr w:rsidR="00CB2BF0" w14:paraId="34E5785C" w14:textId="77777777" w:rsidTr="00622E57">
        <w:trPr>
          <w:trHeight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B7A7E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71C4C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Data &amp; assessment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Date and type of last assessment, model type, …</w:t>
            </w:r>
          </w:p>
        </w:tc>
      </w:tr>
      <w:tr w:rsidR="00CB2BF0" w14:paraId="53B24EFA" w14:textId="77777777" w:rsidTr="00622E57">
        <w:trPr>
          <w:trHeight w:val="115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738DD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D4F26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Stock biomass and dynamics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Trends and current levels relative to unfished; . . 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table with last 10 years;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graph with long term information.</w:t>
            </w:r>
          </w:p>
        </w:tc>
      </w:tr>
      <w:tr w:rsidR="00CB2BF0" w14:paraId="6694A919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CB56B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18B998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Recruitment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Trends and current levels relative to unfished; . . . table with last 10 years; graph with long term information.</w:t>
            </w:r>
          </w:p>
        </w:tc>
      </w:tr>
      <w:tr w:rsidR="00CB2BF0" w14:paraId="0944A089" w14:textId="77777777" w:rsidTr="00622E57">
        <w:trPr>
          <w:trHeight w:val="86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81CB7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29A41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Exploitation status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Exploitation rates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. . 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table with last 10 years;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Kobe (phase) plot with long term information.</w:t>
            </w:r>
          </w:p>
        </w:tc>
      </w:tr>
      <w:tr w:rsidR="00CB2BF0" w14:paraId="42530951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CF50FB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28347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Ecosystem considerations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Summary of relevant environmental and ecosystem factors . . .</w:t>
            </w:r>
          </w:p>
        </w:tc>
      </w:tr>
      <w:tr w:rsidR="00CB2BF0" w14:paraId="316DE426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9500E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lastRenderedPageBreak/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0E494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Reference points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</w:tr>
      <w:tr w:rsidR="00CB2BF0" w14:paraId="5DA054BE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64C3C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7901C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Management performance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Catches compared to OFLs, ABCs,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. 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table with values for last 10 years. (Harvest specifications to be provided by Council staff).</w:t>
            </w:r>
          </w:p>
        </w:tc>
      </w:tr>
      <w:tr w:rsidR="00CB2BF0" w14:paraId="2CBFFBFE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DFDD4E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39E2D6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Unresolved problems and major uncertainties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Special issues that complicate the assessment . . .</w:t>
            </w:r>
          </w:p>
        </w:tc>
      </w:tr>
      <w:tr w:rsidR="00CB2BF0" w14:paraId="29F0A58F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075A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DFDDC" w14:textId="3B5237F3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Decision table and projections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</w:rPr>
              <w:t>No decision table needed in draft assessments undergoing review;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however harvest projection tables should be included for the candidate base model [with default harvest control rules])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Projected yields (OFL/ABC/ACL), spawning biomass / output, depletion  . . .</w:t>
            </w:r>
            <w:r w:rsidR="00056597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 xml:space="preserve">MAB: The decision Table viii </w:t>
            </w:r>
            <w:r w:rsidR="00870800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 xml:space="preserve">(and Table 20) </w:t>
            </w:r>
            <w:r w:rsidR="00056597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>indicates three management scenarios</w:t>
            </w:r>
            <w:r w:rsidR="002F057F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 xml:space="preserve"> (A/B/C)</w:t>
            </w:r>
            <w:r w:rsidR="00056597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 xml:space="preserve"> but only describes two, one with P*=0.45 and a second with P*=0.40, what is the third one?  </w:t>
            </w:r>
            <w:proofErr w:type="gramStart"/>
            <w:r w:rsidR="00056597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>Also</w:t>
            </w:r>
            <w:proofErr w:type="gramEnd"/>
            <w:r w:rsidR="00056597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 xml:space="preserve"> the formatting is off </w:t>
            </w:r>
            <w:r w:rsidR="0069397A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 xml:space="preserve">as it spans the space available.  Shouldn’t it also indicate that 2025 and 2026 </w:t>
            </w:r>
            <w:r w:rsidR="002F057F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>catches are fixed to ACLs (not 23-24)?</w:t>
            </w:r>
            <w:r w:rsidR="002F05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CB2BF0" w14:paraId="27259007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C211D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F17EC" w14:textId="13290E19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Scientific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Sigma and how calculated.</w:t>
            </w:r>
            <w:r w:rsidR="009079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07945" w:rsidRPr="00FF4C5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>MAB: Same QAQC check of those values and what they represent?</w:t>
            </w:r>
          </w:p>
        </w:tc>
      </w:tr>
      <w:tr w:rsidR="00CB2BF0" w14:paraId="37724994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32778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E1902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Research and data needs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Identify information gaps . . .</w:t>
            </w:r>
          </w:p>
        </w:tc>
      </w:tr>
      <w:tr w:rsidR="00CB2BF0" w14:paraId="77334359" w14:textId="77777777" w:rsidTr="00622E57">
        <w:trPr>
          <w:trHeight w:val="73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D832A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B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DB847" w14:textId="218F7E9B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Exec.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Summ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., Rebuilding projections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Reference to principal results from the rebuilding analysis (if applicable) . . .</w:t>
            </w:r>
            <w:commentRangeStart w:id="4"/>
            <w:r w:rsidR="00EB6D9B" w:rsidRPr="00B25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MAB</w:t>
            </w:r>
            <w:commentRangeEnd w:id="4"/>
            <w:r w:rsidR="000C6AC4">
              <w:rPr>
                <w:rStyle w:val="CommentReference"/>
              </w:rPr>
              <w:commentReference w:id="4"/>
            </w:r>
            <w:r w:rsidR="00EB6D9B" w:rsidRPr="00B25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: Is it possible to provide any narrative that the current projections would put the stock above B40 </w:t>
            </w:r>
            <w:r w:rsidR="00C36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in 2027 </w:t>
            </w:r>
            <w:r w:rsidR="00EB6D9B" w:rsidRPr="00B25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and thus this would no longer be in the precautionary </w:t>
            </w:r>
            <w:r w:rsidR="00B25CED" w:rsidRPr="00B25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zone (i.e. </w:t>
            </w:r>
            <w:r w:rsidR="00C36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when is it projected to be</w:t>
            </w:r>
            <w:r w:rsidR="00B25CED" w:rsidRPr="00B25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rebuilt and </w:t>
            </w:r>
            <w:r w:rsidR="00C3640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should the reader </w:t>
            </w:r>
            <w:r w:rsidR="00B25CED" w:rsidRPr="00B25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anticipate further rebuilding projections based on the proposed model?)</w:t>
            </w:r>
          </w:p>
        </w:tc>
      </w:tr>
      <w:tr w:rsidR="00CB2BF0" w14:paraId="4CE3C608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B9915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C75E6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Scientific name, distribution, choice of stock structure, . . .</w:t>
            </w:r>
          </w:p>
        </w:tc>
      </w:tr>
      <w:tr w:rsidR="00CB2BF0" w14:paraId="580E8E1D" w14:textId="77777777" w:rsidTr="00622E57">
        <w:trPr>
          <w:trHeight w:val="77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0F3B3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20F37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2. A map showing the scope of the assessment . . 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*Not required for update assessments. May refer to the most recent full assessment for additional information.</w:t>
            </w:r>
          </w:p>
        </w:tc>
      </w:tr>
      <w:tr w:rsidR="00CB2BF0" w14:paraId="3F1DCAA0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6EE645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4C8F2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3. Important features of life history . . 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 May refer to the most recent full assessment for additional information.</w:t>
            </w:r>
          </w:p>
        </w:tc>
      </w:tr>
      <w:tr w:rsidR="00CB2BF0" w14:paraId="34B43DB3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F32660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14314E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4. Ecosystem considerations . . 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 May refer to the most recent full assessment for additional information.</w:t>
            </w:r>
          </w:p>
        </w:tc>
      </w:tr>
      <w:tr w:rsidR="00CB2BF0" w14:paraId="568A928A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FD6FF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D79561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5. Important features of current fishery . . 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 May refer to the most recent full assessment for additional information.</w:t>
            </w:r>
          </w:p>
        </w:tc>
      </w:tr>
      <w:tr w:rsidR="00CB2BF0" w14:paraId="4586E38F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24A2FC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D51C6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6. Summary of management history.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 May refer to the most recent full assessment for additional information.</w:t>
            </w:r>
          </w:p>
        </w:tc>
      </w:tr>
      <w:tr w:rsidR="00CB2BF0" w14:paraId="56554849" w14:textId="77777777" w:rsidTr="00622E57">
        <w:trPr>
          <w:trHeight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4BB7D" w14:textId="77777777" w:rsidR="00CB2BF0" w:rsidRPr="00EE6B17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EE6B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29A2BF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7. Management performance, including a table with OFLs, ABCs, ACLs, HGs, landings, and catch . . .</w:t>
            </w:r>
          </w:p>
        </w:tc>
      </w:tr>
      <w:tr w:rsidR="00CB2BF0" w14:paraId="1E256E22" w14:textId="77777777" w:rsidTr="00622E57">
        <w:trPr>
          <w:trHeight w:val="91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C2FCA0" w14:textId="77777777" w:rsidR="00CB2BF0" w:rsidRPr="00DE27E9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DE2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C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625360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Introduction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8. Description of fisheries for this species off Canada, Alaska and/or Mexico . . 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May refer to the most recent full assessment for additional information.</w:t>
            </w:r>
          </w:p>
        </w:tc>
      </w:tr>
      <w:tr w:rsidR="00CB2BF0" w14:paraId="0DA08625" w14:textId="77777777" w:rsidTr="00622E57">
        <w:trPr>
          <w:cantSplit/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C354" w14:textId="77777777" w:rsidR="00CB2BF0" w:rsidRPr="00DE27E9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DE2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lastRenderedPageBreak/>
              <w:t>D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83119" w14:textId="456C7A78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Fishery-dependent data: Commercial fisheries landings by state, year and gear 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 with sample size information for length- and age-composition data...including both the number of trips and fish sampled.</w:t>
            </w:r>
            <w:r w:rsidR="002837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374D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 xml:space="preserve">MAB: For removals it is still helpful to </w:t>
            </w:r>
            <w:proofErr w:type="gramStart"/>
            <w:r w:rsidR="0028374D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>actually have</w:t>
            </w:r>
            <w:proofErr w:type="gramEnd"/>
            <w:r w:rsidR="0028374D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 xml:space="preserve"> the year range of data</w:t>
            </w:r>
            <w:r w:rsidR="00945450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 xml:space="preserve"> rather than post-2016; for </w:t>
            </w:r>
            <w:proofErr w:type="gramStart"/>
            <w:r w:rsidR="00945450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>example</w:t>
            </w:r>
            <w:proofErr w:type="gramEnd"/>
            <w:r w:rsidR="00945450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 xml:space="preserve"> are the landings through 2024 but discards through 2023?  </w:t>
            </w:r>
            <w:r w:rsidR="00F777C5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>Any difference in year range for commercial vs recreational?</w:t>
            </w:r>
            <w:r w:rsidR="00C752E0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 xml:space="preserve">  I realize now you have more detail below in the individual sectio</w:t>
            </w:r>
            <w:r w:rsidR="00661637" w:rsidRPr="00425499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lightGray"/>
              </w:rPr>
              <w:t>ns, which answered my question.</w:t>
            </w:r>
          </w:p>
        </w:tc>
      </w:tr>
      <w:tr w:rsidR="00CB2BF0" w14:paraId="73E8BA49" w14:textId="77777777" w:rsidTr="00622E57">
        <w:trPr>
          <w:trHeight w:val="84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46E8DF" w14:textId="77777777" w:rsidR="00CB2BF0" w:rsidRPr="00DE27E9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DE2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D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08C07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2. Fishery-independent data: Description of surveys used . .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Table with sample size information for length- and age-composition data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. .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including both the number of tows and fish sampled.</w:t>
            </w:r>
          </w:p>
        </w:tc>
      </w:tr>
      <w:tr w:rsidR="00CB2BF0" w14:paraId="5C2F815B" w14:textId="77777777" w:rsidTr="00622E57">
        <w:trPr>
          <w:trHeight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893E" w14:textId="77777777" w:rsidR="00CB2BF0" w:rsidRPr="00DE27E9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DE27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D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0D9C8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3. Sources used to estimate biological parameters (e.g., natural mortality) . . .</w:t>
            </w:r>
          </w:p>
        </w:tc>
      </w:tr>
      <w:tr w:rsidR="00CB2BF0" w14:paraId="50E841DF" w14:textId="77777777" w:rsidTr="00622E57">
        <w:trPr>
          <w:trHeight w:val="46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266A3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8483E" w14:textId="1C4BF38C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Data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4. Environmental or ecosystem data used.</w:t>
            </w:r>
            <w:r w:rsidR="00F305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F30520" w:rsidRPr="00590A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 xml:space="preserve">MAB: This section was missing from the document, please include it even just to say that you didn’t use any </w:t>
            </w:r>
            <w:r w:rsidR="00A367E5" w:rsidRPr="00590A07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>of this data…</w:t>
            </w:r>
          </w:p>
        </w:tc>
      </w:tr>
      <w:tr w:rsidR="00CB2BF0" w14:paraId="654A851A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3EF8F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67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E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7A4233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History of modeling approaches used for this stock.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May refer to the most recent full assessment for additional information.</w:t>
            </w:r>
          </w:p>
        </w:tc>
      </w:tr>
      <w:tr w:rsidR="00CB2BF0" w14:paraId="4CD247FB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E129D5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EC618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2. Response to most recent past STAR panel recommendations . . 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May refer to the most recent full assessment for additional information.</w:t>
            </w:r>
          </w:p>
        </w:tc>
      </w:tr>
      <w:tr w:rsidR="00CB2BF0" w14:paraId="41CF13E3" w14:textId="77777777" w:rsidTr="00622E57">
        <w:trPr>
          <w:trHeight w:val="585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204A0A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54405" w14:textId="25970C81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3. (Groundfish updates only) Response to SSC Groundfish Subcommittee recommendations from the previous assessment accepted for management</w:t>
            </w:r>
            <w:r w:rsidRPr="00D229E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</w:rPr>
              <w:t xml:space="preserve">. </w:t>
            </w:r>
            <w:commentRangeStart w:id="5"/>
            <w:r w:rsidR="00A367E5" w:rsidRPr="00D229E2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highlight w:val="cyan"/>
              </w:rPr>
              <w:t>MAB: This section should be included, as it is required in the TOR. Please let me know if you need the prior GFSC report, etc.</w:t>
            </w:r>
            <w:r w:rsidR="00A367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commentRangeEnd w:id="5"/>
            <w:r w:rsidR="00835764">
              <w:rPr>
                <w:rStyle w:val="CommentReference"/>
              </w:rPr>
              <w:commentReference w:id="5"/>
            </w:r>
          </w:p>
        </w:tc>
      </w:tr>
      <w:tr w:rsidR="00CB2BF0" w14:paraId="0687738D" w14:textId="77777777" w:rsidTr="00622E57">
        <w:trPr>
          <w:trHeight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ABB6A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4A415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4. Bridging analysis, including description of new modeling approaches and other changes from the last assessment.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May refer to the most recent full assessment for additional information.</w:t>
            </w:r>
          </w:p>
        </w:tc>
      </w:tr>
      <w:tr w:rsidR="00CB2BF0" w14:paraId="10F36692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B5D" w14:textId="77777777" w:rsidR="00CB2BF0" w:rsidRPr="00B86724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B86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E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82B8AB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5. General model specifications: assessment program, model structure, area and fleet definitions, initial conditions.</w:t>
            </w:r>
          </w:p>
        </w:tc>
      </w:tr>
      <w:tr w:rsidR="00CB2BF0" w14:paraId="403F00F2" w14:textId="77777777" w:rsidTr="00622E57">
        <w:trPr>
          <w:trHeight w:val="6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2989F" w14:textId="77777777" w:rsidR="00CB2BF0" w:rsidRPr="00B86724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</w:pPr>
            <w:r w:rsidRPr="00B867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lightGray"/>
              </w:rPr>
              <w:t>E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604B2" w14:textId="12FCFD64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6. Model parameters: estimated and fixed parameters, parameter constraints, priors, selectivity assumptions, …</w:t>
            </w:r>
          </w:p>
        </w:tc>
      </w:tr>
      <w:tr w:rsidR="00CB2BF0" w14:paraId="6B12D98E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142D6A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1F0BC2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 model selection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 1. Evidence of search for balance between model realism and parsimony . . 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for update assessments.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May refer to the most recent full assessment for additional information.</w:t>
            </w:r>
          </w:p>
        </w:tc>
      </w:tr>
      <w:tr w:rsidR="00CB2BF0" w14:paraId="6782BBFF" w14:textId="77777777" w:rsidTr="00622E57">
        <w:trPr>
          <w:trHeight w:val="100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3112BF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91475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 model evaluation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Evaluation of model parameters.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Likelihood profile for natural mortality;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Likelihood profile for steepness;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Likelihood profile for 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CB2BF0" w14:paraId="615DC5EB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30A45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DAA5E" w14:textId="3C3D864E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 model evaluation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Residual analysis, residual plots, time-series of observed and predicted values.</w:t>
            </w:r>
            <w:r w:rsidR="00A42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A42A7E" w:rsidRPr="00A42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MAB</w:t>
            </w:r>
            <w:commentRangeStart w:id="6"/>
            <w:r w:rsidR="00A42A7E" w:rsidRPr="00A42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: Is it common to cite a GitHub repository </w:t>
            </w:r>
            <w:commentRangeEnd w:id="6"/>
            <w:r w:rsidR="009B4C23">
              <w:rPr>
                <w:rStyle w:val="CommentReference"/>
              </w:rPr>
              <w:commentReference w:id="6"/>
            </w:r>
            <w:r w:rsidR="00A42A7E" w:rsidRPr="00A42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for the residual plots or should they be included in the document?  Should be a question for the SSC to consider…</w:t>
            </w:r>
          </w:p>
        </w:tc>
      </w:tr>
      <w:tr w:rsidR="00CB2BF0" w14:paraId="6CE1B37A" w14:textId="77777777" w:rsidTr="00622E57">
        <w:trPr>
          <w:trHeight w:val="675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EA62E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BA1C6F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 model evaluation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Convergence status and convergence criteria, randomization runs.</w:t>
            </w:r>
          </w:p>
        </w:tc>
      </w:tr>
      <w:tr w:rsidR="00CB2BF0" w14:paraId="469A82E9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AF3167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G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70D6A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Base-model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Table with all explicit parameters in the base model and associated SDs.</w:t>
            </w:r>
          </w:p>
        </w:tc>
      </w:tr>
      <w:tr w:rsidR="00CB2BF0" w14:paraId="1C2EC30B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CF199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D42F7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Base-model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2. Table with population numbers at age × year × sex, which may be included as a text or spreadsheet file.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*Not required in a draft assessment undergoing review.</w:t>
            </w:r>
          </w:p>
        </w:tc>
      </w:tr>
      <w:tr w:rsidR="00CB2BF0" w14:paraId="7929A9E4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FD3125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34277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Base-model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3. Table with time-series of total biomass, summary biomass, spawning biomass, depletion, recruitment, . . .</w:t>
            </w:r>
          </w:p>
        </w:tc>
      </w:tr>
      <w:tr w:rsidR="00CB2BF0" w14:paraId="1633EB0E" w14:textId="77777777" w:rsidTr="00622E57">
        <w:trPr>
          <w:trHeight w:val="2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787CA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122E0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Base-model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4.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Selectivity estimates (if not included elsewhere).</w:t>
            </w:r>
          </w:p>
        </w:tc>
      </w:tr>
      <w:tr w:rsidR="00CB2BF0" w14:paraId="59224412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CD3F57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3E2D8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Base-model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5.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Stock-recruitment relationship.</w:t>
            </w:r>
          </w:p>
        </w:tc>
      </w:tr>
      <w:tr w:rsidR="00CB2BF0" w14:paraId="7CA0089D" w14:textId="77777777" w:rsidTr="00622E57">
        <w:trPr>
          <w:trHeight w:val="315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A4AF2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39E8AD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Base-model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Clear description of units for all outputs.</w:t>
            </w:r>
          </w:p>
        </w:tc>
      </w:tr>
      <w:tr w:rsidR="00CB2BF0" w14:paraId="20B4847D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77216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083FE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Base-model results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how discard is included in yield estimates.</w:t>
            </w:r>
          </w:p>
        </w:tc>
      </w:tr>
      <w:tr w:rsidR="00CB2BF0" w14:paraId="59E3824A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B6163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E3F2BA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Sensitivity runs to evaluate assumptions about model structure.</w:t>
            </w:r>
          </w:p>
        </w:tc>
      </w:tr>
      <w:tr w:rsidR="00CB2BF0" w14:paraId="5911FB07" w14:textId="77777777" w:rsidTr="00622E57">
        <w:trPr>
          <w:trHeight w:val="5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A3DFB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F88BA5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2. Sensitivity to data set choice and weighting schemes: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removal of data sources; alternative weighting methods for compositional data.</w:t>
            </w:r>
          </w:p>
        </w:tc>
      </w:tr>
      <w:tr w:rsidR="00CB2BF0" w14:paraId="778C893A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81D54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9D490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3. Parameter uncertainty . .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Uncertainty estimates for parameters and derived quantities; basis for sigma; Likelihood profiles (tabular format) for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M,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and 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. . .</w:t>
            </w:r>
          </w:p>
        </w:tc>
      </w:tr>
      <w:tr w:rsidR="00CB2BF0" w14:paraId="3558B694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96C15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43EC3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4. Retrospective analysis, . . .</w:t>
            </w:r>
          </w:p>
        </w:tc>
      </w:tr>
      <w:tr w:rsidR="00CB2BF0" w14:paraId="1817FBB0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1096F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3AD9B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5. Historical analysis . . .</w:t>
            </w:r>
          </w:p>
        </w:tc>
      </w:tr>
      <w:tr w:rsidR="00CB2BF0" w14:paraId="3E1154C1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1F4363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90C80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6. If a range of models runs for characterizing uncertainty . . . information on their relative probability.</w:t>
            </w:r>
          </w:p>
        </w:tc>
      </w:tr>
      <w:tr w:rsidR="00CB2BF0" w14:paraId="3C9BFF20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D4A2E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386EC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7. Ranges depicting uncertainty should include at least three runs . . . for use in the decision table.</w:t>
            </w:r>
          </w:p>
        </w:tc>
      </w:tr>
      <w:tr w:rsidR="00CB2BF0" w14:paraId="2EE7C28E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73DF9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16103" w14:textId="77777777" w:rsidR="00CB2BF0" w:rsidRDefault="00CB2BF0" w:rsidP="00622E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following model runs in the table below are required.</w:t>
            </w:r>
          </w:p>
          <w:tbl>
            <w:tblPr>
              <w:tblW w:w="812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774"/>
              <w:gridCol w:w="2283"/>
              <w:gridCol w:w="1923"/>
              <w:gridCol w:w="2146"/>
            </w:tblGrid>
            <w:tr w:rsidR="00CB2BF0" w14:paraId="3EF6961D" w14:textId="77777777" w:rsidTr="00622E57">
              <w:tc>
                <w:tcPr>
                  <w:tcW w:w="1774" w:type="dxa"/>
                </w:tcPr>
                <w:p w14:paraId="5163649D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  <w:t>Parameter(s) / Issue</w:t>
                  </w:r>
                </w:p>
              </w:tc>
              <w:tc>
                <w:tcPr>
                  <w:tcW w:w="2283" w:type="dxa"/>
                </w:tcPr>
                <w:p w14:paraId="6D17C189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  <w:t>Base Model Run</w:t>
                  </w:r>
                </w:p>
              </w:tc>
              <w:tc>
                <w:tcPr>
                  <w:tcW w:w="1923" w:type="dxa"/>
                </w:tcPr>
                <w:p w14:paraId="43689131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  <w:t>Sensitivity Model Run</w:t>
                  </w:r>
                </w:p>
              </w:tc>
              <w:tc>
                <w:tcPr>
                  <w:tcW w:w="2146" w:type="dxa"/>
                </w:tcPr>
                <w:p w14:paraId="1D96D859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2"/>
                      <w:szCs w:val="22"/>
                    </w:rPr>
                    <w:t>Notes</w:t>
                  </w:r>
                </w:p>
              </w:tc>
            </w:tr>
            <w:tr w:rsidR="00CB2BF0" w14:paraId="1CD8F94A" w14:textId="77777777" w:rsidTr="00622E57">
              <w:tc>
                <w:tcPr>
                  <w:tcW w:w="1774" w:type="dxa"/>
                </w:tcPr>
                <w:p w14:paraId="14E9B0D4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Natural mortality (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) Prior</w:t>
                  </w:r>
                </w:p>
              </w:tc>
              <w:tc>
                <w:tcPr>
                  <w:tcW w:w="2283" w:type="dxa"/>
                </w:tcPr>
                <w:p w14:paraId="643163C5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Use natural mortality prior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(Hamel, 2015; Then et al. 2015). This prior is defined as a lognormal distribution with median value (corresponding to the mean in log-space) = 5.40/maximum age and log-scale sigma. Both parameters should include three significant digits.</w:t>
                  </w:r>
                </w:p>
              </w:tc>
              <w:tc>
                <w:tcPr>
                  <w:tcW w:w="1923" w:type="dxa"/>
                </w:tcPr>
                <w:p w14:paraId="55CD6398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None Required, though exploration of the Lorenzen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 for age-varying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 is recommended where appropriate.</w:t>
                  </w:r>
                </w:p>
              </w:tc>
              <w:tc>
                <w:tcPr>
                  <w:tcW w:w="2146" w:type="dxa"/>
                </w:tcPr>
                <w:p w14:paraId="43728EB1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The maximum age values on which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2"/>
                      <w:szCs w:val="22"/>
                    </w:rPr>
                    <w:t xml:space="preserve">M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priors are based should be from fish caught within the area of the assessment, not from Alaska, for example. If the prior for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2"/>
                      <w:szCs w:val="22"/>
                    </w:rPr>
                    <w:t xml:space="preserve">M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is used to provide a fixed value for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2"/>
                      <w:szCs w:val="22"/>
                    </w:rPr>
                    <w:t>M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, the fixed value should be set equal to the median value of the prior (5.40 / maximum age).</w:t>
                  </w:r>
                </w:p>
              </w:tc>
            </w:tr>
            <w:tr w:rsidR="00CB2BF0" w14:paraId="071BE3B7" w14:textId="77777777" w:rsidTr="00622E57">
              <w:tc>
                <w:tcPr>
                  <w:tcW w:w="1774" w:type="dxa"/>
                </w:tcPr>
                <w:p w14:paraId="4AE04F51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i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Age- or sex- specific </w:t>
                  </w:r>
                  <w:r>
                    <w:rPr>
                      <w:rFonts w:ascii="Times New Roman" w:eastAsia="Times New Roman" w:hAnsi="Times New Roman" w:cs="Times New Roman"/>
                      <w:i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2283" w:type="dxa"/>
                  <w:vAlign w:val="center"/>
                </w:tcPr>
                <w:p w14:paraId="1A4FC28D" w14:textId="77777777" w:rsidR="00CB2BF0" w:rsidRDefault="00CB2BF0" w:rsidP="00622E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17"/>
                    <w:jc w:val="both"/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If: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Sex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specific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2"/>
                      <w:szCs w:val="22"/>
                    </w:rPr>
                    <w:t>M</w:t>
                  </w:r>
                </w:p>
                <w:p w14:paraId="00E752D3" w14:textId="77777777" w:rsidR="00CB2BF0" w:rsidRDefault="00CB2BF0" w:rsidP="00622E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"/>
                    <w:ind w:left="119" w:right="115"/>
                    <w:jc w:val="both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1923" w:type="dxa"/>
                </w:tcPr>
                <w:p w14:paraId="45611396" w14:textId="77777777" w:rsidR="00CB2BF0" w:rsidRDefault="00CB2BF0" w:rsidP="00622E5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"/>
                    <w:ind w:left="119" w:right="115"/>
                    <w:jc w:val="both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Then: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Single </w:t>
                  </w:r>
                  <w:r>
                    <w:rPr>
                      <w:rFonts w:ascii="Times New Roman" w:eastAsia="Times New Roman" w:hAnsi="Times New Roman" w:cs="Times New Roman"/>
                      <w:i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2146" w:type="dxa"/>
                </w:tcPr>
                <w:p w14:paraId="38393E68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CB2BF0" w14:paraId="343B8670" w14:textId="77777777" w:rsidTr="00622E57">
              <w:tc>
                <w:tcPr>
                  <w:tcW w:w="1774" w:type="dxa"/>
                </w:tcPr>
                <w:p w14:paraId="53FBA557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 xml:space="preserve">Weighting of </w:t>
                  </w: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lastRenderedPageBreak/>
                    <w:t>compositional data</w:t>
                  </w:r>
                </w:p>
              </w:tc>
              <w:tc>
                <w:tcPr>
                  <w:tcW w:w="2283" w:type="dxa"/>
                </w:tcPr>
                <w:p w14:paraId="7802EDD8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lastRenderedPageBreak/>
                    <w:t>Francis (2011)</w:t>
                  </w:r>
                </w:p>
              </w:tc>
              <w:tc>
                <w:tcPr>
                  <w:tcW w:w="1923" w:type="dxa"/>
                </w:tcPr>
                <w:p w14:paraId="236B5F3F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 xml:space="preserve">McAllister and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lastRenderedPageBreak/>
                    <w:t>Ianelli (1997) harmonic mean</w:t>
                  </w:r>
                </w:p>
              </w:tc>
              <w:tc>
                <w:tcPr>
                  <w:tcW w:w="2146" w:type="dxa"/>
                </w:tcPr>
                <w:p w14:paraId="6931BD64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lastRenderedPageBreak/>
                    <w:t xml:space="preserve">STATs may also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lastRenderedPageBreak/>
                    <w:t>explore the Thorson et al. (2016) Dirichlet multinomial likelihood.</w:t>
                  </w:r>
                </w:p>
              </w:tc>
            </w:tr>
            <w:tr w:rsidR="00CB2BF0" w14:paraId="32CD9DBD" w14:textId="77777777" w:rsidTr="00622E57">
              <w:tc>
                <w:tcPr>
                  <w:tcW w:w="1774" w:type="dxa"/>
                </w:tcPr>
                <w:p w14:paraId="6AA139BF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lastRenderedPageBreak/>
                    <w:t>Selectivity</w:t>
                  </w:r>
                </w:p>
              </w:tc>
              <w:tc>
                <w:tcPr>
                  <w:tcW w:w="2283" w:type="dxa"/>
                </w:tcPr>
                <w:p w14:paraId="46314408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If: All dome shaped</w:t>
                  </w:r>
                </w:p>
              </w:tc>
              <w:tc>
                <w:tcPr>
                  <w:tcW w:w="1923" w:type="dxa"/>
                </w:tcPr>
                <w:p w14:paraId="6B0BB31B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Then: One fleet asymptotic</w:t>
                  </w:r>
                </w:p>
              </w:tc>
              <w:tc>
                <w:tcPr>
                  <w:tcW w:w="2146" w:type="dxa"/>
                </w:tcPr>
                <w:p w14:paraId="3AE30899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CB2BF0" w14:paraId="5BBCFE11" w14:textId="77777777" w:rsidTr="00622E57">
              <w:tc>
                <w:tcPr>
                  <w:tcW w:w="1774" w:type="dxa"/>
                </w:tcPr>
                <w:p w14:paraId="1529326E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Rockfish fecundity</w:t>
                  </w:r>
                </w:p>
              </w:tc>
              <w:tc>
                <w:tcPr>
                  <w:tcW w:w="2283" w:type="dxa"/>
                </w:tcPr>
                <w:p w14:paraId="68806679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Use fecundity relationships from the meta-analysis in Dick et al. (2017), at the appropriate taxonomic scale, if better species-specific relationships are not available.</w:t>
                  </w:r>
                </w:p>
              </w:tc>
              <w:tc>
                <w:tcPr>
                  <w:tcW w:w="1923" w:type="dxa"/>
                </w:tcPr>
                <w:p w14:paraId="20E818DC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None required.</w:t>
                  </w:r>
                </w:p>
              </w:tc>
              <w:tc>
                <w:tcPr>
                  <w:tcW w:w="2146" w:type="dxa"/>
                </w:tcPr>
                <w:p w14:paraId="030E6ECA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CB2BF0" w14:paraId="0C184CD4" w14:textId="77777777" w:rsidTr="00622E57">
              <w:tc>
                <w:tcPr>
                  <w:tcW w:w="1774" w:type="dxa"/>
                </w:tcPr>
                <w:p w14:paraId="7C6BC557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Rockfish steepness</w:t>
                  </w:r>
                </w:p>
              </w:tc>
              <w:tc>
                <w:tcPr>
                  <w:tcW w:w="2283" w:type="dxa"/>
                </w:tcPr>
                <w:p w14:paraId="4D7E926A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Use SSC-approved steepness prior for rockfish species in 2019 has a mean value of 0.72 and standard deviation of 0.16. If the assessment model does not estimate steepness, the STAT should fix the steepness value at 0.72.</w:t>
                  </w:r>
                </w:p>
              </w:tc>
              <w:tc>
                <w:tcPr>
                  <w:tcW w:w="1923" w:type="dxa"/>
                </w:tcPr>
                <w:p w14:paraId="0BC3D76F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None required.</w:t>
                  </w:r>
                </w:p>
              </w:tc>
              <w:tc>
                <w:tcPr>
                  <w:tcW w:w="2146" w:type="dxa"/>
                </w:tcPr>
                <w:p w14:paraId="732C7884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CB2BF0" w14:paraId="094BC38C" w14:textId="77777777" w:rsidTr="00622E57">
              <w:tc>
                <w:tcPr>
                  <w:tcW w:w="1774" w:type="dxa"/>
                </w:tcPr>
                <w:p w14:paraId="1B4811A6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Confirm convergence</w:t>
                  </w:r>
                </w:p>
              </w:tc>
              <w:tc>
                <w:tcPr>
                  <w:tcW w:w="2283" w:type="dxa"/>
                </w:tcPr>
                <w:p w14:paraId="36D9BC5C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50-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2"/>
                      <w:szCs w:val="22"/>
                    </w:rPr>
                    <w:t>100 jitter model runs with a strong preference for 100 jitter runs when feasible.</w:t>
                  </w:r>
                </w:p>
              </w:tc>
              <w:tc>
                <w:tcPr>
                  <w:tcW w:w="1923" w:type="dxa"/>
                </w:tcPr>
                <w:p w14:paraId="5A1BF1F5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  <w:t>NA</w:t>
                  </w:r>
                </w:p>
              </w:tc>
              <w:tc>
                <w:tcPr>
                  <w:tcW w:w="2146" w:type="dxa"/>
                </w:tcPr>
                <w:p w14:paraId="7D1E2A5A" w14:textId="77777777" w:rsidR="00CB2BF0" w:rsidRDefault="00CB2BF0" w:rsidP="00622E57">
                  <w:pPr>
                    <w:jc w:val="right"/>
                    <w:rPr>
                      <w:rFonts w:ascii="Times New Roman" w:eastAsia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3A998749" w14:textId="77777777" w:rsidR="00CB2BF0" w:rsidRDefault="00CB2BF0" w:rsidP="00622E57">
            <w:pPr>
              <w:widowControl/>
            </w:pPr>
          </w:p>
        </w:tc>
      </w:tr>
      <w:tr w:rsidR="00CB2BF0" w14:paraId="4E65A381" w14:textId="77777777" w:rsidTr="00622E57">
        <w:trPr>
          <w:trHeight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F7C8F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A2B8E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Reference points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Unfished spawning stock biomass, summary age biomass, . . .</w:t>
            </w:r>
          </w:p>
        </w:tc>
      </w:tr>
      <w:tr w:rsidR="00CB2BF0" w14:paraId="19453777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3E5931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071A8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Reference points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2. Reference points based on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40%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rockfish and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roundfish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on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25%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for flatfish . . .</w:t>
            </w:r>
          </w:p>
        </w:tc>
      </w:tr>
      <w:tr w:rsidR="00CB2BF0" w14:paraId="1BFF7B0E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D8668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A03C4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Reference points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3. Reference points based on SPR proxy . . .</w:t>
            </w:r>
          </w:p>
        </w:tc>
      </w:tr>
      <w:tr w:rsidR="00CB2BF0" w14:paraId="2925A218" w14:textId="77777777" w:rsidTr="00622E57">
        <w:trPr>
          <w:trHeight w:val="1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07D83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BD1A0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Reference points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4. Reference points based on MSY . . .</w:t>
            </w:r>
          </w:p>
        </w:tc>
      </w:tr>
      <w:tr w:rsidR="00CB2BF0" w14:paraId="75282108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84AB0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60A5B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Reference points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5. Equilibrium yield curve showing various 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MSY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proxies.</w:t>
            </w:r>
          </w:p>
        </w:tc>
      </w:tr>
      <w:tr w:rsidR="00CB2BF0" w14:paraId="1E873EEE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881B81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3F769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Unresolved problems and major uncertainties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Describe any special issues . . .</w:t>
            </w:r>
          </w:p>
        </w:tc>
      </w:tr>
      <w:tr w:rsidR="00CB2BF0" w14:paraId="1AF32FA8" w14:textId="77777777" w:rsidTr="00622E57">
        <w:trPr>
          <w:trHeight w:val="86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85E463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77F15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Harvest projections and decision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tables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* Decision tables not required in a draft assessment undergoing review;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however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harvest projection tables should be included for the candidate base model (with default harvest control rules and default removal assumptions).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** Not applicable to assessments rejected by a STAR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anel or withdrawn by the STAT.</w:t>
            </w:r>
          </w:p>
        </w:tc>
      </w:tr>
      <w:tr w:rsidR="00CB2BF0" w14:paraId="1D39CBB5" w14:textId="77777777" w:rsidTr="00622E57">
        <w:trPr>
          <w:trHeight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81080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E01D9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Harvest projections and decision tables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Harvest projections and decision tables should include OFL, ABC, and ACL.</w:t>
            </w:r>
          </w:p>
        </w:tc>
      </w:tr>
      <w:tr w:rsidR="00CB2BF0" w14:paraId="037B515B" w14:textId="77777777" w:rsidTr="00622E57">
        <w:trPr>
          <w:trHeight w:val="65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8AB7B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76785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Harvest projections and decision tables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2. Information presented should include biomass / spawning output, stock depletion, . . .</w:t>
            </w:r>
          </w:p>
        </w:tc>
      </w:tr>
      <w:tr w:rsidR="00CB2BF0" w14:paraId="3F3390E1" w14:textId="77777777" w:rsidTr="00622E57">
        <w:trPr>
          <w:trHeight w:val="37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ECC33C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AB0F6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Evaluation of scientific uncertainty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Sigma and how it was calculated.</w:t>
            </w:r>
          </w:p>
        </w:tc>
      </w:tr>
      <w:tr w:rsidR="00CB2BF0" w14:paraId="62AA8B36" w14:textId="77777777" w:rsidTr="00622E57">
        <w:trPr>
          <w:trHeight w:val="142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9D477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68B313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Regional management considerations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Discuss biological evidence for a regional management approach and provide the estimates of survey biomass in each management region using the standard survey index standardization software used in the assessment or the adopted allocation method. </w:t>
            </w:r>
          </w:p>
        </w:tc>
      </w:tr>
      <w:tr w:rsidR="00CB2BF0" w14:paraId="241ABE65" w14:textId="77777777" w:rsidTr="00622E57">
        <w:trPr>
          <w:trHeight w:val="43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AB7002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4CAF4" w14:textId="77777777" w:rsidR="00CB2BF0" w:rsidRDefault="00CB2BF0" w:rsidP="00622E57">
            <w:pPr>
              <w:widowControl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Research and data needs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1. Describe progress on research and data needs identified in the most recent previous assessment . . .</w:t>
            </w:r>
          </w:p>
        </w:tc>
      </w:tr>
      <w:tr w:rsidR="00CB2BF0" w14:paraId="5BC96BE2" w14:textId="77777777" w:rsidTr="00622E57">
        <w:trPr>
          <w:trHeight w:val="3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6F4AC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52500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Research and data needs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2. Describe new research &amp; data needs and priority . . .</w:t>
            </w:r>
          </w:p>
        </w:tc>
      </w:tr>
      <w:tr w:rsidR="00CB2BF0" w14:paraId="553ED338" w14:textId="77777777" w:rsidTr="00622E57">
        <w:trPr>
          <w:trHeight w:val="63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C92BE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67478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Acknowledgments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Include STAR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anel members and affiliations . .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* Not required in a draft assessment undergoing review.</w:t>
            </w:r>
          </w:p>
        </w:tc>
      </w:tr>
      <w:tr w:rsidR="00CB2BF0" w14:paraId="6BBC0B5B" w14:textId="77777777" w:rsidTr="00622E57">
        <w:trPr>
          <w:trHeight w:val="36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9EAF3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8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763C9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Literature cited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</w:tr>
      <w:tr w:rsidR="00CB2BF0" w14:paraId="00FAA530" w14:textId="77777777" w:rsidTr="00622E57">
        <w:trPr>
          <w:trHeight w:val="576"/>
        </w:trPr>
        <w:tc>
          <w:tcPr>
            <w:tcW w:w="10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80C8D22" w14:textId="77777777" w:rsidR="00CB2BF0" w:rsidRDefault="00CB2BF0" w:rsidP="00622E57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82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48F1A8F" w14:textId="77777777" w:rsidR="00CB2BF0" w:rsidRDefault="00CB2BF0" w:rsidP="00622E57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t>Auxiliary files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A list naming the required text files and any other supplementary electronic files . . .</w:t>
            </w:r>
          </w:p>
        </w:tc>
      </w:tr>
    </w:tbl>
    <w:p w14:paraId="2A9FCF9F" w14:textId="77777777" w:rsidR="00CB2BF0" w:rsidRDefault="00CB2BF0" w:rsidP="00CB2BF0">
      <w:r>
        <w:br/>
      </w:r>
    </w:p>
    <w:p w14:paraId="4FECCE8B" w14:textId="77777777" w:rsidR="00CB2BF0" w:rsidRDefault="00CB2BF0" w:rsidP="00CB2B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D29A6" w14:textId="77777777" w:rsidR="00817B81" w:rsidRDefault="00817B81"/>
    <w:sectPr w:rsidR="00817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WHITMAN Alison D * ODFW" w:date="2025-05-28T16:07:00Z" w:initials="AW">
    <w:p w14:paraId="1D4B7C3B" w14:textId="77777777" w:rsidR="00F56E59" w:rsidRDefault="00F56E59" w:rsidP="00F56E59">
      <w:pPr>
        <w:pStyle w:val="CommentText"/>
      </w:pPr>
      <w:r>
        <w:rPr>
          <w:rStyle w:val="CommentReference"/>
        </w:rPr>
        <w:annotationRef/>
      </w:r>
      <w:r>
        <w:t>This would require re-writing the tables in a different package, which might be possible but seems like a low priority.</w:t>
      </w:r>
    </w:p>
  </w:comment>
  <w:comment w:id="2" w:author="WHITMAN Alison D * ODFW" w:date="2025-05-28T20:52:00Z" w:initials="AW">
    <w:p w14:paraId="1F812D85" w14:textId="77777777" w:rsidR="002A34F3" w:rsidRDefault="002A34F3" w:rsidP="002A34F3">
      <w:pPr>
        <w:pStyle w:val="CommentText"/>
      </w:pPr>
      <w:r>
        <w:rPr>
          <w:rStyle w:val="CommentReference"/>
        </w:rPr>
        <w:annotationRef/>
      </w:r>
      <w:r>
        <w:t>Also yellowtail didn’t fix this in their versions of these tables</w:t>
      </w:r>
    </w:p>
  </w:comment>
  <w:comment w:id="3" w:author="WHITMAN Alison D * ODFW" w:date="2025-05-28T20:54:00Z" w:initials="AW">
    <w:p w14:paraId="428FC137" w14:textId="77777777" w:rsidR="008355FB" w:rsidRDefault="008355FB" w:rsidP="008355FB">
      <w:pPr>
        <w:pStyle w:val="CommentText"/>
      </w:pPr>
      <w:r>
        <w:rPr>
          <w:rStyle w:val="CommentReference"/>
        </w:rPr>
        <w:annotationRef/>
      </w:r>
      <w:r>
        <w:t>Again, I think a low priority but should be easy to address if time?</w:t>
      </w:r>
    </w:p>
  </w:comment>
  <w:comment w:id="4" w:author="WHITMAN Alison D * ODFW" w:date="2025-05-28T21:45:00Z" w:initials="AW">
    <w:p w14:paraId="3EC51282" w14:textId="77777777" w:rsidR="000C6AC4" w:rsidRDefault="000C6AC4" w:rsidP="000C6AC4">
      <w:pPr>
        <w:pStyle w:val="CommentText"/>
      </w:pPr>
      <w:r>
        <w:rPr>
          <w:rStyle w:val="CommentReference"/>
        </w:rPr>
        <w:annotationRef/>
      </w:r>
      <w:r>
        <w:t xml:space="preserve">I think this is more of a question for the SSC - we don’t do the rebuilding projections. </w:t>
      </w:r>
    </w:p>
  </w:comment>
  <w:comment w:id="5" w:author="WHITMAN Alison D * ODFW" w:date="2025-05-28T21:36:00Z" w:initials="AW">
    <w:p w14:paraId="64EE9706" w14:textId="543986E2" w:rsidR="00835764" w:rsidRDefault="00835764" w:rsidP="00835764">
      <w:pPr>
        <w:pStyle w:val="CommentText"/>
      </w:pPr>
      <w:r>
        <w:rPr>
          <w:rStyle w:val="CommentReference"/>
        </w:rPr>
        <w:annotationRef/>
      </w:r>
      <w:r>
        <w:t>Per email - don’t need this! But added section to say we didn’t.</w:t>
      </w:r>
    </w:p>
  </w:comment>
  <w:comment w:id="6" w:author="WHITMAN Alison D * ODFW" w:date="2025-05-28T21:43:00Z" w:initials="AW">
    <w:p w14:paraId="1A8C4F44" w14:textId="77777777" w:rsidR="009B4C23" w:rsidRDefault="009B4C23" w:rsidP="009B4C23">
      <w:pPr>
        <w:pStyle w:val="CommentText"/>
      </w:pPr>
      <w:r>
        <w:rPr>
          <w:rStyle w:val="CommentReference"/>
        </w:rPr>
        <w:annotationRef/>
      </w:r>
      <w:r>
        <w:t xml:space="preserve">No but we only started using these last cycle. I don’t think it is an issue - it’s a public repo.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4B7C3B" w15:done="0"/>
  <w15:commentEx w15:paraId="1F812D85" w15:paraIdParent="1D4B7C3B" w15:done="0"/>
  <w15:commentEx w15:paraId="428FC137" w15:done="0"/>
  <w15:commentEx w15:paraId="3EC51282" w15:done="0"/>
  <w15:commentEx w15:paraId="64EE9706" w15:done="0"/>
  <w15:commentEx w15:paraId="1A8C4F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EE76F5C" w16cex:dateUtc="2025-05-28T23:07:00Z"/>
  <w16cex:commentExtensible w16cex:durableId="189BB592" w16cex:dateUtc="2025-05-29T03:52:00Z"/>
  <w16cex:commentExtensible w16cex:durableId="517BF80A" w16cex:dateUtc="2025-05-29T03:54:00Z"/>
  <w16cex:commentExtensible w16cex:durableId="1A862735" w16cex:dateUtc="2025-05-29T04:45:00Z"/>
  <w16cex:commentExtensible w16cex:durableId="7F2D7E91" w16cex:dateUtc="2025-05-29T04:36:00Z"/>
  <w16cex:commentExtensible w16cex:durableId="60461FCB" w16cex:dateUtc="2025-05-29T0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4B7C3B" w16cid:durableId="3EE76F5C"/>
  <w16cid:commentId w16cid:paraId="1F812D85" w16cid:durableId="189BB592"/>
  <w16cid:commentId w16cid:paraId="428FC137" w16cid:durableId="517BF80A"/>
  <w16cid:commentId w16cid:paraId="3EC51282" w16cid:durableId="1A862735"/>
  <w16cid:commentId w16cid:paraId="64EE9706" w16cid:durableId="7F2D7E91"/>
  <w16cid:commentId w16cid:paraId="1A8C4F44" w16cid:durableId="60461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WHITMAN Alison D * ODFW">
    <w15:presenceInfo w15:providerId="AD" w15:userId="S::Alison.D.WHITMAN@odfw.oregon.gov::8b96c25d-601c-4940-b7eb-1245a7c437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F0"/>
    <w:rsid w:val="00056597"/>
    <w:rsid w:val="00074E8C"/>
    <w:rsid w:val="000C6AC4"/>
    <w:rsid w:val="000E738E"/>
    <w:rsid w:val="0028374D"/>
    <w:rsid w:val="002A34F3"/>
    <w:rsid w:val="002F057F"/>
    <w:rsid w:val="00425499"/>
    <w:rsid w:val="004308FF"/>
    <w:rsid w:val="005213F2"/>
    <w:rsid w:val="00551683"/>
    <w:rsid w:val="00552FA9"/>
    <w:rsid w:val="00590A07"/>
    <w:rsid w:val="00661637"/>
    <w:rsid w:val="0069397A"/>
    <w:rsid w:val="006A595B"/>
    <w:rsid w:val="00816E5E"/>
    <w:rsid w:val="00817B81"/>
    <w:rsid w:val="008355FB"/>
    <w:rsid w:val="00835764"/>
    <w:rsid w:val="00870800"/>
    <w:rsid w:val="00907945"/>
    <w:rsid w:val="00945450"/>
    <w:rsid w:val="009B4C23"/>
    <w:rsid w:val="00A11DA4"/>
    <w:rsid w:val="00A367E5"/>
    <w:rsid w:val="00A42A7E"/>
    <w:rsid w:val="00A452BE"/>
    <w:rsid w:val="00AB184B"/>
    <w:rsid w:val="00B25CED"/>
    <w:rsid w:val="00B53188"/>
    <w:rsid w:val="00B6146D"/>
    <w:rsid w:val="00B86724"/>
    <w:rsid w:val="00BC012E"/>
    <w:rsid w:val="00BE0156"/>
    <w:rsid w:val="00C3640D"/>
    <w:rsid w:val="00C752E0"/>
    <w:rsid w:val="00CB2BF0"/>
    <w:rsid w:val="00CD28DB"/>
    <w:rsid w:val="00D229E2"/>
    <w:rsid w:val="00D72FE9"/>
    <w:rsid w:val="00DE27E9"/>
    <w:rsid w:val="00E13910"/>
    <w:rsid w:val="00E302D1"/>
    <w:rsid w:val="00EB6D9B"/>
    <w:rsid w:val="00EC7386"/>
    <w:rsid w:val="00EE6B17"/>
    <w:rsid w:val="00F30520"/>
    <w:rsid w:val="00F56E59"/>
    <w:rsid w:val="00F777C5"/>
    <w:rsid w:val="00F81BF7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9A7E"/>
  <w15:chartTrackingRefBased/>
  <w15:docId w15:val="{B1470A09-1891-476C-B16A-00186C0C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color w:val="000000"/>
        <w:kern w:val="2"/>
        <w:sz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BF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Arial" w:hAnsi="Arial"/>
      <w:color w:val="auto"/>
      <w:kern w:val="0"/>
      <w:sz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BF0"/>
    <w:pPr>
      <w:keepNext/>
      <w:keepLines/>
      <w:widowControl/>
      <w:autoSpaceDE/>
      <w:autoSpaceDN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F0"/>
    <w:pPr>
      <w:keepNext/>
      <w:keepLines/>
      <w:widowControl/>
      <w:autoSpaceDE/>
      <w:autoSpaceDN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B2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F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F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F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F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F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F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F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BF0"/>
    <w:pPr>
      <w:widowControl/>
      <w:autoSpaceDE/>
      <w:autoSpaceDN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B2BF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F0"/>
    <w:pPr>
      <w:widowControl/>
      <w:numPr>
        <w:ilvl w:val="1"/>
      </w:numPr>
      <w:autoSpaceDE/>
      <w:autoSpaceDN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B2BF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BF0"/>
    <w:pPr>
      <w:widowControl/>
      <w:autoSpaceDE/>
      <w:autoSpaceDN/>
      <w:adjustRightInd/>
      <w:spacing w:before="160" w:after="160" w:line="259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B2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F0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Times New Roman" w:eastAsiaTheme="minorHAnsi" w:hAnsi="Times New Roman"/>
      <w:color w:val="00000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B2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F0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adjustRightInd/>
      <w:spacing w:before="360" w:after="360" w:line="259" w:lineRule="auto"/>
      <w:ind w:left="864" w:right="864"/>
      <w:jc w:val="center"/>
    </w:pPr>
    <w:rPr>
      <w:rFonts w:ascii="Times New Roman" w:eastAsiaTheme="minorHAnsi" w:hAnsi="Times New Roman"/>
      <w:i/>
      <w:iCs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F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6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E59"/>
  </w:style>
  <w:style w:type="character" w:customStyle="1" w:styleId="CommentTextChar">
    <w:name w:val="Comment Text Char"/>
    <w:basedOn w:val="DefaultParagraphFont"/>
    <w:link w:val="CommentText"/>
    <w:uiPriority w:val="99"/>
    <w:rsid w:val="00F56E59"/>
    <w:rPr>
      <w:rFonts w:ascii="Arial" w:eastAsia="Arial" w:hAnsi="Arial"/>
      <w:color w:val="auto"/>
      <w:kern w:val="0"/>
      <w:sz w:val="20"/>
      <w:lang w:eastAsia="ja-JP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E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E59"/>
    <w:rPr>
      <w:rFonts w:ascii="Arial" w:eastAsia="Arial" w:hAnsi="Arial"/>
      <w:b/>
      <w:bCs/>
      <w:color w:val="auto"/>
      <w:kern w:val="0"/>
      <w:sz w:val="2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9b73270-2993-4076-be47-9c78f42a1e84}" enabled="1" method="Privileged" siteId="{aa3f6932-fa7c-47b4-a0ce-a598cad161c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6</Pages>
  <Words>1884</Words>
  <Characters>10744</Characters>
  <Application>Microsoft Office Word</Application>
  <DocSecurity>0</DocSecurity>
  <Lines>89</Lines>
  <Paragraphs>25</Paragraphs>
  <ScaleCrop>false</ScaleCrop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Bellman</dc:creator>
  <cp:keywords/>
  <dc:description/>
  <cp:lastModifiedBy>WHITMAN Alison D * ODFW</cp:lastModifiedBy>
  <cp:revision>14</cp:revision>
  <dcterms:created xsi:type="dcterms:W3CDTF">2025-05-28T23:08:00Z</dcterms:created>
  <dcterms:modified xsi:type="dcterms:W3CDTF">2025-05-29T04:45:00Z</dcterms:modified>
</cp:coreProperties>
</file>