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24"/>
        </w:rPr>
        <w:t>Nota de análise: Processo ANM 48071.846234/2020-41 (RL 13/2022, Coremas/PB)</w:t>
      </w:r>
    </w:p>
    <w:p>
      <w:pPr>
        <w:spacing w:before="280"/>
        <w:pBdr>
          <w:bottom w:val="single" w:sz="8" w:color="B8860B" w:space="1"/>
        </w:pBdr>
      </w:pPr>
      <w:r>
        <w:rPr>
          <w:b/>
          <w:color w:val="1F2A44"/>
          <w:sz w:val="24"/>
        </w:rPr>
        <w:t>1. DECISÃO ATACADA</w:t>
      </w:r>
    </w:p>
    <w:p>
      <w:pPr>
        <w:pStyle w:val="ListBullet"/>
      </w:pPr>
      <w:r>
        <w:rPr>
          <w:b/>
        </w:rPr>
        <w:t>Despacho nº 145777/COROUT-RN/PB/SE/AL/ANM/2026</w:t>
      </w:r>
      <w:r>
        <w:rPr>
          <w:b w:val="0"/>
        </w:rPr>
        <w:t xml:space="preserve"> (11/09/2026, Gerente Regional ANM/PB): nega anuência à cessão total do RL 13/2022.</w:t>
      </w:r>
    </w:p>
    <w:p>
      <w:pPr>
        <w:pStyle w:val="ListBullet"/>
      </w:pPr>
      <w:r>
        <w:rPr>
          <w:b w:val="0"/>
        </w:rPr>
        <w:t>Fundamento único: Formulário SEI 20679477. O cedente (CNPJ 39.311.757/0001-31) consta como baixado desde 24/05/2022. A decisão aplica o art. 8º da OS 599/2025, que trata da "ausência de capacidade jurídica do cedente".</w:t>
      </w:r>
    </w:p>
    <w:p>
      <w:pPr>
        <w:pStyle w:val="ListBullet"/>
      </w:pPr>
      <w:r>
        <w:rPr>
          <w:b w:val="0"/>
        </w:rPr>
        <w:t xml:space="preserve">Todos os demais itens do art. 236 da Portaria 155/2016 foram marcados </w:t>
      </w:r>
      <w:r>
        <w:rPr>
          <w:b/>
        </w:rPr>
        <w:t>SIM</w:t>
      </w:r>
      <w:r>
        <w:rPr>
          <w:b w:val="0"/>
        </w:rPr>
        <w:t xml:space="preserve"> pelo analista.</w:t>
      </w:r>
    </w:p>
    <w:p>
      <w:pPr>
        <w:spacing w:before="280"/>
        <w:pBdr>
          <w:bottom w:val="single" w:sz="8" w:color="B8860B" w:space="1"/>
        </w:pBdr>
      </w:pPr>
      <w:r>
        <w:rPr>
          <w:b/>
          <w:color w:val="1F2A44"/>
          <w:sz w:val="24"/>
        </w:rPr>
        <w:t>2. TESES DO RECURSO (EM ORDEM DE FORÇA)</w:t>
      </w:r>
    </w:p>
    <w:p>
      <w:pPr>
        <w:spacing w:line="360" w:lineRule="auto"/>
        <w:jc w:val="both"/>
      </w:pPr>
      <w:r>
        <w:rPr>
          <w:b w:val="0"/>
        </w:rPr>
        <w:t xml:space="preserve">1. </w:t>
      </w:r>
      <w:r>
        <w:rPr>
          <w:b/>
        </w:rPr>
        <w:t>Erro de premissa.</w:t>
      </w:r>
      <w:r>
        <w:rPr>
          <w:b w:val="0"/>
        </w:rPr>
        <w:t xml:space="preserve"> O cedente é </w:t>
      </w:r>
      <w:r>
        <w:rPr>
          <w:b/>
        </w:rPr>
        <w:t>Empresário Individual (213-5)</w:t>
      </w:r>
      <w:r>
        <w:rPr>
          <w:b w:val="0"/>
        </w:rPr>
        <w:t>, conforme o Cartão CNPJ juntado pela própria ANM, e não pessoa jurídica. É a própria pessoa natural (arts. 44, 966 e 968 do CC; STJ REsp 1.355.000/SP e REsp 594.832/RO). A baixa do CNPJ não extingue a capacidade (arts. 1º e 6º do CC).</w:t>
      </w:r>
    </w:p>
    <w:p>
      <w:pPr>
        <w:spacing w:line="360" w:lineRule="auto"/>
        <w:jc w:val="both"/>
      </w:pPr>
      <w:r>
        <w:rPr>
          <w:b w:val="0"/>
        </w:rPr>
        <w:t xml:space="preserve">2. </w:t>
      </w:r>
      <w:r>
        <w:rPr>
          <w:b/>
        </w:rPr>
        <w:t>Comportamento contraditório da ANM.</w:t>
      </w:r>
      <w:r>
        <w:rPr>
          <w:b w:val="0"/>
        </w:rPr>
        <w:t xml:space="preserve"> O título foi </w:t>
      </w:r>
      <w:r>
        <w:rPr>
          <w:b/>
        </w:rPr>
        <w:t>outorgado em 08/07/2022 (DOU 18/07/2022), depois da baixa</w:t>
      </w:r>
      <w:r>
        <w:rPr>
          <w:b w:val="0"/>
        </w:rPr>
        <w:t>. O formulário diz que o direito está "em vigor" e manda manter a área "em nome do CEDENTE".</w:t>
      </w:r>
    </w:p>
    <w:p>
      <w:pPr>
        <w:spacing w:line="360" w:lineRule="auto"/>
        <w:jc w:val="both"/>
      </w:pPr>
      <w:r>
        <w:rPr>
          <w:b w:val="0"/>
        </w:rPr>
        <w:t xml:space="preserve">3. A </w:t>
      </w:r>
      <w:r>
        <w:rPr>
          <w:b/>
        </w:rPr>
        <w:t>OS 599/2025</w:t>
      </w:r>
      <w:r>
        <w:rPr>
          <w:b w:val="0"/>
        </w:rPr>
        <w:t>, ato interno, não pode ampliar restrição para além de sua razão, que é a pessoa jurídica extinta.</w:t>
      </w:r>
    </w:p>
    <w:p>
      <w:pPr>
        <w:spacing w:line="360" w:lineRule="auto"/>
        <w:jc w:val="both"/>
      </w:pPr>
      <w:r>
        <w:rPr>
          <w:b w:val="0"/>
        </w:rPr>
        <w:t xml:space="preserve">4. </w:t>
      </w:r>
      <w:r>
        <w:rPr>
          <w:b/>
        </w:rPr>
        <w:t>Ato vinculado</w:t>
      </w:r>
      <w:r>
        <w:rPr>
          <w:b w:val="0"/>
        </w:rPr>
        <w:t>: todos os requisitos do art. 236 estão cumpridos.</w:t>
      </w:r>
    </w:p>
    <w:p>
      <w:pPr>
        <w:spacing w:line="360" w:lineRule="auto"/>
        <w:jc w:val="both"/>
      </w:pPr>
      <w:r>
        <w:rPr>
          <w:b w:val="0"/>
        </w:rPr>
        <w:t xml:space="preserve">5. </w:t>
      </w:r>
      <w:r>
        <w:rPr>
          <w:b/>
        </w:rPr>
        <w:t>Subsidiárias</w:t>
      </w:r>
      <w:r>
        <w:rPr>
          <w:b w:val="0"/>
        </w:rPr>
        <w:t>: atualização cadastral, fungibilidade para a "averbação de transferência" (a própria OS, art. 8º, parágrafo único), exigência pelo art. 249 antes de indeferir.</w:t>
      </w:r>
    </w:p>
    <w:p>
      <w:pPr>
        <w:spacing w:line="360" w:lineRule="auto"/>
        <w:jc w:val="both"/>
      </w:pPr>
      <w:r>
        <w:rPr>
          <w:b w:val="0"/>
        </w:rPr>
        <w:t xml:space="preserve">6. </w:t>
      </w:r>
      <w:r>
        <w:rPr>
          <w:b/>
        </w:rPr>
        <w:t>LINDB, arts. 20 e 21</w:t>
      </w:r>
      <w:r>
        <w:rPr>
          <w:b w:val="0"/>
        </w:rPr>
        <w:t xml:space="preserve">, e </w:t>
      </w:r>
      <w:r>
        <w:rPr>
          <w:b/>
        </w:rPr>
        <w:t>motivação insuficiente</w:t>
      </w:r>
      <w:r>
        <w:rPr>
          <w:b w:val="0"/>
        </w:rPr>
        <w:t xml:space="preserve"> (art. 50 da Lei 9.784/99).</w:t>
      </w:r>
    </w:p>
    <w:p>
      <w:pPr>
        <w:spacing w:before="280"/>
        <w:pBdr>
          <w:bottom w:val="single" w:sz="8" w:color="B8860B" w:space="1"/>
        </w:pBdr>
      </w:pPr>
      <w:r>
        <w:rPr>
          <w:b/>
          <w:color w:val="1F2A44"/>
          <w:sz w:val="24"/>
        </w:rPr>
        <w:t>3. ⚠️ URGENTE: PRAZO</w:t>
      </w:r>
    </w:p>
    <w:p>
      <w:pPr>
        <w:pStyle w:val="ListBullet"/>
      </w:pPr>
      <w:r>
        <w:rPr>
          <w:b w:val="0"/>
        </w:rPr>
        <w:t xml:space="preserve">Regra geral: </w:t>
      </w:r>
      <w:r>
        <w:rPr>
          <w:b/>
        </w:rPr>
        <w:t>10 dias</w:t>
      </w:r>
      <w:r>
        <w:rPr>
          <w:b w:val="0"/>
        </w:rPr>
        <w:t xml:space="preserve"> a partir da ciência ou da divulgação oficial (art. 59 da Lei 9.784/99). O Regimento Interno da ANM (Res. ANM 211/2025, art. 58, segundo fonte secundária) segue a mesma regra.</w:t>
      </w:r>
    </w:p>
    <w:p>
      <w:pPr>
        <w:pStyle w:val="ListBullet"/>
      </w:pPr>
      <w:r>
        <w:rPr>
          <w:b w:val="0"/>
        </w:rPr>
        <w:t xml:space="preserve">Os ofícios foram assinados em 11/09/2026 e enviados pelos Correios (SEI 20814897/20815139). A publicação no DOU estava "a ser publicada". </w:t>
      </w:r>
      <w:r>
        <w:rPr>
          <w:b/>
        </w:rPr>
        <w:t>Hoje é 28/09/2026. O prazo pode estar vencendo agora.</w:t>
      </w:r>
      <w:r>
        <w:rPr>
          <w:b w:val="0"/>
        </w:rPr>
        <w:t xml:space="preserve"> Confirme a data do AR e da publicação no DOU e protocole imediatamente pelo Protocolo Digital da ANM.</w:t>
      </w:r>
    </w:p>
    <w:p>
      <w:pPr>
        <w:pStyle w:val="ListBullet"/>
      </w:pPr>
      <w:r>
        <w:rPr>
          <w:b w:val="0"/>
        </w:rPr>
        <w:t>Se o prazo já tiver vencido, protocole do mesmo jeito: o art. 63, § 2º, da Lei 9.784/99 permite a revisão de ofício de ato ilegal. Em paralelo, vale protocolar o pedido autônomo de "Averbação de Transferência" que a própria OS indica.</w:t>
      </w:r>
    </w:p>
    <w:p>
      <w:pPr>
        <w:spacing w:before="280"/>
        <w:pBdr>
          <w:bottom w:val="single" w:sz="8" w:color="B8860B" w:space="1"/>
        </w:pBdr>
      </w:pPr>
      <w:r>
        <w:rPr>
          <w:b/>
          <w:color w:val="1F2A44"/>
          <w:sz w:val="24"/>
        </w:rPr>
        <w:t>4. PONTOS A CONFERIR ANTES DE PROTOCOLAR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2A44"/>
          </w:tcPr>
          <w:p>
            <w:r/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fill="1F2A44"/>
          </w:tcPr>
          <w:p>
            <w:r/>
            <w:r>
              <w:rPr>
                <w:b w:val="0"/>
                <w:color w:val="FFFFFF"/>
                <w:sz w:val="18"/>
              </w:rPr>
              <w:t>Ponto</w:t>
            </w:r>
          </w:p>
        </w:tc>
        <w:tc>
          <w:tcPr>
            <w:tcW w:type="dxa" w:w="3135"/>
            <w:shd w:val="clear" w:fill="1F2A44"/>
          </w:tcPr>
          <w:p>
            <w:r/>
            <w:r>
              <w:rPr>
                <w:b w:val="0"/>
                <w:color w:val="FFFFFF"/>
                <w:sz w:val="18"/>
              </w:rPr>
              <w:t>Por que importa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Natureza jurídica do CNPJ 63.576.452/0001-36</w:t>
            </w:r>
            <w:r>
              <w:rPr>
                <w:b w:val="0"/>
                <w:sz w:val="18"/>
              </w:rPr>
              <w:t xml:space="preserve"> (EI ou SLU)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Se for EI, vale a tese de "mesma pessoa / atualização cadastral" (5.5.a). Se for SLU, retire o trecho marcado e mantenha a tese de capacidade do cedente.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 xml:space="preserve">Texto integral da </w:t>
            </w:r>
            <w:r>
              <w:rPr>
                <w:b/>
                <w:sz w:val="18"/>
              </w:rPr>
              <w:t>OS 599/2025</w:t>
            </w:r>
            <w:r>
              <w:rPr>
                <w:b w:val="0"/>
                <w:sz w:val="18"/>
              </w:rPr>
              <w:t xml:space="preserve"> (ANMlegis)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O site não abriu deste ambiente. A peça só cita os arts. 8º e 9º, conforme transcritos nos autos.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Autoridade superior (SOT) e art. 58 do Regimento (Res. ANM 211/2025)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 xml:space="preserve">Estão marcados como </w:t>
            </w:r>
            <w:r>
              <w:rPr>
                <w:b/>
                <w:sz w:val="18"/>
                <w:highlight w:val="yellow"/>
              </w:rPr>
              <w:t>[CONFERIR]</w:t>
            </w:r>
            <w:r>
              <w:rPr>
                <w:b w:val="0"/>
                <w:sz w:val="18"/>
              </w:rPr>
              <w:t xml:space="preserve"> na peça.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Ementas dos REsp 1.355.000/SP e 594.832/RO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 xml:space="preserve">Estão citadas de memória e marcadas como </w:t>
            </w:r>
            <w:r>
              <w:rPr>
                <w:b/>
                <w:sz w:val="18"/>
                <w:highlight w:val="yellow"/>
              </w:rPr>
              <w:t>[CONFERIR EMENTA]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Conteúdo do Requerimento SEI 20632435 (17/08/2026) e da Justificativa 18728341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São imagens e não saíram na extração do texto. Verifique se não há alegação incompatível com a peça.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Prazo da nova licença municipal (SEI 18728331)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Define o vencimento do título averbado.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 xml:space="preserve">Situação da </w:t>
            </w:r>
            <w:r>
              <w:rPr>
                <w:b/>
                <w:sz w:val="18"/>
              </w:rPr>
              <w:t>licença ambiental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8"/>
              </w:rPr>
              <w:t>A LI 1412/2021 venceu em 21/07/2022. Verifique se houve renovação, porque a extração depende dela (item III do RL).</w:t>
            </w:r>
          </w:p>
        </w:tc>
      </w:tr>
    </w:tbl>
    <w:p/>
    <w:p>
      <w:pPr>
        <w:spacing w:before="280"/>
        <w:pBdr>
          <w:bottom w:val="single" w:sz="8" w:color="B8860B" w:space="1"/>
        </w:pBdr>
      </w:pPr>
      <w:r>
        <w:rPr>
          <w:b/>
          <w:color w:val="1F2A44"/>
          <w:sz w:val="24"/>
        </w:rPr>
        <w:t>5. RISCO ESTRATÉGICO</w:t>
      </w:r>
    </w:p>
    <w:p>
      <w:pPr>
        <w:spacing w:line="360" w:lineRule="auto"/>
        <w:jc w:val="both"/>
      </w:pPr>
      <w:r>
        <w:rPr>
          <w:b w:val="0"/>
        </w:rPr>
        <w:t xml:space="preserve">A tese 2 lembra que o título foi outorgado depois da baixa do CNPJ. O art. 54 da Lei 9.784/99 dá à Administração 5 anos para anular seus atos, e esse prazo, contado da publicação em 18/07/2022, só termina em </w:t>
      </w:r>
      <w:r>
        <w:rPr>
          <w:b/>
        </w:rPr>
        <w:t>18/07/2027</w:t>
      </w:r>
      <w:r>
        <w:rPr>
          <w:b w:val="0"/>
        </w:rPr>
        <w:t>. Em tese, a ANM poderia reagir revendo a própria outorga. A tese 1 (EI = pessoa natural) neutraliza esse risco, porque torna a outorga válida. Por isso as duas teses precisam andar juntas. Se preferir uma abordagem mais conservadora, reduza o destaque da tese 2.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