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24"/>
        </w:rPr>
        <w:t>ILUSTRÍSSIMO SENHOR GERENTE REGIONAL DA AGÊNCIA NACIONAL DE MINERAÇÃO NO ESTADO DA PARAÍBA (ANM/PB)</w:t>
      </w:r>
    </w:p>
    <w:p>
      <w:pPr>
        <w:spacing w:line="360" w:lineRule="auto"/>
        <w:jc w:val="both"/>
      </w:pPr>
      <w:r>
        <w:rPr>
          <w:b/>
        </w:rPr>
        <w:t>Processo SEI nº 48071.846234/2020-41 (ANM nº 846.234/2020)</w:t>
      </w:r>
    </w:p>
    <w:p>
      <w:pPr>
        <w:spacing w:line="360" w:lineRule="auto"/>
        <w:jc w:val="both"/>
      </w:pPr>
      <w:r>
        <w:rPr>
          <w:b/>
        </w:rPr>
        <w:t>Título: Registro de Licença nº 13/2022, Gerência Regional/PB (DOU de 18/07/2022)</w:t>
      </w:r>
    </w:p>
    <w:p>
      <w:pPr>
        <w:spacing w:line="360" w:lineRule="auto"/>
        <w:jc w:val="both"/>
      </w:pPr>
      <w:r>
        <w:rPr>
          <w:b/>
        </w:rPr>
        <w:t>Decisão recorrida: Despacho nº 145777/COROUT-RN/PB/SE/AL/ANM/2026, comunicado pelos Ofícios nº 43577/2026 e nº 46467/2026</w:t>
      </w:r>
    </w:p>
    <w:p>
      <w:pPr>
        <w:spacing w:line="360" w:lineRule="auto"/>
        <w:jc w:val="both"/>
      </w:pPr>
      <w:r>
        <w:rPr>
          <w:b/>
        </w:rPr>
        <w:t>Com pedido de reconsideração (art. 56, § 1º, da Lei nº 9.784/1999) e de efeito suspensivo (art. 61, parágrafo único)</w:t>
      </w:r>
    </w:p>
    <w:p>
      <w:pPr>
        <w:spacing w:line="360" w:lineRule="auto"/>
        <w:jc w:val="both"/>
      </w:pPr>
      <w:r>
        <w:rPr>
          <w:b/>
        </w:rPr>
        <w:t>MARIA DO SOCORRO DE SANTANA</w:t>
      </w:r>
      <w:r>
        <w:rPr>
          <w:b w:val="0"/>
        </w:rPr>
        <w:t xml:space="preserve">, brasileira, [ESTADO CIVIL], empresária, inscrita no CPF sob o nº </w:t>
      </w:r>
      <w:r>
        <w:rPr>
          <w:b/>
          <w:highlight w:val="yellow"/>
        </w:rPr>
        <w:t>[INSERIR CPF]</w:t>
      </w:r>
      <w:r>
        <w:rPr>
          <w:b w:val="0"/>
        </w:rPr>
        <w:t xml:space="preserve">, residente e domiciliada no Sítio Diogo, s/n, Zona Rural, Coremas/PB, CEP 58.770-000, titular do Registro de Licença nº 13/2022 (processo inscrito na ANM sob o empresário individual de CNPJ nº 39.311.757/0001-31) e titular do empresário individual cessionário </w:t>
      </w:r>
      <w:r>
        <w:rPr>
          <w:b/>
        </w:rPr>
        <w:t>MARIA DO S DE SANTANA</w:t>
      </w:r>
      <w:r>
        <w:rPr>
          <w:b w:val="0"/>
        </w:rPr>
        <w:t xml:space="preserve">, CNPJ nº 63.576.452/0001-36 </w:t>
      </w:r>
      <w:r>
        <w:rPr>
          <w:b/>
          <w:highlight w:val="yellow"/>
        </w:rPr>
        <w:t>[CONFERIR NATUREZA JURÍDICA DO CNPJ 63.576.452/0001-36: EMPRESÁRIO INDIVIDUAL (213-5) OU SLU]</w:t>
      </w:r>
      <w:r>
        <w:rPr>
          <w:b w:val="0"/>
        </w:rPr>
        <w:t xml:space="preserve">, por seu advogado (instrumento de mandato anexo), com escritório na [ENDEREÇO DO ESCRITÓRIO], onde recebe intimações, vem, respeitosamente, com fundamento nos arts. 56 a 64 da Lei nº 9.784/1999 e no </w:t>
      </w:r>
      <w:r>
        <w:rPr>
          <w:b/>
          <w:highlight w:val="yellow"/>
        </w:rPr>
        <w:t>[CONFERIR: art. 58 do Regimento Interno da ANM, Resolução ANM nº 211/2025]</w:t>
      </w:r>
      <w:r>
        <w:rPr>
          <w:b w:val="0"/>
        </w:rPr>
        <w:t>, interpor</w:t>
      </w:r>
    </w:p>
    <w:p>
      <w:pPr>
        <w:spacing w:before="280"/>
        <w:jc w:val="center"/>
        <w:pBdr>
          <w:bottom w:val="single" w:sz="8" w:color="B8860B" w:space="1"/>
        </w:pBdr>
      </w:pPr>
      <w:r>
        <w:rPr>
          <w:b/>
          <w:color w:val="1F2A44"/>
          <w:sz w:val="24"/>
        </w:rPr>
        <w:t>RECURSO ADMINISTRATIVO</w:t>
      </w:r>
    </w:p>
    <w:p>
      <w:pPr>
        <w:spacing w:line="360" w:lineRule="auto"/>
        <w:jc w:val="both"/>
      </w:pPr>
      <w:r>
        <w:rPr>
          <w:b w:val="0"/>
        </w:rPr>
        <w:t xml:space="preserve">contra a decisão que </w:t>
      </w:r>
      <w:r>
        <w:rPr>
          <w:b/>
        </w:rPr>
        <w:t>negou anuência à cessão total do Registro de Licença nº 13/2022</w:t>
      </w:r>
      <w:r>
        <w:rPr>
          <w:b w:val="0"/>
        </w:rPr>
        <w:t>, pelas razões de fato e de direito a seguir expostas.</w:t>
      </w:r>
    </w:p>
    <w:p>
      <w:pPr>
        <w:spacing w:before="280"/>
        <w:pBdr>
          <w:bottom w:val="single" w:sz="8" w:color="B8860B" w:space="1"/>
        </w:pBdr>
      </w:pPr>
      <w:r>
        <w:rPr>
          <w:b/>
          <w:color w:val="1F2A44"/>
          <w:sz w:val="24"/>
        </w:rPr>
        <w:t>1. SÍNTESE DO RECURSO</w:t>
      </w:r>
    </w:p>
    <w:p>
      <w:pPr>
        <w:spacing w:line="360" w:lineRule="auto"/>
        <w:jc w:val="both"/>
      </w:pPr>
      <w:r>
        <w:rPr>
          <w:b w:val="0"/>
        </w:rPr>
        <w:t>A ANM negou a cessão por um único motivo: o CNPJ do cedente estaria baixado desde 24/05/2022, o que, segundo o art. 8º da Ordem de Serviço nº 599/2025, revelaria "ausência de capacidade jurídica do cedente para a prática do ato".</w:t>
      </w:r>
    </w:p>
    <w:p>
      <w:pPr>
        <w:spacing w:line="360" w:lineRule="auto"/>
        <w:jc w:val="both"/>
      </w:pPr>
      <w:r>
        <w:rPr>
          <w:b w:val="0"/>
        </w:rPr>
        <w:t xml:space="preserve">A premissa está errada. O cedente não é pessoa jurídica. O Cartão CNPJ juntado pela própria ANM (SEI 20679960) registra a natureza jurídica </w:t>
      </w:r>
      <w:r>
        <w:rPr>
          <w:b/>
        </w:rPr>
        <w:t>"213-5 - Empresário (Individual)"</w:t>
      </w:r>
      <w:r>
        <w:rPr>
          <w:b w:val="0"/>
        </w:rPr>
        <w:t>. Empresário individual é a própria pessoa natural. A baixa de sua inscrição fiscal não extingue a pessoa, não retira sua capacidade civil e não transfere a ninguém os direitos que ela titulariza.</w:t>
      </w:r>
    </w:p>
    <w:p>
      <w:pPr>
        <w:spacing w:line="360" w:lineRule="auto"/>
        <w:jc w:val="both"/>
      </w:pPr>
      <w:r>
        <w:rPr>
          <w:b w:val="0"/>
        </w:rPr>
        <w:t xml:space="preserve">Tanto é assim que a própria ANM outorgou o Registro de Licença nº 13/2022 em </w:t>
      </w:r>
      <w:r>
        <w:rPr>
          <w:b/>
        </w:rPr>
        <w:t>08/07/2022</w:t>
      </w:r>
      <w:r>
        <w:rPr>
          <w:b w:val="0"/>
        </w:rPr>
        <w:t xml:space="preserve">, publicado em </w:t>
      </w:r>
      <w:r>
        <w:rPr>
          <w:b/>
        </w:rPr>
        <w:t>18/07/2022</w:t>
      </w:r>
      <w:r>
        <w:rPr>
          <w:b w:val="0"/>
        </w:rPr>
        <w:t xml:space="preserve">, quase dois meses </w:t>
      </w:r>
      <w:r>
        <w:rPr>
          <w:b/>
        </w:rPr>
        <w:t>depois</w:t>
      </w:r>
      <w:r>
        <w:rPr>
          <w:b w:val="0"/>
        </w:rPr>
        <w:t xml:space="preserve"> da baixa do CNPJ. No formulário que fundamenta o indeferimento, atestou ainda que o direito minerário está "em vigor" e que a área deve continuar "em nome do CEDENTE". A Administração não pode reconhecer que a titular existe e detém o direito e, no mesmo ato, negar que ela tenha capacidade para dispor dele.</w:t>
      </w:r>
    </w:p>
    <w:p>
      <w:pPr>
        <w:spacing w:line="360" w:lineRule="auto"/>
        <w:jc w:val="both"/>
      </w:pPr>
      <w:r>
        <w:rPr>
          <w:b w:val="0"/>
        </w:rPr>
        <w:t>Todos os demais requisitos do art. 236 da Consolidação Normativa (Portaria DNPM nº 155/2016) foram marcados como cumpridos pelo próprio analista. Afastado o equívoco, a anuência é devida.</w:t>
      </w:r>
    </w:p>
    <w:p>
      <w:pPr>
        <w:spacing w:before="280"/>
        <w:pBdr>
          <w:bottom w:val="single" w:sz="8" w:color="B8860B" w:space="1"/>
        </w:pBdr>
      </w:pPr>
      <w:r>
        <w:rPr>
          <w:b/>
          <w:color w:val="1F2A44"/>
          <w:sz w:val="24"/>
        </w:rPr>
        <w:t>2. DA TEMPESTIVIDADE E DO CABIMENTO</w:t>
      </w:r>
    </w:p>
    <w:p>
      <w:pPr>
        <w:spacing w:line="360" w:lineRule="auto"/>
        <w:jc w:val="both"/>
      </w:pPr>
      <w:r>
        <w:rPr>
          <w:b w:val="0"/>
        </w:rPr>
        <w:t>O recurso é cabível contra decisão administrativa, em face de razões de legalidade e de mérito (art. 56 da Lei nº 9.784/1999). Dirige-se à autoridade que proferiu a decisão, a qual, se não a reconsiderar no prazo de 5 (cinco) dias, o encaminhará à autoridade superior (art. 56, § 1º).</w:t>
      </w:r>
    </w:p>
    <w:p>
      <w:pPr>
        <w:spacing w:line="360" w:lineRule="auto"/>
        <w:jc w:val="both"/>
      </w:pPr>
      <w:r>
        <w:rPr>
          <w:b w:val="0"/>
        </w:rPr>
        <w:t xml:space="preserve">A decisão foi assinada em 11/09/2026 e comunicada à recorrente pelos Ofícios nº 43577/2026 e nº 46467/2026, remetidos por via postal (SEI 20814897 e 20815139), com ciência em </w:t>
      </w:r>
      <w:r>
        <w:rPr>
          <w:b/>
          <w:highlight w:val="yellow"/>
        </w:rPr>
        <w:t>[INSERIR DATA DO RECEBIMENTO DO AR]</w:t>
      </w:r>
      <w:r>
        <w:rPr>
          <w:b w:val="0"/>
        </w:rPr>
        <w:t xml:space="preserve">. O Despacho nº 145777/2026 foi publicado no DOU de </w:t>
      </w:r>
      <w:r>
        <w:rPr>
          <w:b/>
          <w:highlight w:val="yellow"/>
        </w:rPr>
        <w:t>[INSERIR DATA DA PUBLICAÇÃO, SE HOUVER]</w:t>
      </w:r>
      <w:r>
        <w:rPr>
          <w:b w:val="0"/>
        </w:rPr>
        <w:t>.</w:t>
      </w:r>
    </w:p>
    <w:p>
      <w:pPr>
        <w:spacing w:line="360" w:lineRule="auto"/>
        <w:jc w:val="both"/>
      </w:pPr>
      <w:r>
        <w:rPr>
          <w:b w:val="0"/>
        </w:rPr>
        <w:t>Contado o prazo de 10 (dez) dias da ciência ou da divulgação oficial (art. 59 da Lei nº 9.784/1999), o recurso é tempestivo.</w:t>
      </w:r>
    </w:p>
    <w:p>
      <w:pPr>
        <w:spacing w:line="360" w:lineRule="auto"/>
        <w:jc w:val="both"/>
      </w:pPr>
      <w:r>
        <w:rPr>
          <w:b w:val="0"/>
        </w:rPr>
        <w:t>A legitimidade é inequívoca: a recorrente é, a um só tempo, a titular do direito minerário (cedente) e a titular do cessionário, diretamente afetada pela decisão (art. 58, I e II, da Lei nº 9.784/1999).</w:t>
      </w:r>
    </w:p>
    <w:p>
      <w:pPr>
        <w:spacing w:line="360" w:lineRule="auto"/>
        <w:jc w:val="both"/>
      </w:pPr>
      <w:r>
        <w:rPr>
          <w:b w:val="0"/>
        </w:rPr>
        <w:t>Ainda que se cogitasse de qualquer óbice formal ao conhecimento, o que se admite apenas para argumentar, a ilegalidade aqui demonstrada impõe a revisão de ofício do ato (art. 63, § 2º, da Lei nº 9.784/1999, e Súmula 473 do STF).</w:t>
      </w:r>
    </w:p>
    <w:p>
      <w:pPr>
        <w:spacing w:before="280"/>
        <w:pBdr>
          <w:bottom w:val="single" w:sz="8" w:color="B8860B" w:space="1"/>
        </w:pBdr>
      </w:pPr>
      <w:r>
        <w:rPr>
          <w:b/>
          <w:color w:val="1F2A44"/>
          <w:sz w:val="24"/>
        </w:rPr>
        <w:t>3. DOS FATOS</w:t>
      </w:r>
    </w:p>
    <w:p>
      <w:pPr>
        <w:spacing w:line="360" w:lineRule="auto"/>
        <w:jc w:val="both"/>
      </w:pPr>
      <w:r>
        <w:rPr>
          <w:b/>
        </w:rPr>
        <w:t>3.1.</w:t>
      </w:r>
      <w:r>
        <w:rPr>
          <w:b w:val="0"/>
        </w:rPr>
        <w:t xml:space="preserve"> Em 30/10/2020, a recorrente requereu o Registro de Licença para extração de granito destinado à produção de brita no Sítio Diogo, zona rural de Coremas/PB (SEI 1881146). Instruiu o pedido com a Declaração de Posse emitida em seu nome pessoal pelo Sindicato dos Trabalhadores Rurais de Coremas (SEI 1881150).</w:t>
      </w:r>
    </w:p>
    <w:p>
      <w:pPr>
        <w:spacing w:line="360" w:lineRule="auto"/>
        <w:jc w:val="both"/>
      </w:pPr>
      <w:r>
        <w:rPr>
          <w:b/>
        </w:rPr>
        <w:t>3.2.</w:t>
      </w:r>
      <w:r>
        <w:rPr>
          <w:b w:val="0"/>
        </w:rPr>
        <w:t xml:space="preserve"> A Procuradoria Federal Especializada junto à ANM reconheceu a validade da declaração de posse para fins de registro de licença (Nota nº 01158/2021/PFE-ANM/PGF/AGU, SEI 3023172). Após o cumprimento integral das exigências e a redução da área para 18,54 ha (SEI 3686899 e 4361227), o Parecer Técnico nº 20/2022/NUOUT-PB concluiu que o processo estava "devidamente instruído" (SEI 4442771).</w:t>
      </w:r>
    </w:p>
    <w:p>
      <w:pPr>
        <w:spacing w:line="360" w:lineRule="auto"/>
        <w:jc w:val="both"/>
      </w:pPr>
      <w:r>
        <w:rPr>
          <w:b/>
        </w:rPr>
        <w:t>3.3.</w:t>
      </w:r>
      <w:r>
        <w:rPr>
          <w:b w:val="0"/>
        </w:rPr>
        <w:t xml:space="preserve"> Em </w:t>
      </w:r>
      <w:r>
        <w:rPr>
          <w:b/>
        </w:rPr>
        <w:t>24/05/2022</w:t>
      </w:r>
      <w:r>
        <w:rPr>
          <w:b w:val="0"/>
        </w:rPr>
        <w:t>, a inscrição do empresário individual no CNPJ nº 39.311.757/0001-31 foi baixada ("Extinção por Encerramento Liquidação Voluntária").</w:t>
      </w:r>
    </w:p>
    <w:p>
      <w:pPr>
        <w:spacing w:line="360" w:lineRule="auto"/>
        <w:jc w:val="both"/>
      </w:pPr>
      <w:r>
        <w:rPr>
          <w:b/>
        </w:rPr>
        <w:t>3.4.</w:t>
      </w:r>
      <w:r>
        <w:rPr>
          <w:b w:val="0"/>
        </w:rPr>
        <w:t xml:space="preserve"> Mesmo assim, em </w:t>
      </w:r>
      <w:r>
        <w:rPr>
          <w:b/>
        </w:rPr>
        <w:t>08/07/2022</w:t>
      </w:r>
      <w:r>
        <w:rPr>
          <w:b w:val="0"/>
        </w:rPr>
        <w:t xml:space="preserve">, a ANM expediu o </w:t>
      </w:r>
      <w:r>
        <w:rPr>
          <w:b/>
        </w:rPr>
        <w:t>Registro de Licença nº 13/2022</w:t>
      </w:r>
      <w:r>
        <w:rPr>
          <w:b w:val="0"/>
        </w:rPr>
        <w:t xml:space="preserve">, com prazo de validade indeterminado, publicado no DOU de </w:t>
      </w:r>
      <w:r>
        <w:rPr>
          <w:b/>
        </w:rPr>
        <w:t>18/07/2022</w:t>
      </w:r>
      <w:r>
        <w:rPr>
          <w:b w:val="0"/>
        </w:rPr>
        <w:t xml:space="preserve"> (SEI 4442777 e 4537432).</w:t>
      </w:r>
    </w:p>
    <w:p>
      <w:pPr>
        <w:spacing w:line="360" w:lineRule="auto"/>
        <w:jc w:val="both"/>
      </w:pPr>
      <w:r>
        <w:rPr>
          <w:b/>
        </w:rPr>
        <w:t>3.5.</w:t>
      </w:r>
      <w:r>
        <w:rPr>
          <w:b w:val="0"/>
        </w:rPr>
        <w:t xml:space="preserve"> Em </w:t>
      </w:r>
      <w:r>
        <w:rPr>
          <w:b/>
        </w:rPr>
        <w:t>19/12/2025</w:t>
      </w:r>
      <w:r>
        <w:rPr>
          <w:b w:val="0"/>
        </w:rPr>
        <w:t>, para adequar o registro administrativo do título à inscrição fiscal ativa por meio da qual exerce a atividade, a recorrente protocolou pedido de cessão total do Registro de Licença para "MARIA DO S DE SANTANA", CNPJ nº 63.576.452/0001-36 (SEI 18728345). Juntou instrumento de cessão, nova licença municipal em nome do cessionário, declaração de posse, comprovante de emolumentos e demais documentos (SEI 18728322 a 18728344).</w:t>
      </w:r>
    </w:p>
    <w:p>
      <w:pPr>
        <w:spacing w:line="360" w:lineRule="auto"/>
        <w:jc w:val="both"/>
      </w:pPr>
      <w:r>
        <w:rPr>
          <w:b/>
        </w:rPr>
        <w:t>3.6.</w:t>
      </w:r>
      <w:r>
        <w:rPr>
          <w:b w:val="0"/>
        </w:rPr>
        <w:t xml:space="preserve"> No Formulário de Análise de Cessão Total (SEI 20679477), o analista marcou </w:t>
      </w:r>
      <w:r>
        <w:rPr>
          <w:b/>
        </w:rPr>
        <w:t>"SIM"</w:t>
      </w:r>
      <w:r>
        <w:rPr>
          <w:b w:val="0"/>
        </w:rPr>
        <w:t xml:space="preserve"> para todos os requisitos de instrução: requerimento eletrônico, instrumento de cessão com assinatura qualificada ou firma reconhecida, cessionário cadastrado, licença municipal em nome do cessionário, declaração ou autorização do superficiário e recolhimento de emolumentos. Atestou também: "Direito minerário em vigor? Sim".</w:t>
      </w:r>
    </w:p>
    <w:p>
      <w:pPr>
        <w:spacing w:line="360" w:lineRule="auto"/>
        <w:jc w:val="both"/>
      </w:pPr>
      <w:r>
        <w:rPr>
          <w:b/>
        </w:rPr>
        <w:t>3.7.</w:t>
      </w:r>
      <w:r>
        <w:rPr>
          <w:b w:val="0"/>
        </w:rPr>
        <w:t xml:space="preserve"> O único impedimento apontado foi o CNPJ do cedente "BAIXADA DESDE 24/05/2022", com base no art. 8º da OS nº 599/2025. O analista recomendou o indeferimento, "continuando a área em nome do CEDENTE".</w:t>
      </w:r>
    </w:p>
    <w:p>
      <w:pPr>
        <w:spacing w:line="360" w:lineRule="auto"/>
        <w:jc w:val="both"/>
      </w:pPr>
      <w:r>
        <w:rPr>
          <w:b/>
        </w:rPr>
        <w:t>3.8.</w:t>
      </w:r>
      <w:r>
        <w:rPr>
          <w:b w:val="0"/>
        </w:rPr>
        <w:t xml:space="preserve"> Em 11/09/2026, o Gerente Regional negou anuência à cessão (Despacho nº 145777/2026, SEI 20726918), comunicando a decisão pelos Ofícios nº 43577/2026 e nº 46467/2026.</w:t>
      </w:r>
    </w:p>
    <w:p>
      <w:pPr>
        <w:spacing w:line="360" w:lineRule="auto"/>
        <w:jc w:val="both"/>
      </w:pPr>
      <w:r>
        <w:rPr>
          <w:b/>
        </w:rPr>
        <w:t>Linha do tempo</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F2A44"/>
          </w:tcPr>
          <w:p>
            <w:r/>
            <w:r>
              <w:rPr>
                <w:b w:val="0"/>
                <w:color w:val="FFFFFF"/>
                <w:sz w:val="18"/>
              </w:rPr>
              <w:t>Data</w:t>
            </w:r>
          </w:p>
        </w:tc>
        <w:tc>
          <w:tcPr>
            <w:tcW w:type="dxa" w:w="3135"/>
            <w:shd w:val="clear" w:fill="1F2A44"/>
          </w:tcPr>
          <w:p>
            <w:r/>
            <w:r>
              <w:rPr>
                <w:b w:val="0"/>
                <w:color w:val="FFFFFF"/>
                <w:sz w:val="18"/>
              </w:rPr>
              <w:t>Evento</w:t>
            </w:r>
          </w:p>
        </w:tc>
        <w:tc>
          <w:tcPr>
            <w:tcW w:type="dxa" w:w="3135"/>
            <w:shd w:val="clear" w:fill="1F2A44"/>
          </w:tcPr>
          <w:p>
            <w:r/>
            <w:r>
              <w:rPr>
                <w:b w:val="0"/>
                <w:color w:val="FFFFFF"/>
                <w:sz w:val="18"/>
              </w:rPr>
              <w:t>SEI</w:t>
            </w:r>
          </w:p>
        </w:tc>
      </w:tr>
      <w:tr>
        <w:tc>
          <w:tcPr>
            <w:tcW w:type="dxa" w:w="3135"/>
          </w:tcPr>
          <w:p>
            <w:r/>
            <w:r>
              <w:rPr>
                <w:b w:val="0"/>
                <w:sz w:val="18"/>
              </w:rPr>
              <w:t>30/10/2020</w:t>
            </w:r>
          </w:p>
        </w:tc>
        <w:tc>
          <w:tcPr>
            <w:tcW w:type="dxa" w:w="3135"/>
          </w:tcPr>
          <w:p>
            <w:r/>
            <w:r>
              <w:rPr>
                <w:b w:val="0"/>
                <w:sz w:val="18"/>
              </w:rPr>
              <w:t>Requerimento do Registro de Licença (47,89 ha)</w:t>
            </w:r>
          </w:p>
        </w:tc>
        <w:tc>
          <w:tcPr>
            <w:tcW w:type="dxa" w:w="3135"/>
          </w:tcPr>
          <w:p>
            <w:r/>
            <w:r>
              <w:rPr>
                <w:b w:val="0"/>
                <w:sz w:val="18"/>
              </w:rPr>
              <w:t>1881146</w:t>
            </w:r>
          </w:p>
        </w:tc>
      </w:tr>
      <w:tr>
        <w:tc>
          <w:tcPr>
            <w:tcW w:type="dxa" w:w="3135"/>
          </w:tcPr>
          <w:p>
            <w:r/>
            <w:r>
              <w:rPr>
                <w:b w:val="0"/>
                <w:sz w:val="18"/>
              </w:rPr>
              <w:t>11/12/2020</w:t>
            </w:r>
          </w:p>
        </w:tc>
        <w:tc>
          <w:tcPr>
            <w:tcW w:type="dxa" w:w="3135"/>
          </w:tcPr>
          <w:p>
            <w:r/>
            <w:r>
              <w:rPr>
                <w:b w:val="0"/>
                <w:sz w:val="18"/>
              </w:rPr>
              <w:t>Protocolo do licenciamento ambiental na SUDEMA</w:t>
            </w:r>
          </w:p>
        </w:tc>
        <w:tc>
          <w:tcPr>
            <w:tcW w:type="dxa" w:w="3135"/>
          </w:tcPr>
          <w:p>
            <w:r/>
            <w:r>
              <w:rPr>
                <w:b w:val="0"/>
                <w:sz w:val="18"/>
              </w:rPr>
              <w:t>2024406</w:t>
            </w:r>
          </w:p>
        </w:tc>
      </w:tr>
      <w:tr>
        <w:tc>
          <w:tcPr>
            <w:tcW w:type="dxa" w:w="3135"/>
          </w:tcPr>
          <w:p>
            <w:r/>
            <w:r>
              <w:rPr>
                <w:b w:val="0"/>
                <w:sz w:val="18"/>
              </w:rPr>
              <w:t>20/09/2021</w:t>
            </w:r>
          </w:p>
        </w:tc>
        <w:tc>
          <w:tcPr>
            <w:tcW w:type="dxa" w:w="3135"/>
          </w:tcPr>
          <w:p>
            <w:r/>
            <w:r>
              <w:rPr>
                <w:b w:val="0"/>
                <w:sz w:val="18"/>
              </w:rPr>
              <w:t>Nota PFE/ANM: declaração de posse é válida</w:t>
            </w:r>
          </w:p>
        </w:tc>
        <w:tc>
          <w:tcPr>
            <w:tcW w:type="dxa" w:w="3135"/>
          </w:tcPr>
          <w:p>
            <w:r/>
            <w:r>
              <w:rPr>
                <w:b w:val="0"/>
                <w:sz w:val="18"/>
              </w:rPr>
              <w:t>3023172</w:t>
            </w:r>
          </w:p>
        </w:tc>
      </w:tr>
      <w:tr>
        <w:tc>
          <w:tcPr>
            <w:tcW w:type="dxa" w:w="3135"/>
          </w:tcPr>
          <w:p>
            <w:r/>
            <w:r>
              <w:rPr>
                <w:b w:val="0"/>
                <w:sz w:val="18"/>
              </w:rPr>
              <w:t>29/11/2021</w:t>
            </w:r>
          </w:p>
        </w:tc>
        <w:tc>
          <w:tcPr>
            <w:tcW w:type="dxa" w:w="3135"/>
          </w:tcPr>
          <w:p>
            <w:r/>
            <w:r>
              <w:rPr>
                <w:b w:val="0"/>
                <w:sz w:val="18"/>
              </w:rPr>
              <w:t>Cumprimento de exigências e redução da área para 18,54 ha</w:t>
            </w:r>
          </w:p>
        </w:tc>
        <w:tc>
          <w:tcPr>
            <w:tcW w:type="dxa" w:w="3135"/>
          </w:tcPr>
          <w:p>
            <w:r/>
            <w:r>
              <w:rPr>
                <w:b w:val="0"/>
                <w:sz w:val="18"/>
              </w:rPr>
              <w:t>3306772</w:t>
            </w:r>
          </w:p>
        </w:tc>
      </w:tr>
      <w:tr>
        <w:tc>
          <w:tcPr>
            <w:tcW w:type="dxa" w:w="3135"/>
            <w:shd w:val="clear" w:fill="FFF4D6"/>
          </w:tcPr>
          <w:p>
            <w:r/>
            <w:r>
              <w:rPr>
                <w:b/>
                <w:sz w:val="18"/>
              </w:rPr>
              <w:t>24/05/2022</w:t>
            </w:r>
          </w:p>
        </w:tc>
        <w:tc>
          <w:tcPr>
            <w:tcW w:type="dxa" w:w="3135"/>
            <w:shd w:val="clear" w:fill="FFF4D6"/>
          </w:tcPr>
          <w:p>
            <w:r/>
            <w:r>
              <w:rPr>
                <w:b/>
                <w:sz w:val="18"/>
              </w:rPr>
              <w:t>Baixa do CNPJ 39.311.757/0001-31 (Empresário Individual)</w:t>
            </w:r>
          </w:p>
        </w:tc>
        <w:tc>
          <w:tcPr>
            <w:tcW w:type="dxa" w:w="3135"/>
            <w:shd w:val="clear" w:fill="FFF4D6"/>
          </w:tcPr>
          <w:p>
            <w:r/>
            <w:r>
              <w:rPr>
                <w:b w:val="0"/>
                <w:sz w:val="18"/>
              </w:rPr>
              <w:t>20679960</w:t>
            </w:r>
          </w:p>
        </w:tc>
      </w:tr>
      <w:tr>
        <w:tc>
          <w:tcPr>
            <w:tcW w:type="dxa" w:w="3135"/>
            <w:shd w:val="clear" w:fill="FFF4D6"/>
          </w:tcPr>
          <w:p>
            <w:r/>
            <w:r>
              <w:rPr>
                <w:b/>
                <w:sz w:val="18"/>
              </w:rPr>
              <w:t>08/07/2022</w:t>
            </w:r>
          </w:p>
        </w:tc>
        <w:tc>
          <w:tcPr>
            <w:tcW w:type="dxa" w:w="3135"/>
            <w:shd w:val="clear" w:fill="FFF4D6"/>
          </w:tcPr>
          <w:p>
            <w:r/>
            <w:r>
              <w:rPr>
                <w:b/>
                <w:sz w:val="18"/>
              </w:rPr>
              <w:t>ANM expede o Registro de Licença nº 13/2022</w:t>
            </w:r>
          </w:p>
        </w:tc>
        <w:tc>
          <w:tcPr>
            <w:tcW w:type="dxa" w:w="3135"/>
            <w:shd w:val="clear" w:fill="FFF4D6"/>
          </w:tcPr>
          <w:p>
            <w:r/>
            <w:r>
              <w:rPr>
                <w:b w:val="0"/>
                <w:sz w:val="18"/>
              </w:rPr>
              <w:t>4442777</w:t>
            </w:r>
          </w:p>
        </w:tc>
      </w:tr>
      <w:tr>
        <w:tc>
          <w:tcPr>
            <w:tcW w:type="dxa" w:w="3135"/>
            <w:shd w:val="clear" w:fill="FFF4D6"/>
          </w:tcPr>
          <w:p>
            <w:r/>
            <w:r>
              <w:rPr>
                <w:b/>
                <w:sz w:val="18"/>
              </w:rPr>
              <w:t>18/07/2022</w:t>
            </w:r>
          </w:p>
        </w:tc>
        <w:tc>
          <w:tcPr>
            <w:tcW w:type="dxa" w:w="3135"/>
            <w:shd w:val="clear" w:fill="FFF4D6"/>
          </w:tcPr>
          <w:p>
            <w:r/>
            <w:r>
              <w:rPr>
                <w:b/>
                <w:sz w:val="18"/>
              </w:rPr>
              <w:t>Publicação do RL 13/2022 no DOU (validade indeterminada)</w:t>
            </w:r>
          </w:p>
        </w:tc>
        <w:tc>
          <w:tcPr>
            <w:tcW w:type="dxa" w:w="3135"/>
            <w:shd w:val="clear" w:fill="FFF4D6"/>
          </w:tcPr>
          <w:p>
            <w:r/>
            <w:r>
              <w:rPr>
                <w:b w:val="0"/>
                <w:sz w:val="18"/>
              </w:rPr>
              <w:t>4537432</w:t>
            </w:r>
          </w:p>
        </w:tc>
      </w:tr>
      <w:tr>
        <w:tc>
          <w:tcPr>
            <w:tcW w:type="dxa" w:w="3135"/>
          </w:tcPr>
          <w:p>
            <w:r/>
            <w:r>
              <w:rPr>
                <w:b w:val="0"/>
                <w:sz w:val="18"/>
              </w:rPr>
              <w:t>19/12/2025</w:t>
            </w:r>
          </w:p>
        </w:tc>
        <w:tc>
          <w:tcPr>
            <w:tcW w:type="dxa" w:w="3135"/>
          </w:tcPr>
          <w:p>
            <w:r/>
            <w:r>
              <w:rPr>
                <w:b w:val="0"/>
                <w:sz w:val="18"/>
              </w:rPr>
              <w:t>Pedido de cessão total ao CNPJ 63.576.452/0001-36</w:t>
            </w:r>
          </w:p>
        </w:tc>
        <w:tc>
          <w:tcPr>
            <w:tcW w:type="dxa" w:w="3135"/>
          </w:tcPr>
          <w:p>
            <w:r/>
            <w:r>
              <w:rPr>
                <w:b w:val="0"/>
                <w:sz w:val="18"/>
              </w:rPr>
              <w:t>18728345</w:t>
            </w:r>
          </w:p>
        </w:tc>
      </w:tr>
      <w:tr>
        <w:tc>
          <w:tcPr>
            <w:tcW w:type="dxa" w:w="3135"/>
          </w:tcPr>
          <w:p>
            <w:r/>
            <w:r>
              <w:rPr>
                <w:b w:val="0"/>
                <w:sz w:val="18"/>
              </w:rPr>
              <w:t>25/08/2026</w:t>
            </w:r>
          </w:p>
        </w:tc>
        <w:tc>
          <w:tcPr>
            <w:tcW w:type="dxa" w:w="3135"/>
          </w:tcPr>
          <w:p>
            <w:r/>
            <w:r>
              <w:rPr>
                <w:b w:val="0"/>
                <w:sz w:val="18"/>
              </w:rPr>
              <w:t>Formulário: todos os requisitos "SIM"; único óbice é o CNPJ baixado</w:t>
            </w:r>
          </w:p>
        </w:tc>
        <w:tc>
          <w:tcPr>
            <w:tcW w:type="dxa" w:w="3135"/>
          </w:tcPr>
          <w:p>
            <w:r/>
            <w:r>
              <w:rPr>
                <w:b w:val="0"/>
                <w:sz w:val="18"/>
              </w:rPr>
              <w:t>20679477</w:t>
            </w:r>
          </w:p>
        </w:tc>
      </w:tr>
      <w:tr>
        <w:tc>
          <w:tcPr>
            <w:tcW w:type="dxa" w:w="3135"/>
          </w:tcPr>
          <w:p>
            <w:r/>
            <w:r>
              <w:rPr>
                <w:b w:val="0"/>
                <w:sz w:val="18"/>
              </w:rPr>
              <w:t>11/09/2026</w:t>
            </w:r>
          </w:p>
        </w:tc>
        <w:tc>
          <w:tcPr>
            <w:tcW w:type="dxa" w:w="3135"/>
          </w:tcPr>
          <w:p>
            <w:r/>
            <w:r>
              <w:rPr>
                <w:b w:val="0"/>
                <w:sz w:val="18"/>
              </w:rPr>
              <w:t>Despacho 145777: nega anuência à cessão</w:t>
            </w:r>
          </w:p>
        </w:tc>
        <w:tc>
          <w:tcPr>
            <w:tcW w:type="dxa" w:w="3135"/>
          </w:tcPr>
          <w:p>
            <w:r/>
            <w:r>
              <w:rPr>
                <w:b w:val="0"/>
                <w:sz w:val="18"/>
              </w:rPr>
              <w:t>20726918</w:t>
            </w:r>
          </w:p>
        </w:tc>
      </w:tr>
      <w:tr>
        <w:tc>
          <w:tcPr>
            <w:tcW w:type="dxa" w:w="3135"/>
          </w:tcPr>
          <w:p>
            <w:r/>
            <w:r>
              <w:rPr>
                <w:b w:val="0"/>
                <w:sz w:val="18"/>
              </w:rPr>
              <w:t>[DATA]</w:t>
            </w:r>
          </w:p>
        </w:tc>
        <w:tc>
          <w:tcPr>
            <w:tcW w:type="dxa" w:w="3135"/>
          </w:tcPr>
          <w:p>
            <w:r/>
            <w:r>
              <w:rPr>
                <w:b w:val="0"/>
                <w:sz w:val="18"/>
              </w:rPr>
              <w:t>Ciência da recorrente (AR)</w:t>
            </w:r>
          </w:p>
        </w:tc>
        <w:tc>
          <w:tcPr>
            <w:tcW w:type="dxa" w:w="3135"/>
          </w:tcPr>
          <w:p>
            <w:r/>
            <w:r>
              <w:rPr>
                <w:b w:val="0"/>
                <w:sz w:val="18"/>
              </w:rPr>
              <w:t>20814897</w:t>
            </w:r>
          </w:p>
        </w:tc>
      </w:tr>
      <w:tr>
        <w:tc>
          <w:tcPr>
            <w:tcW w:type="dxa" w:w="3135"/>
          </w:tcPr>
          <w:p>
            <w:r/>
            <w:r>
              <w:rPr>
                <w:b w:val="0"/>
                <w:sz w:val="18"/>
              </w:rPr>
              <w:t>[DATA]</w:t>
            </w:r>
          </w:p>
        </w:tc>
        <w:tc>
          <w:tcPr>
            <w:tcW w:type="dxa" w:w="3135"/>
          </w:tcPr>
          <w:p>
            <w:r/>
            <w:r>
              <w:rPr>
                <w:b w:val="0"/>
                <w:sz w:val="18"/>
              </w:rPr>
              <w:t>Interposição deste recurso</w:t>
            </w:r>
          </w:p>
        </w:tc>
        <w:tc>
          <w:tcPr>
            <w:tcW w:type="dxa" w:w="3135"/>
          </w:tcPr>
          <w:p>
            <w:r/>
            <w:r>
              <w:rPr>
                <w:b w:val="0"/>
                <w:sz w:val="18"/>
              </w:rPr>
              <w:t>–</w:t>
            </w:r>
          </w:p>
        </w:tc>
      </w:tr>
    </w:tbl>
    <w:p/>
    <w:p>
      <w:pPr>
        <w:spacing w:before="280"/>
        <w:pBdr>
          <w:bottom w:val="single" w:sz="8" w:color="B8860B" w:space="1"/>
        </w:pBdr>
      </w:pPr>
      <w:r>
        <w:rPr>
          <w:b/>
          <w:color w:val="1F2A44"/>
          <w:sz w:val="24"/>
        </w:rPr>
        <w:t>4. DO PEDIDO DE EFEITO SUSPENSIVO</w:t>
      </w:r>
    </w:p>
    <w:p>
      <w:pPr>
        <w:spacing w:line="360" w:lineRule="auto"/>
        <w:jc w:val="both"/>
      </w:pPr>
      <w:r>
        <w:rPr>
          <w:b w:val="0"/>
        </w:rPr>
        <w:t>O art. 61, parágrafo único, da Lei nº 9.784/1999 autoriza a concessão de efeito suspensivo quando houver justo receio de prejuízo de difícil ou incerta reparação.</w:t>
      </w:r>
    </w:p>
    <w:p>
      <w:pPr>
        <w:spacing w:line="360" w:lineRule="auto"/>
        <w:jc w:val="both"/>
      </w:pPr>
      <w:r>
        <w:rPr>
          <w:b w:val="0"/>
        </w:rPr>
        <w:t>É o caso. Mantida a decisão, o título ficará vinculado a uma inscrição fiscal baixada, que não emite nota fiscal nem permite o recolhimento regular de tributos e da CFEM, e cujo cadastro não serve para renovar ou obter licenças ambientais. A recorrente ficaria impedida de exercer regularmente a atividade autorizada por um título que a própria ANM declara vigente, e exposta ao risco de ter sua atividade tratada como irregular.</w:t>
      </w:r>
    </w:p>
    <w:p>
      <w:pPr>
        <w:spacing w:line="360" w:lineRule="auto"/>
        <w:jc w:val="both"/>
      </w:pPr>
      <w:r>
        <w:rPr>
          <w:b w:val="0"/>
        </w:rPr>
        <w:t>Requer-se, por isso, a atribuição de efeito suspensivo, para que nenhum ato decorrente da negativa de anuência seja praticado até o julgamento final deste recurso, com a manutenção do Registro de Licença nº 13/2022 e da recorrente como sua titular.</w:t>
      </w:r>
    </w:p>
    <w:tbl>
      <w:tblPr>
        <w:tblStyle w:val="TableGrid"/>
        <w:tblW w:type="auto" w:w="0"/>
        <w:tblLook w:firstColumn="1" w:firstRow="1" w:lastColumn="0" w:lastRow="0" w:noHBand="0" w:noVBand="1" w:val="04A0"/>
      </w:tblPr>
      <w:tblGrid>
        <w:gridCol w:w="4702"/>
        <w:gridCol w:w="4702"/>
      </w:tblGrid>
      <w:tr>
        <w:tc>
          <w:tcPr>
            <w:tcW w:type="dxa" w:w="4702"/>
            <w:shd w:val="clear" w:fill="1F2A44"/>
          </w:tcPr>
          <w:p>
            <w:r/>
            <w:r>
              <w:rPr>
                <w:b w:val="0"/>
                <w:color w:val="FFFFFF"/>
                <w:sz w:val="18"/>
              </w:rPr>
              <w:t>Requisito (art. 61, parágrafo único, Lei nº 9.784/1999)</w:t>
            </w:r>
          </w:p>
        </w:tc>
        <w:tc>
          <w:tcPr>
            <w:tcW w:type="dxa" w:w="4702"/>
            <w:shd w:val="clear" w:fill="1F2A44"/>
          </w:tcPr>
          <w:p>
            <w:r/>
            <w:r>
              <w:rPr>
                <w:b w:val="0"/>
                <w:color w:val="FFFFFF"/>
                <w:sz w:val="18"/>
              </w:rPr>
              <w:t>Como o caso o preenche</w:t>
            </w:r>
          </w:p>
        </w:tc>
      </w:tr>
      <w:tr>
        <w:tc>
          <w:tcPr>
            <w:tcW w:type="dxa" w:w="4702"/>
          </w:tcPr>
          <w:p>
            <w:r/>
            <w:r>
              <w:rPr>
                <w:b w:val="0"/>
                <w:sz w:val="18"/>
              </w:rPr>
              <w:t>Plausibilidade do direito</w:t>
            </w:r>
          </w:p>
        </w:tc>
        <w:tc>
          <w:tcPr>
            <w:tcW w:type="dxa" w:w="4702"/>
          </w:tcPr>
          <w:p>
            <w:r/>
            <w:r>
              <w:rPr>
                <w:b w:val="0"/>
                <w:sz w:val="18"/>
              </w:rPr>
              <w:t>Cartão CNPJ "213-5 - Empresário (Individual)"; título outorgado após a baixa; todos os requisitos do art. 236 atestados como cumpridos (SEI 20679477)</w:t>
            </w:r>
          </w:p>
        </w:tc>
      </w:tr>
      <w:tr>
        <w:tc>
          <w:tcPr>
            <w:tcW w:type="dxa" w:w="4702"/>
          </w:tcPr>
          <w:p>
            <w:r/>
            <w:r>
              <w:rPr>
                <w:b w:val="0"/>
                <w:sz w:val="18"/>
              </w:rPr>
              <w:t>Justo receio de prejuízo de difícil ou incerta reparação</w:t>
            </w:r>
          </w:p>
        </w:tc>
        <w:tc>
          <w:tcPr>
            <w:tcW w:type="dxa" w:w="4702"/>
          </w:tcPr>
          <w:p>
            <w:r/>
            <w:r>
              <w:rPr>
                <w:b w:val="0"/>
                <w:sz w:val="18"/>
              </w:rPr>
              <w:t>Título preso a inscrição baixada: sem nota fiscal, sem recolhimento regular de CFEM, sem base cadastral para a licença ambiental, risco de a atividade ser tratada como irregular</w:t>
            </w:r>
          </w:p>
        </w:tc>
      </w:tr>
    </w:tbl>
    <w:p/>
    <w:p>
      <w:pPr>
        <w:spacing w:before="280"/>
        <w:pBdr>
          <w:bottom w:val="single" w:sz="8" w:color="B8860B" w:space="1"/>
        </w:pBdr>
      </w:pPr>
      <w:r>
        <w:rPr>
          <w:b/>
          <w:color w:val="1F2A44"/>
          <w:sz w:val="24"/>
        </w:rPr>
        <w:t>5. DAS RAZÕES DO RECURSO</w:t>
      </w:r>
    </w:p>
    <w:p>
      <w:pPr>
        <w:spacing w:before="200"/>
      </w:pPr>
      <w:r>
        <w:rPr>
          <w:b/>
          <w:color w:val="B8860B"/>
          <w:sz w:val="22"/>
        </w:rPr>
        <w:t>5.1. Erro de premissa: empresário individual não é pessoa jurídica, e a baixa do CNPJ não extingue a capacidade da pessoa natural</w:t>
      </w:r>
    </w:p>
    <w:p>
      <w:pPr>
        <w:spacing w:line="360" w:lineRule="auto"/>
        <w:jc w:val="both"/>
      </w:pPr>
      <w:r>
        <w:rPr>
          <w:b w:val="0"/>
        </w:rPr>
        <w:t>O indeferimento parte de um pressuposto: o cedente seria uma pessoa jurídica extinta. Não é.</w:t>
      </w:r>
    </w:p>
    <w:p>
      <w:pPr>
        <w:spacing w:line="360" w:lineRule="auto"/>
        <w:jc w:val="both"/>
      </w:pPr>
      <w:r>
        <w:rPr>
          <w:b w:val="0"/>
        </w:rPr>
        <w:t xml:space="preserve">O art. 44 do Código Civil enumera, de forma taxativa, as pessoas jurídicas de direito privado: associações, sociedades, fundações, organizações religiosas e partidos políticos. O empresário individual não está nessa lista. O art. 966 define empresário como quem </w:t>
      </w:r>
      <w:r>
        <w:rPr>
          <w:b/>
        </w:rPr>
        <w:t>"exerce profissionalmente atividade econômica organizada"</w:t>
      </w:r>
      <w:r>
        <w:rPr>
          <w:b w:val="0"/>
        </w:rPr>
        <w:t>, ou seja, a própria pessoa natural que exerce a empresa. O art. 968 exige que a inscrição contenha seu nome, nacionalidade, domicílio, estado civil e, se casado, o regime de bens, dados que só uma pessoa natural possui.</w:t>
      </w:r>
    </w:p>
    <w:p>
      <w:pPr>
        <w:spacing w:line="360" w:lineRule="auto"/>
        <w:jc w:val="both"/>
      </w:pPr>
      <w:r>
        <w:rPr>
          <w:b w:val="0"/>
        </w:rPr>
        <w:t xml:space="preserve">A inscrição no CNPJ do empresário individual é exigência cadastral e fiscal. A equiparação à pessoa jurídica existe apenas para fins de tributação (legislação do Imposto de Renda, Decreto nº 9.580/2018 </w:t>
      </w:r>
      <w:r>
        <w:rPr>
          <w:b/>
          <w:highlight w:val="yellow"/>
        </w:rPr>
        <w:t>[CONFERIR DISPOSITIVO]</w:t>
      </w:r>
      <w:r>
        <w:rPr>
          <w:b w:val="0"/>
        </w:rPr>
        <w:t>). Ela não cria um novo sujeito de direitos, distinto da pessoa física, nem separa patrimônios.</w:t>
      </w:r>
    </w:p>
    <w:p>
      <w:pPr>
        <w:spacing w:line="360" w:lineRule="auto"/>
        <w:jc w:val="both"/>
      </w:pPr>
      <w:r>
        <w:rPr>
          <w:b w:val="0"/>
        </w:rPr>
        <w:t>O Superior Tribunal de Justiça é firme nesse sentido:</w:t>
      </w:r>
    </w:p>
    <w:p>
      <w:pPr>
        <w:ind w:left="2268"/>
        <w:jc w:val="both"/>
      </w:pPr>
      <w:r>
        <w:rPr>
          <w:b w:val="0"/>
          <w:i/>
          <w:sz w:val="20"/>
        </w:rPr>
        <w:t>"A empresa individual é mera ficção jurídica que permite à pessoa natural atuar no mercado com vantagens próprias da pessoa jurídica, sem que a titularidade implique distinção patrimonial entre o empresário individual e a pessoa natural titular da firma individual." (STJ, REsp 1.355.000/SP, Rel. Min. Marco Buzzi, Quarta Turma, j. 20/10/2016, DJe 10/11/2016)</w:t>
      </w:r>
    </w:p>
    <w:p>
      <w:pPr>
        <w:ind w:left="2268"/>
        <w:jc w:val="both"/>
      </w:pPr>
      <w:r>
        <w:rPr>
          <w:b w:val="0"/>
          <w:i/>
          <w:sz w:val="20"/>
        </w:rPr>
        <w:t xml:space="preserve">"O empresário individual é a própria pessoa física ou natural, respondendo os seus bens pelas obrigações que assumiu, quer civis quer comerciais." A firma individual é "mera ficção jurídica, criada para habilitar a pessoa natural a praticar atos de comércio, com vantagens do ponto de vista fiscal". (STJ, REsp 594.832/RO, Rel. Min. Nancy Andrighi, Terceira Turma, j. 28/06/2005) </w:t>
      </w:r>
      <w:r>
        <w:rPr>
          <w:b/>
          <w:i/>
          <w:sz w:val="20"/>
          <w:highlight w:val="yellow"/>
        </w:rPr>
        <w:t>[CONFERIR DATA DE PUBLICAÇÃO]</w:t>
      </w:r>
    </w:p>
    <w:p>
      <w:pPr>
        <w:spacing w:line="360" w:lineRule="auto"/>
        <w:jc w:val="both"/>
      </w:pPr>
      <w:r>
        <w:rPr>
          <w:b w:val="0"/>
        </w:rPr>
        <w:t xml:space="preserve">Daí decorre a conclusão que o formulário ignorou. A capacidade de direito pertence a toda pessoa (art. 1º do Código Civil), e a existência da pessoa natural termina com a morte (art. 6º). A baixa da inscrição fiscal do empresário individual encerra o registro cadastral da atividade, </w:t>
      </w:r>
      <w:r>
        <w:rPr>
          <w:b/>
        </w:rPr>
        <w:t>não a pessoa</w:t>
      </w:r>
      <w:r>
        <w:rPr>
          <w:b w:val="0"/>
        </w:rPr>
        <w:t>. Maria do Socorro de Santana existe, é plenamente capaz e continua titular de seu patrimônio, incluídos os direitos minerários que exerce.</w:t>
      </w:r>
    </w:p>
    <w:p>
      <w:pPr>
        <w:spacing w:line="360" w:lineRule="auto"/>
        <w:jc w:val="both"/>
      </w:pPr>
      <w:r>
        <w:rPr>
          <w:b w:val="0"/>
        </w:rPr>
        <w:t>A regra do art. 8º da OS nº 599/2025 pressupõe a extinção da personalidade de uma pessoa jurídica: uma sociedade que, liquidada e cancelada, deixou de existir (art. 51 do Código Civil) e já não pode manifestar vontade. Essa razão não se aplica ao empresário individual, cuja "vontade" sempre foi e continua sendo a da pessoa natural que assina o instrumento de cessão.</w:t>
      </w:r>
    </w:p>
    <w:p>
      <w:pPr>
        <w:spacing w:line="360" w:lineRule="auto"/>
        <w:jc w:val="both"/>
      </w:pPr>
      <w:r>
        <w:rPr>
          <w:b w:val="0"/>
        </w:rPr>
        <w:t xml:space="preserve">O próprio formulário revela o equívoco. No item sobre poderes de representação, a regra aplicada foi: "Em se tratando o cedente de </w:t>
      </w:r>
      <w:r>
        <w:rPr>
          <w:b/>
        </w:rPr>
        <w:t>pessoa jurídica</w:t>
      </w:r>
      <w:r>
        <w:rPr>
          <w:b w:val="0"/>
        </w:rPr>
        <w:t>, comprovação mediante declaração da Junta Comercial [...] dos poderes de representação do(s) sócio(s) signatário(s)". O cedente não tem sócios. Quem assinou a cessão foi a titular do direito, pessoalmente, com certificado digital e validação biométrica (SEI 18728345).</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F2A44"/>
          </w:tcPr>
          <w:p>
            <w:r/>
            <w:r>
              <w:rPr>
                <w:b w:val="0"/>
                <w:color w:val="FFFFFF"/>
                <w:sz w:val="18"/>
              </w:rPr>
              <w:t>Critério</w:t>
            </w:r>
          </w:p>
        </w:tc>
        <w:tc>
          <w:tcPr>
            <w:tcW w:type="dxa" w:w="3135"/>
            <w:shd w:val="clear" w:fill="1F2A44"/>
          </w:tcPr>
          <w:p>
            <w:r/>
            <w:r>
              <w:rPr>
                <w:b w:val="0"/>
                <w:color w:val="FFFFFF"/>
                <w:sz w:val="18"/>
              </w:rPr>
              <w:t>Hipótese do art. 8º da OS 599/2025 (pessoa jurídica extinta)</w:t>
            </w:r>
          </w:p>
        </w:tc>
        <w:tc>
          <w:tcPr>
            <w:tcW w:type="dxa" w:w="3135"/>
            <w:shd w:val="clear" w:fill="1F2A44"/>
          </w:tcPr>
          <w:p>
            <w:r/>
            <w:r>
              <w:rPr>
                <w:b w:val="0"/>
                <w:color w:val="FFFFFF"/>
                <w:sz w:val="18"/>
              </w:rPr>
              <w:t>Nosso caso (empresário individual)</w:t>
            </w:r>
          </w:p>
        </w:tc>
      </w:tr>
      <w:tr>
        <w:tc>
          <w:tcPr>
            <w:tcW w:type="dxa" w:w="3135"/>
          </w:tcPr>
          <w:p>
            <w:r/>
            <w:r>
              <w:rPr>
                <w:b w:val="0"/>
                <w:sz w:val="18"/>
              </w:rPr>
              <w:t>Natureza do cedente</w:t>
            </w:r>
          </w:p>
        </w:tc>
        <w:tc>
          <w:tcPr>
            <w:tcW w:type="dxa" w:w="3135"/>
          </w:tcPr>
          <w:p>
            <w:r/>
            <w:r>
              <w:rPr>
                <w:b w:val="0"/>
                <w:sz w:val="18"/>
              </w:rPr>
              <w:t>Sociedade, com personalidade própria (art. 44 do CC)</w:t>
            </w:r>
          </w:p>
        </w:tc>
        <w:tc>
          <w:tcPr>
            <w:tcW w:type="dxa" w:w="3135"/>
          </w:tcPr>
          <w:p>
            <w:r/>
            <w:r>
              <w:rPr>
                <w:b w:val="0"/>
                <w:sz w:val="18"/>
              </w:rPr>
              <w:t>Natureza 213-5: a titular é a pessoa natural (art. 966 do CC)</w:t>
            </w:r>
          </w:p>
        </w:tc>
      </w:tr>
      <w:tr>
        <w:tc>
          <w:tcPr>
            <w:tcW w:type="dxa" w:w="3135"/>
          </w:tcPr>
          <w:p>
            <w:r/>
            <w:r>
              <w:rPr>
                <w:b w:val="0"/>
                <w:sz w:val="18"/>
              </w:rPr>
              <w:t>Efeito da baixa</w:t>
            </w:r>
          </w:p>
        </w:tc>
        <w:tc>
          <w:tcPr>
            <w:tcW w:type="dxa" w:w="3135"/>
          </w:tcPr>
          <w:p>
            <w:r/>
            <w:r>
              <w:rPr>
                <w:b w:val="0"/>
                <w:sz w:val="18"/>
              </w:rPr>
              <w:t>Fim da personalidade jurídica (art. 51 do CC)</w:t>
            </w:r>
          </w:p>
        </w:tc>
        <w:tc>
          <w:tcPr>
            <w:tcW w:type="dxa" w:w="3135"/>
          </w:tcPr>
          <w:p>
            <w:r/>
            <w:r>
              <w:rPr>
                <w:b w:val="0"/>
                <w:sz w:val="18"/>
              </w:rPr>
              <w:t>Encerra só a inscrição fiscal; a pessoa segue viva e capaz (arts. 1º e 6º do CC)</w:t>
            </w:r>
          </w:p>
        </w:tc>
      </w:tr>
      <w:tr>
        <w:tc>
          <w:tcPr>
            <w:tcW w:type="dxa" w:w="3135"/>
          </w:tcPr>
          <w:p>
            <w:r/>
            <w:r>
              <w:rPr>
                <w:b w:val="0"/>
                <w:sz w:val="18"/>
              </w:rPr>
              <w:t>Quem manifesta a vontade</w:t>
            </w:r>
          </w:p>
        </w:tc>
        <w:tc>
          <w:tcPr>
            <w:tcW w:type="dxa" w:w="3135"/>
          </w:tcPr>
          <w:p>
            <w:r/>
            <w:r>
              <w:rPr>
                <w:b w:val="0"/>
                <w:sz w:val="18"/>
              </w:rPr>
              <w:t>Ninguém mais pode falar pela sociedade extinta</w:t>
            </w:r>
          </w:p>
        </w:tc>
        <w:tc>
          <w:tcPr>
            <w:tcW w:type="dxa" w:w="3135"/>
          </w:tcPr>
          <w:p>
            <w:r/>
            <w:r>
              <w:rPr>
                <w:b w:val="0"/>
                <w:sz w:val="18"/>
              </w:rPr>
              <w:t>A própria titular assinou a cessão, com certificado digital e biometria</w:t>
            </w:r>
          </w:p>
        </w:tc>
      </w:tr>
      <w:tr>
        <w:tc>
          <w:tcPr>
            <w:tcW w:type="dxa" w:w="3135"/>
          </w:tcPr>
          <w:p>
            <w:r/>
            <w:r>
              <w:rPr>
                <w:b w:val="0"/>
                <w:sz w:val="18"/>
              </w:rPr>
              <w:t>Patrimônio</w:t>
            </w:r>
          </w:p>
        </w:tc>
        <w:tc>
          <w:tcPr>
            <w:tcW w:type="dxa" w:w="3135"/>
          </w:tcPr>
          <w:p>
            <w:r/>
            <w:r>
              <w:rPr>
                <w:b w:val="0"/>
                <w:sz w:val="18"/>
              </w:rPr>
              <w:t>Segue as regras da liquidação</w:t>
            </w:r>
          </w:p>
        </w:tc>
        <w:tc>
          <w:tcPr>
            <w:tcW w:type="dxa" w:w="3135"/>
          </w:tcPr>
          <w:p>
            <w:r/>
            <w:r>
              <w:rPr>
                <w:b w:val="0"/>
                <w:sz w:val="18"/>
              </w:rPr>
              <w:t>Patrimônio único da pessoa natural (REsp 1.355.000/SP; REsp 594.832/RO)</w:t>
            </w:r>
          </w:p>
        </w:tc>
      </w:tr>
      <w:tr>
        <w:tc>
          <w:tcPr>
            <w:tcW w:type="dxa" w:w="3135"/>
          </w:tcPr>
          <w:p>
            <w:r/>
            <w:r>
              <w:rPr>
                <w:b w:val="0"/>
                <w:sz w:val="18"/>
              </w:rPr>
              <w:t>Posição da ANM</w:t>
            </w:r>
          </w:p>
        </w:tc>
        <w:tc>
          <w:tcPr>
            <w:tcW w:type="dxa" w:w="3135"/>
          </w:tcPr>
          <w:p>
            <w:r/>
            <w:r>
              <w:rPr>
                <w:b w:val="0"/>
                <w:sz w:val="18"/>
              </w:rPr>
              <w:t>–</w:t>
            </w:r>
          </w:p>
        </w:tc>
        <w:tc>
          <w:tcPr>
            <w:tcW w:type="dxa" w:w="3135"/>
          </w:tcPr>
          <w:p>
            <w:r/>
            <w:r>
              <w:rPr>
                <w:b w:val="0"/>
                <w:sz w:val="18"/>
              </w:rPr>
              <w:t>Outorgou o título depois da baixa e o declara "em vigor"</w:t>
            </w:r>
          </w:p>
        </w:tc>
      </w:tr>
    </w:tbl>
    <w:p/>
    <w:p>
      <w:pPr>
        <w:spacing w:before="200"/>
      </w:pPr>
      <w:r>
        <w:rPr>
          <w:b/>
          <w:color w:val="B8860B"/>
          <w:sz w:val="22"/>
        </w:rPr>
        <w:t>5.2. A própria ANM reconheceu a titularidade e a capacidade da recorrente depois da baixa do CNPJ</w:t>
      </w:r>
    </w:p>
    <w:p>
      <w:pPr>
        <w:spacing w:line="360" w:lineRule="auto"/>
        <w:jc w:val="both"/>
      </w:pPr>
      <w:r>
        <w:rPr>
          <w:b w:val="0"/>
        </w:rPr>
        <w:t>A ANM não pode, sem violar a boa-fé e a segurança jurídica, adotar duas posições incompatíveis sobre o mesmo fato.</w:t>
      </w:r>
    </w:p>
    <w:p>
      <w:pPr>
        <w:spacing w:line="360" w:lineRule="auto"/>
        <w:jc w:val="both"/>
      </w:pPr>
      <w:r>
        <w:rPr>
          <w:b/>
        </w:rPr>
        <w:t>Primeiro:</w:t>
      </w:r>
      <w:r>
        <w:rPr>
          <w:b w:val="0"/>
        </w:rPr>
        <w:t xml:space="preserve"> a baixa do CNPJ ocorreu em 24/05/2022. A ANM expediu o Registro de Licença nº 13/2022 em 08/07/2022 e o publicou em 18/07/2022, em nome de MARIA DO SOCORRO DE SANTANA. Se a baixa tivesse suprimido a capacidade jurídica da titular, o título sequer poderia ter sido outorgado. A outorga, hígida e em vigor, confirma que o direito foi atribuído à pessoa, não a uma inscrição fiscal.</w:t>
      </w:r>
    </w:p>
    <w:p>
      <w:pPr>
        <w:spacing w:line="360" w:lineRule="auto"/>
        <w:jc w:val="both"/>
      </w:pPr>
      <w:r>
        <w:rPr>
          <w:b/>
        </w:rPr>
        <w:t>Segundo:</w:t>
      </w:r>
      <w:r>
        <w:rPr>
          <w:b w:val="0"/>
        </w:rPr>
        <w:t xml:space="preserve"> o formulário que fundamenta o indeferimento atesta "Direito minerário em vigor? Sim" e recomenda que a área continue "em nome do CEDENTE". A Administração afirma, portanto, que a cedente </w:t>
      </w:r>
      <w:r>
        <w:rPr>
          <w:b/>
        </w:rPr>
        <w:t>existe</w:t>
      </w:r>
      <w:r>
        <w:rPr>
          <w:b w:val="0"/>
        </w:rPr>
        <w:t xml:space="preserve"> e </w:t>
      </w:r>
      <w:r>
        <w:rPr>
          <w:b/>
        </w:rPr>
        <w:t>é titular</w:t>
      </w:r>
      <w:r>
        <w:rPr>
          <w:b w:val="0"/>
        </w:rPr>
        <w:t xml:space="preserve"> do direito. Quem é capaz de ser titular de um direito é capaz de dispor dele, observada a anuência do poder concedente (art. 1.228 do Código Civil; art. 176, § 3º, da Constituição Federal).</w:t>
      </w:r>
    </w:p>
    <w:p>
      <w:pPr>
        <w:spacing w:line="360" w:lineRule="auto"/>
        <w:jc w:val="both"/>
      </w:pPr>
      <w:r>
        <w:rPr>
          <w:b w:val="0"/>
        </w:rPr>
        <w:t>A contradição é insuperável. A decisão reconhece a capacidade para manter o título e a nega para transferi-lo. Esse comportamento contraditório viola os princípios da segurança jurídica, da boa-fé e da motivação (art. 2º, caput e parágrafo único, IV e XIII, da Lei nº 9.784/1999) e o dever de a autoridade atuar para aumentar a segurança jurídica na aplicação das normas (art. 30 da LINDB).</w:t>
      </w:r>
    </w:p>
    <w:p>
      <w:pPr>
        <w:spacing w:before="200"/>
      </w:pPr>
      <w:r>
        <w:rPr>
          <w:b/>
          <w:color w:val="B8860B"/>
          <w:sz w:val="22"/>
        </w:rPr>
        <w:t>5.3. A Ordem de Serviço não pode criar impedimento que a lei e a Consolidação Normativa não preveem</w:t>
      </w:r>
    </w:p>
    <w:p>
      <w:pPr>
        <w:spacing w:line="360" w:lineRule="auto"/>
        <w:jc w:val="both"/>
      </w:pPr>
      <w:r>
        <w:rPr>
          <w:b w:val="0"/>
        </w:rPr>
        <w:t xml:space="preserve">Os requisitos para a cessão do registro de licença estão no art. 236 da Consolidação Normativa (Portaria DNPM nº 155/2016). O formulário confirma que </w:t>
      </w:r>
      <w:r>
        <w:rPr>
          <w:b/>
        </w:rPr>
        <w:t>todos</w:t>
      </w:r>
      <w:r>
        <w:rPr>
          <w:b w:val="0"/>
        </w:rPr>
        <w:t xml:space="preserve"> foram cumpridos.</w:t>
      </w:r>
    </w:p>
    <w:p>
      <w:pPr>
        <w:spacing w:line="360" w:lineRule="auto"/>
        <w:jc w:val="both"/>
      </w:pPr>
      <w:r>
        <w:rPr>
          <w:b w:val="0"/>
        </w:rPr>
        <w:t>A OS nº 599/2025 é ato interno de orientação dos servidores. Pode uniformizar a análise, mas não pode, por interpretação extensiva, criar restrição a direito que a lei e o ato normativo de hierarquia superior não criaram (art. 5º, II, e art. 37, caput, da Constituição Federal). A Lei nº 9.784/1999 veda a "imposição de obrigações, restrições e sanções em medida superior àquelas estritamente necessárias ao atendimento do interesse público" (art. 2º, parágrafo único, VI).</w:t>
      </w:r>
    </w:p>
    <w:p>
      <w:pPr>
        <w:spacing w:line="360" w:lineRule="auto"/>
        <w:jc w:val="both"/>
      </w:pPr>
      <w:r>
        <w:rPr>
          <w:b w:val="0"/>
        </w:rPr>
        <w:t>Aplicar a um empresário individual uma regra concebida para pessoas jurídicas extintas é exatamente isso: estender uma restrição para além de seu fundamento. A leitura correta, que "melhor garanta o atendimento do fim público a que se dirige" (art. 2º, parágrafo único, XIII), limita o art. 8º da OS às pessoas jurídicas propriamente ditas.</w:t>
      </w:r>
    </w:p>
    <w:p>
      <w:pPr>
        <w:spacing w:before="200"/>
      </w:pPr>
      <w:r>
        <w:rPr>
          <w:b/>
          <w:color w:val="B8860B"/>
          <w:sz w:val="22"/>
        </w:rPr>
        <w:t>5.4. Todos os requisitos do art. 236 estão cumpridos: a anuência é devida</w:t>
      </w:r>
    </w:p>
    <w:p>
      <w:pPr>
        <w:spacing w:line="360" w:lineRule="auto"/>
        <w:jc w:val="both"/>
      </w:pPr>
      <w:r>
        <w:rPr>
          <w:b w:val="0"/>
        </w:rPr>
        <w:t>A anuência prevista no art. 176, § 3º, da Constituição Federal não é um cheque em branco. Verificado o cumprimento dos requisitos normativos e ausente qualquer impedimento legítimo, a Administração deve averbar a cessão.</w:t>
      </w:r>
    </w:p>
    <w:p>
      <w:pPr>
        <w:spacing w:line="360" w:lineRule="auto"/>
        <w:jc w:val="both"/>
      </w:pPr>
      <w:r>
        <w:rPr>
          <w:b w:val="0"/>
        </w:rPr>
        <w:t>O próprio formulário (SEI 20679477) atesta:</w:t>
      </w:r>
    </w:p>
    <w:tbl>
      <w:tblPr>
        <w:tblStyle w:val="TableGrid"/>
        <w:tblW w:type="auto" w:w="0"/>
        <w:tblLook w:firstColumn="1" w:firstRow="1" w:lastColumn="0" w:lastRow="0" w:noHBand="0" w:noVBand="1" w:val="04A0"/>
      </w:tblPr>
      <w:tblGrid>
        <w:gridCol w:w="3135"/>
        <w:gridCol w:w="3135"/>
        <w:gridCol w:w="3135"/>
      </w:tblGrid>
      <w:tr>
        <w:tc>
          <w:tcPr>
            <w:tcW w:type="dxa" w:w="3135"/>
            <w:shd w:val="clear" w:fill="1F2A44"/>
          </w:tcPr>
          <w:p>
            <w:r/>
            <w:r>
              <w:rPr>
                <w:b w:val="0"/>
                <w:color w:val="FFFFFF"/>
                <w:sz w:val="18"/>
              </w:rPr>
              <w:t>Requisito (Portaria DNPM nº 155/2016)</w:t>
            </w:r>
          </w:p>
        </w:tc>
        <w:tc>
          <w:tcPr>
            <w:tcW w:type="dxa" w:w="3135"/>
            <w:shd w:val="clear" w:fill="1F2A44"/>
          </w:tcPr>
          <w:p>
            <w:r/>
            <w:r>
              <w:rPr>
                <w:b w:val="0"/>
                <w:color w:val="FFFFFF"/>
                <w:sz w:val="18"/>
              </w:rPr>
              <w:t>Situação atestada pela ANM</w:t>
            </w:r>
          </w:p>
        </w:tc>
        <w:tc>
          <w:tcPr>
            <w:tcW w:type="dxa" w:w="3135"/>
            <w:shd w:val="clear" w:fill="1F2A44"/>
          </w:tcPr>
          <w:p>
            <w:r/>
            <w:r>
              <w:rPr>
                <w:b w:val="0"/>
                <w:color w:val="FFFFFF"/>
                <w:sz w:val="18"/>
              </w:rPr>
              <w:t>Documento SEI</w:t>
            </w:r>
          </w:p>
        </w:tc>
      </w:tr>
      <w:tr>
        <w:tc>
          <w:tcPr>
            <w:tcW w:type="dxa" w:w="3135"/>
          </w:tcPr>
          <w:p>
            <w:r/>
            <w:r>
              <w:rPr>
                <w:b w:val="0"/>
                <w:sz w:val="18"/>
              </w:rPr>
              <w:t>Requerimento eletrônico (art. 224)</w:t>
            </w:r>
          </w:p>
        </w:tc>
        <w:tc>
          <w:tcPr>
            <w:tcW w:type="dxa" w:w="3135"/>
            <w:shd w:val="clear" w:fill="E8F5E9"/>
          </w:tcPr>
          <w:p>
            <w:r/>
            <w:r>
              <w:rPr>
                <w:b w:val="0"/>
                <w:sz w:val="18"/>
              </w:rPr>
              <w:t>SIM</w:t>
            </w:r>
          </w:p>
        </w:tc>
        <w:tc>
          <w:tcPr>
            <w:tcW w:type="dxa" w:w="3135"/>
          </w:tcPr>
          <w:p>
            <w:r/>
            <w:r>
              <w:rPr>
                <w:b w:val="0"/>
                <w:sz w:val="18"/>
              </w:rPr>
              <w:t>18728344</w:t>
            </w:r>
          </w:p>
        </w:tc>
      </w:tr>
      <w:tr>
        <w:tc>
          <w:tcPr>
            <w:tcW w:type="dxa" w:w="3135"/>
          </w:tcPr>
          <w:p>
            <w:r/>
            <w:r>
              <w:rPr>
                <w:b w:val="0"/>
                <w:sz w:val="18"/>
              </w:rPr>
              <w:t>Direito minerário em vigor</w:t>
            </w:r>
          </w:p>
        </w:tc>
        <w:tc>
          <w:tcPr>
            <w:tcW w:type="dxa" w:w="3135"/>
            <w:shd w:val="clear" w:fill="E8F5E9"/>
          </w:tcPr>
          <w:p>
            <w:r/>
            <w:r>
              <w:rPr>
                <w:b w:val="0"/>
                <w:sz w:val="18"/>
              </w:rPr>
              <w:t>SIM (RL 13/2022, validade indeterminada)</w:t>
            </w:r>
          </w:p>
        </w:tc>
        <w:tc>
          <w:tcPr>
            <w:tcW w:type="dxa" w:w="3135"/>
          </w:tcPr>
          <w:p>
            <w:r/>
            <w:r>
              <w:rPr>
                <w:b w:val="0"/>
                <w:sz w:val="18"/>
              </w:rPr>
              <w:t>4537432</w:t>
            </w:r>
          </w:p>
        </w:tc>
      </w:tr>
      <w:tr>
        <w:tc>
          <w:tcPr>
            <w:tcW w:type="dxa" w:w="3135"/>
          </w:tcPr>
          <w:p>
            <w:r/>
            <w:r>
              <w:rPr>
                <w:b w:val="0"/>
                <w:sz w:val="18"/>
              </w:rPr>
              <w:t>Instrumento de cessão com assinatura qualificada ou firma reconhecida (art. 236, I)</w:t>
            </w:r>
          </w:p>
        </w:tc>
        <w:tc>
          <w:tcPr>
            <w:tcW w:type="dxa" w:w="3135"/>
            <w:shd w:val="clear" w:fill="E8F5E9"/>
          </w:tcPr>
          <w:p>
            <w:r/>
            <w:r>
              <w:rPr>
                <w:b w:val="0"/>
                <w:sz w:val="18"/>
              </w:rPr>
              <w:t>SIM</w:t>
            </w:r>
          </w:p>
        </w:tc>
        <w:tc>
          <w:tcPr>
            <w:tcW w:type="dxa" w:w="3135"/>
          </w:tcPr>
          <w:p>
            <w:r/>
            <w:r>
              <w:rPr>
                <w:b w:val="0"/>
                <w:sz w:val="18"/>
              </w:rPr>
              <w:t>18728343</w:t>
            </w:r>
          </w:p>
        </w:tc>
      </w:tr>
      <w:tr>
        <w:tc>
          <w:tcPr>
            <w:tcW w:type="dxa" w:w="3135"/>
          </w:tcPr>
          <w:p>
            <w:r/>
            <w:r>
              <w:rPr>
                <w:b w:val="0"/>
                <w:sz w:val="18"/>
              </w:rPr>
              <w:t>Cessionário cadastrado na ANM</w:t>
            </w:r>
          </w:p>
        </w:tc>
        <w:tc>
          <w:tcPr>
            <w:tcW w:type="dxa" w:w="3135"/>
            <w:shd w:val="clear" w:fill="E8F5E9"/>
          </w:tcPr>
          <w:p>
            <w:r/>
            <w:r>
              <w:rPr>
                <w:b w:val="0"/>
                <w:sz w:val="18"/>
              </w:rPr>
              <w:t>SIM</w:t>
            </w:r>
          </w:p>
        </w:tc>
        <w:tc>
          <w:tcPr>
            <w:tcW w:type="dxa" w:w="3135"/>
          </w:tcPr>
          <w:p>
            <w:r/>
            <w:r>
              <w:rPr>
                <w:b w:val="0"/>
                <w:sz w:val="18"/>
              </w:rPr>
              <w:t>–</w:t>
            </w:r>
          </w:p>
        </w:tc>
      </w:tr>
      <w:tr>
        <w:tc>
          <w:tcPr>
            <w:tcW w:type="dxa" w:w="3135"/>
          </w:tcPr>
          <w:p>
            <w:r/>
            <w:r>
              <w:rPr>
                <w:b w:val="0"/>
                <w:sz w:val="18"/>
              </w:rPr>
              <w:t>Licença municipal em nome do cessionário (art. 236, III)</w:t>
            </w:r>
          </w:p>
        </w:tc>
        <w:tc>
          <w:tcPr>
            <w:tcW w:type="dxa" w:w="3135"/>
            <w:shd w:val="clear" w:fill="E8F5E9"/>
          </w:tcPr>
          <w:p>
            <w:r/>
            <w:r>
              <w:rPr>
                <w:b w:val="0"/>
                <w:sz w:val="18"/>
              </w:rPr>
              <w:t>SIM</w:t>
            </w:r>
          </w:p>
        </w:tc>
        <w:tc>
          <w:tcPr>
            <w:tcW w:type="dxa" w:w="3135"/>
          </w:tcPr>
          <w:p>
            <w:r/>
            <w:r>
              <w:rPr>
                <w:b w:val="0"/>
                <w:sz w:val="18"/>
              </w:rPr>
              <w:t>18728331</w:t>
            </w:r>
          </w:p>
        </w:tc>
      </w:tr>
      <w:tr>
        <w:tc>
          <w:tcPr>
            <w:tcW w:type="dxa" w:w="3135"/>
          </w:tcPr>
          <w:p>
            <w:r/>
            <w:r>
              <w:rPr>
                <w:b w:val="0"/>
                <w:sz w:val="18"/>
              </w:rPr>
              <w:t>Declaração ou autorização do proprietário do solo em nome do cessionário (art. 236, V)</w:t>
            </w:r>
          </w:p>
        </w:tc>
        <w:tc>
          <w:tcPr>
            <w:tcW w:type="dxa" w:w="3135"/>
            <w:shd w:val="clear" w:fill="E8F5E9"/>
          </w:tcPr>
          <w:p>
            <w:r/>
            <w:r>
              <w:rPr>
                <w:b w:val="0"/>
                <w:sz w:val="18"/>
              </w:rPr>
              <w:t>SIM</w:t>
            </w:r>
          </w:p>
        </w:tc>
        <w:tc>
          <w:tcPr>
            <w:tcW w:type="dxa" w:w="3135"/>
          </w:tcPr>
          <w:p>
            <w:r/>
            <w:r>
              <w:rPr>
                <w:b w:val="0"/>
                <w:sz w:val="18"/>
              </w:rPr>
              <w:t>18728326</w:t>
            </w:r>
          </w:p>
        </w:tc>
      </w:tr>
      <w:tr>
        <w:tc>
          <w:tcPr>
            <w:tcW w:type="dxa" w:w="3135"/>
          </w:tcPr>
          <w:p>
            <w:r/>
            <w:r>
              <w:rPr>
                <w:b w:val="0"/>
                <w:sz w:val="18"/>
              </w:rPr>
              <w:t>Recolhimento de emolumentos (art. 236, VI)</w:t>
            </w:r>
          </w:p>
        </w:tc>
        <w:tc>
          <w:tcPr>
            <w:tcW w:type="dxa" w:w="3135"/>
            <w:shd w:val="clear" w:fill="E8F5E9"/>
          </w:tcPr>
          <w:p>
            <w:r/>
            <w:r>
              <w:rPr>
                <w:b w:val="0"/>
                <w:sz w:val="18"/>
              </w:rPr>
              <w:t>SIM</w:t>
            </w:r>
          </w:p>
        </w:tc>
        <w:tc>
          <w:tcPr>
            <w:tcW w:type="dxa" w:w="3135"/>
          </w:tcPr>
          <w:p>
            <w:r/>
            <w:r>
              <w:rPr>
                <w:b w:val="0"/>
                <w:sz w:val="18"/>
              </w:rPr>
              <w:t>18728323</w:t>
            </w:r>
          </w:p>
        </w:tc>
      </w:tr>
      <w:tr>
        <w:tc>
          <w:tcPr>
            <w:tcW w:type="dxa" w:w="3135"/>
          </w:tcPr>
          <w:p>
            <w:r/>
            <w:r>
              <w:rPr>
                <w:b w:val="0"/>
                <w:sz w:val="18"/>
              </w:rPr>
              <w:t>CNPJ de filial como cessionário</w:t>
            </w:r>
          </w:p>
        </w:tc>
        <w:tc>
          <w:tcPr>
            <w:tcW w:type="dxa" w:w="3135"/>
            <w:shd w:val="clear" w:fill="E8F5E9"/>
          </w:tcPr>
          <w:p>
            <w:r/>
            <w:r>
              <w:rPr>
                <w:b w:val="0"/>
                <w:sz w:val="18"/>
              </w:rPr>
              <w:t>NÃO (sem impedimento)</w:t>
            </w:r>
          </w:p>
        </w:tc>
        <w:tc>
          <w:tcPr>
            <w:tcW w:type="dxa" w:w="3135"/>
          </w:tcPr>
          <w:p>
            <w:r/>
            <w:r>
              <w:rPr>
                <w:b w:val="0"/>
                <w:sz w:val="18"/>
              </w:rPr>
              <w:t>18728329</w:t>
            </w:r>
          </w:p>
        </w:tc>
      </w:tr>
      <w:tr>
        <w:tc>
          <w:tcPr>
            <w:tcW w:type="dxa" w:w="3135"/>
          </w:tcPr>
          <w:p>
            <w:r/>
            <w:r>
              <w:rPr>
                <w:b w:val="0"/>
                <w:sz w:val="18"/>
              </w:rPr>
              <w:t>CNPJ do cessionário em situação diversa de ativa</w:t>
            </w:r>
          </w:p>
        </w:tc>
        <w:tc>
          <w:tcPr>
            <w:tcW w:type="dxa" w:w="3135"/>
            <w:shd w:val="clear" w:fill="E8F5E9"/>
          </w:tcPr>
          <w:p>
            <w:r/>
            <w:r>
              <w:rPr>
                <w:b w:val="0"/>
                <w:sz w:val="18"/>
              </w:rPr>
              <w:t>NÃO (cessionário ativo)</w:t>
            </w:r>
          </w:p>
        </w:tc>
        <w:tc>
          <w:tcPr>
            <w:tcW w:type="dxa" w:w="3135"/>
          </w:tcPr>
          <w:p>
            <w:r/>
            <w:r>
              <w:rPr>
                <w:b w:val="0"/>
                <w:sz w:val="18"/>
              </w:rPr>
              <w:t>18728329</w:t>
            </w:r>
          </w:p>
        </w:tc>
      </w:tr>
      <w:tr>
        <w:tc>
          <w:tcPr>
            <w:tcW w:type="dxa" w:w="3135"/>
          </w:tcPr>
          <w:p>
            <w:r/>
            <w:r>
              <w:rPr>
                <w:b w:val="0"/>
                <w:sz w:val="18"/>
              </w:rPr>
              <w:t>Dívida ativa de CFEM</w:t>
            </w:r>
          </w:p>
        </w:tc>
        <w:tc>
          <w:tcPr>
            <w:tcW w:type="dxa" w:w="3135"/>
          </w:tcPr>
          <w:p>
            <w:r/>
            <w:r>
              <w:rPr>
                <w:b w:val="0"/>
                <w:sz w:val="18"/>
              </w:rPr>
              <w:t>NÃO</w:t>
            </w:r>
          </w:p>
        </w:tc>
        <w:tc>
          <w:tcPr>
            <w:tcW w:type="dxa" w:w="3135"/>
          </w:tcPr>
          <w:p>
            <w:r/>
            <w:r>
              <w:rPr>
                <w:b w:val="0"/>
                <w:sz w:val="18"/>
              </w:rPr>
              <w:t>–</w:t>
            </w:r>
          </w:p>
        </w:tc>
      </w:tr>
      <w:tr>
        <w:tc>
          <w:tcPr>
            <w:tcW w:type="dxa" w:w="3135"/>
          </w:tcPr>
          <w:p>
            <w:r/>
            <w:r>
              <w:rPr>
                <w:b w:val="0"/>
                <w:sz w:val="18"/>
              </w:rPr>
              <w:t>Faixa de fronteira, penhora, oneração, sucessão causa mortis, lavra ilegal</w:t>
            </w:r>
          </w:p>
        </w:tc>
        <w:tc>
          <w:tcPr>
            <w:tcW w:type="dxa" w:w="3135"/>
          </w:tcPr>
          <w:p>
            <w:r/>
            <w:r>
              <w:rPr>
                <w:b w:val="0"/>
                <w:sz w:val="18"/>
              </w:rPr>
              <w:t>N/A</w:t>
            </w:r>
          </w:p>
        </w:tc>
        <w:tc>
          <w:tcPr>
            <w:tcW w:type="dxa" w:w="3135"/>
          </w:tcPr>
          <w:p>
            <w:r/>
            <w:r>
              <w:rPr>
                <w:b w:val="0"/>
                <w:sz w:val="18"/>
              </w:rPr>
              <w:t>–</w:t>
            </w:r>
          </w:p>
        </w:tc>
      </w:tr>
      <w:tr>
        <w:tc>
          <w:tcPr>
            <w:tcW w:type="dxa" w:w="3135"/>
            <w:shd w:val="clear" w:fill="FBE9E7"/>
          </w:tcPr>
          <w:p>
            <w:r/>
            <w:r>
              <w:rPr>
                <w:b/>
                <w:sz w:val="18"/>
              </w:rPr>
              <w:t>CNPJ do cedente baixado</w:t>
            </w:r>
          </w:p>
        </w:tc>
        <w:tc>
          <w:tcPr>
            <w:tcW w:type="dxa" w:w="3135"/>
            <w:shd w:val="clear" w:fill="FBE9E7"/>
          </w:tcPr>
          <w:p>
            <w:r/>
            <w:r>
              <w:rPr>
                <w:b/>
                <w:sz w:val="18"/>
              </w:rPr>
              <w:t>Único óbice apontado, afastado pelos itens 5.1 a 5.3</w:t>
            </w:r>
          </w:p>
        </w:tc>
        <w:tc>
          <w:tcPr>
            <w:tcW w:type="dxa" w:w="3135"/>
            <w:shd w:val="clear" w:fill="FBE9E7"/>
          </w:tcPr>
          <w:p>
            <w:r/>
            <w:r>
              <w:rPr>
                <w:b w:val="0"/>
                <w:sz w:val="18"/>
              </w:rPr>
              <w:t>20679960</w:t>
            </w:r>
          </w:p>
        </w:tc>
      </w:tr>
    </w:tbl>
    <w:p/>
    <w:p>
      <w:pPr>
        <w:spacing w:before="200"/>
      </w:pPr>
      <w:r>
        <w:rPr>
          <w:b/>
          <w:color w:val="B8860B"/>
          <w:sz w:val="22"/>
        </w:rPr>
        <w:t>5.5. Subsidiariamente: formalismo moderado, dever de orientar e fungibilidade</w:t>
      </w:r>
    </w:p>
    <w:p>
      <w:pPr>
        <w:spacing w:line="360" w:lineRule="auto"/>
        <w:jc w:val="both"/>
      </w:pPr>
      <w:r>
        <w:rPr>
          <w:b w:val="0"/>
        </w:rPr>
        <w:t>Ainda que se entendesse que o caminho adequado seria outro, a solução jamais poderia ser o indeferimento puro e simples.</w:t>
      </w:r>
    </w:p>
    <w:p>
      <w:pPr>
        <w:spacing w:line="360" w:lineRule="auto"/>
        <w:jc w:val="both"/>
      </w:pPr>
      <w:r>
        <w:rPr>
          <w:b/>
        </w:rPr>
        <w:t>(a) A titular é a mesma pessoa.</w:t>
      </w:r>
      <w:r>
        <w:rPr>
          <w:b w:val="0"/>
        </w:rPr>
        <w:t xml:space="preserve"> Cedente e cessionário são, ambos, a Sra. Maria do Socorro de Santana. </w:t>
      </w:r>
      <w:r>
        <w:rPr>
          <w:b/>
          <w:highlight w:val="yellow"/>
        </w:rPr>
        <w:t>[SE O CNPJ 63.576.452/0001-36 FOR DE EMPRESÁRIO INDIVIDUAL:]</w:t>
      </w:r>
      <w:r>
        <w:rPr>
          <w:b w:val="0"/>
        </w:rPr>
        <w:t xml:space="preserve"> Não há, em rigor, transferência de titularidade entre sujeitos distintos, mas mera substituição da inscrição fiscal pela qual a mesma pessoa exerce a atividade. O pedido pode e deve ser recebido como </w:t>
      </w:r>
      <w:r>
        <w:rPr>
          <w:b/>
        </w:rPr>
        <w:t>atualização cadastral</w:t>
      </w:r>
      <w:r>
        <w:rPr>
          <w:b w:val="0"/>
        </w:rPr>
        <w:t xml:space="preserve"> do título, providência que, segundo o aviso impresso no próprio requerimento de registro, é dever do interessado (SEI 1881146).</w:t>
      </w:r>
    </w:p>
    <w:p>
      <w:pPr>
        <w:spacing w:line="360" w:lineRule="auto"/>
        <w:jc w:val="both"/>
      </w:pPr>
      <w:r>
        <w:rPr>
          <w:b/>
        </w:rPr>
        <w:t>(b) A própria OS indica outra via.</w:t>
      </w:r>
      <w:r>
        <w:rPr>
          <w:b w:val="0"/>
        </w:rPr>
        <w:t xml:space="preserve"> O parágrafo único do art. 8º da OS nº 599/2025, transcrito no formulário, prevê que a regularização da titularidade se faça por "pedido de Averbação de Transferência de Direitos Minerários". Todos os documentos para tanto já estão nos autos. Exigir novo processo, com os mesmos documentos, para chegar ao mesmo resultado é formalismo que a lei proíbe: o processo administrativo deve observar "formalidades essenciais à garantia dos direitos" e "formas simples, suficientes para propiciar adequado grau de certeza, segurança e respeito aos direitos dos administrados" (art. 2º, parágrafo único, VIII e IX, da Lei nº 9.784/1999). O pedido deve ser recebido e processado nessa modalidade, com base na fungibilidade e no dever de orientar o interessado (art. 6º, parágrafo único, da Lei nº 9.784/1999).</w:t>
      </w:r>
    </w:p>
    <w:p>
      <w:pPr>
        <w:spacing w:line="360" w:lineRule="auto"/>
        <w:jc w:val="both"/>
      </w:pPr>
      <w:r>
        <w:rPr>
          <w:b/>
        </w:rPr>
        <w:t>(c) Exigência antes de indeferimento.</w:t>
      </w:r>
      <w:r>
        <w:rPr>
          <w:b w:val="0"/>
        </w:rPr>
        <w:t xml:space="preserve"> O próprio formulário prevê a formulação de exigências (art. 249 da Portaria nº 155/2016). Se algum documento adicional fosse necessário, por exemplo para comprovar a identidade entre a titular do CNPJ baixado e a do CNPJ cessionário, o caminho seria a exigência, não o indeferimento.</w:t>
      </w:r>
    </w:p>
    <w:p>
      <w:pPr>
        <w:spacing w:before="200"/>
      </w:pPr>
      <w:r>
        <w:rPr>
          <w:b/>
          <w:color w:val="B8860B"/>
          <w:sz w:val="22"/>
        </w:rPr>
        <w:t>5.6. Consequências práticas da decisão e insuficiência da motivação</w:t>
      </w:r>
    </w:p>
    <w:p>
      <w:pPr>
        <w:spacing w:line="360" w:lineRule="auto"/>
        <w:jc w:val="both"/>
      </w:pPr>
      <w:r>
        <w:rPr>
          <w:b w:val="0"/>
        </w:rPr>
        <w:t>A LINDB proíbe decidir com base em valores jurídicos abstratos sem considerar as consequências práticas da decisão (art. 20), e exige que a invalidação ou negativa indique suas consequências jurídicas e administrativas (art. 21).</w:t>
      </w:r>
    </w:p>
    <w:p>
      <w:pPr>
        <w:spacing w:line="360" w:lineRule="auto"/>
        <w:jc w:val="both"/>
      </w:pPr>
      <w:r>
        <w:rPr>
          <w:b w:val="0"/>
        </w:rPr>
        <w:t>A consequência prática do indeferimento é um impasse sem saída: o título fica "em nome do CEDENTE", isto é, vinculado a uma inscrição fiscal que não existe mais. A titular não consegue emitir nota fiscal pela atividade minerária, recolher regularmente a CFEM sob o CNPJ ativo nem regularizar sua licença ambiental. A decisão não protege nenhum interesse público. Ao contrário, frustra o aproveitamento de um bem mineral cuja lavra a própria ANM autorizou (art. 176 da Constituição Federal).</w:t>
      </w:r>
    </w:p>
    <w:p>
      <w:pPr>
        <w:spacing w:line="360" w:lineRule="auto"/>
        <w:jc w:val="both"/>
      </w:pPr>
      <w:r>
        <w:rPr>
          <w:b w:val="0"/>
        </w:rPr>
        <w:t>A motivação também é insuficiente (art. 50, I, e § 1º, da Lei nº 9.784/1999). O despacho e o ofício remetem apenas ao formulário, que aplicou mecanicamente o art. 8º da OS sem enfrentar a natureza jurídica do cedente, embora ela constasse do Cartão CNPJ que o próprio analista juntou aos autos.</w:t>
      </w:r>
    </w:p>
    <w:p>
      <w:pPr>
        <w:spacing w:before="280"/>
        <w:pBdr>
          <w:bottom w:val="single" w:sz="8" w:color="B8860B" w:space="1"/>
        </w:pBdr>
      </w:pPr>
      <w:r>
        <w:rPr>
          <w:b/>
          <w:color w:val="1F2A44"/>
          <w:sz w:val="24"/>
        </w:rPr>
        <w:t>6. DOS PEDIDOS</w:t>
      </w:r>
    </w:p>
    <w:p>
      <w:pPr>
        <w:spacing w:line="360" w:lineRule="auto"/>
        <w:jc w:val="both"/>
      </w:pPr>
      <w:r>
        <w:rPr>
          <w:b w:val="0"/>
        </w:rPr>
        <w:t>Diante do exposto, requer:</w:t>
      </w:r>
    </w:p>
    <w:p>
      <w:pPr>
        <w:spacing w:line="360" w:lineRule="auto"/>
        <w:jc w:val="both"/>
      </w:pPr>
      <w:r>
        <w:rPr>
          <w:b/>
        </w:rPr>
        <w:t>a)</w:t>
      </w:r>
      <w:r>
        <w:rPr>
          <w:b w:val="0"/>
        </w:rPr>
        <w:t xml:space="preserve"> o recebimento e o conhecimento deste recurso, com a atribuição de </w:t>
      </w:r>
      <w:r>
        <w:rPr>
          <w:b/>
        </w:rPr>
        <w:t>efeito suspensivo</w:t>
      </w:r>
      <w:r>
        <w:rPr>
          <w:b w:val="0"/>
        </w:rPr>
        <w:t xml:space="preserve"> (art. 61, parágrafo único, da Lei nº 9.784/1999), mantendo-se hígido o Registro de Licença nº 13/2022 em nome da recorrente até o julgamento final;</w:t>
      </w:r>
    </w:p>
    <w:p>
      <w:pPr>
        <w:spacing w:line="360" w:lineRule="auto"/>
        <w:jc w:val="both"/>
      </w:pPr>
      <w:r>
        <w:rPr>
          <w:b/>
        </w:rPr>
        <w:t>b)</w:t>
      </w:r>
      <w:r>
        <w:rPr>
          <w:b w:val="0"/>
        </w:rPr>
        <w:t xml:space="preserve"> a </w:t>
      </w:r>
      <w:r>
        <w:rPr>
          <w:b/>
        </w:rPr>
        <w:t>reconsideração</w:t>
      </w:r>
      <w:r>
        <w:rPr>
          <w:b w:val="0"/>
        </w:rPr>
        <w:t xml:space="preserve"> da decisão pelo Gerente Regional da ANM/PB, no prazo de 5 (cinco) dias (art. 56, § 1º), e, não havendo reconsideração, o encaminhamento imediato à autoridade superior competente </w:t>
      </w:r>
      <w:r>
        <w:rPr>
          <w:b/>
          <w:highlight w:val="yellow"/>
        </w:rPr>
        <w:t>[CONFERIR: Superintendência de Outorga de Títulos Minerários (delegante), nos termos do Regimento Interno da ANM]</w:t>
      </w:r>
      <w:r>
        <w:rPr>
          <w:b w:val="0"/>
        </w:rPr>
        <w:t>;</w:t>
      </w:r>
    </w:p>
    <w:p>
      <w:pPr>
        <w:spacing w:line="360" w:lineRule="auto"/>
        <w:jc w:val="both"/>
      </w:pPr>
      <w:r>
        <w:rPr>
          <w:b/>
        </w:rPr>
        <w:t>c)</w:t>
      </w:r>
      <w:r>
        <w:rPr>
          <w:b w:val="0"/>
        </w:rPr>
        <w:t xml:space="preserve"> no mérito, o </w:t>
      </w:r>
      <w:r>
        <w:rPr>
          <w:b/>
        </w:rPr>
        <w:t>provimento</w:t>
      </w:r>
      <w:r>
        <w:rPr>
          <w:b w:val="0"/>
        </w:rPr>
        <w:t xml:space="preserve"> do recurso para </w:t>
      </w:r>
      <w:r>
        <w:rPr>
          <w:b/>
        </w:rPr>
        <w:t>reformar</w:t>
      </w:r>
      <w:r>
        <w:rPr>
          <w:b w:val="0"/>
        </w:rPr>
        <w:t xml:space="preserve"> o Despacho nº 145777/COROUT-RN/PB/SE/AL/ANM/2026 e tornar sem efeito os Ofícios nº 43577/2026 e nº 46467/2026, </w:t>
      </w:r>
      <w:r>
        <w:rPr>
          <w:b/>
        </w:rPr>
        <w:t>concedendo anuência e determinando a averbação da cessão total</w:t>
      </w:r>
      <w:r>
        <w:rPr>
          <w:b w:val="0"/>
        </w:rPr>
        <w:t xml:space="preserve"> do Registro de Licença nº 13/2022 em favor de MARIA DO S DE SANTANA, CNPJ nº 63.576.452/0001-36, com o prazo de validade resultante dos documentos dos incisos III e V do art. 236 da Portaria nº 155/2016 </w:t>
      </w:r>
      <w:r>
        <w:rPr>
          <w:b/>
          <w:highlight w:val="yellow"/>
        </w:rPr>
        <w:t>[CONFERIR PRAZO DA NOVA LICENÇA MUNICIPAL, SEI 18728331]</w:t>
      </w:r>
      <w:r>
        <w:rPr>
          <w:b w:val="0"/>
        </w:rPr>
        <w:t>, e publicação no DOU;</w:t>
      </w:r>
    </w:p>
    <w:p>
      <w:pPr>
        <w:spacing w:line="360" w:lineRule="auto"/>
        <w:jc w:val="both"/>
      </w:pPr>
      <w:r>
        <w:rPr>
          <w:b/>
        </w:rPr>
        <w:t>d)</w:t>
      </w:r>
      <w:r>
        <w:rPr>
          <w:b w:val="0"/>
        </w:rPr>
        <w:t xml:space="preserve"> subsidiariamente, o recebimento do requerimento de 19/12/2025 como </w:t>
      </w:r>
      <w:r>
        <w:rPr>
          <w:b/>
        </w:rPr>
        <w:t>pedido de atualização cadastral</w:t>
      </w:r>
      <w:r>
        <w:rPr>
          <w:b w:val="0"/>
        </w:rPr>
        <w:t xml:space="preserve"> do titular ou como </w:t>
      </w:r>
      <w:r>
        <w:rPr>
          <w:b/>
        </w:rPr>
        <w:t>pedido de averbação de transferência de direitos minerários</w:t>
      </w:r>
      <w:r>
        <w:rPr>
          <w:b w:val="0"/>
        </w:rPr>
        <w:t>, nestes mesmos autos e com o aproveitamento dos documentos já apresentados (arts. 2º, parágrafo único, VIII e IX, e 6º, parágrafo único, da Lei nº 9.784/1999);</w:t>
      </w:r>
    </w:p>
    <w:p>
      <w:pPr>
        <w:spacing w:line="360" w:lineRule="auto"/>
        <w:jc w:val="both"/>
      </w:pPr>
      <w:r>
        <w:rPr>
          <w:b/>
        </w:rPr>
        <w:t>e)</w:t>
      </w:r>
      <w:r>
        <w:rPr>
          <w:b w:val="0"/>
        </w:rPr>
        <w:t xml:space="preserve"> também subsidiariamente, se a ANM entender necessário algum documento adicional, a </w:t>
      </w:r>
      <w:r>
        <w:rPr>
          <w:b/>
        </w:rPr>
        <w:t>formulação de exigência</w:t>
      </w:r>
      <w:r>
        <w:rPr>
          <w:b w:val="0"/>
        </w:rPr>
        <w:t xml:space="preserve"> (art. 249 da Portaria nº 155/2016) em lugar do indeferimento, com prazo para cumprimento;</w:t>
      </w:r>
    </w:p>
    <w:p>
      <w:pPr>
        <w:spacing w:line="360" w:lineRule="auto"/>
        <w:jc w:val="both"/>
      </w:pPr>
      <w:r>
        <w:rPr>
          <w:b/>
        </w:rPr>
        <w:t>f)</w:t>
      </w:r>
      <w:r>
        <w:rPr>
          <w:b w:val="0"/>
        </w:rPr>
        <w:t xml:space="preserve"> que as comunicações do processo sejam feitas também ao advogado subscritor, [NOME DO ADVOGADO], OAB/PB nº [NÚMERO], pelo e-mail [E-MAIL] e pelo endereço acima.</w:t>
      </w:r>
    </w:p>
    <w:p>
      <w:pPr>
        <w:spacing w:line="360" w:lineRule="auto"/>
        <w:jc w:val="both"/>
      </w:pPr>
      <w:r>
        <w:rPr>
          <w:b w:val="0"/>
        </w:rPr>
        <w:t>Documentos anexos: (1) procuração; (2) documento de identidade e CPF da recorrente; (3) Cartão CNPJ nº 39.311.757/0001-31 (natureza jurídica 213-5, Empresário Individual); (4) Cartão CNPJ nº 63.576.452/0001-36; (5) Requerimento de Empresário (Junta Comercial) dos dois CNPJ, que demonstra a identidade da titular; (6) cópia do DOU de 18/07/2022 (RL nº 13/2022); (7) comprovante de recebimento dos Ofícios (AR).</w:t>
      </w:r>
    </w:p>
    <w:p>
      <w:pPr>
        <w:spacing w:line="360" w:lineRule="auto"/>
        <w:jc w:val="both"/>
      </w:pPr>
      <w:r>
        <w:rPr>
          <w:b w:val="0"/>
        </w:rPr>
        <w:t>Nestes termos,</w:t>
      </w:r>
    </w:p>
    <w:p>
      <w:pPr>
        <w:spacing w:line="360" w:lineRule="auto"/>
        <w:jc w:val="both"/>
      </w:pPr>
      <w:r>
        <w:rPr>
          <w:b w:val="0"/>
        </w:rPr>
        <w:t>pede deferimento.</w:t>
      </w:r>
    </w:p>
    <w:p>
      <w:pPr>
        <w:spacing w:line="360" w:lineRule="auto"/>
        <w:jc w:val="both"/>
      </w:pPr>
      <w:r>
        <w:rPr>
          <w:b w:val="0"/>
        </w:rPr>
        <w:t>Coremas/PB, [DIA] de [MÊS] de 2026.</w:t>
      </w:r>
    </w:p>
    <w:p>
      <w:pPr>
        <w:spacing w:line="360" w:lineRule="auto"/>
        <w:jc w:val="both"/>
      </w:pPr>
      <w:r>
        <w:rPr>
          <w:b w:val="0"/>
        </w:rPr>
        <w:t>[ASSINATURA]</w:t>
      </w:r>
    </w:p>
    <w:p>
      <w:pPr>
        <w:spacing w:line="360" w:lineRule="auto"/>
        <w:jc w:val="both"/>
      </w:pPr>
      <w:r>
        <w:rPr>
          <w:b w:val="0"/>
        </w:rPr>
        <w:t>[NOME DO ADVOGADO]</w:t>
      </w:r>
    </w:p>
    <w:p>
      <w:pPr>
        <w:spacing w:line="360" w:lineRule="auto"/>
        <w:jc w:val="both"/>
      </w:pPr>
      <w:r>
        <w:rPr>
          <w:b w:val="0"/>
        </w:rPr>
        <w:t>OAB/PB nº [NÚMERO]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